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2.xml" ContentType="application/vnd.openxmlformats-officedocument.wordprocessingml.footer+xml"/>
  <Override PartName="/word/header43.xml" ContentType="application/vnd.openxmlformats-officedocument.wordprocessingml.header+xml"/>
  <Override PartName="/word/footer13.xml" ContentType="application/vnd.openxmlformats-officedocument.wordprocessingml.footer+xml"/>
  <Override PartName="/word/header44.xml" ContentType="application/vnd.openxmlformats-officedocument.wordprocessingml.header+xml"/>
  <Override PartName="/word/footer14.xml" ContentType="application/vnd.openxmlformats-officedocument.wordprocessingml.footer+xml"/>
  <Override PartName="/word/header45.xml" ContentType="application/vnd.openxmlformats-officedocument.wordprocessingml.header+xml"/>
  <Override PartName="/word/footer15.xml" ContentType="application/vnd.openxmlformats-officedocument.wordprocessingml.footer+xml"/>
  <Override PartName="/word/header46.xml" ContentType="application/vnd.openxmlformats-officedocument.wordprocessingml.header+xml"/>
  <Override PartName="/word/footer1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17.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18.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19.xml" ContentType="application/vnd.openxmlformats-officedocument.wordprocessingml.footer+xml"/>
  <Override PartName="/word/header58.xml" ContentType="application/vnd.openxmlformats-officedocument.wordprocessingml.header+xml"/>
  <Override PartName="/word/footer20.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61.xml" ContentType="application/vnd.openxmlformats-officedocument.wordprocessingml.header+xml"/>
  <Override PartName="/word/footer23.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5"/>
        <w:ind w:left="1054" w:right="1285" w:firstLine="0"/>
        <w:jc w:val="center"/>
        <w:rPr>
          <w:rFonts w:ascii="黑体" w:hAnsi="黑体" w:cs="黑体" w:eastAsia="黑体" w:hint="default"/>
          <w:sz w:val="44"/>
          <w:szCs w:val="44"/>
        </w:rPr>
      </w:pPr>
      <w:r>
        <w:rPr>
          <w:rFonts w:ascii="黑体" w:hAnsi="黑体" w:cs="黑体" w:eastAsia="黑体" w:hint="default"/>
          <w:color w:val="FF0000"/>
          <w:sz w:val="44"/>
          <w:szCs w:val="44"/>
        </w:rPr>
        <w:t>中国联合网络通信股份有限公司</w:t>
      </w:r>
      <w:r>
        <w:rPr>
          <w:rFonts w:ascii="黑体" w:hAnsi="黑体" w:cs="黑体" w:eastAsia="黑体" w:hint="default"/>
          <w:sz w:val="44"/>
          <w:szCs w:val="44"/>
        </w:rPr>
      </w:r>
    </w:p>
    <w:p>
      <w:pPr>
        <w:spacing w:line="240" w:lineRule="auto" w:before="2"/>
        <w:rPr>
          <w:rFonts w:ascii="黑体" w:hAnsi="黑体" w:cs="黑体" w:eastAsia="黑体" w:hint="default"/>
          <w:sz w:val="33"/>
          <w:szCs w:val="33"/>
        </w:rPr>
      </w:pPr>
    </w:p>
    <w:p>
      <w:pPr>
        <w:spacing w:before="0"/>
        <w:ind w:left="1053" w:right="1285" w:firstLine="0"/>
        <w:jc w:val="center"/>
        <w:rPr>
          <w:rFonts w:ascii="Arial" w:hAnsi="Arial" w:cs="Arial" w:eastAsia="Arial" w:hint="default"/>
          <w:sz w:val="40"/>
          <w:szCs w:val="40"/>
        </w:rPr>
      </w:pPr>
      <w:r>
        <w:rPr>
          <w:rFonts w:ascii="Arial"/>
          <w:b/>
          <w:color w:val="FF0000"/>
          <w:sz w:val="40"/>
        </w:rPr>
        <w:t>600050</w:t>
      </w:r>
      <w:r>
        <w:rPr>
          <w:rFonts w:ascii="Arial"/>
          <w:sz w:val="40"/>
        </w:rPr>
      </w:r>
    </w:p>
    <w:p>
      <w:pPr>
        <w:spacing w:line="240" w:lineRule="auto" w:before="9"/>
        <w:rPr>
          <w:rFonts w:ascii="Arial" w:hAnsi="Arial" w:cs="Arial" w:eastAsia="Arial" w:hint="default"/>
          <w:b/>
          <w:bCs/>
          <w:sz w:val="37"/>
          <w:szCs w:val="37"/>
        </w:rPr>
      </w:pPr>
    </w:p>
    <w:p>
      <w:pPr>
        <w:spacing w:before="0"/>
        <w:ind w:left="1054" w:right="1285" w:firstLine="0"/>
        <w:jc w:val="center"/>
        <w:rPr>
          <w:rFonts w:ascii="黑体" w:hAnsi="黑体" w:cs="黑体" w:eastAsia="黑体" w:hint="default"/>
          <w:sz w:val="44"/>
          <w:szCs w:val="44"/>
        </w:rPr>
      </w:pPr>
      <w:r>
        <w:rPr>
          <w:rFonts w:ascii="Arial" w:hAnsi="Arial" w:cs="Arial" w:eastAsia="Arial" w:hint="default"/>
          <w:b/>
          <w:bCs/>
          <w:color w:val="FF0000"/>
          <w:sz w:val="44"/>
          <w:szCs w:val="44"/>
        </w:rPr>
        <w:t>2011</w:t>
      </w:r>
      <w:r>
        <w:rPr>
          <w:rFonts w:ascii="Arial" w:hAnsi="Arial" w:cs="Arial" w:eastAsia="Arial" w:hint="default"/>
          <w:b/>
          <w:bCs/>
          <w:color w:val="FF0000"/>
          <w:spacing w:val="-8"/>
          <w:sz w:val="44"/>
          <w:szCs w:val="44"/>
        </w:rPr>
        <w:t> </w:t>
      </w:r>
      <w:r>
        <w:rPr>
          <w:rFonts w:ascii="黑体" w:hAnsi="黑体" w:cs="黑体" w:eastAsia="黑体" w:hint="default"/>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8"/>
          <w:szCs w:val="18"/>
        </w:rPr>
      </w:pPr>
    </w:p>
    <w:p>
      <w:pPr>
        <w:spacing w:line="3730" w:lineRule="exact"/>
        <w:ind w:left="733" w:right="0" w:firstLine="0"/>
        <w:rPr>
          <w:rFonts w:ascii="黑体" w:hAnsi="黑体" w:cs="黑体" w:eastAsia="黑体" w:hint="default"/>
          <w:sz w:val="20"/>
          <w:szCs w:val="20"/>
        </w:rPr>
      </w:pPr>
      <w:r>
        <w:rPr>
          <w:rFonts w:ascii="黑体" w:hAnsi="黑体" w:cs="黑体" w:eastAsia="黑体" w:hint="default"/>
          <w:position w:val="-74"/>
          <w:sz w:val="20"/>
          <w:szCs w:val="20"/>
        </w:rPr>
        <w:drawing>
          <wp:inline distT="0" distB="0" distL="0" distR="0">
            <wp:extent cx="4336883" cy="236896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336883" cy="2368962"/>
                    </a:xfrm>
                    <a:prstGeom prst="rect">
                      <a:avLst/>
                    </a:prstGeom>
                  </pic:spPr>
                </pic:pic>
              </a:graphicData>
            </a:graphic>
          </wp:inline>
        </w:drawing>
      </w:r>
      <w:r>
        <w:rPr>
          <w:rFonts w:ascii="黑体" w:hAnsi="黑体" w:cs="黑体" w:eastAsia="黑体" w:hint="default"/>
          <w:position w:val="-74"/>
          <w:sz w:val="20"/>
          <w:szCs w:val="20"/>
        </w:rPr>
      </w:r>
    </w:p>
    <w:p>
      <w:pPr>
        <w:spacing w:after="0" w:line="3730" w:lineRule="exact"/>
        <w:rPr>
          <w:rFonts w:ascii="黑体" w:hAnsi="黑体" w:cs="黑体" w:eastAsia="黑体" w:hint="default"/>
          <w:sz w:val="20"/>
          <w:szCs w:val="20"/>
        </w:rPr>
        <w:sectPr>
          <w:type w:val="continuous"/>
          <w:pgSz w:w="1190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26"/>
        <w:ind w:left="4334" w:right="4326" w:firstLine="0"/>
        <w:jc w:val="center"/>
        <w:rPr>
          <w:rFonts w:ascii="宋体" w:hAnsi="宋体" w:cs="宋体" w:eastAsia="宋体" w:hint="default"/>
          <w:sz w:val="44"/>
          <w:szCs w:val="44"/>
        </w:rPr>
      </w:pPr>
      <w:r>
        <w:rPr>
          <w:rFonts w:ascii="宋体" w:hAnsi="宋体" w:cs="宋体" w:eastAsia="宋体" w:hint="default"/>
          <w:sz w:val="44"/>
          <w:szCs w:val="44"/>
        </w:rPr>
        <w:t>目录</w:t>
      </w:r>
    </w:p>
    <w:p>
      <w:pPr>
        <w:tabs>
          <w:tab w:pos="8619" w:val="right" w:leader="dot"/>
        </w:tabs>
        <w:spacing w:line="281" w:lineRule="exact" w:before="31"/>
        <w:ind w:left="145" w:right="0" w:firstLine="0"/>
        <w:jc w:val="left"/>
        <w:rPr>
          <w:rFonts w:ascii="Arial" w:hAnsi="Arial" w:cs="Arial" w:eastAsia="Arial" w:hint="default"/>
          <w:sz w:val="21"/>
          <w:szCs w:val="21"/>
        </w:rPr>
      </w:pP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重要提示</w:t>
      </w:r>
      <w:r>
        <w:rPr>
          <w:rFonts w:ascii="Arial" w:hAnsi="Arial" w:cs="Arial" w:eastAsia="Arial" w:hint="default"/>
          <w:sz w:val="21"/>
          <w:szCs w:val="21"/>
        </w:rPr>
        <w:tab/>
        <w:t>2</w:t>
      </w:r>
    </w:p>
    <w:p>
      <w:pPr>
        <w:tabs>
          <w:tab w:pos="8619"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二、</w:t>
      </w:r>
      <w:r>
        <w:rPr>
          <w:rFonts w:ascii="宋体" w:hAnsi="宋体" w:cs="宋体" w:eastAsia="宋体" w:hint="default"/>
          <w:spacing w:val="1"/>
          <w:sz w:val="21"/>
          <w:szCs w:val="21"/>
        </w:rPr>
        <w:t> </w:t>
      </w:r>
      <w:r>
        <w:rPr>
          <w:rFonts w:ascii="宋体" w:hAnsi="宋体" w:cs="宋体" w:eastAsia="宋体" w:hint="default"/>
          <w:sz w:val="21"/>
          <w:szCs w:val="21"/>
        </w:rPr>
        <w:t>公司基本情况</w:t>
      </w:r>
      <w:r>
        <w:rPr>
          <w:rFonts w:ascii="Arial" w:hAnsi="Arial" w:cs="Arial" w:eastAsia="Arial" w:hint="default"/>
          <w:sz w:val="21"/>
          <w:szCs w:val="21"/>
        </w:rPr>
        <w:tab/>
        <w:t>2</w:t>
      </w:r>
    </w:p>
    <w:p>
      <w:pPr>
        <w:tabs>
          <w:tab w:pos="8618"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三、</w:t>
      </w:r>
      <w:r>
        <w:rPr>
          <w:rFonts w:ascii="宋体" w:hAnsi="宋体" w:cs="宋体" w:eastAsia="宋体" w:hint="default"/>
          <w:spacing w:val="1"/>
          <w:sz w:val="21"/>
          <w:szCs w:val="21"/>
        </w:rPr>
        <w:t> </w:t>
      </w:r>
      <w:r>
        <w:rPr>
          <w:rFonts w:ascii="宋体" w:hAnsi="宋体" w:cs="宋体" w:eastAsia="宋体" w:hint="default"/>
          <w:sz w:val="21"/>
          <w:szCs w:val="21"/>
        </w:rPr>
        <w:t>会计数据和业务数据摘要</w:t>
      </w:r>
      <w:r>
        <w:rPr>
          <w:rFonts w:ascii="Arial" w:hAnsi="Arial" w:cs="Arial" w:eastAsia="Arial" w:hint="default"/>
          <w:sz w:val="21"/>
          <w:szCs w:val="21"/>
        </w:rPr>
        <w:tab/>
        <w:t>4</w:t>
      </w:r>
    </w:p>
    <w:p>
      <w:pPr>
        <w:tabs>
          <w:tab w:pos="8618"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四、</w:t>
      </w:r>
      <w:r>
        <w:rPr>
          <w:rFonts w:ascii="宋体" w:hAnsi="宋体" w:cs="宋体" w:eastAsia="宋体" w:hint="default"/>
          <w:spacing w:val="1"/>
          <w:sz w:val="21"/>
          <w:szCs w:val="21"/>
        </w:rPr>
        <w:t> </w:t>
      </w:r>
      <w:r>
        <w:rPr>
          <w:rFonts w:ascii="宋体" w:hAnsi="宋体" w:cs="宋体" w:eastAsia="宋体" w:hint="default"/>
          <w:sz w:val="21"/>
          <w:szCs w:val="21"/>
        </w:rPr>
        <w:t>股本变动及股东情况</w:t>
      </w:r>
      <w:r>
        <w:rPr>
          <w:rFonts w:ascii="Arial" w:hAnsi="Arial" w:cs="Arial" w:eastAsia="Arial" w:hint="default"/>
          <w:sz w:val="21"/>
          <w:szCs w:val="21"/>
        </w:rPr>
        <w:tab/>
        <w:t>6</w:t>
      </w:r>
    </w:p>
    <w:p>
      <w:pPr>
        <w:tabs>
          <w:tab w:pos="8616"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五、</w:t>
      </w:r>
      <w:r>
        <w:rPr>
          <w:rFonts w:ascii="宋体" w:hAnsi="宋体" w:cs="宋体" w:eastAsia="宋体" w:hint="default"/>
          <w:spacing w:val="1"/>
          <w:sz w:val="21"/>
          <w:szCs w:val="21"/>
        </w:rPr>
        <w:t> </w:t>
      </w:r>
      <w:r>
        <w:rPr>
          <w:rFonts w:ascii="宋体" w:hAnsi="宋体" w:cs="宋体" w:eastAsia="宋体" w:hint="default"/>
          <w:sz w:val="21"/>
          <w:szCs w:val="21"/>
        </w:rPr>
        <w:t>董事、监事和高级管理人员</w:t>
      </w:r>
      <w:r>
        <w:rPr>
          <w:rFonts w:ascii="Arial" w:hAnsi="Arial" w:cs="Arial" w:eastAsia="Arial" w:hint="default"/>
          <w:sz w:val="21"/>
          <w:szCs w:val="21"/>
        </w:rPr>
        <w:tab/>
        <w:t>10</w:t>
      </w:r>
    </w:p>
    <w:p>
      <w:pPr>
        <w:tabs>
          <w:tab w:pos="8616"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六、</w:t>
      </w:r>
      <w:r>
        <w:rPr>
          <w:rFonts w:ascii="宋体" w:hAnsi="宋体" w:cs="宋体" w:eastAsia="宋体" w:hint="default"/>
          <w:spacing w:val="1"/>
          <w:sz w:val="21"/>
          <w:szCs w:val="21"/>
        </w:rPr>
        <w:t> </w:t>
      </w:r>
      <w:r>
        <w:rPr>
          <w:rFonts w:ascii="宋体" w:hAnsi="宋体" w:cs="宋体" w:eastAsia="宋体" w:hint="default"/>
          <w:sz w:val="21"/>
          <w:szCs w:val="21"/>
        </w:rPr>
        <w:t>公司治理结构</w:t>
      </w:r>
      <w:r>
        <w:rPr>
          <w:rFonts w:ascii="Arial" w:hAnsi="Arial" w:cs="Arial" w:eastAsia="Arial" w:hint="default"/>
          <w:sz w:val="21"/>
          <w:szCs w:val="21"/>
        </w:rPr>
        <w:tab/>
        <w:t>18</w:t>
      </w:r>
    </w:p>
    <w:p>
      <w:pPr>
        <w:tabs>
          <w:tab w:pos="8616"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七、</w:t>
      </w:r>
      <w:r>
        <w:rPr>
          <w:rFonts w:ascii="宋体" w:hAnsi="宋体" w:cs="宋体" w:eastAsia="宋体" w:hint="default"/>
          <w:spacing w:val="1"/>
          <w:sz w:val="21"/>
          <w:szCs w:val="21"/>
        </w:rPr>
        <w:t> </w:t>
      </w:r>
      <w:r>
        <w:rPr>
          <w:rFonts w:ascii="宋体" w:hAnsi="宋体" w:cs="宋体" w:eastAsia="宋体" w:hint="default"/>
          <w:sz w:val="21"/>
          <w:szCs w:val="21"/>
        </w:rPr>
        <w:t>股东大会情况简介</w:t>
      </w:r>
      <w:r>
        <w:rPr>
          <w:rFonts w:ascii="Arial" w:hAnsi="Arial" w:cs="Arial" w:eastAsia="Arial" w:hint="default"/>
          <w:sz w:val="21"/>
          <w:szCs w:val="21"/>
        </w:rPr>
        <w:tab/>
        <w:t>27</w:t>
      </w:r>
    </w:p>
    <w:p>
      <w:pPr>
        <w:tabs>
          <w:tab w:pos="8616"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八、</w:t>
      </w:r>
      <w:r>
        <w:rPr>
          <w:rFonts w:ascii="宋体" w:hAnsi="宋体" w:cs="宋体" w:eastAsia="宋体" w:hint="default"/>
          <w:spacing w:val="1"/>
          <w:sz w:val="21"/>
          <w:szCs w:val="21"/>
        </w:rPr>
        <w:t> </w:t>
      </w:r>
      <w:r>
        <w:rPr>
          <w:rFonts w:ascii="宋体" w:hAnsi="宋体" w:cs="宋体" w:eastAsia="宋体" w:hint="default"/>
          <w:sz w:val="21"/>
          <w:szCs w:val="21"/>
        </w:rPr>
        <w:t>董事会报告</w:t>
      </w:r>
      <w:r>
        <w:rPr>
          <w:rFonts w:ascii="Arial" w:hAnsi="Arial" w:cs="Arial" w:eastAsia="Arial" w:hint="default"/>
          <w:sz w:val="21"/>
          <w:szCs w:val="21"/>
        </w:rPr>
        <w:tab/>
        <w:t>28</w:t>
      </w:r>
    </w:p>
    <w:p>
      <w:pPr>
        <w:tabs>
          <w:tab w:pos="8616"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九、</w:t>
      </w:r>
      <w:r>
        <w:rPr>
          <w:rFonts w:ascii="宋体" w:hAnsi="宋体" w:cs="宋体" w:eastAsia="宋体" w:hint="default"/>
          <w:spacing w:val="1"/>
          <w:sz w:val="21"/>
          <w:szCs w:val="21"/>
        </w:rPr>
        <w:t> </w:t>
      </w:r>
      <w:r>
        <w:rPr>
          <w:rFonts w:ascii="宋体" w:hAnsi="宋体" w:cs="宋体" w:eastAsia="宋体" w:hint="default"/>
          <w:sz w:val="21"/>
          <w:szCs w:val="21"/>
        </w:rPr>
        <w:t>监事会报告</w:t>
      </w:r>
      <w:r>
        <w:rPr>
          <w:rFonts w:ascii="Arial" w:hAnsi="Arial" w:cs="Arial" w:eastAsia="Arial" w:hint="default"/>
          <w:sz w:val="21"/>
          <w:szCs w:val="21"/>
        </w:rPr>
        <w:tab/>
        <w:t>46</w:t>
      </w:r>
    </w:p>
    <w:p>
      <w:pPr>
        <w:tabs>
          <w:tab w:pos="8616"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十、</w:t>
      </w:r>
      <w:r>
        <w:rPr>
          <w:rFonts w:ascii="宋体" w:hAnsi="宋体" w:cs="宋体" w:eastAsia="宋体" w:hint="default"/>
          <w:spacing w:val="1"/>
          <w:sz w:val="21"/>
          <w:szCs w:val="21"/>
        </w:rPr>
        <w:t> </w:t>
      </w:r>
      <w:r>
        <w:rPr>
          <w:rFonts w:ascii="宋体" w:hAnsi="宋体" w:cs="宋体" w:eastAsia="宋体" w:hint="default"/>
          <w:sz w:val="21"/>
          <w:szCs w:val="21"/>
        </w:rPr>
        <w:t>重要事项</w:t>
      </w:r>
      <w:r>
        <w:rPr>
          <w:rFonts w:ascii="Arial" w:hAnsi="Arial" w:cs="Arial" w:eastAsia="Arial" w:hint="default"/>
          <w:sz w:val="21"/>
          <w:szCs w:val="21"/>
        </w:rPr>
        <w:tab/>
        <w:t>47</w:t>
      </w:r>
    </w:p>
    <w:p>
      <w:pPr>
        <w:tabs>
          <w:tab w:pos="8616" w:val="right" w:leader="dot"/>
        </w:tabs>
        <w:spacing w:line="272"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十一、</w:t>
      </w:r>
      <w:r>
        <w:rPr>
          <w:rFonts w:ascii="宋体" w:hAnsi="宋体" w:cs="宋体" w:eastAsia="宋体" w:hint="default"/>
          <w:spacing w:val="1"/>
          <w:sz w:val="21"/>
          <w:szCs w:val="21"/>
        </w:rPr>
        <w:t> </w:t>
      </w:r>
      <w:r>
        <w:rPr>
          <w:rFonts w:ascii="宋体" w:hAnsi="宋体" w:cs="宋体" w:eastAsia="宋体" w:hint="default"/>
          <w:sz w:val="21"/>
          <w:szCs w:val="21"/>
        </w:rPr>
        <w:t>财务报告</w:t>
      </w:r>
      <w:r>
        <w:rPr>
          <w:rFonts w:ascii="Arial" w:hAnsi="Arial" w:cs="Arial" w:eastAsia="Arial" w:hint="default"/>
          <w:sz w:val="21"/>
          <w:szCs w:val="21"/>
        </w:rPr>
        <w:tab/>
        <w:t>53</w:t>
      </w:r>
    </w:p>
    <w:p>
      <w:pPr>
        <w:tabs>
          <w:tab w:pos="8617" w:val="right" w:leader="dot"/>
        </w:tabs>
        <w:spacing w:line="281" w:lineRule="exact" w:before="0"/>
        <w:ind w:left="145" w:right="0" w:firstLine="0"/>
        <w:jc w:val="left"/>
        <w:rPr>
          <w:rFonts w:ascii="Arial" w:hAnsi="Arial" w:cs="Arial" w:eastAsia="Arial" w:hint="default"/>
          <w:sz w:val="21"/>
          <w:szCs w:val="21"/>
        </w:rPr>
      </w:pPr>
      <w:r>
        <w:rPr>
          <w:rFonts w:ascii="宋体" w:hAnsi="宋体" w:cs="宋体" w:eastAsia="宋体" w:hint="default"/>
          <w:sz w:val="21"/>
          <w:szCs w:val="21"/>
        </w:rPr>
        <w:t>十二、</w:t>
      </w:r>
      <w:r>
        <w:rPr>
          <w:rFonts w:ascii="宋体" w:hAnsi="宋体" w:cs="宋体" w:eastAsia="宋体" w:hint="default"/>
          <w:spacing w:val="1"/>
          <w:sz w:val="21"/>
          <w:szCs w:val="21"/>
        </w:rPr>
        <w:t> </w:t>
      </w:r>
      <w:r>
        <w:rPr>
          <w:rFonts w:ascii="宋体" w:hAnsi="宋体" w:cs="宋体" w:eastAsia="宋体" w:hint="default"/>
          <w:sz w:val="21"/>
          <w:szCs w:val="21"/>
        </w:rPr>
        <w:t>备查文件目录</w:t>
      </w:r>
      <w:r>
        <w:rPr>
          <w:rFonts w:ascii="Arial" w:hAnsi="Arial" w:cs="Arial" w:eastAsia="Arial" w:hint="default"/>
          <w:sz w:val="21"/>
          <w:szCs w:val="21"/>
        </w:rPr>
        <w:tab/>
        <w:t>174</w:t>
      </w:r>
    </w:p>
    <w:p>
      <w:pPr>
        <w:spacing w:after="0" w:line="281" w:lineRule="exact"/>
        <w:jc w:val="left"/>
        <w:rPr>
          <w:rFonts w:ascii="Arial" w:hAnsi="Arial" w:cs="Arial" w:eastAsia="Arial" w:hint="default"/>
          <w:sz w:val="21"/>
          <w:szCs w:val="21"/>
        </w:rPr>
        <w:sectPr>
          <w:headerReference w:type="default" r:id="rId6"/>
          <w:pgSz w:w="11900" w:h="16840"/>
          <w:pgMar w:header="927" w:footer="0" w:top="1160" w:bottom="280" w:left="1340" w:right="980"/>
        </w:sectPr>
      </w:pPr>
    </w:p>
    <w:p>
      <w:pPr>
        <w:spacing w:line="240" w:lineRule="auto" w:before="7"/>
        <w:rPr>
          <w:rFonts w:ascii="Arial" w:hAnsi="Arial" w:cs="Arial" w:eastAsia="Arial" w:hint="default"/>
          <w:sz w:val="27"/>
          <w:szCs w:val="27"/>
        </w:rPr>
      </w:pPr>
    </w:p>
    <w:p>
      <w:pPr>
        <w:pStyle w:val="BodyText"/>
        <w:spacing w:line="240" w:lineRule="auto"/>
        <w:ind w:left="145" w:right="0"/>
        <w:jc w:val="left"/>
      </w:pPr>
      <w:r>
        <w:rPr/>
        <w:t>一、重要提示</w:t>
      </w:r>
    </w:p>
    <w:p>
      <w:pPr>
        <w:spacing w:line="240" w:lineRule="auto" w:before="5"/>
        <w:rPr>
          <w:rFonts w:ascii="宋体" w:hAnsi="宋体" w:cs="宋体" w:eastAsia="宋体" w:hint="default"/>
          <w:sz w:val="19"/>
          <w:szCs w:val="19"/>
        </w:rPr>
      </w:pPr>
    </w:p>
    <w:p>
      <w:pPr>
        <w:pStyle w:val="BodyText"/>
        <w:spacing w:line="237" w:lineRule="auto"/>
        <w:ind w:left="803" w:right="189" w:hanging="658"/>
        <w:jc w:val="both"/>
      </w:pPr>
      <w:r>
        <w:rPr/>
        <w:t>（一）本公司董事会、监事会及其董事、监事、高级管理人员保证本报告所载资料不存在任何虚</w:t>
      </w:r>
      <w:r>
        <w:rPr>
          <w:w w:val="99"/>
        </w:rPr>
        <w:t> </w:t>
      </w:r>
      <w:r>
        <w:rPr/>
        <w:t>假记载、误导性陈述或者重大遗漏，并对其内容的真实性、准确性和完整性负个别及连带</w:t>
      </w:r>
      <w:r>
        <w:rPr>
          <w:w w:val="99"/>
        </w:rPr>
        <w:t> </w:t>
      </w:r>
      <w:r>
        <w:rPr/>
        <w:t>责任。</w:t>
      </w:r>
    </w:p>
    <w:p>
      <w:pPr>
        <w:spacing w:line="240" w:lineRule="auto" w:before="3"/>
        <w:rPr>
          <w:rFonts w:ascii="宋体" w:hAnsi="宋体" w:cs="宋体" w:eastAsia="宋体" w:hint="default"/>
          <w:sz w:val="19"/>
          <w:szCs w:val="19"/>
        </w:rPr>
      </w:pPr>
    </w:p>
    <w:p>
      <w:pPr>
        <w:pStyle w:val="BodyText"/>
        <w:spacing w:line="240" w:lineRule="auto"/>
        <w:ind w:left="145" w:right="0"/>
        <w:jc w:val="left"/>
      </w:pPr>
      <w:r>
        <w:rPr/>
        <w:t>（二）本公司全体董事出席董事会会议。</w:t>
      </w:r>
    </w:p>
    <w:p>
      <w:pPr>
        <w:spacing w:line="240" w:lineRule="auto" w:before="1"/>
        <w:rPr>
          <w:rFonts w:ascii="宋体" w:hAnsi="宋体" w:cs="宋体" w:eastAsia="宋体" w:hint="default"/>
          <w:sz w:val="19"/>
          <w:szCs w:val="19"/>
        </w:rPr>
      </w:pPr>
    </w:p>
    <w:p>
      <w:pPr>
        <w:pStyle w:val="BodyText"/>
        <w:spacing w:line="240" w:lineRule="auto"/>
        <w:ind w:left="145" w:right="0"/>
        <w:jc w:val="left"/>
      </w:pPr>
      <w:r>
        <w:rPr/>
        <w:t>（三）普华永道中天会计师事务所有限公司为本公司出具了标准无保留意见的审计报告。</w:t>
      </w:r>
    </w:p>
    <w:p>
      <w:pPr>
        <w:spacing w:line="240" w:lineRule="auto" w:before="2"/>
        <w:rPr>
          <w:rFonts w:ascii="宋体" w:hAnsi="宋体" w:cs="宋体" w:eastAsia="宋体" w:hint="default"/>
          <w:sz w:val="19"/>
          <w:szCs w:val="19"/>
        </w:rPr>
      </w:pPr>
    </w:p>
    <w:p>
      <w:pPr>
        <w:pStyle w:val="BodyText"/>
        <w:spacing w:line="240" w:lineRule="auto"/>
        <w:ind w:left="145" w:right="0"/>
        <w:jc w:val="left"/>
      </w:pPr>
      <w:r>
        <w:rPr/>
        <w:pict>
          <v:shape style="position:absolute;margin-left:114.360001pt;margin-top:7.869381pt;width:425pt;height:45.8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52"/>
                    <w:gridCol w:w="2726"/>
                  </w:tblGrid>
                  <w:tr>
                    <w:trPr>
                      <w:trHeight w:val="301" w:hRule="exact"/>
                    </w:trPr>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0" w:right="0"/>
                          <w:jc w:val="left"/>
                          <w:rPr>
                            <w:rFonts w:ascii="宋体" w:hAnsi="宋体" w:cs="宋体" w:eastAsia="宋体" w:hint="default"/>
                            <w:sz w:val="22"/>
                            <w:szCs w:val="22"/>
                          </w:rPr>
                        </w:pPr>
                        <w:r>
                          <w:rPr>
                            <w:rFonts w:ascii="宋体" w:hAnsi="宋体" w:cs="宋体" w:eastAsia="宋体" w:hint="default"/>
                            <w:sz w:val="22"/>
                            <w:szCs w:val="22"/>
                          </w:rPr>
                          <w:t>公司负责人姓名</w:t>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r>
                  <w:tr>
                    <w:trPr>
                      <w:trHeight w:val="300" w:hRule="exact"/>
                    </w:trPr>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0" w:right="0"/>
                          <w:jc w:val="left"/>
                          <w:rPr>
                            <w:rFonts w:ascii="宋体" w:hAnsi="宋体" w:cs="宋体" w:eastAsia="宋体" w:hint="default"/>
                            <w:sz w:val="22"/>
                            <w:szCs w:val="22"/>
                          </w:rPr>
                        </w:pPr>
                        <w:r>
                          <w:rPr>
                            <w:rFonts w:ascii="宋体" w:hAnsi="宋体" w:cs="宋体" w:eastAsia="宋体" w:hint="default"/>
                            <w:sz w:val="22"/>
                            <w:szCs w:val="22"/>
                          </w:rPr>
                          <w:t>主管会计工作负责人姓名</w:t>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52" w:lineRule="exact"/>
                          <w:ind w:left="100" w:right="0"/>
                          <w:jc w:val="left"/>
                          <w:rPr>
                            <w:rFonts w:ascii="宋体" w:hAnsi="宋体" w:cs="宋体" w:eastAsia="宋体" w:hint="default"/>
                            <w:sz w:val="22"/>
                            <w:szCs w:val="22"/>
                          </w:rPr>
                        </w:pPr>
                        <w:r>
                          <w:rPr>
                            <w:rFonts w:ascii="宋体" w:hAnsi="宋体" w:cs="宋体" w:eastAsia="宋体" w:hint="default"/>
                            <w:w w:val="95"/>
                            <w:sz w:val="22"/>
                            <w:szCs w:val="22"/>
                          </w:rPr>
                          <w:t>张</w:t>
                          <w:tab/>
                        </w:r>
                        <w:r>
                          <w:rPr>
                            <w:rFonts w:ascii="宋体" w:hAnsi="宋体" w:cs="宋体" w:eastAsia="宋体" w:hint="default"/>
                            <w:sz w:val="22"/>
                            <w:szCs w:val="22"/>
                          </w:rPr>
                          <w:t>健</w:t>
                        </w:r>
                      </w:p>
                    </w:tc>
                  </w:tr>
                  <w:tr>
                    <w:trPr>
                      <w:trHeight w:val="301" w:hRule="exact"/>
                    </w:trPr>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0" w:right="0"/>
                          <w:jc w:val="left"/>
                          <w:rPr>
                            <w:rFonts w:ascii="宋体" w:hAnsi="宋体" w:cs="宋体" w:eastAsia="宋体" w:hint="default"/>
                            <w:sz w:val="22"/>
                            <w:szCs w:val="22"/>
                          </w:rPr>
                        </w:pPr>
                        <w:r>
                          <w:rPr>
                            <w:rFonts w:ascii="宋体" w:hAnsi="宋体" w:cs="宋体" w:eastAsia="宋体" w:hint="default"/>
                            <w:sz w:val="22"/>
                            <w:szCs w:val="22"/>
                          </w:rPr>
                          <w:t>会计机构负责人（会计主管人员）姓名</w:t>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李张挺</w:t>
                        </w:r>
                      </w:p>
                    </w:tc>
                  </w:tr>
                </w:tbl>
                <w:p>
                  <w:pPr/>
                </w:p>
              </w:txbxContent>
            </v:textbox>
            <w10:wrap type="none"/>
          </v:shape>
        </w:pict>
      </w:r>
      <w:r>
        <w:rPr/>
        <w:t>（四）</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86" w:lineRule="exact" w:before="173"/>
        <w:ind w:left="955" w:right="0"/>
        <w:jc w:val="left"/>
      </w:pPr>
      <w:r>
        <w:rPr>
          <w:spacing w:val="-3"/>
        </w:rPr>
        <w:t>公司负责人常小兵、主管会计工作负责人张健及会计机构负责人（会计主管人员）李张挺</w:t>
      </w:r>
      <w:r>
        <w:rPr>
          <w:spacing w:val="-90"/>
        </w:rPr>
        <w:t> </w:t>
      </w:r>
      <w:r>
        <w:rPr>
          <w:spacing w:val="-90"/>
        </w:rPr>
      </w:r>
      <w:r>
        <w:rPr/>
        <w:t>声明：保证年度报告中财务报告的真实、完整。</w:t>
      </w:r>
    </w:p>
    <w:p>
      <w:pPr>
        <w:spacing w:line="240" w:lineRule="auto" w:before="1"/>
        <w:rPr>
          <w:rFonts w:ascii="宋体" w:hAnsi="宋体" w:cs="宋体" w:eastAsia="宋体" w:hint="default"/>
          <w:sz w:val="17"/>
          <w:szCs w:val="17"/>
        </w:rPr>
      </w:pPr>
    </w:p>
    <w:p>
      <w:pPr>
        <w:pStyle w:val="BodyText"/>
        <w:spacing w:line="240" w:lineRule="auto"/>
        <w:ind w:left="145" w:right="0"/>
        <w:jc w:val="left"/>
      </w:pPr>
      <w:r>
        <w:rPr/>
        <w:t>（五）本公司不存在被控股股东及其关联方非经营性占用资金情况。</w:t>
      </w:r>
    </w:p>
    <w:p>
      <w:pPr>
        <w:spacing w:line="240" w:lineRule="auto" w:before="2"/>
        <w:rPr>
          <w:rFonts w:ascii="宋体" w:hAnsi="宋体" w:cs="宋体" w:eastAsia="宋体" w:hint="default"/>
          <w:sz w:val="19"/>
          <w:szCs w:val="19"/>
        </w:rPr>
      </w:pPr>
    </w:p>
    <w:p>
      <w:pPr>
        <w:pStyle w:val="BodyText"/>
        <w:spacing w:line="448" w:lineRule="auto"/>
        <w:ind w:left="145" w:right="3475"/>
        <w:jc w:val="left"/>
      </w:pPr>
      <w:r>
        <w:rPr/>
        <w:t>（六）本公司不存在违反规定决策程序对外提供担保的情况。</w:t>
      </w:r>
      <w:r>
        <w:rPr>
          <w:w w:val="99"/>
        </w:rPr>
        <w:t> </w:t>
      </w:r>
      <w:r>
        <w:rPr/>
        <w:t>二、公司基本情况</w:t>
      </w:r>
    </w:p>
    <w:p>
      <w:pPr>
        <w:pStyle w:val="BodyText"/>
        <w:spacing w:line="240" w:lineRule="auto" w:before="59"/>
        <w:ind w:left="145" w:right="0"/>
        <w:jc w:val="left"/>
      </w:pPr>
      <w:r>
        <w:rPr/>
        <w:t>（一）公司信息</w:t>
      </w:r>
    </w:p>
    <w:p>
      <w:pPr>
        <w:spacing w:line="240" w:lineRule="auto" w:before="11"/>
        <w:rPr>
          <w:rFonts w:ascii="宋体" w:hAnsi="宋体" w:cs="宋体" w:eastAsia="宋体" w:hint="default"/>
          <w:sz w:val="21"/>
          <w:szCs w:val="21"/>
        </w:rPr>
      </w:pPr>
    </w:p>
    <w:tbl>
      <w:tblPr>
        <w:tblW w:w="0" w:type="auto"/>
        <w:jc w:val="left"/>
        <w:tblInd w:w="130" w:type="dxa"/>
        <w:tblLayout w:type="fixed"/>
        <w:tblCellMar>
          <w:top w:w="0" w:type="dxa"/>
          <w:left w:w="0" w:type="dxa"/>
          <w:bottom w:w="0" w:type="dxa"/>
          <w:right w:w="0" w:type="dxa"/>
        </w:tblCellMar>
        <w:tblLook w:val="01E0"/>
      </w:tblPr>
      <w:tblGrid>
        <w:gridCol w:w="3679"/>
        <w:gridCol w:w="5617"/>
      </w:tblGrid>
      <w:tr>
        <w:trPr>
          <w:trHeight w:val="301" w:hRule="exact"/>
        </w:trPr>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1" w:right="0"/>
              <w:jc w:val="left"/>
              <w:rPr>
                <w:rFonts w:ascii="宋体" w:hAnsi="宋体" w:cs="宋体" w:eastAsia="宋体" w:hint="default"/>
                <w:sz w:val="22"/>
                <w:szCs w:val="22"/>
              </w:rPr>
            </w:pPr>
            <w:r>
              <w:rPr>
                <w:rFonts w:ascii="宋体" w:hAnsi="宋体" w:cs="宋体" w:eastAsia="宋体" w:hint="default"/>
                <w:sz w:val="22"/>
                <w:szCs w:val="22"/>
              </w:rPr>
              <w:t>公司的法定中文名称</w:t>
            </w:r>
          </w:p>
        </w:tc>
        <w:tc>
          <w:tcPr>
            <w:tcW w:w="561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中国联合网络通信股份有限公司</w:t>
            </w:r>
          </w:p>
        </w:tc>
      </w:tr>
      <w:tr>
        <w:trPr>
          <w:trHeight w:val="300" w:hRule="exact"/>
        </w:trPr>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91" w:right="0"/>
              <w:jc w:val="left"/>
              <w:rPr>
                <w:rFonts w:ascii="宋体" w:hAnsi="宋体" w:cs="宋体" w:eastAsia="宋体" w:hint="default"/>
                <w:sz w:val="22"/>
                <w:szCs w:val="22"/>
              </w:rPr>
            </w:pPr>
            <w:r>
              <w:rPr>
                <w:rFonts w:ascii="宋体" w:hAnsi="宋体" w:cs="宋体" w:eastAsia="宋体" w:hint="default"/>
                <w:sz w:val="22"/>
                <w:szCs w:val="22"/>
              </w:rPr>
              <w:t>公司的法定中文名称缩写</w:t>
            </w:r>
          </w:p>
        </w:tc>
        <w:tc>
          <w:tcPr>
            <w:tcW w:w="561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中国联通</w:t>
            </w:r>
          </w:p>
        </w:tc>
      </w:tr>
      <w:tr>
        <w:trPr>
          <w:trHeight w:val="300" w:hRule="exact"/>
        </w:trPr>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1" w:right="0"/>
              <w:jc w:val="left"/>
              <w:rPr>
                <w:rFonts w:ascii="宋体" w:hAnsi="宋体" w:cs="宋体" w:eastAsia="宋体" w:hint="default"/>
                <w:sz w:val="22"/>
                <w:szCs w:val="22"/>
              </w:rPr>
            </w:pPr>
            <w:r>
              <w:rPr>
                <w:rFonts w:ascii="宋体" w:hAnsi="宋体" w:cs="宋体" w:eastAsia="宋体" w:hint="default"/>
                <w:sz w:val="22"/>
                <w:szCs w:val="22"/>
              </w:rPr>
              <w:t>公司的法定英文名称</w:t>
            </w:r>
          </w:p>
        </w:tc>
        <w:tc>
          <w:tcPr>
            <w:tcW w:w="5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China United Network Communications</w:t>
            </w:r>
            <w:r>
              <w:rPr>
                <w:rFonts w:ascii="Arial"/>
                <w:spacing w:val="-9"/>
                <w:sz w:val="22"/>
              </w:rPr>
              <w:t> </w:t>
            </w:r>
            <w:r>
              <w:rPr>
                <w:rFonts w:ascii="Arial"/>
                <w:sz w:val="22"/>
              </w:rPr>
              <w:t>Limited</w:t>
            </w:r>
          </w:p>
        </w:tc>
      </w:tr>
      <w:tr>
        <w:trPr>
          <w:trHeight w:val="301" w:hRule="exact"/>
        </w:trPr>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1" w:right="0"/>
              <w:jc w:val="left"/>
              <w:rPr>
                <w:rFonts w:ascii="宋体" w:hAnsi="宋体" w:cs="宋体" w:eastAsia="宋体" w:hint="default"/>
                <w:sz w:val="22"/>
                <w:szCs w:val="22"/>
              </w:rPr>
            </w:pPr>
            <w:r>
              <w:rPr>
                <w:rFonts w:ascii="宋体" w:hAnsi="宋体" w:cs="宋体" w:eastAsia="宋体" w:hint="default"/>
                <w:sz w:val="22"/>
                <w:szCs w:val="22"/>
              </w:rPr>
              <w:t>公司的法定英文名称缩写</w:t>
            </w:r>
          </w:p>
        </w:tc>
        <w:tc>
          <w:tcPr>
            <w:tcW w:w="5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China</w:t>
            </w:r>
            <w:r>
              <w:rPr>
                <w:rFonts w:ascii="Arial"/>
                <w:spacing w:val="-4"/>
                <w:sz w:val="22"/>
              </w:rPr>
              <w:t> </w:t>
            </w:r>
            <w:r>
              <w:rPr>
                <w:rFonts w:ascii="Arial"/>
                <w:sz w:val="22"/>
              </w:rPr>
              <w:t>unicom</w:t>
            </w:r>
          </w:p>
        </w:tc>
      </w:tr>
      <w:tr>
        <w:trPr>
          <w:trHeight w:val="300" w:hRule="exact"/>
        </w:trPr>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91" w:right="0"/>
              <w:jc w:val="left"/>
              <w:rPr>
                <w:rFonts w:ascii="宋体" w:hAnsi="宋体" w:cs="宋体" w:eastAsia="宋体" w:hint="default"/>
                <w:sz w:val="22"/>
                <w:szCs w:val="22"/>
              </w:rPr>
            </w:pPr>
            <w:r>
              <w:rPr>
                <w:rFonts w:ascii="宋体" w:hAnsi="宋体" w:cs="宋体" w:eastAsia="宋体" w:hint="default"/>
                <w:sz w:val="22"/>
                <w:szCs w:val="22"/>
              </w:rPr>
              <w:t>公司法定代表人</w:t>
            </w:r>
          </w:p>
        </w:tc>
        <w:tc>
          <w:tcPr>
            <w:tcW w:w="561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r>
    </w:tbl>
    <w:p>
      <w:pPr>
        <w:spacing w:line="240" w:lineRule="auto" w:before="2"/>
        <w:rPr>
          <w:rFonts w:ascii="宋体" w:hAnsi="宋体" w:cs="宋体" w:eastAsia="宋体" w:hint="default"/>
          <w:sz w:val="14"/>
          <w:szCs w:val="14"/>
        </w:rPr>
      </w:pPr>
    </w:p>
    <w:p>
      <w:pPr>
        <w:pStyle w:val="BodyText"/>
        <w:spacing w:line="240" w:lineRule="auto" w:before="31"/>
        <w:ind w:left="145" w:right="0"/>
        <w:jc w:val="left"/>
      </w:pPr>
      <w:r>
        <w:rPr/>
        <w:t>（二）联系人和联系方式</w:t>
      </w:r>
    </w:p>
    <w:p>
      <w:pPr>
        <w:spacing w:line="240" w:lineRule="auto" w:before="3"/>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1692"/>
        <w:gridCol w:w="3713"/>
        <w:gridCol w:w="3875"/>
      </w:tblGrid>
      <w:tr>
        <w:trPr>
          <w:trHeight w:val="300" w:hRule="exact"/>
        </w:trPr>
        <w:tc>
          <w:tcPr>
            <w:tcW w:w="1692" w:type="dxa"/>
            <w:tcBorders>
              <w:top w:val="single" w:sz="6" w:space="0" w:color="000000"/>
              <w:left w:val="single" w:sz="6" w:space="0" w:color="000000"/>
              <w:bottom w:val="single" w:sz="6" w:space="0" w:color="000000"/>
              <w:right w:val="single" w:sz="6" w:space="0" w:color="000000"/>
            </w:tcBorders>
          </w:tcPr>
          <w:p>
            <w:pP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
              <w:jc w:val="center"/>
              <w:rPr>
                <w:rFonts w:ascii="宋体" w:hAnsi="宋体" w:cs="宋体" w:eastAsia="宋体" w:hint="default"/>
                <w:sz w:val="22"/>
                <w:szCs w:val="22"/>
              </w:rPr>
            </w:pPr>
            <w:r>
              <w:rPr>
                <w:rFonts w:ascii="宋体" w:hAnsi="宋体" w:cs="宋体" w:eastAsia="宋体" w:hint="default"/>
                <w:sz w:val="22"/>
                <w:szCs w:val="22"/>
              </w:rPr>
              <w:t>董事会秘书</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268" w:right="0"/>
              <w:jc w:val="left"/>
              <w:rPr>
                <w:rFonts w:ascii="宋体" w:hAnsi="宋体" w:cs="宋体" w:eastAsia="宋体" w:hint="default"/>
                <w:sz w:val="22"/>
                <w:szCs w:val="22"/>
              </w:rPr>
            </w:pPr>
            <w:r>
              <w:rPr>
                <w:rFonts w:ascii="宋体" w:hAnsi="宋体" w:cs="宋体" w:eastAsia="宋体" w:hint="default"/>
                <w:sz w:val="22"/>
                <w:szCs w:val="22"/>
              </w:rPr>
              <w:t>证券事务代表</w:t>
            </w:r>
          </w:p>
        </w:tc>
      </w:tr>
      <w:tr>
        <w:trPr>
          <w:trHeight w:val="301"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张保英</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杨九英</w:t>
            </w:r>
          </w:p>
        </w:tc>
      </w:tr>
      <w:tr>
        <w:trPr>
          <w:trHeight w:val="300"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联系地址</w:t>
            </w: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99"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99"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300"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电话</w:t>
            </w: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Arial" w:hAnsi="Arial" w:cs="Arial" w:eastAsia="Arial" w:hint="default"/>
                <w:sz w:val="22"/>
                <w:szCs w:val="22"/>
              </w:rPr>
            </w:pPr>
            <w:r>
              <w:rPr>
                <w:rFonts w:ascii="Arial"/>
                <w:sz w:val="22"/>
              </w:rPr>
              <w:t>021-52732228</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Arial" w:hAnsi="Arial" w:cs="Arial" w:eastAsia="Arial" w:hint="default"/>
                <w:sz w:val="22"/>
                <w:szCs w:val="22"/>
              </w:rPr>
            </w:pPr>
            <w:r>
              <w:rPr>
                <w:rFonts w:ascii="Arial"/>
                <w:sz w:val="22"/>
              </w:rPr>
              <w:t>021-52732228</w:t>
            </w:r>
          </w:p>
        </w:tc>
      </w:tr>
      <w:tr>
        <w:trPr>
          <w:trHeight w:val="301"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传真</w:t>
            </w: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Arial" w:hAnsi="Arial" w:cs="Arial" w:eastAsia="Arial" w:hint="default"/>
                <w:sz w:val="22"/>
                <w:szCs w:val="22"/>
              </w:rPr>
            </w:pPr>
            <w:r>
              <w:rPr>
                <w:rFonts w:ascii="Arial"/>
                <w:sz w:val="22"/>
              </w:rPr>
              <w:t>021-52732220</w:t>
            </w:r>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Arial" w:hAnsi="Arial" w:cs="Arial" w:eastAsia="Arial" w:hint="default"/>
                <w:sz w:val="22"/>
                <w:szCs w:val="22"/>
              </w:rPr>
            </w:pPr>
            <w:r>
              <w:rPr>
                <w:rFonts w:ascii="Arial"/>
                <w:sz w:val="22"/>
              </w:rPr>
              <w:t>021-52732220</w:t>
            </w:r>
          </w:p>
        </w:tc>
      </w:tr>
      <w:tr>
        <w:trPr>
          <w:trHeight w:val="300"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电子信箱</w:t>
            </w: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Arial" w:hAnsi="Arial" w:cs="Arial" w:eastAsia="Arial" w:hint="default"/>
                <w:sz w:val="22"/>
                <w:szCs w:val="22"/>
              </w:rPr>
            </w:pPr>
            <w:hyperlink r:id="rId8">
              <w:r>
                <w:rPr>
                  <w:rFonts w:ascii="Arial"/>
                  <w:sz w:val="22"/>
                </w:rPr>
                <w:t>zhangby@chinaunicom-a.com</w:t>
              </w:r>
            </w:hyperlink>
          </w:p>
        </w:tc>
        <w:tc>
          <w:tcPr>
            <w:tcW w:w="3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7" w:right="0"/>
              <w:jc w:val="left"/>
              <w:rPr>
                <w:rFonts w:ascii="Arial" w:hAnsi="Arial" w:cs="Arial" w:eastAsia="Arial" w:hint="default"/>
                <w:sz w:val="22"/>
                <w:szCs w:val="22"/>
              </w:rPr>
            </w:pPr>
            <w:hyperlink r:id="rId9">
              <w:r>
                <w:rPr>
                  <w:rFonts w:ascii="Arial"/>
                  <w:sz w:val="22"/>
                </w:rPr>
                <w:t>yangjy@chinaunicom-a.com</w:t>
              </w:r>
            </w:hyperlink>
          </w:p>
        </w:tc>
      </w:tr>
    </w:tbl>
    <w:p>
      <w:pPr>
        <w:spacing w:after="0" w:line="240" w:lineRule="auto"/>
        <w:jc w:val="left"/>
        <w:rPr>
          <w:rFonts w:ascii="Arial" w:hAnsi="Arial" w:cs="Arial" w:eastAsia="Arial" w:hint="default"/>
          <w:sz w:val="22"/>
          <w:szCs w:val="22"/>
        </w:rPr>
        <w:sectPr>
          <w:footerReference w:type="default" r:id="rId7"/>
          <w:pgSz w:w="11900" w:h="16840"/>
          <w:pgMar w:footer="752" w:header="927" w:top="1160" w:bottom="940" w:left="1340" w:right="980"/>
          <w:pgNumType w:start="2"/>
        </w:sectPr>
      </w:pPr>
    </w:p>
    <w:p>
      <w:pPr>
        <w:spacing w:line="240" w:lineRule="auto" w:before="11"/>
        <w:rPr>
          <w:rFonts w:ascii="宋体" w:hAnsi="宋体" w:cs="宋体" w:eastAsia="宋体" w:hint="default"/>
          <w:sz w:val="21"/>
          <w:szCs w:val="21"/>
        </w:rPr>
      </w:pPr>
    </w:p>
    <w:p>
      <w:pPr>
        <w:pStyle w:val="BodyText"/>
        <w:spacing w:line="240" w:lineRule="auto" w:before="31"/>
        <w:ind w:left="145" w:right="0"/>
        <w:jc w:val="left"/>
      </w:pPr>
      <w:r>
        <w:rPr/>
        <w:t>（三）基本情况简介</w:t>
      </w:r>
    </w:p>
    <w:p>
      <w:pPr>
        <w:spacing w:line="240" w:lineRule="auto" w:before="12"/>
        <w:rPr>
          <w:rFonts w:ascii="宋体" w:hAnsi="宋体" w:cs="宋体" w:eastAsia="宋体" w:hint="default"/>
          <w:sz w:val="21"/>
          <w:szCs w:val="21"/>
        </w:rPr>
      </w:pPr>
    </w:p>
    <w:tbl>
      <w:tblPr>
        <w:tblW w:w="0" w:type="auto"/>
        <w:jc w:val="left"/>
        <w:tblInd w:w="130" w:type="dxa"/>
        <w:tblLayout w:type="fixed"/>
        <w:tblCellMar>
          <w:top w:w="0" w:type="dxa"/>
          <w:left w:w="0" w:type="dxa"/>
          <w:bottom w:w="0" w:type="dxa"/>
          <w:right w:w="0" w:type="dxa"/>
        </w:tblCellMar>
        <w:tblLook w:val="01E0"/>
      </w:tblPr>
      <w:tblGrid>
        <w:gridCol w:w="3680"/>
        <w:gridCol w:w="5598"/>
      </w:tblGrid>
      <w:tr>
        <w:trPr>
          <w:trHeight w:val="300"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注册地址</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300"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注册地址的邮政编码</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200050</w:t>
            </w:r>
          </w:p>
        </w:tc>
      </w:tr>
      <w:tr>
        <w:trPr>
          <w:trHeight w:val="300"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办公地址</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301"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办公地址的邮政编码</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200050</w:t>
            </w:r>
          </w:p>
        </w:tc>
      </w:tr>
      <w:tr>
        <w:trPr>
          <w:trHeight w:val="300"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公司国际互联网网址</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10">
              <w:r>
                <w:rPr>
                  <w:rFonts w:ascii="Arial"/>
                  <w:sz w:val="22"/>
                </w:rPr>
                <w:t>www.chinaunicom-a.com</w:t>
              </w:r>
            </w:hyperlink>
          </w:p>
        </w:tc>
      </w:tr>
      <w:tr>
        <w:trPr>
          <w:trHeight w:val="301"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电子信箱</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11">
              <w:r>
                <w:rPr>
                  <w:rFonts w:ascii="Arial"/>
                  <w:sz w:val="22"/>
                </w:rPr>
                <w:t>ir@chinaunicom-a.com</w:t>
              </w:r>
            </w:hyperlink>
          </w:p>
        </w:tc>
      </w:tr>
    </w:tbl>
    <w:p>
      <w:pPr>
        <w:spacing w:line="240" w:lineRule="auto" w:before="1"/>
        <w:rPr>
          <w:rFonts w:ascii="宋体" w:hAnsi="宋体" w:cs="宋体" w:eastAsia="宋体" w:hint="default"/>
          <w:sz w:val="14"/>
          <w:szCs w:val="14"/>
        </w:rPr>
      </w:pPr>
    </w:p>
    <w:p>
      <w:pPr>
        <w:pStyle w:val="BodyText"/>
        <w:spacing w:line="240" w:lineRule="auto" w:before="31"/>
        <w:ind w:left="145" w:right="0"/>
        <w:jc w:val="left"/>
      </w:pPr>
      <w:r>
        <w:rPr/>
        <w:t>（四）信息披露及备置地点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4716"/>
        <w:gridCol w:w="4562"/>
      </w:tblGrid>
      <w:tr>
        <w:trPr>
          <w:trHeight w:val="300" w:hRule="exact"/>
        </w:trPr>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公司选定的信息披露报纸名称</w:t>
            </w:r>
          </w:p>
        </w:tc>
        <w:tc>
          <w:tcPr>
            <w:tcW w:w="456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99" w:right="0"/>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pacing w:val="9"/>
                <w:sz w:val="22"/>
                <w:szCs w:val="22"/>
              </w:rPr>
              <w:t> </w:t>
            </w:r>
            <w:r>
              <w:rPr>
                <w:rFonts w:ascii="宋体" w:hAnsi="宋体" w:cs="宋体" w:eastAsia="宋体" w:hint="default"/>
                <w:sz w:val="22"/>
                <w:szCs w:val="22"/>
              </w:rPr>
              <w:t>上海证券报</w:t>
            </w:r>
          </w:p>
        </w:tc>
      </w:tr>
      <w:tr>
        <w:trPr>
          <w:trHeight w:val="300" w:hRule="exact"/>
        </w:trPr>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登载年度报告的中国证监会指定网站的网址</w:t>
            </w:r>
          </w:p>
        </w:tc>
        <w:tc>
          <w:tcPr>
            <w:tcW w:w="4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Arial" w:hAnsi="Arial" w:cs="Arial" w:eastAsia="Arial" w:hint="default"/>
                <w:sz w:val="22"/>
                <w:szCs w:val="22"/>
              </w:rPr>
            </w:pPr>
            <w:hyperlink r:id="rId12">
              <w:r>
                <w:rPr>
                  <w:rFonts w:ascii="Arial"/>
                  <w:sz w:val="22"/>
                </w:rPr>
                <w:t>www.sse.com.cn</w:t>
              </w:r>
            </w:hyperlink>
          </w:p>
        </w:tc>
      </w:tr>
      <w:tr>
        <w:trPr>
          <w:trHeight w:val="301" w:hRule="exact"/>
        </w:trPr>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公司年度报告备置地点</w:t>
            </w:r>
          </w:p>
        </w:tc>
        <w:tc>
          <w:tcPr>
            <w:tcW w:w="456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bl>
    <w:p>
      <w:pPr>
        <w:spacing w:line="240" w:lineRule="auto" w:before="2"/>
        <w:rPr>
          <w:rFonts w:ascii="宋体" w:hAnsi="宋体" w:cs="宋体" w:eastAsia="宋体" w:hint="default"/>
          <w:sz w:val="14"/>
          <w:szCs w:val="14"/>
        </w:rPr>
      </w:pPr>
    </w:p>
    <w:p>
      <w:pPr>
        <w:pStyle w:val="BodyText"/>
        <w:spacing w:line="240" w:lineRule="auto" w:before="31"/>
        <w:ind w:left="145" w:right="0"/>
        <w:jc w:val="left"/>
      </w:pPr>
      <w:r>
        <w:rPr/>
        <w:t>（五）公司股票简况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1597"/>
        <w:gridCol w:w="2388"/>
        <w:gridCol w:w="1606"/>
        <w:gridCol w:w="1561"/>
        <w:gridCol w:w="2126"/>
      </w:tblGrid>
      <w:tr>
        <w:trPr>
          <w:trHeight w:val="300" w:hRule="exact"/>
        </w:trPr>
        <w:tc>
          <w:tcPr>
            <w:tcW w:w="9278" w:type="dxa"/>
            <w:gridSpan w:val="5"/>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公司股票简况</w:t>
            </w:r>
          </w:p>
        </w:tc>
      </w:tr>
      <w:tr>
        <w:trPr>
          <w:trHeight w:val="301"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股票种类</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415"/>
              <w:jc w:val="right"/>
              <w:rPr>
                <w:rFonts w:ascii="宋体" w:hAnsi="宋体" w:cs="宋体" w:eastAsia="宋体" w:hint="default"/>
                <w:sz w:val="22"/>
                <w:szCs w:val="22"/>
              </w:rPr>
            </w:pPr>
            <w:r>
              <w:rPr>
                <w:rFonts w:ascii="宋体" w:hAnsi="宋体" w:cs="宋体" w:eastAsia="宋体" w:hint="default"/>
                <w:w w:val="95"/>
                <w:sz w:val="22"/>
                <w:szCs w:val="22"/>
              </w:rPr>
              <w:t>股票上市交易所</w:t>
            </w:r>
            <w:r>
              <w:rPr>
                <w:rFonts w:ascii="宋体" w:hAnsi="宋体" w:cs="宋体" w:eastAsia="宋体" w:hint="default"/>
                <w:sz w:val="22"/>
                <w:szCs w:val="22"/>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355"/>
              <w:jc w:val="right"/>
              <w:rPr>
                <w:rFonts w:ascii="宋体" w:hAnsi="宋体" w:cs="宋体" w:eastAsia="宋体" w:hint="default"/>
                <w:sz w:val="22"/>
                <w:szCs w:val="22"/>
              </w:rPr>
            </w:pPr>
            <w:r>
              <w:rPr>
                <w:rFonts w:ascii="宋体" w:hAnsi="宋体" w:cs="宋体" w:eastAsia="宋体" w:hint="default"/>
                <w:w w:val="95"/>
                <w:sz w:val="22"/>
                <w:szCs w:val="22"/>
              </w:rPr>
              <w:t>股票简称</w:t>
            </w:r>
            <w:r>
              <w:rPr>
                <w:rFonts w:ascii="宋体" w:hAnsi="宋体" w:cs="宋体" w:eastAsia="宋体" w:hint="default"/>
                <w:sz w:val="22"/>
                <w:szCs w:val="22"/>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32" w:right="0"/>
              <w:jc w:val="left"/>
              <w:rPr>
                <w:rFonts w:ascii="宋体" w:hAnsi="宋体" w:cs="宋体" w:eastAsia="宋体" w:hint="default"/>
                <w:sz w:val="22"/>
                <w:szCs w:val="22"/>
              </w:rPr>
            </w:pPr>
            <w:r>
              <w:rPr>
                <w:rFonts w:ascii="宋体" w:hAnsi="宋体" w:cs="宋体" w:eastAsia="宋体" w:hint="default"/>
                <w:sz w:val="22"/>
                <w:szCs w:val="22"/>
              </w:rPr>
              <w:t>股票代码</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变更前股票简称</w:t>
            </w:r>
          </w:p>
        </w:tc>
      </w:tr>
      <w:tr>
        <w:trPr>
          <w:trHeight w:val="30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2"/>
                <w:szCs w:val="22"/>
              </w:rPr>
            </w:pPr>
            <w:r>
              <w:rPr>
                <w:rFonts w:ascii="Arial" w:hAnsi="Arial" w:cs="Arial" w:eastAsia="Arial" w:hint="default"/>
                <w:sz w:val="22"/>
                <w:szCs w:val="22"/>
              </w:rPr>
              <w:t>A</w:t>
            </w:r>
            <w:r>
              <w:rPr>
                <w:rFonts w:ascii="Arial" w:hAnsi="Arial" w:cs="Arial" w:eastAsia="Arial" w:hint="default"/>
                <w:spacing w:val="-7"/>
                <w:sz w:val="22"/>
                <w:szCs w:val="22"/>
              </w:rPr>
              <w:t> </w:t>
            </w:r>
            <w:r>
              <w:rPr>
                <w:rFonts w:ascii="宋体" w:hAnsi="宋体" w:cs="宋体" w:eastAsia="宋体" w:hint="default"/>
                <w:sz w:val="22"/>
                <w:szCs w:val="22"/>
              </w:rPr>
              <w:t>股</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415"/>
              <w:jc w:val="right"/>
              <w:rPr>
                <w:rFonts w:ascii="宋体" w:hAnsi="宋体" w:cs="宋体" w:eastAsia="宋体" w:hint="default"/>
                <w:sz w:val="22"/>
                <w:szCs w:val="22"/>
              </w:rPr>
            </w:pPr>
            <w:r>
              <w:rPr>
                <w:rFonts w:ascii="宋体" w:hAnsi="宋体" w:cs="宋体" w:eastAsia="宋体" w:hint="default"/>
                <w:w w:val="95"/>
                <w:sz w:val="22"/>
                <w:szCs w:val="22"/>
              </w:rPr>
              <w:t>上海证券交易所</w:t>
            </w:r>
            <w:r>
              <w:rPr>
                <w:rFonts w:ascii="宋体" w:hAnsi="宋体" w:cs="宋体" w:eastAsia="宋体" w:hint="default"/>
                <w:sz w:val="22"/>
                <w:szCs w:val="22"/>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355"/>
              <w:jc w:val="right"/>
              <w:rPr>
                <w:rFonts w:ascii="宋体" w:hAnsi="宋体" w:cs="宋体" w:eastAsia="宋体" w:hint="default"/>
                <w:sz w:val="22"/>
                <w:szCs w:val="22"/>
              </w:rPr>
            </w:pPr>
            <w:r>
              <w:rPr>
                <w:rFonts w:ascii="宋体" w:hAnsi="宋体" w:cs="宋体" w:eastAsia="宋体" w:hint="default"/>
                <w:w w:val="95"/>
                <w:sz w:val="22"/>
                <w:szCs w:val="22"/>
              </w:rPr>
              <w:t>中国联通</w:t>
            </w:r>
            <w:r>
              <w:rPr>
                <w:rFonts w:ascii="宋体" w:hAnsi="宋体" w:cs="宋体" w:eastAsia="宋体" w:hint="default"/>
                <w:sz w:val="22"/>
                <w:szCs w:val="22"/>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04" w:right="0"/>
              <w:jc w:val="left"/>
              <w:rPr>
                <w:rFonts w:ascii="Arial" w:hAnsi="Arial" w:cs="Arial" w:eastAsia="Arial" w:hint="default"/>
                <w:sz w:val="22"/>
                <w:szCs w:val="22"/>
              </w:rPr>
            </w:pPr>
            <w:r>
              <w:rPr>
                <w:rFonts w:ascii="Arial"/>
                <w:sz w:val="22"/>
              </w:rPr>
              <w:t>600050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不适用</w:t>
            </w:r>
          </w:p>
        </w:tc>
      </w:tr>
    </w:tbl>
    <w:p>
      <w:pPr>
        <w:spacing w:line="240" w:lineRule="auto" w:before="2"/>
        <w:rPr>
          <w:rFonts w:ascii="宋体" w:hAnsi="宋体" w:cs="宋体" w:eastAsia="宋体" w:hint="default"/>
          <w:sz w:val="14"/>
          <w:szCs w:val="14"/>
        </w:rPr>
      </w:pPr>
    </w:p>
    <w:p>
      <w:pPr>
        <w:pStyle w:val="BodyText"/>
        <w:spacing w:line="240" w:lineRule="auto" w:before="31"/>
        <w:ind w:left="145" w:right="0"/>
        <w:jc w:val="left"/>
      </w:pPr>
      <w:r>
        <w:rPr/>
        <w:t>（六）其他有关资料</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1759"/>
        <w:gridCol w:w="3108"/>
        <w:gridCol w:w="4411"/>
      </w:tblGrid>
      <w:tr>
        <w:trPr>
          <w:trHeight w:val="300" w:hRule="exact"/>
        </w:trPr>
        <w:tc>
          <w:tcPr>
            <w:tcW w:w="92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其它有关资料</w:t>
            </w:r>
          </w:p>
        </w:tc>
      </w:tr>
      <w:tr>
        <w:trPr>
          <w:trHeight w:val="300" w:hRule="exact"/>
        </w:trPr>
        <w:tc>
          <w:tcPr>
            <w:tcW w:w="4867" w:type="dxa"/>
            <w:gridSpan w:val="2"/>
            <w:tcBorders>
              <w:top w:val="single" w:sz="6" w:space="0" w:color="000000"/>
              <w:left w:val="single" w:sz="6" w:space="0" w:color="000000"/>
              <w:bottom w:val="single" w:sz="6"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公司首次注册登记日期</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67" w:lineRule="exact"/>
              <w:ind w:left="103" w:right="0"/>
              <w:jc w:val="left"/>
              <w:rPr>
                <w:rFonts w:ascii="宋体" w:hAnsi="宋体" w:cs="宋体" w:eastAsia="宋体" w:hint="default"/>
                <w:sz w:val="22"/>
                <w:szCs w:val="22"/>
              </w:rPr>
            </w:pPr>
            <w:r>
              <w:rPr>
                <w:rFonts w:ascii="Arial" w:hAnsi="Arial" w:cs="Arial" w:eastAsia="Arial" w:hint="default"/>
                <w:sz w:val="22"/>
                <w:szCs w:val="22"/>
              </w:rPr>
              <w:t>2001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0" w:hRule="exact"/>
        </w:trPr>
        <w:tc>
          <w:tcPr>
            <w:tcW w:w="4867" w:type="dxa"/>
            <w:gridSpan w:val="2"/>
            <w:tcBorders>
              <w:top w:val="single" w:sz="6" w:space="0" w:color="000000"/>
              <w:left w:val="single" w:sz="6" w:space="0" w:color="000000"/>
              <w:bottom w:val="single" w:sz="6" w:space="0" w:color="000000"/>
              <w:right w:val="single" w:sz="4"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公司首次注册登记地点</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中国北京市</w:t>
            </w:r>
          </w:p>
        </w:tc>
      </w:tr>
      <w:tr>
        <w:trPr>
          <w:trHeight w:val="301" w:hRule="exact"/>
        </w:trPr>
        <w:tc>
          <w:tcPr>
            <w:tcW w:w="175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首次变更</w:t>
            </w: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公司变更注册登记日期</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69" w:lineRule="exact"/>
              <w:ind w:left="103" w:right="0"/>
              <w:jc w:val="left"/>
              <w:rPr>
                <w:rFonts w:ascii="宋体" w:hAnsi="宋体" w:cs="宋体" w:eastAsia="宋体" w:hint="default"/>
                <w:sz w:val="22"/>
                <w:szCs w:val="22"/>
              </w:rPr>
            </w:pPr>
            <w:r>
              <w:rPr>
                <w:rFonts w:ascii="Arial" w:hAnsi="Arial" w:cs="Arial" w:eastAsia="Arial" w:hint="default"/>
                <w:sz w:val="22"/>
                <w:szCs w:val="22"/>
              </w:rPr>
              <w:t>2007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7</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4</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0" w:hRule="exact"/>
        </w:trPr>
        <w:tc>
          <w:tcPr>
            <w:tcW w:w="1759" w:type="dxa"/>
            <w:vMerge/>
            <w:tcBorders>
              <w:left w:val="single" w:sz="6" w:space="0" w:color="000000"/>
              <w:right w:val="single" w:sz="4" w:space="0" w:color="000000"/>
            </w:tcBorders>
          </w:tcPr>
          <w:p>
            <w:pP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公司变更注册登记地点</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中国上海市</w:t>
            </w:r>
          </w:p>
        </w:tc>
      </w:tr>
      <w:tr>
        <w:trPr>
          <w:trHeight w:val="300" w:hRule="exact"/>
        </w:trPr>
        <w:tc>
          <w:tcPr>
            <w:tcW w:w="1759" w:type="dxa"/>
            <w:vMerge/>
            <w:tcBorders>
              <w:left w:val="single" w:sz="6" w:space="0" w:color="000000"/>
              <w:right w:val="single" w:sz="4" w:space="0" w:color="000000"/>
            </w:tcBorders>
          </w:tcPr>
          <w:p>
            <w:pP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企业法人营业执照注册号</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1" w:lineRule="exact"/>
              <w:ind w:left="103" w:right="0"/>
              <w:jc w:val="left"/>
              <w:rPr>
                <w:rFonts w:ascii="Arial" w:hAnsi="Arial" w:cs="Arial" w:eastAsia="Arial" w:hint="default"/>
                <w:sz w:val="22"/>
                <w:szCs w:val="22"/>
              </w:rPr>
            </w:pPr>
            <w:r>
              <w:rPr>
                <w:rFonts w:ascii="Arial"/>
                <w:sz w:val="22"/>
              </w:rPr>
              <w:t>310000000082463</w:t>
            </w:r>
          </w:p>
        </w:tc>
      </w:tr>
      <w:tr>
        <w:trPr>
          <w:trHeight w:val="300" w:hRule="exact"/>
        </w:trPr>
        <w:tc>
          <w:tcPr>
            <w:tcW w:w="1759" w:type="dxa"/>
            <w:vMerge/>
            <w:tcBorders>
              <w:left w:val="single" w:sz="6" w:space="0" w:color="000000"/>
              <w:right w:val="single" w:sz="4" w:space="0" w:color="000000"/>
            </w:tcBorders>
          </w:tcPr>
          <w:p>
            <w:pP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税务登记号码</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Arial" w:hAnsi="Arial" w:cs="Arial" w:eastAsia="Arial" w:hint="default"/>
                <w:sz w:val="22"/>
                <w:szCs w:val="22"/>
              </w:rPr>
            </w:pPr>
            <w:r>
              <w:rPr>
                <w:rFonts w:ascii="Arial"/>
                <w:sz w:val="22"/>
              </w:rPr>
              <w:t>310046710929383</w:t>
            </w:r>
          </w:p>
        </w:tc>
      </w:tr>
      <w:tr>
        <w:trPr>
          <w:trHeight w:val="301" w:hRule="exact"/>
        </w:trPr>
        <w:tc>
          <w:tcPr>
            <w:tcW w:w="1759" w:type="dxa"/>
            <w:vMerge/>
            <w:tcBorders>
              <w:left w:val="single" w:sz="6" w:space="0" w:color="000000"/>
              <w:bottom w:val="single" w:sz="6" w:space="0" w:color="000000"/>
              <w:right w:val="single" w:sz="4" w:space="0" w:color="000000"/>
            </w:tcBorders>
          </w:tcPr>
          <w:p>
            <w:pP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组织机构代码</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Arial" w:hAnsi="Arial" w:cs="Arial" w:eastAsia="Arial" w:hint="default"/>
                <w:sz w:val="22"/>
                <w:szCs w:val="22"/>
              </w:rPr>
            </w:pPr>
            <w:r>
              <w:rPr>
                <w:rFonts w:ascii="Arial"/>
                <w:sz w:val="22"/>
              </w:rPr>
              <w:t>710929383</w:t>
            </w:r>
          </w:p>
        </w:tc>
      </w:tr>
      <w:tr>
        <w:trPr>
          <w:trHeight w:val="300" w:hRule="exact"/>
        </w:trPr>
        <w:tc>
          <w:tcPr>
            <w:tcW w:w="175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最近变更</w:t>
            </w: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公司变更注册登记日期</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67" w:lineRule="exact"/>
              <w:ind w:left="103"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8</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7</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0" w:hRule="exact"/>
        </w:trPr>
        <w:tc>
          <w:tcPr>
            <w:tcW w:w="1759" w:type="dxa"/>
            <w:vMerge/>
            <w:tcBorders>
              <w:left w:val="single" w:sz="6" w:space="0" w:color="000000"/>
              <w:right w:val="single" w:sz="4" w:space="0" w:color="000000"/>
            </w:tcBorders>
          </w:tcPr>
          <w:p>
            <w:pP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公司变更注册登记地点</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中国上海市</w:t>
            </w:r>
          </w:p>
        </w:tc>
      </w:tr>
      <w:tr>
        <w:trPr>
          <w:trHeight w:val="300" w:hRule="exact"/>
        </w:trPr>
        <w:tc>
          <w:tcPr>
            <w:tcW w:w="1759" w:type="dxa"/>
            <w:vMerge/>
            <w:tcBorders>
              <w:left w:val="single" w:sz="6" w:space="0" w:color="000000"/>
              <w:right w:val="single" w:sz="4" w:space="0" w:color="000000"/>
            </w:tcBorders>
          </w:tcPr>
          <w:p>
            <w:pP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企业法人营业执照注册号</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Arial" w:hAnsi="Arial" w:cs="Arial" w:eastAsia="Arial" w:hint="default"/>
                <w:sz w:val="22"/>
                <w:szCs w:val="22"/>
              </w:rPr>
            </w:pPr>
            <w:r>
              <w:rPr>
                <w:rFonts w:ascii="Arial"/>
                <w:sz w:val="22"/>
              </w:rPr>
              <w:t>310000000082463</w:t>
            </w:r>
          </w:p>
        </w:tc>
      </w:tr>
      <w:tr>
        <w:trPr>
          <w:trHeight w:val="301" w:hRule="exact"/>
        </w:trPr>
        <w:tc>
          <w:tcPr>
            <w:tcW w:w="1759" w:type="dxa"/>
            <w:vMerge/>
            <w:tcBorders>
              <w:left w:val="single" w:sz="6" w:space="0" w:color="000000"/>
              <w:right w:val="single" w:sz="4" w:space="0" w:color="000000"/>
            </w:tcBorders>
          </w:tcPr>
          <w:p>
            <w:pP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税务登记号码</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Arial" w:hAnsi="Arial" w:cs="Arial" w:eastAsia="Arial" w:hint="default"/>
                <w:sz w:val="22"/>
                <w:szCs w:val="22"/>
              </w:rPr>
            </w:pPr>
            <w:r>
              <w:rPr>
                <w:rFonts w:ascii="Arial"/>
                <w:sz w:val="22"/>
              </w:rPr>
              <w:t>310105710929383</w:t>
            </w:r>
          </w:p>
        </w:tc>
      </w:tr>
      <w:tr>
        <w:trPr>
          <w:trHeight w:val="300" w:hRule="exact"/>
        </w:trPr>
        <w:tc>
          <w:tcPr>
            <w:tcW w:w="1759" w:type="dxa"/>
            <w:vMerge/>
            <w:tcBorders>
              <w:left w:val="single" w:sz="6" w:space="0" w:color="000000"/>
              <w:bottom w:val="single" w:sz="6" w:space="0" w:color="000000"/>
              <w:right w:val="single" w:sz="4" w:space="0" w:color="000000"/>
            </w:tcBorders>
          </w:tcPr>
          <w:p>
            <w:pPr/>
          </w:p>
        </w:tc>
        <w:tc>
          <w:tcPr>
            <w:tcW w:w="3108" w:type="dxa"/>
            <w:tcBorders>
              <w:top w:val="single" w:sz="6" w:space="0" w:color="000000"/>
              <w:left w:val="single" w:sz="4" w:space="0" w:color="000000"/>
              <w:bottom w:val="single" w:sz="6"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组织机构代码</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1" w:lineRule="exact"/>
              <w:ind w:left="103" w:right="0"/>
              <w:jc w:val="left"/>
              <w:rPr>
                <w:rFonts w:ascii="Arial" w:hAnsi="Arial" w:cs="Arial" w:eastAsia="Arial" w:hint="default"/>
                <w:sz w:val="22"/>
                <w:szCs w:val="22"/>
              </w:rPr>
            </w:pPr>
            <w:r>
              <w:rPr>
                <w:rFonts w:ascii="Arial"/>
                <w:sz w:val="22"/>
              </w:rPr>
              <w:t>710929383</w:t>
            </w:r>
          </w:p>
        </w:tc>
      </w:tr>
      <w:tr>
        <w:trPr>
          <w:trHeight w:val="300" w:hRule="exact"/>
        </w:trPr>
        <w:tc>
          <w:tcPr>
            <w:tcW w:w="4867" w:type="dxa"/>
            <w:gridSpan w:val="2"/>
            <w:tcBorders>
              <w:top w:val="single" w:sz="6" w:space="0" w:color="000000"/>
              <w:left w:val="single" w:sz="6" w:space="0" w:color="000000"/>
              <w:bottom w:val="single" w:sz="6"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公司聘请的会计师事务所名称</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普华永道中天会计师事务所有限公司</w:t>
            </w:r>
          </w:p>
        </w:tc>
      </w:tr>
      <w:tr>
        <w:trPr>
          <w:trHeight w:val="300" w:hRule="exact"/>
        </w:trPr>
        <w:tc>
          <w:tcPr>
            <w:tcW w:w="4867" w:type="dxa"/>
            <w:gridSpan w:val="2"/>
            <w:tcBorders>
              <w:top w:val="single" w:sz="6" w:space="0" w:color="000000"/>
              <w:left w:val="single" w:sz="6" w:space="0" w:color="000000"/>
              <w:bottom w:val="single" w:sz="6" w:space="0" w:color="000000"/>
              <w:right w:val="single" w:sz="4"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公司聘请的会计师事务所办公地址</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上海市湖滨路</w:t>
            </w:r>
            <w:r>
              <w:rPr>
                <w:rFonts w:ascii="宋体" w:hAnsi="宋体" w:cs="宋体" w:eastAsia="宋体" w:hint="default"/>
                <w:spacing w:val="-56"/>
                <w:sz w:val="22"/>
                <w:szCs w:val="22"/>
              </w:rPr>
              <w:t> </w:t>
            </w:r>
            <w:r>
              <w:rPr>
                <w:rFonts w:ascii="Arial" w:hAnsi="Arial" w:cs="Arial" w:eastAsia="Arial" w:hint="default"/>
                <w:sz w:val="22"/>
                <w:szCs w:val="22"/>
              </w:rPr>
              <w:t>202</w:t>
            </w:r>
            <w:r>
              <w:rPr>
                <w:rFonts w:ascii="Arial" w:hAnsi="Arial" w:cs="Arial" w:eastAsia="Arial" w:hint="default"/>
                <w:spacing w:val="-7"/>
                <w:sz w:val="22"/>
                <w:szCs w:val="22"/>
              </w:rPr>
              <w:t> </w:t>
            </w:r>
            <w:r>
              <w:rPr>
                <w:rFonts w:ascii="宋体" w:hAnsi="宋体" w:cs="宋体" w:eastAsia="宋体" w:hint="default"/>
                <w:sz w:val="22"/>
                <w:szCs w:val="22"/>
              </w:rPr>
              <w:t>号普华永道中心</w:t>
            </w:r>
            <w:r>
              <w:rPr>
                <w:rFonts w:ascii="宋体" w:hAnsi="宋体" w:cs="宋体" w:eastAsia="宋体" w:hint="default"/>
                <w:spacing w:val="-55"/>
                <w:sz w:val="22"/>
                <w:szCs w:val="22"/>
              </w:rPr>
              <w:t> </w:t>
            </w:r>
            <w:r>
              <w:rPr>
                <w:rFonts w:ascii="Arial" w:hAnsi="Arial" w:cs="Arial" w:eastAsia="Arial" w:hint="default"/>
                <w:sz w:val="22"/>
                <w:szCs w:val="22"/>
              </w:rPr>
              <w:t>11</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587" w:hRule="exact"/>
        </w:trPr>
        <w:tc>
          <w:tcPr>
            <w:tcW w:w="4867"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22"/>
                <w:szCs w:val="22"/>
              </w:rPr>
            </w:pPr>
            <w:r>
              <w:rPr>
                <w:rFonts w:ascii="宋体" w:hAnsi="宋体" w:cs="宋体" w:eastAsia="宋体" w:hint="default"/>
                <w:sz w:val="22"/>
                <w:szCs w:val="22"/>
              </w:rPr>
              <w:t>公司其他基本情况</w:t>
            </w:r>
          </w:p>
        </w:tc>
        <w:tc>
          <w:tcPr>
            <w:tcW w:w="441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8</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7</w:t>
            </w:r>
            <w:r>
              <w:rPr>
                <w:rFonts w:ascii="Arial" w:hAnsi="Arial" w:cs="Arial" w:eastAsia="Arial" w:hint="default"/>
                <w:spacing w:val="-7"/>
                <w:sz w:val="22"/>
                <w:szCs w:val="22"/>
              </w:rPr>
              <w:t> </w:t>
            </w:r>
            <w:r>
              <w:rPr>
                <w:rFonts w:ascii="宋体" w:hAnsi="宋体" w:cs="宋体" w:eastAsia="宋体" w:hint="default"/>
                <w:sz w:val="22"/>
                <w:szCs w:val="22"/>
              </w:rPr>
              <w:t>日，公司名称变更为中国联</w:t>
            </w:r>
          </w:p>
          <w:p>
            <w:pPr>
              <w:pStyle w:val="TableParagraph"/>
              <w:spacing w:line="279" w:lineRule="exact"/>
              <w:ind w:left="110" w:right="0"/>
              <w:jc w:val="left"/>
              <w:rPr>
                <w:rFonts w:ascii="宋体" w:hAnsi="宋体" w:cs="宋体" w:eastAsia="宋体" w:hint="default"/>
                <w:sz w:val="22"/>
                <w:szCs w:val="22"/>
              </w:rPr>
            </w:pPr>
            <w:r>
              <w:rPr>
                <w:rFonts w:ascii="宋体" w:hAnsi="宋体" w:cs="宋体" w:eastAsia="宋体" w:hint="default"/>
                <w:sz w:val="22"/>
                <w:szCs w:val="22"/>
              </w:rPr>
              <w:t>合网络通信股份有限公司。</w:t>
            </w:r>
          </w:p>
        </w:tc>
      </w:tr>
    </w:tbl>
    <w:p>
      <w:pPr>
        <w:spacing w:after="0" w:line="279" w:lineRule="exact"/>
        <w:jc w:val="left"/>
        <w:rPr>
          <w:rFonts w:ascii="宋体" w:hAnsi="宋体" w:cs="宋体" w:eastAsia="宋体" w:hint="default"/>
          <w:sz w:val="22"/>
          <w:szCs w:val="22"/>
        </w:rPr>
        <w:sectPr>
          <w:pgSz w:w="11900" w:h="16840"/>
          <w:pgMar w:header="927" w:footer="752" w:top="1160" w:bottom="940" w:left="1340" w:right="980"/>
        </w:sectPr>
      </w:pPr>
    </w:p>
    <w:p>
      <w:pPr>
        <w:spacing w:line="240" w:lineRule="auto" w:before="11"/>
        <w:rPr>
          <w:rFonts w:ascii="宋体" w:hAnsi="宋体" w:cs="宋体" w:eastAsia="宋体" w:hint="default"/>
          <w:sz w:val="21"/>
          <w:szCs w:val="21"/>
        </w:rPr>
      </w:pPr>
    </w:p>
    <w:p>
      <w:pPr>
        <w:pStyle w:val="BodyText"/>
        <w:spacing w:line="240" w:lineRule="auto" w:before="31"/>
        <w:ind w:left="145" w:right="91"/>
        <w:jc w:val="left"/>
      </w:pPr>
      <w:r>
        <w:rPr/>
        <w:t>三、会计数据和业务数据摘要</w:t>
      </w:r>
    </w:p>
    <w:p>
      <w:pPr>
        <w:spacing w:line="240" w:lineRule="auto" w:before="10"/>
        <w:rPr>
          <w:rFonts w:ascii="宋体" w:hAnsi="宋体" w:cs="宋体" w:eastAsia="宋体" w:hint="default"/>
          <w:sz w:val="16"/>
          <w:szCs w:val="16"/>
        </w:rPr>
      </w:pPr>
    </w:p>
    <w:p>
      <w:pPr>
        <w:pStyle w:val="BodyText"/>
        <w:spacing w:line="286" w:lineRule="exact" w:before="31"/>
        <w:ind w:left="145" w:right="91"/>
        <w:jc w:val="left"/>
      </w:pPr>
      <w:r>
        <w:rPr/>
        <w:t>（一）主要会计数据</w:t>
      </w:r>
    </w:p>
    <w:p>
      <w:pPr>
        <w:pStyle w:val="BodyText"/>
        <w:spacing w:line="286" w:lineRule="exact"/>
        <w:ind w:left="0" w:right="214"/>
        <w:jc w:val="right"/>
      </w:pPr>
      <w:r>
        <w:rPr/>
        <w:t>单位：千元</w:t>
      </w:r>
      <w:r>
        <w:rPr>
          <w:spacing w:val="-2"/>
        </w:rPr>
        <w:t> </w:t>
      </w:r>
      <w:r>
        <w:rPr/>
        <w:t>币种：人民币</w:t>
      </w:r>
    </w:p>
    <w:p>
      <w:pPr>
        <w:spacing w:line="240" w:lineRule="auto" w:before="8"/>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5525"/>
        <w:gridCol w:w="3817"/>
      </w:tblGrid>
      <w:tr>
        <w:trPr>
          <w:trHeight w:val="331" w:hRule="exact"/>
        </w:trPr>
        <w:tc>
          <w:tcPr>
            <w:tcW w:w="552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81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2"/>
                <w:szCs w:val="22"/>
              </w:rPr>
            </w:pPr>
            <w:r>
              <w:rPr>
                <w:rFonts w:ascii="宋体" w:hAnsi="宋体" w:cs="宋体" w:eastAsia="宋体" w:hint="default"/>
                <w:sz w:val="22"/>
                <w:szCs w:val="22"/>
              </w:rPr>
              <w:t>金额</w:t>
            </w:r>
          </w:p>
        </w:tc>
      </w:tr>
      <w:tr>
        <w:trPr>
          <w:trHeight w:val="300" w:hRule="exact"/>
        </w:trPr>
        <w:tc>
          <w:tcPr>
            <w:tcW w:w="552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营业利润</w:t>
            </w:r>
          </w:p>
        </w:tc>
        <w:tc>
          <w:tcPr>
            <w:tcW w:w="3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4,654,376</w:t>
            </w:r>
            <w:r>
              <w:rPr>
                <w:rFonts w:ascii="Arial"/>
                <w:sz w:val="22"/>
              </w:rPr>
            </w:r>
          </w:p>
        </w:tc>
      </w:tr>
      <w:tr>
        <w:trPr>
          <w:trHeight w:val="300" w:hRule="exact"/>
        </w:trPr>
        <w:tc>
          <w:tcPr>
            <w:tcW w:w="552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3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5,664,041</w:t>
            </w:r>
            <w:r>
              <w:rPr>
                <w:rFonts w:ascii="Arial"/>
                <w:sz w:val="22"/>
              </w:rPr>
            </w:r>
          </w:p>
        </w:tc>
      </w:tr>
      <w:tr>
        <w:trPr>
          <w:trHeight w:val="301" w:hRule="exact"/>
        </w:trPr>
        <w:tc>
          <w:tcPr>
            <w:tcW w:w="552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3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1,412,246</w:t>
            </w:r>
            <w:r>
              <w:rPr>
                <w:rFonts w:ascii="Arial"/>
                <w:sz w:val="22"/>
              </w:rPr>
            </w:r>
          </w:p>
        </w:tc>
      </w:tr>
      <w:tr>
        <w:trPr>
          <w:trHeight w:val="300" w:hRule="exact"/>
        </w:trPr>
        <w:tc>
          <w:tcPr>
            <w:tcW w:w="552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归属于上市公司股东的扣除非经常性损益后的净利润</w:t>
            </w:r>
          </w:p>
        </w:tc>
        <w:tc>
          <w:tcPr>
            <w:tcW w:w="3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1,156,726</w:t>
            </w:r>
            <w:r>
              <w:rPr>
                <w:rFonts w:ascii="Arial"/>
                <w:sz w:val="22"/>
              </w:rPr>
            </w:r>
          </w:p>
        </w:tc>
      </w:tr>
      <w:tr>
        <w:trPr>
          <w:trHeight w:val="301" w:hRule="exact"/>
        </w:trPr>
        <w:tc>
          <w:tcPr>
            <w:tcW w:w="552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3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69,452,863</w:t>
            </w:r>
            <w:r>
              <w:rPr>
                <w:rFonts w:ascii="Arial"/>
                <w:sz w:val="22"/>
              </w:rPr>
            </w:r>
          </w:p>
        </w:tc>
      </w:tr>
    </w:tbl>
    <w:p>
      <w:pPr>
        <w:spacing w:line="240" w:lineRule="auto" w:before="2"/>
        <w:rPr>
          <w:rFonts w:ascii="宋体" w:hAnsi="宋体" w:cs="宋体" w:eastAsia="宋体" w:hint="default"/>
          <w:sz w:val="14"/>
          <w:szCs w:val="14"/>
        </w:rPr>
      </w:pPr>
    </w:p>
    <w:p>
      <w:pPr>
        <w:pStyle w:val="BodyText"/>
        <w:spacing w:line="286" w:lineRule="exact" w:before="31"/>
        <w:ind w:left="145" w:right="91"/>
        <w:jc w:val="left"/>
      </w:pPr>
      <w:r>
        <w:rPr/>
        <w:t>（二）非经常性损益项目和金额</w:t>
      </w:r>
    </w:p>
    <w:p>
      <w:pPr>
        <w:pStyle w:val="BodyText"/>
        <w:spacing w:line="286" w:lineRule="exact"/>
        <w:ind w:left="0" w:right="214"/>
        <w:jc w:val="right"/>
      </w:pPr>
      <w:r>
        <w:rPr/>
        <w:t>单位：千元</w:t>
      </w:r>
      <w:r>
        <w:rPr>
          <w:spacing w:val="-2"/>
        </w:rPr>
        <w:t> </w:t>
      </w:r>
      <w:r>
        <w:rPr/>
        <w:t>币种：人民币</w:t>
      </w:r>
    </w:p>
    <w:p>
      <w:pPr>
        <w:spacing w:line="240" w:lineRule="auto" w:before="4"/>
        <w:rPr>
          <w:rFonts w:ascii="宋体" w:hAnsi="宋体" w:cs="宋体" w:eastAsia="宋体" w:hint="default"/>
          <w:sz w:val="20"/>
          <w:szCs w:val="20"/>
        </w:rPr>
      </w:pPr>
    </w:p>
    <w:p>
      <w:pPr>
        <w:pStyle w:val="BodyText"/>
        <w:spacing w:line="240" w:lineRule="auto" w:before="31"/>
        <w:ind w:left="0" w:right="133"/>
        <w:jc w:val="right"/>
      </w:pPr>
      <w:r>
        <w:rPr/>
        <w:pict>
          <v:shape style="position:absolute;margin-left:73.5pt;margin-top:-11.642559pt;width:468.2pt;height:178.7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90"/>
                    <w:gridCol w:w="1340"/>
                    <w:gridCol w:w="1771"/>
                    <w:gridCol w:w="1740"/>
                  </w:tblGrid>
                  <w:tr>
                    <w:trPr>
                      <w:trHeight w:val="586" w:hRule="exact"/>
                    </w:trPr>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357" w:right="0"/>
                          <w:jc w:val="left"/>
                          <w:rPr>
                            <w:rFonts w:ascii="宋体" w:hAnsi="宋体" w:cs="宋体" w:eastAsia="宋体" w:hint="default"/>
                            <w:sz w:val="22"/>
                            <w:szCs w:val="22"/>
                          </w:rPr>
                        </w:pPr>
                        <w:r>
                          <w:rPr>
                            <w:rFonts w:ascii="宋体" w:hAnsi="宋体" w:cs="宋体" w:eastAsia="宋体" w:hint="default"/>
                            <w:sz w:val="22"/>
                            <w:szCs w:val="22"/>
                          </w:rPr>
                          <w:t>非经常性损益项目</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80"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
                          <w:jc w:val="center"/>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78" w:lineRule="exact"/>
                          <w:ind w:left="-3" w:right="-1"/>
                          <w:jc w:val="center"/>
                          <w:rPr>
                            <w:rFonts w:ascii="宋体" w:hAnsi="宋体" w:cs="宋体" w:eastAsia="宋体" w:hint="default"/>
                            <w:sz w:val="22"/>
                            <w:szCs w:val="22"/>
                          </w:rPr>
                        </w:pPr>
                        <w:r>
                          <w:rPr>
                            <w:rFonts w:ascii="宋体" w:hAnsi="宋体" w:cs="宋体" w:eastAsia="宋体" w:hint="default"/>
                            <w:sz w:val="22"/>
                            <w:szCs w:val="22"/>
                          </w:rPr>
                          <w:t>（经重列）（注）</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
                          <w:jc w:val="center"/>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78" w:lineRule="exact"/>
                          <w:ind w:right="145"/>
                          <w:jc w:val="center"/>
                          <w:rPr>
                            <w:rFonts w:ascii="宋体" w:hAnsi="宋体" w:cs="宋体" w:eastAsia="宋体" w:hint="default"/>
                            <w:sz w:val="22"/>
                            <w:szCs w:val="22"/>
                          </w:rPr>
                        </w:pPr>
                        <w:r>
                          <w:rPr>
                            <w:rFonts w:ascii="宋体" w:hAnsi="宋体" w:cs="宋体" w:eastAsia="宋体" w:hint="default"/>
                            <w:sz w:val="22"/>
                            <w:szCs w:val="22"/>
                          </w:rPr>
                          <w:t>（经重列）（注</w:t>
                        </w:r>
                      </w:p>
                    </w:tc>
                  </w:tr>
                  <w:tr>
                    <w:trPr>
                      <w:trHeight w:val="300" w:hRule="exact"/>
                    </w:trPr>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7" w:right="0"/>
                          <w:jc w:val="left"/>
                          <w:rPr>
                            <w:rFonts w:ascii="Arial" w:hAnsi="Arial" w:cs="Arial" w:eastAsia="Arial" w:hint="default"/>
                            <w:sz w:val="22"/>
                            <w:szCs w:val="22"/>
                          </w:rPr>
                        </w:pPr>
                        <w:r>
                          <w:rPr>
                            <w:rFonts w:ascii="Arial"/>
                            <w:sz w:val="22"/>
                          </w:rPr>
                          <w:t>433,465</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6"/>
                          <w:jc w:val="right"/>
                          <w:rPr>
                            <w:rFonts w:ascii="Arial" w:hAnsi="Arial" w:cs="Arial" w:eastAsia="Arial" w:hint="default"/>
                            <w:sz w:val="22"/>
                            <w:szCs w:val="22"/>
                          </w:rPr>
                        </w:pPr>
                        <w:r>
                          <w:rPr>
                            <w:rFonts w:ascii="Arial"/>
                            <w:w w:val="95"/>
                            <w:sz w:val="22"/>
                          </w:rPr>
                          <w:t>2,784</w:t>
                        </w:r>
                        <w:r>
                          <w:rPr>
                            <w:rFonts w:ascii="Arial"/>
                            <w:sz w:val="22"/>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83"/>
                          <w:jc w:val="right"/>
                          <w:rPr>
                            <w:rFonts w:ascii="Arial" w:hAnsi="Arial" w:cs="Arial" w:eastAsia="Arial" w:hint="default"/>
                            <w:sz w:val="22"/>
                            <w:szCs w:val="22"/>
                          </w:rPr>
                        </w:pPr>
                        <w:r>
                          <w:rPr>
                            <w:rFonts w:ascii="Arial"/>
                            <w:w w:val="95"/>
                            <w:sz w:val="22"/>
                          </w:rPr>
                          <w:t>119,012</w:t>
                        </w:r>
                        <w:r>
                          <w:rPr>
                            <w:rFonts w:ascii="Arial"/>
                            <w:sz w:val="22"/>
                          </w:rPr>
                        </w:r>
                      </w:p>
                    </w:tc>
                  </w:tr>
                  <w:tr>
                    <w:trPr>
                      <w:trHeight w:val="301" w:hRule="exact"/>
                    </w:trPr>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7" w:right="0"/>
                          <w:jc w:val="left"/>
                          <w:rPr>
                            <w:rFonts w:ascii="Arial" w:hAnsi="Arial" w:cs="Arial" w:eastAsia="Arial" w:hint="default"/>
                            <w:sz w:val="22"/>
                            <w:szCs w:val="22"/>
                          </w:rPr>
                        </w:pPr>
                        <w:r>
                          <w:rPr>
                            <w:rFonts w:ascii="Arial"/>
                            <w:sz w:val="22"/>
                          </w:rPr>
                          <w:t>118,004</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8"/>
                          <w:jc w:val="right"/>
                          <w:rPr>
                            <w:rFonts w:ascii="Arial" w:hAnsi="Arial" w:cs="Arial" w:eastAsia="Arial" w:hint="default"/>
                            <w:sz w:val="22"/>
                            <w:szCs w:val="22"/>
                          </w:rPr>
                        </w:pPr>
                        <w:r>
                          <w:rPr>
                            <w:rFonts w:ascii="Arial"/>
                            <w:w w:val="95"/>
                            <w:sz w:val="22"/>
                          </w:rPr>
                          <w:t>111,674</w:t>
                        </w:r>
                        <w:r>
                          <w:rPr>
                            <w:rFonts w:ascii="Arial"/>
                            <w:sz w:val="22"/>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83"/>
                          <w:jc w:val="right"/>
                          <w:rPr>
                            <w:rFonts w:ascii="Arial" w:hAnsi="Arial" w:cs="Arial" w:eastAsia="Arial" w:hint="default"/>
                            <w:sz w:val="22"/>
                            <w:szCs w:val="22"/>
                          </w:rPr>
                        </w:pPr>
                        <w:r>
                          <w:rPr>
                            <w:rFonts w:ascii="Arial"/>
                            <w:w w:val="95"/>
                            <w:sz w:val="22"/>
                          </w:rPr>
                          <w:t>141,383</w:t>
                        </w:r>
                        <w:r>
                          <w:rPr>
                            <w:rFonts w:ascii="Arial"/>
                            <w:sz w:val="22"/>
                          </w:rPr>
                        </w:r>
                      </w:p>
                    </w:tc>
                  </w:tr>
                  <w:tr>
                    <w:trPr>
                      <w:trHeight w:val="586" w:hRule="exact"/>
                    </w:trPr>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同一控制下企业合并产生的子公司期初至合</w:t>
                        </w:r>
                      </w:p>
                      <w:p>
                        <w:pPr>
                          <w:pStyle w:val="TableParagraph"/>
                          <w:spacing w:line="287" w:lineRule="exact"/>
                          <w:ind w:left="315" w:right="0"/>
                          <w:jc w:val="left"/>
                          <w:rPr>
                            <w:rFonts w:ascii="宋体" w:hAnsi="宋体" w:cs="宋体" w:eastAsia="宋体" w:hint="default"/>
                            <w:sz w:val="22"/>
                            <w:szCs w:val="22"/>
                          </w:rPr>
                        </w:pPr>
                        <w:r>
                          <w:rPr>
                            <w:rFonts w:ascii="宋体" w:hAnsi="宋体" w:cs="宋体" w:eastAsia="宋体" w:hint="default"/>
                            <w:sz w:val="22"/>
                            <w:szCs w:val="22"/>
                          </w:rPr>
                          <w:t>并日的当期净损益</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61"/>
                          <w:jc w:val="right"/>
                          <w:rPr>
                            <w:rFonts w:ascii="Arial" w:hAnsi="Arial" w:cs="Arial" w:eastAsia="Arial" w:hint="default"/>
                            <w:sz w:val="22"/>
                            <w:szCs w:val="22"/>
                          </w:rPr>
                        </w:pPr>
                        <w:r>
                          <w:rPr>
                            <w:rFonts w:ascii="Arial"/>
                            <w:w w:val="95"/>
                            <w:sz w:val="22"/>
                          </w:rPr>
                          <w:t>8,941</w:t>
                        </w:r>
                        <w:r>
                          <w:rPr>
                            <w:rFonts w:ascii="Arial"/>
                            <w:sz w:val="22"/>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46"/>
                          <w:jc w:val="right"/>
                          <w:rPr>
                            <w:rFonts w:ascii="Arial" w:hAnsi="Arial" w:cs="Arial" w:eastAsia="Arial" w:hint="default"/>
                            <w:sz w:val="22"/>
                            <w:szCs w:val="22"/>
                          </w:rPr>
                        </w:pPr>
                        <w:r>
                          <w:rPr>
                            <w:rFonts w:ascii="Arial"/>
                            <w:w w:val="95"/>
                            <w:sz w:val="22"/>
                          </w:rPr>
                          <w:t>20,356</w:t>
                        </w:r>
                        <w:r>
                          <w:rPr>
                            <w:rFonts w:ascii="Arial"/>
                            <w:sz w:val="22"/>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83"/>
                          <w:jc w:val="right"/>
                          <w:rPr>
                            <w:rFonts w:ascii="Arial" w:hAnsi="Arial" w:cs="Arial" w:eastAsia="Arial" w:hint="default"/>
                            <w:sz w:val="22"/>
                            <w:szCs w:val="22"/>
                          </w:rPr>
                        </w:pPr>
                        <w:r>
                          <w:rPr>
                            <w:rFonts w:ascii="Arial"/>
                            <w:w w:val="95"/>
                            <w:sz w:val="22"/>
                          </w:rPr>
                          <w:t>141,814</w:t>
                        </w:r>
                        <w:r>
                          <w:rPr>
                            <w:rFonts w:ascii="Arial"/>
                            <w:sz w:val="22"/>
                          </w:rPr>
                        </w:r>
                      </w:p>
                    </w:tc>
                  </w:tr>
                  <w:tr>
                    <w:trPr>
                      <w:trHeight w:val="300" w:hRule="exact"/>
                    </w:trPr>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7" w:right="0"/>
                          <w:jc w:val="left"/>
                          <w:rPr>
                            <w:rFonts w:ascii="Arial" w:hAnsi="Arial" w:cs="Arial" w:eastAsia="Arial" w:hint="default"/>
                            <w:sz w:val="22"/>
                            <w:szCs w:val="22"/>
                          </w:rPr>
                        </w:pPr>
                        <w:r>
                          <w:rPr>
                            <w:rFonts w:ascii="Arial"/>
                            <w:sz w:val="22"/>
                          </w:rPr>
                          <w:t>458,013</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6"/>
                          <w:jc w:val="right"/>
                          <w:rPr>
                            <w:rFonts w:ascii="Arial" w:hAnsi="Arial" w:cs="Arial" w:eastAsia="Arial" w:hint="default"/>
                            <w:sz w:val="22"/>
                            <w:szCs w:val="22"/>
                          </w:rPr>
                        </w:pPr>
                        <w:r>
                          <w:rPr>
                            <w:rFonts w:ascii="Arial"/>
                            <w:w w:val="95"/>
                            <w:sz w:val="22"/>
                          </w:rPr>
                          <w:t>618,416</w:t>
                        </w:r>
                        <w:r>
                          <w:rPr>
                            <w:rFonts w:ascii="Arial"/>
                            <w:sz w:val="22"/>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83"/>
                          <w:jc w:val="right"/>
                          <w:rPr>
                            <w:rFonts w:ascii="Arial" w:hAnsi="Arial" w:cs="Arial" w:eastAsia="Arial" w:hint="default"/>
                            <w:sz w:val="22"/>
                            <w:szCs w:val="22"/>
                          </w:rPr>
                        </w:pPr>
                        <w:r>
                          <w:rPr>
                            <w:rFonts w:ascii="Arial"/>
                            <w:w w:val="95"/>
                            <w:sz w:val="22"/>
                          </w:rPr>
                          <w:t>564,629</w:t>
                        </w:r>
                        <w:r>
                          <w:rPr>
                            <w:rFonts w:ascii="Arial"/>
                            <w:sz w:val="22"/>
                          </w:rPr>
                        </w:r>
                      </w:p>
                    </w:tc>
                  </w:tr>
                  <w:tr>
                    <w:trPr>
                      <w:trHeight w:val="586" w:hRule="exact"/>
                    </w:trPr>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343" w:right="0" w:hanging="243"/>
                          <w:jc w:val="left"/>
                          <w:rPr>
                            <w:rFonts w:ascii="宋体" w:hAnsi="宋体" w:cs="宋体" w:eastAsia="宋体" w:hint="default"/>
                            <w:sz w:val="22"/>
                            <w:szCs w:val="22"/>
                          </w:rPr>
                        </w:pPr>
                        <w:r>
                          <w:rPr>
                            <w:rFonts w:ascii="宋体" w:hAnsi="宋体" w:cs="宋体" w:eastAsia="宋体" w:hint="default"/>
                            <w:sz w:val="22"/>
                            <w:szCs w:val="22"/>
                          </w:rPr>
                          <w:t>本集团持有的联通红筹公司对西班牙电信投</w:t>
                        </w:r>
                      </w:p>
                      <w:p>
                        <w:pPr>
                          <w:pStyle w:val="TableParagraph"/>
                          <w:spacing w:line="287" w:lineRule="exact"/>
                          <w:ind w:left="343" w:right="0"/>
                          <w:jc w:val="left"/>
                          <w:rPr>
                            <w:rFonts w:ascii="宋体" w:hAnsi="宋体" w:cs="宋体" w:eastAsia="宋体" w:hint="default"/>
                            <w:sz w:val="22"/>
                            <w:szCs w:val="22"/>
                          </w:rPr>
                        </w:pPr>
                        <w:r>
                          <w:rPr>
                            <w:rFonts w:ascii="宋体" w:hAnsi="宋体" w:cs="宋体" w:eastAsia="宋体" w:hint="default"/>
                            <w:sz w:val="22"/>
                            <w:szCs w:val="22"/>
                          </w:rPr>
                          <w:t>资合约衍生工具产生的公允价值变动收益</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1"/>
                          <w:jc w:val="right"/>
                          <w:rPr>
                            <w:rFonts w:ascii="Arial" w:hAnsi="Arial" w:cs="Arial" w:eastAsia="Arial" w:hint="default"/>
                            <w:sz w:val="22"/>
                            <w:szCs w:val="22"/>
                          </w:rPr>
                        </w:pPr>
                        <w:r>
                          <w:rPr>
                            <w:rFonts w:ascii="Arial"/>
                            <w:w w:val="99"/>
                            <w:sz w:val="22"/>
                          </w:rPr>
                          <w:t>-</w:t>
                        </w:r>
                        <w:r>
                          <w:rPr>
                            <w:rFonts w:ascii="Arial"/>
                            <w:sz w:val="22"/>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46"/>
                          <w:jc w:val="right"/>
                          <w:rPr>
                            <w:rFonts w:ascii="Arial" w:hAnsi="Arial" w:cs="Arial" w:eastAsia="Arial" w:hint="default"/>
                            <w:sz w:val="22"/>
                            <w:szCs w:val="22"/>
                          </w:rPr>
                        </w:pPr>
                        <w:r>
                          <w:rPr>
                            <w:rFonts w:ascii="Arial"/>
                            <w:w w:val="99"/>
                            <w:sz w:val="22"/>
                          </w:rPr>
                          <w:t>-</w:t>
                        </w:r>
                        <w:r>
                          <w:rPr>
                            <w:rFonts w:ascii="Arial"/>
                            <w:sz w:val="22"/>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3"/>
                          <w:jc w:val="right"/>
                          <w:rPr>
                            <w:rFonts w:ascii="Arial" w:hAnsi="Arial" w:cs="Arial" w:eastAsia="Arial" w:hint="default"/>
                            <w:sz w:val="22"/>
                            <w:szCs w:val="22"/>
                          </w:rPr>
                        </w:pPr>
                        <w:r>
                          <w:rPr>
                            <w:rFonts w:ascii="Arial"/>
                            <w:w w:val="95"/>
                            <w:sz w:val="22"/>
                          </w:rPr>
                          <w:t>1,239,125</w:t>
                        </w:r>
                        <w:r>
                          <w:rPr>
                            <w:rFonts w:ascii="Arial"/>
                            <w:sz w:val="22"/>
                          </w:rPr>
                        </w:r>
                      </w:p>
                    </w:tc>
                  </w:tr>
                  <w:tr>
                    <w:trPr>
                      <w:trHeight w:val="300" w:hRule="exact"/>
                    </w:trPr>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少数股东损益影响额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88"/>
                          <w:jc w:val="right"/>
                          <w:rPr>
                            <w:rFonts w:ascii="Arial" w:hAnsi="Arial" w:cs="Arial" w:eastAsia="Arial" w:hint="default"/>
                            <w:sz w:val="22"/>
                            <w:szCs w:val="22"/>
                          </w:rPr>
                        </w:pPr>
                        <w:r>
                          <w:rPr>
                            <w:rFonts w:ascii="Arial"/>
                            <w:w w:val="95"/>
                            <w:sz w:val="22"/>
                          </w:rPr>
                          <w:t>(498,498)</w:t>
                        </w:r>
                        <w:r>
                          <w:rPr>
                            <w:rFonts w:ascii="Arial"/>
                            <w:sz w:val="22"/>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75"/>
                          <w:jc w:val="right"/>
                          <w:rPr>
                            <w:rFonts w:ascii="Arial" w:hAnsi="Arial" w:cs="Arial" w:eastAsia="Arial" w:hint="default"/>
                            <w:sz w:val="22"/>
                            <w:szCs w:val="22"/>
                          </w:rPr>
                        </w:pPr>
                        <w:r>
                          <w:rPr>
                            <w:rFonts w:ascii="Arial"/>
                            <w:w w:val="95"/>
                            <w:sz w:val="22"/>
                          </w:rPr>
                          <w:t>(363,638)</w:t>
                        </w:r>
                        <w:r>
                          <w:rPr>
                            <w:rFonts w:ascii="Arial"/>
                            <w:sz w:val="22"/>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6"/>
                          <w:jc w:val="right"/>
                          <w:rPr>
                            <w:rFonts w:ascii="Arial" w:hAnsi="Arial" w:cs="Arial" w:eastAsia="Arial" w:hint="default"/>
                            <w:sz w:val="22"/>
                            <w:szCs w:val="22"/>
                          </w:rPr>
                        </w:pPr>
                        <w:r>
                          <w:rPr>
                            <w:rFonts w:ascii="Arial"/>
                            <w:w w:val="95"/>
                            <w:sz w:val="22"/>
                          </w:rPr>
                          <w:t>(1,101,112)</w:t>
                        </w:r>
                        <w:r>
                          <w:rPr>
                            <w:rFonts w:ascii="Arial"/>
                            <w:sz w:val="22"/>
                          </w:rPr>
                        </w:r>
                      </w:p>
                    </w:tc>
                  </w:tr>
                  <w:tr>
                    <w:trPr>
                      <w:trHeight w:val="300" w:hRule="exact"/>
                    </w:trPr>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88"/>
                          <w:jc w:val="right"/>
                          <w:rPr>
                            <w:rFonts w:ascii="Arial" w:hAnsi="Arial" w:cs="Arial" w:eastAsia="Arial" w:hint="default"/>
                            <w:sz w:val="22"/>
                            <w:szCs w:val="22"/>
                          </w:rPr>
                        </w:pPr>
                        <w:r>
                          <w:rPr>
                            <w:rFonts w:ascii="Arial"/>
                            <w:w w:val="95"/>
                            <w:sz w:val="22"/>
                          </w:rPr>
                          <w:t>(264,409)</w:t>
                        </w:r>
                        <w:r>
                          <w:rPr>
                            <w:rFonts w:ascii="Arial"/>
                            <w:sz w:val="22"/>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74"/>
                          <w:jc w:val="right"/>
                          <w:rPr>
                            <w:rFonts w:ascii="Arial" w:hAnsi="Arial" w:cs="Arial" w:eastAsia="Arial" w:hint="default"/>
                            <w:sz w:val="22"/>
                            <w:szCs w:val="22"/>
                          </w:rPr>
                        </w:pPr>
                        <w:r>
                          <w:rPr>
                            <w:rFonts w:ascii="Arial"/>
                            <w:w w:val="95"/>
                            <w:sz w:val="22"/>
                          </w:rPr>
                          <w:t>(203,229)</w:t>
                        </w:r>
                        <w:r>
                          <w:rPr>
                            <w:rFonts w:ascii="Arial"/>
                            <w:sz w:val="22"/>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6"/>
                          <w:jc w:val="right"/>
                          <w:rPr>
                            <w:rFonts w:ascii="Arial" w:hAnsi="Arial" w:cs="Arial" w:eastAsia="Arial" w:hint="default"/>
                            <w:sz w:val="22"/>
                            <w:szCs w:val="22"/>
                          </w:rPr>
                        </w:pPr>
                        <w:r>
                          <w:rPr>
                            <w:rFonts w:ascii="Arial"/>
                            <w:w w:val="95"/>
                            <w:sz w:val="22"/>
                          </w:rPr>
                          <w:t>(534,256)</w:t>
                        </w:r>
                        <w:r>
                          <w:rPr>
                            <w:rFonts w:ascii="Arial"/>
                            <w:sz w:val="22"/>
                          </w:rPr>
                        </w:r>
                      </w:p>
                    </w:tc>
                  </w:tr>
                  <w:tr>
                    <w:trPr>
                      <w:trHeight w:val="301" w:hRule="exact"/>
                    </w:trPr>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7" w:right="0"/>
                          <w:jc w:val="left"/>
                          <w:rPr>
                            <w:rFonts w:ascii="Arial" w:hAnsi="Arial" w:cs="Arial" w:eastAsia="Arial" w:hint="default"/>
                            <w:sz w:val="22"/>
                            <w:szCs w:val="22"/>
                          </w:rPr>
                        </w:pPr>
                        <w:r>
                          <w:rPr>
                            <w:rFonts w:ascii="Arial"/>
                            <w:sz w:val="22"/>
                          </w:rPr>
                          <w:t>255,516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8"/>
                          <w:jc w:val="right"/>
                          <w:rPr>
                            <w:rFonts w:ascii="Arial" w:hAnsi="Arial" w:cs="Arial" w:eastAsia="Arial" w:hint="default"/>
                            <w:sz w:val="22"/>
                            <w:szCs w:val="22"/>
                          </w:rPr>
                        </w:pPr>
                        <w:r>
                          <w:rPr>
                            <w:rFonts w:ascii="Arial"/>
                            <w:w w:val="95"/>
                            <w:sz w:val="22"/>
                          </w:rPr>
                          <w:t>186,363</w:t>
                        </w:r>
                        <w:r>
                          <w:rPr>
                            <w:rFonts w:ascii="Arial"/>
                            <w:sz w:val="22"/>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83"/>
                          <w:jc w:val="right"/>
                          <w:rPr>
                            <w:rFonts w:ascii="Arial" w:hAnsi="Arial" w:cs="Arial" w:eastAsia="Arial" w:hint="default"/>
                            <w:sz w:val="22"/>
                            <w:szCs w:val="22"/>
                          </w:rPr>
                        </w:pPr>
                        <w:r>
                          <w:rPr>
                            <w:rFonts w:ascii="Arial"/>
                            <w:w w:val="95"/>
                            <w:sz w:val="22"/>
                          </w:rPr>
                          <w:t>570,595</w:t>
                        </w:r>
                        <w:r>
                          <w:rPr>
                            <w:rFonts w:ascii="Arial"/>
                            <w:sz w:val="22"/>
                          </w:rPr>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32" w:lineRule="auto" w:before="39"/>
        <w:ind w:left="595" w:right="91" w:hanging="450"/>
        <w:jc w:val="left"/>
      </w:pPr>
      <w:r>
        <w:rPr/>
        <w:t>注：于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日，本公司所属子公司中国联合网络通信有限公司（“联通运营公司”）</w:t>
      </w:r>
      <w:r>
        <w:rPr>
          <w:w w:val="99"/>
        </w:rPr>
        <w:t> </w:t>
      </w:r>
      <w:r>
        <w:rPr>
          <w:spacing w:val="-10"/>
        </w:rPr>
        <w:t>的全资子公司联通宽带在线有限公司（“宽带在线”）与中国联合网络通信集团有限公司（“联</w:t>
      </w:r>
      <w:r>
        <w:rPr>
          <w:w w:val="99"/>
        </w:rPr>
        <w:t> </w:t>
      </w:r>
      <w:r>
        <w:rPr>
          <w:spacing w:val="-5"/>
        </w:rPr>
        <w:t>通集团”）及联通集团的全资子公司联通新时讯通信有限公司（“联通新时讯”）签订了《关</w:t>
      </w:r>
      <w:r>
        <w:rPr>
          <w:w w:val="99"/>
        </w:rPr>
        <w:t> </w:t>
      </w:r>
      <w:r>
        <w:rPr>
          <w:spacing w:val="-2"/>
        </w:rPr>
        <w:t>于联通宽带在线有限公司吸收合并联通新时讯通信有限公司》（“收购联通新时讯协议”）。</w:t>
      </w:r>
      <w:r>
        <w:rPr>
          <w:w w:val="99"/>
        </w:rPr>
        <w:t> </w:t>
      </w:r>
      <w:r>
        <w:rPr/>
        <w:t>根据此协议，宽带在线向联通集团收购其全资持有的联通新时讯的全部资产、负债、权益、</w:t>
      </w:r>
      <w:r>
        <w:rPr>
          <w:w w:val="99"/>
        </w:rPr>
        <w:t> </w:t>
      </w:r>
      <w:r>
        <w:rPr/>
        <w:t>业务和人员等，收购对价约人民币</w:t>
      </w:r>
      <w:r>
        <w:rPr>
          <w:spacing w:val="-69"/>
        </w:rPr>
        <w:t> </w:t>
      </w:r>
      <w:r>
        <w:rPr>
          <w:rFonts w:ascii="Arial" w:hAnsi="Arial" w:cs="Arial" w:eastAsia="Arial" w:hint="default"/>
        </w:rPr>
        <w:t>1.58</w:t>
      </w:r>
      <w:r>
        <w:rPr>
          <w:rFonts w:ascii="Arial" w:hAnsi="Arial" w:cs="Arial" w:eastAsia="Arial" w:hint="default"/>
          <w:spacing w:val="-20"/>
        </w:rPr>
        <w:t> </w:t>
      </w:r>
      <w:r>
        <w:rPr/>
        <w:t>亿元，该交易于同日完成。宽带在线和联通新时讯在</w:t>
      </w:r>
      <w:r>
        <w:rPr>
          <w:w w:val="99"/>
        </w:rPr>
        <w:t> </w:t>
      </w:r>
      <w:r>
        <w:rPr/>
        <w:t>合并前的最终控制方均为联通集团，因此，本集团认为宽带在线对联通新时讯的合并属于同</w:t>
      </w:r>
      <w:r>
        <w:rPr>
          <w:w w:val="99"/>
        </w:rPr>
        <w:t> </w:t>
      </w:r>
      <w:r>
        <w:rPr>
          <w:spacing w:val="-3"/>
        </w:rPr>
        <w:t>一控制下的企业合并，并依照《企业会计准则第</w:t>
      </w:r>
      <w:r>
        <w:rPr>
          <w:spacing w:val="-62"/>
        </w:rPr>
        <w:t> </w:t>
      </w:r>
      <w:r>
        <w:rPr>
          <w:rFonts w:ascii="Arial" w:hAnsi="Arial" w:cs="Arial" w:eastAsia="Arial" w:hint="default"/>
        </w:rPr>
        <w:t>20</w:t>
      </w:r>
      <w:r>
        <w:rPr>
          <w:rFonts w:ascii="Arial" w:hAnsi="Arial" w:cs="Arial" w:eastAsia="Arial" w:hint="default"/>
          <w:spacing w:val="-13"/>
        </w:rPr>
        <w:t> </w:t>
      </w:r>
      <w:r>
        <w:rPr/>
        <w:t>号－企业合并》中关于同一控制下企业合</w:t>
      </w:r>
      <w:r>
        <w:rPr>
          <w:w w:val="99"/>
        </w:rPr>
        <w:t> </w:t>
      </w:r>
      <w:r>
        <w:rPr/>
        <w:t>并的规定对宽带在线合并联通新时讯进行会计处理和披露。所以，联通新时讯的资产及负债</w:t>
      </w:r>
      <w:r>
        <w:rPr>
          <w:w w:val="99"/>
        </w:rPr>
        <w:t> </w:t>
      </w:r>
      <w:r>
        <w:rPr/>
        <w:t>将按其合并日财务账面价值并入本集团的合并财务报表当中，同时视同合并后的报告主体在</w:t>
      </w:r>
      <w:r>
        <w:rPr>
          <w:w w:val="99"/>
        </w:rPr>
        <w:t> </w:t>
      </w:r>
      <w:r>
        <w:rPr>
          <w:spacing w:val="-3"/>
        </w:rPr>
        <w:t>以前期间一直存在。因此，合并财务报表中的</w:t>
      </w:r>
      <w:r>
        <w:rPr>
          <w:spacing w:val="-54"/>
        </w:rPr>
        <w:t> </w:t>
      </w:r>
      <w:r>
        <w:rPr>
          <w:rFonts w:ascii="Arial" w:hAnsi="Arial" w:cs="Arial" w:eastAsia="Arial" w:hint="default"/>
        </w:rPr>
        <w:t>2010</w:t>
      </w:r>
      <w:r>
        <w:rPr>
          <w:rFonts w:ascii="Arial" w:hAnsi="Arial" w:cs="Arial" w:eastAsia="Arial" w:hint="default"/>
          <w:spacing w:val="-6"/>
        </w:rPr>
        <w:t> </w:t>
      </w:r>
      <w:r>
        <w:rPr/>
        <w:t>年度及</w:t>
      </w:r>
      <w:r>
        <w:rPr>
          <w:spacing w:val="-56"/>
        </w:rPr>
        <w:t> </w:t>
      </w:r>
      <w:r>
        <w:rPr>
          <w:rFonts w:ascii="Arial" w:hAnsi="Arial" w:cs="Arial" w:eastAsia="Arial" w:hint="default"/>
        </w:rPr>
        <w:t>2009</w:t>
      </w:r>
      <w:r>
        <w:rPr>
          <w:rFonts w:ascii="Arial" w:hAnsi="Arial" w:cs="Arial" w:eastAsia="Arial" w:hint="default"/>
          <w:spacing w:val="-6"/>
        </w:rPr>
        <w:t> </w:t>
      </w:r>
      <w:r>
        <w:rPr/>
        <w:t>年度比较数据亦被重新列报</w:t>
      </w:r>
      <w:r>
        <w:rPr>
          <w:w w:val="99"/>
        </w:rPr>
        <w:t> </w:t>
      </w:r>
      <w:r>
        <w:rPr/>
        <w:t>以包括被合并方的财务状况、经营成果和现金流量。</w:t>
      </w:r>
    </w:p>
    <w:p>
      <w:pPr>
        <w:spacing w:after="0" w:line="232" w:lineRule="auto"/>
        <w:jc w:val="left"/>
        <w:sectPr>
          <w:pgSz w:w="11900" w:h="16840"/>
          <w:pgMar w:header="927" w:footer="752" w:top="1160" w:bottom="940" w:left="1340" w:right="900"/>
        </w:sectPr>
      </w:pPr>
    </w:p>
    <w:p>
      <w:pPr>
        <w:spacing w:line="240" w:lineRule="auto" w:before="11"/>
        <w:rPr>
          <w:rFonts w:ascii="宋体" w:hAnsi="宋体" w:cs="宋体" w:eastAsia="宋体" w:hint="default"/>
          <w:sz w:val="21"/>
          <w:szCs w:val="21"/>
        </w:rPr>
      </w:pPr>
    </w:p>
    <w:p>
      <w:pPr>
        <w:pStyle w:val="BodyText"/>
        <w:spacing w:line="287" w:lineRule="exact" w:before="31"/>
        <w:ind w:left="145" w:right="0"/>
        <w:jc w:val="left"/>
      </w:pPr>
      <w:r>
        <w:rPr/>
        <w:t>（三）报告期末公司前三年主要会计数据和财务指标</w:t>
      </w:r>
    </w:p>
    <w:p>
      <w:pPr>
        <w:pStyle w:val="BodyText"/>
        <w:spacing w:line="287" w:lineRule="exact"/>
        <w:ind w:left="0" w:right="197"/>
        <w:jc w:val="right"/>
      </w:pPr>
      <w:r>
        <w:rPr/>
        <w:t>单位：元</w:t>
      </w:r>
      <w:r>
        <w:rPr>
          <w:spacing w:val="-3"/>
        </w:rPr>
        <w:t> </w:t>
      </w:r>
      <w:r>
        <w:rPr/>
        <w:t>币种：人民币</w:t>
      </w:r>
    </w:p>
    <w:p>
      <w:pPr>
        <w:spacing w:line="240" w:lineRule="auto" w:before="8"/>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616"/>
        <w:gridCol w:w="1414"/>
        <w:gridCol w:w="1332"/>
        <w:gridCol w:w="1350"/>
        <w:gridCol w:w="972"/>
        <w:gridCol w:w="1332"/>
        <w:gridCol w:w="1376"/>
      </w:tblGrid>
      <w:tr>
        <w:trPr>
          <w:trHeight w:val="302" w:hRule="exact"/>
        </w:trPr>
        <w:tc>
          <w:tcPr>
            <w:tcW w:w="161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20" w:right="0"/>
              <w:jc w:val="left"/>
              <w:rPr>
                <w:rFonts w:ascii="宋体" w:hAnsi="宋体" w:cs="宋体" w:eastAsia="宋体" w:hint="default"/>
                <w:sz w:val="16"/>
                <w:szCs w:val="16"/>
              </w:rPr>
            </w:pPr>
            <w:r>
              <w:rPr>
                <w:rFonts w:ascii="宋体" w:hAnsi="宋体" w:cs="宋体" w:eastAsia="宋体" w:hint="default"/>
                <w:sz w:val="16"/>
                <w:szCs w:val="16"/>
              </w:rPr>
              <w:t>主要会计数据</w:t>
            </w:r>
          </w:p>
        </w:tc>
        <w:tc>
          <w:tcPr>
            <w:tcW w:w="141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21"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26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814"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年（注）</w:t>
            </w:r>
          </w:p>
        </w:tc>
        <w:tc>
          <w:tcPr>
            <w:tcW w:w="972" w:type="dxa"/>
            <w:vMerge w:val="restart"/>
            <w:tcBorders>
              <w:top w:val="single" w:sz="6" w:space="0" w:color="000000"/>
              <w:left w:val="single" w:sz="6" w:space="0" w:color="000000"/>
              <w:right w:val="single" w:sz="6" w:space="0" w:color="000000"/>
            </w:tcBorders>
          </w:tcPr>
          <w:p>
            <w:pPr>
              <w:pStyle w:val="TableParagraph"/>
              <w:spacing w:line="240" w:lineRule="auto" w:before="60"/>
              <w:ind w:left="223" w:right="49" w:hanging="117"/>
              <w:jc w:val="left"/>
              <w:rPr>
                <w:rFonts w:ascii="Arial" w:hAnsi="Arial" w:cs="Arial" w:eastAsia="Arial" w:hint="default"/>
                <w:sz w:val="16"/>
                <w:szCs w:val="16"/>
              </w:rPr>
            </w:pPr>
            <w:r>
              <w:rPr>
                <w:rFonts w:ascii="宋体" w:hAnsi="宋体" w:cs="宋体" w:eastAsia="宋体" w:hint="default"/>
                <w:sz w:val="16"/>
                <w:szCs w:val="16"/>
              </w:rPr>
              <w:t>本年比上年</w:t>
            </w:r>
            <w:r>
              <w:rPr>
                <w:rFonts w:ascii="宋体" w:hAnsi="宋体" w:cs="宋体" w:eastAsia="宋体" w:hint="default"/>
                <w:w w:val="99"/>
                <w:sz w:val="16"/>
                <w:szCs w:val="16"/>
              </w:rPr>
              <w:t> </w:t>
            </w:r>
            <w:r>
              <w:rPr>
                <w:rFonts w:ascii="宋体" w:hAnsi="宋体" w:cs="宋体" w:eastAsia="宋体" w:hint="default"/>
                <w:sz w:val="16"/>
                <w:szCs w:val="16"/>
              </w:rPr>
              <w:t>增减</w:t>
            </w:r>
            <w:r>
              <w:rPr>
                <w:rFonts w:ascii="Arial" w:hAnsi="Arial" w:cs="Arial" w:eastAsia="Arial" w:hint="default"/>
                <w:sz w:val="16"/>
                <w:szCs w:val="16"/>
              </w:rPr>
              <w:t>(%)</w:t>
            </w:r>
          </w:p>
        </w:tc>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827"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年（注）</w:t>
            </w:r>
          </w:p>
        </w:tc>
      </w:tr>
      <w:tr>
        <w:trPr>
          <w:trHeight w:val="304" w:hRule="exact"/>
        </w:trPr>
        <w:tc>
          <w:tcPr>
            <w:tcW w:w="1616" w:type="dxa"/>
            <w:vMerge/>
            <w:tcBorders>
              <w:left w:val="single" w:sz="6" w:space="0" w:color="000000"/>
              <w:bottom w:val="single" w:sz="6" w:space="0" w:color="000000"/>
              <w:right w:val="single" w:sz="6" w:space="0" w:color="000000"/>
            </w:tcBorders>
          </w:tcPr>
          <w:p>
            <w:pPr/>
          </w:p>
        </w:tc>
        <w:tc>
          <w:tcPr>
            <w:tcW w:w="1414" w:type="dxa"/>
            <w:vMerge/>
            <w:tcBorders>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6"/>
                <w:szCs w:val="16"/>
              </w:rPr>
            </w:pPr>
            <w:r>
              <w:rPr>
                <w:rFonts w:ascii="宋体" w:hAnsi="宋体" w:cs="宋体" w:eastAsia="宋体" w:hint="default"/>
                <w:sz w:val="16"/>
                <w:szCs w:val="16"/>
              </w:rPr>
              <w:t>调整后</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26" w:right="0"/>
              <w:jc w:val="left"/>
              <w:rPr>
                <w:rFonts w:ascii="宋体" w:hAnsi="宋体" w:cs="宋体" w:eastAsia="宋体" w:hint="default"/>
                <w:sz w:val="16"/>
                <w:szCs w:val="16"/>
              </w:rPr>
            </w:pPr>
            <w:r>
              <w:rPr>
                <w:rFonts w:ascii="宋体" w:hAnsi="宋体" w:cs="宋体" w:eastAsia="宋体" w:hint="default"/>
                <w:sz w:val="16"/>
                <w:szCs w:val="16"/>
              </w:rPr>
              <w:t>调整前</w:t>
            </w:r>
          </w:p>
        </w:tc>
        <w:tc>
          <w:tcPr>
            <w:tcW w:w="972" w:type="dxa"/>
            <w:vMerge/>
            <w:tcBorders>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17" w:right="0"/>
              <w:jc w:val="left"/>
              <w:rPr>
                <w:rFonts w:ascii="宋体" w:hAnsi="宋体" w:cs="宋体" w:eastAsia="宋体" w:hint="default"/>
                <w:sz w:val="16"/>
                <w:szCs w:val="16"/>
              </w:rPr>
            </w:pPr>
            <w:r>
              <w:rPr>
                <w:rFonts w:ascii="宋体" w:hAnsi="宋体" w:cs="宋体" w:eastAsia="宋体" w:hint="default"/>
                <w:sz w:val="16"/>
                <w:szCs w:val="16"/>
              </w:rPr>
              <w:t>调整后</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40" w:right="0"/>
              <w:jc w:val="left"/>
              <w:rPr>
                <w:rFonts w:ascii="宋体" w:hAnsi="宋体" w:cs="宋体" w:eastAsia="宋体" w:hint="default"/>
                <w:sz w:val="16"/>
                <w:szCs w:val="16"/>
              </w:rPr>
            </w:pPr>
            <w:r>
              <w:rPr>
                <w:rFonts w:ascii="宋体" w:hAnsi="宋体" w:cs="宋体" w:eastAsia="宋体" w:hint="default"/>
                <w:sz w:val="16"/>
                <w:szCs w:val="16"/>
              </w:rPr>
              <w:t>调整前</w:t>
            </w:r>
          </w:p>
        </w:tc>
      </w:tr>
      <w:tr>
        <w:trPr>
          <w:trHeight w:val="302"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0" w:right="0"/>
              <w:jc w:val="left"/>
              <w:rPr>
                <w:rFonts w:ascii="宋体" w:hAnsi="宋体" w:cs="宋体" w:eastAsia="宋体" w:hint="default"/>
                <w:sz w:val="16"/>
                <w:szCs w:val="16"/>
              </w:rPr>
            </w:pPr>
            <w:r>
              <w:rPr>
                <w:rFonts w:ascii="宋体" w:hAnsi="宋体" w:cs="宋体" w:eastAsia="宋体" w:hint="default"/>
                <w:sz w:val="16"/>
                <w:szCs w:val="16"/>
              </w:rPr>
              <w:t>营业总收入</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4" w:right="0"/>
              <w:jc w:val="center"/>
              <w:rPr>
                <w:rFonts w:ascii="Arial" w:hAnsi="Arial" w:cs="Arial" w:eastAsia="Arial" w:hint="default"/>
                <w:sz w:val="16"/>
                <w:szCs w:val="16"/>
              </w:rPr>
            </w:pPr>
            <w:r>
              <w:rPr>
                <w:rFonts w:ascii="Arial"/>
                <w:sz w:val="16"/>
              </w:rPr>
              <w:t>215,518,511,458</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5" w:right="0"/>
              <w:jc w:val="center"/>
              <w:rPr>
                <w:rFonts w:ascii="Arial" w:hAnsi="Arial" w:cs="Arial" w:eastAsia="Arial" w:hint="default"/>
                <w:sz w:val="16"/>
                <w:szCs w:val="16"/>
              </w:rPr>
            </w:pPr>
            <w:r>
              <w:rPr>
                <w:rFonts w:ascii="Arial"/>
                <w:sz w:val="16"/>
              </w:rPr>
              <w:t>176,243,422,124</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8"/>
              <w:jc w:val="right"/>
              <w:rPr>
                <w:rFonts w:ascii="Arial" w:hAnsi="Arial" w:cs="Arial" w:eastAsia="Arial" w:hint="default"/>
                <w:sz w:val="16"/>
                <w:szCs w:val="16"/>
              </w:rPr>
            </w:pPr>
            <w:r>
              <w:rPr>
                <w:rFonts w:ascii="Arial"/>
                <w:w w:val="95"/>
                <w:sz w:val="16"/>
              </w:rPr>
              <w:t>176,168,361,570</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9"/>
              <w:jc w:val="right"/>
              <w:rPr>
                <w:rFonts w:ascii="Arial" w:hAnsi="Arial" w:cs="Arial" w:eastAsia="Arial" w:hint="default"/>
                <w:sz w:val="16"/>
                <w:szCs w:val="16"/>
              </w:rPr>
            </w:pPr>
            <w:r>
              <w:rPr>
                <w:rFonts w:ascii="Arial"/>
                <w:w w:val="95"/>
                <w:sz w:val="16"/>
              </w:rPr>
              <w:t>22.3</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4" w:right="0"/>
              <w:jc w:val="left"/>
              <w:rPr>
                <w:rFonts w:ascii="Arial" w:hAnsi="Arial" w:cs="Arial" w:eastAsia="Arial" w:hint="default"/>
                <w:sz w:val="16"/>
                <w:szCs w:val="16"/>
              </w:rPr>
            </w:pPr>
            <w:r>
              <w:rPr>
                <w:rFonts w:ascii="Arial"/>
                <w:sz w:val="16"/>
              </w:rPr>
              <w:t>158,452,598,108</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10"/>
              <w:jc w:val="right"/>
              <w:rPr>
                <w:rFonts w:ascii="Arial" w:hAnsi="Arial" w:cs="Arial" w:eastAsia="Arial" w:hint="default"/>
                <w:sz w:val="16"/>
                <w:szCs w:val="16"/>
              </w:rPr>
            </w:pPr>
            <w:r>
              <w:rPr>
                <w:rFonts w:ascii="Arial"/>
                <w:w w:val="95"/>
                <w:sz w:val="16"/>
              </w:rPr>
              <w:t>158,368,819,533</w:t>
            </w:r>
            <w:r>
              <w:rPr>
                <w:rFonts w:ascii="Arial"/>
                <w:sz w:val="16"/>
              </w:rPr>
            </w:r>
          </w:p>
        </w:tc>
      </w:tr>
      <w:tr>
        <w:trPr>
          <w:trHeight w:val="304"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0" w:right="0"/>
              <w:jc w:val="left"/>
              <w:rPr>
                <w:rFonts w:ascii="宋体" w:hAnsi="宋体" w:cs="宋体" w:eastAsia="宋体" w:hint="default"/>
                <w:sz w:val="16"/>
                <w:szCs w:val="16"/>
              </w:rPr>
            </w:pPr>
            <w:r>
              <w:rPr>
                <w:rFonts w:ascii="宋体" w:hAnsi="宋体" w:cs="宋体" w:eastAsia="宋体" w:hint="default"/>
                <w:sz w:val="16"/>
                <w:szCs w:val="16"/>
              </w:rPr>
              <w:t>营业利润</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42" w:right="0"/>
              <w:jc w:val="center"/>
              <w:rPr>
                <w:rFonts w:ascii="Arial" w:hAnsi="Arial" w:cs="Arial" w:eastAsia="Arial" w:hint="default"/>
                <w:sz w:val="16"/>
                <w:szCs w:val="16"/>
              </w:rPr>
            </w:pPr>
            <w:r>
              <w:rPr>
                <w:rFonts w:ascii="Arial"/>
                <w:sz w:val="16"/>
              </w:rPr>
              <w:t>4,654,375,869</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15" w:right="0"/>
              <w:jc w:val="center"/>
              <w:rPr>
                <w:rFonts w:ascii="Arial" w:hAnsi="Arial" w:cs="Arial" w:eastAsia="Arial" w:hint="default"/>
                <w:sz w:val="16"/>
                <w:szCs w:val="16"/>
              </w:rPr>
            </w:pPr>
            <w:r>
              <w:rPr>
                <w:rFonts w:ascii="Arial"/>
                <w:sz w:val="16"/>
              </w:rPr>
              <w:t>3,941,777,726</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7"/>
              <w:jc w:val="right"/>
              <w:rPr>
                <w:rFonts w:ascii="Arial" w:hAnsi="Arial" w:cs="Arial" w:eastAsia="Arial" w:hint="default"/>
                <w:sz w:val="16"/>
                <w:szCs w:val="16"/>
              </w:rPr>
            </w:pPr>
            <w:r>
              <w:rPr>
                <w:rFonts w:ascii="Arial"/>
                <w:w w:val="95"/>
                <w:sz w:val="16"/>
              </w:rPr>
              <w:t>3,913,629,229</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8"/>
              <w:jc w:val="right"/>
              <w:rPr>
                <w:rFonts w:ascii="Arial" w:hAnsi="Arial" w:cs="Arial" w:eastAsia="Arial" w:hint="default"/>
                <w:sz w:val="16"/>
                <w:szCs w:val="16"/>
              </w:rPr>
            </w:pPr>
            <w:r>
              <w:rPr>
                <w:rFonts w:ascii="Arial"/>
                <w:w w:val="95"/>
                <w:sz w:val="16"/>
              </w:rPr>
              <w:t>18.1</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48" w:right="0"/>
              <w:jc w:val="left"/>
              <w:rPr>
                <w:rFonts w:ascii="Arial" w:hAnsi="Arial" w:cs="Arial" w:eastAsia="Arial" w:hint="default"/>
                <w:sz w:val="16"/>
                <w:szCs w:val="16"/>
              </w:rPr>
            </w:pPr>
            <w:r>
              <w:rPr>
                <w:rFonts w:ascii="Arial"/>
                <w:sz w:val="16"/>
              </w:rPr>
              <w:t>11,385,306,062</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8"/>
              <w:jc w:val="right"/>
              <w:rPr>
                <w:rFonts w:ascii="Arial" w:hAnsi="Arial" w:cs="Arial" w:eastAsia="Arial" w:hint="default"/>
                <w:sz w:val="16"/>
                <w:szCs w:val="16"/>
              </w:rPr>
            </w:pPr>
            <w:r>
              <w:rPr>
                <w:rFonts w:ascii="Arial"/>
                <w:w w:val="95"/>
                <w:sz w:val="16"/>
              </w:rPr>
              <w:t>11,355,525,837</w:t>
            </w:r>
            <w:r>
              <w:rPr>
                <w:rFonts w:ascii="Arial"/>
                <w:sz w:val="16"/>
              </w:rPr>
            </w:r>
          </w:p>
        </w:tc>
      </w:tr>
      <w:tr>
        <w:trPr>
          <w:trHeight w:val="302"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0" w:right="0"/>
              <w:jc w:val="left"/>
              <w:rPr>
                <w:rFonts w:ascii="宋体" w:hAnsi="宋体" w:cs="宋体" w:eastAsia="宋体" w:hint="default"/>
                <w:sz w:val="16"/>
                <w:szCs w:val="16"/>
              </w:rPr>
            </w:pPr>
            <w:r>
              <w:rPr>
                <w:rFonts w:ascii="宋体" w:hAnsi="宋体" w:cs="宋体" w:eastAsia="宋体" w:hint="default"/>
                <w:sz w:val="16"/>
                <w:szCs w:val="16"/>
              </w:rPr>
              <w:t>利润总额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2" w:right="0"/>
              <w:jc w:val="center"/>
              <w:rPr>
                <w:rFonts w:ascii="Arial" w:hAnsi="Arial" w:cs="Arial" w:eastAsia="Arial" w:hint="default"/>
                <w:sz w:val="16"/>
                <w:szCs w:val="16"/>
              </w:rPr>
            </w:pPr>
            <w:r>
              <w:rPr>
                <w:rFonts w:ascii="Arial"/>
                <w:sz w:val="16"/>
              </w:rPr>
              <w:t>5,664,040,816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5" w:right="0"/>
              <w:jc w:val="center"/>
              <w:rPr>
                <w:rFonts w:ascii="Arial" w:hAnsi="Arial" w:cs="Arial" w:eastAsia="Arial" w:hint="default"/>
                <w:sz w:val="16"/>
                <w:szCs w:val="16"/>
              </w:rPr>
            </w:pPr>
            <w:r>
              <w:rPr>
                <w:rFonts w:ascii="Arial"/>
                <w:sz w:val="16"/>
              </w:rPr>
              <w:t>4,671,754,013</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7"/>
              <w:jc w:val="right"/>
              <w:rPr>
                <w:rFonts w:ascii="Arial" w:hAnsi="Arial" w:cs="Arial" w:eastAsia="Arial" w:hint="default"/>
                <w:sz w:val="16"/>
                <w:szCs w:val="16"/>
              </w:rPr>
            </w:pPr>
            <w:r>
              <w:rPr>
                <w:rFonts w:ascii="Arial"/>
                <w:w w:val="95"/>
                <w:sz w:val="16"/>
              </w:rPr>
              <w:t>4,646,503,403</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8"/>
              <w:jc w:val="right"/>
              <w:rPr>
                <w:rFonts w:ascii="Arial" w:hAnsi="Arial" w:cs="Arial" w:eastAsia="Arial" w:hint="default"/>
                <w:sz w:val="16"/>
                <w:szCs w:val="16"/>
              </w:rPr>
            </w:pPr>
            <w:r>
              <w:rPr>
                <w:rFonts w:ascii="Arial"/>
                <w:w w:val="95"/>
                <w:sz w:val="16"/>
              </w:rPr>
              <w:t>21.2</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8" w:right="0"/>
              <w:jc w:val="left"/>
              <w:rPr>
                <w:rFonts w:ascii="Arial" w:hAnsi="Arial" w:cs="Arial" w:eastAsia="Arial" w:hint="default"/>
                <w:sz w:val="16"/>
                <w:szCs w:val="16"/>
              </w:rPr>
            </w:pPr>
            <w:r>
              <w:rPr>
                <w:rFonts w:ascii="Arial"/>
                <w:sz w:val="16"/>
              </w:rPr>
              <w:t>12,211,508,646</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10"/>
              <w:jc w:val="right"/>
              <w:rPr>
                <w:rFonts w:ascii="Arial" w:hAnsi="Arial" w:cs="Arial" w:eastAsia="Arial" w:hint="default"/>
                <w:sz w:val="16"/>
                <w:szCs w:val="16"/>
              </w:rPr>
            </w:pPr>
            <w:r>
              <w:rPr>
                <w:rFonts w:ascii="Arial"/>
                <w:w w:val="95"/>
                <w:sz w:val="16"/>
              </w:rPr>
              <w:t>12,180,976,314</w:t>
            </w:r>
            <w:r>
              <w:rPr>
                <w:rFonts w:ascii="Arial"/>
                <w:sz w:val="16"/>
              </w:rPr>
            </w:r>
          </w:p>
        </w:tc>
      </w:tr>
      <w:tr>
        <w:trPr>
          <w:trHeight w:val="511"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02" w:right="140" w:hanging="183"/>
              <w:jc w:val="left"/>
              <w:rPr>
                <w:rFonts w:ascii="宋体" w:hAnsi="宋体" w:cs="宋体" w:eastAsia="宋体" w:hint="default"/>
                <w:sz w:val="16"/>
                <w:szCs w:val="16"/>
              </w:rPr>
            </w:pPr>
            <w:r>
              <w:rPr>
                <w:rFonts w:ascii="宋体" w:hAnsi="宋体" w:cs="宋体" w:eastAsia="宋体" w:hint="default"/>
                <w:sz w:val="16"/>
                <w:szCs w:val="16"/>
              </w:rPr>
              <w:t>归属于上市公司股东</w:t>
            </w:r>
            <w:r>
              <w:rPr>
                <w:rFonts w:ascii="宋体" w:hAnsi="宋体" w:cs="宋体" w:eastAsia="宋体" w:hint="default"/>
                <w:w w:val="99"/>
                <w:sz w:val="16"/>
                <w:szCs w:val="16"/>
              </w:rPr>
              <w:t> </w:t>
            </w:r>
            <w:r>
              <w:rPr>
                <w:rFonts w:ascii="宋体" w:hAnsi="宋体" w:cs="宋体" w:eastAsia="宋体" w:hint="default"/>
                <w:sz w:val="16"/>
                <w:szCs w:val="16"/>
              </w:rPr>
              <w:t>的净利润</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42" w:right="0"/>
              <w:jc w:val="center"/>
              <w:rPr>
                <w:rFonts w:ascii="Arial" w:hAnsi="Arial" w:cs="Arial" w:eastAsia="Arial" w:hint="default"/>
                <w:sz w:val="16"/>
                <w:szCs w:val="16"/>
              </w:rPr>
            </w:pPr>
            <w:r>
              <w:rPr>
                <w:rFonts w:ascii="Arial"/>
                <w:sz w:val="16"/>
              </w:rPr>
              <w:t>1,412,245,739</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15" w:right="0"/>
              <w:jc w:val="center"/>
              <w:rPr>
                <w:rFonts w:ascii="Arial" w:hAnsi="Arial" w:cs="Arial" w:eastAsia="Arial" w:hint="default"/>
                <w:sz w:val="16"/>
                <w:szCs w:val="16"/>
              </w:rPr>
            </w:pPr>
            <w:r>
              <w:rPr>
                <w:rFonts w:ascii="Arial"/>
                <w:sz w:val="16"/>
              </w:rPr>
              <w:t>1,234,506,831</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7"/>
              <w:jc w:val="right"/>
              <w:rPr>
                <w:rFonts w:ascii="Arial" w:hAnsi="Arial" w:cs="Arial" w:eastAsia="Arial" w:hint="default"/>
                <w:sz w:val="16"/>
                <w:szCs w:val="16"/>
              </w:rPr>
            </w:pPr>
            <w:r>
              <w:rPr>
                <w:rFonts w:ascii="Arial"/>
                <w:w w:val="95"/>
                <w:sz w:val="16"/>
              </w:rPr>
              <w:t>1,227,610,009</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8"/>
              <w:jc w:val="right"/>
              <w:rPr>
                <w:rFonts w:ascii="Arial" w:hAnsi="Arial" w:cs="Arial" w:eastAsia="Arial" w:hint="default"/>
                <w:sz w:val="16"/>
                <w:szCs w:val="16"/>
              </w:rPr>
            </w:pPr>
            <w:r>
              <w:rPr>
                <w:rFonts w:ascii="Arial"/>
                <w:w w:val="95"/>
                <w:sz w:val="16"/>
              </w:rPr>
              <w:t>14.4</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37" w:right="0"/>
              <w:jc w:val="left"/>
              <w:rPr>
                <w:rFonts w:ascii="Arial" w:hAnsi="Arial" w:cs="Arial" w:eastAsia="Arial" w:hint="default"/>
                <w:sz w:val="16"/>
                <w:szCs w:val="16"/>
              </w:rPr>
            </w:pPr>
            <w:r>
              <w:rPr>
                <w:rFonts w:ascii="Arial"/>
                <w:sz w:val="16"/>
              </w:rPr>
              <w:t>3,145,338,087</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8"/>
              <w:jc w:val="right"/>
              <w:rPr>
                <w:rFonts w:ascii="Arial" w:hAnsi="Arial" w:cs="Arial" w:eastAsia="Arial" w:hint="default"/>
                <w:sz w:val="16"/>
                <w:szCs w:val="16"/>
              </w:rPr>
            </w:pPr>
            <w:r>
              <w:rPr>
                <w:rFonts w:ascii="Arial"/>
                <w:w w:val="95"/>
                <w:sz w:val="16"/>
              </w:rPr>
              <w:t>3,137,024,492</w:t>
            </w:r>
            <w:r>
              <w:rPr>
                <w:rFonts w:ascii="Arial"/>
                <w:sz w:val="16"/>
              </w:rPr>
            </w:r>
          </w:p>
        </w:tc>
      </w:tr>
      <w:tr>
        <w:trPr>
          <w:trHeight w:val="781"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02" w:right="119" w:hanging="183"/>
              <w:jc w:val="both"/>
              <w:rPr>
                <w:rFonts w:ascii="宋体" w:hAnsi="宋体" w:cs="宋体" w:eastAsia="宋体" w:hint="default"/>
                <w:sz w:val="16"/>
                <w:szCs w:val="16"/>
              </w:rPr>
            </w:pPr>
            <w:r>
              <w:rPr>
                <w:rFonts w:ascii="宋体" w:hAnsi="宋体" w:cs="宋体" w:eastAsia="宋体" w:hint="default"/>
                <w:sz w:val="16"/>
                <w:szCs w:val="16"/>
              </w:rPr>
              <w:t>归属于上市公司股东</w:t>
            </w:r>
            <w:r>
              <w:rPr>
                <w:rFonts w:ascii="宋体" w:hAnsi="宋体" w:cs="宋体" w:eastAsia="宋体" w:hint="default"/>
                <w:w w:val="99"/>
                <w:sz w:val="16"/>
                <w:szCs w:val="16"/>
              </w:rPr>
              <w:t> </w:t>
            </w:r>
            <w:r>
              <w:rPr>
                <w:rFonts w:ascii="宋体" w:hAnsi="宋体" w:cs="宋体" w:eastAsia="宋体" w:hint="default"/>
                <w:sz w:val="16"/>
                <w:szCs w:val="16"/>
              </w:rPr>
              <w:t>的扣除非经常性损</w:t>
            </w:r>
            <w:r>
              <w:rPr>
                <w:rFonts w:ascii="宋体" w:hAnsi="宋体" w:cs="宋体" w:eastAsia="宋体" w:hint="default"/>
                <w:w w:val="99"/>
                <w:sz w:val="16"/>
                <w:szCs w:val="16"/>
              </w:rPr>
              <w:t> </w:t>
            </w:r>
            <w:r>
              <w:rPr>
                <w:rFonts w:ascii="宋体" w:hAnsi="宋体" w:cs="宋体" w:eastAsia="宋体" w:hint="default"/>
                <w:sz w:val="16"/>
                <w:szCs w:val="16"/>
              </w:rPr>
              <w:t>益的净利润</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2" w:right="0"/>
              <w:jc w:val="center"/>
              <w:rPr>
                <w:rFonts w:ascii="Arial" w:hAnsi="Arial" w:cs="Arial" w:eastAsia="Arial" w:hint="default"/>
                <w:sz w:val="16"/>
                <w:szCs w:val="16"/>
              </w:rPr>
            </w:pPr>
            <w:r>
              <w:rPr>
                <w:rFonts w:ascii="Arial"/>
                <w:sz w:val="16"/>
              </w:rPr>
              <w:t>1,156,726,060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5" w:right="0"/>
              <w:jc w:val="center"/>
              <w:rPr>
                <w:rFonts w:ascii="Arial" w:hAnsi="Arial" w:cs="Arial" w:eastAsia="Arial" w:hint="default"/>
                <w:sz w:val="16"/>
                <w:szCs w:val="16"/>
              </w:rPr>
            </w:pPr>
            <w:r>
              <w:rPr>
                <w:rFonts w:ascii="Arial"/>
                <w:sz w:val="16"/>
              </w:rPr>
              <w:t>1,048,143,849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7"/>
              <w:jc w:val="right"/>
              <w:rPr>
                <w:rFonts w:ascii="Arial" w:hAnsi="Arial" w:cs="Arial" w:eastAsia="Arial" w:hint="default"/>
                <w:sz w:val="16"/>
                <w:szCs w:val="16"/>
              </w:rPr>
            </w:pPr>
            <w:r>
              <w:rPr>
                <w:rFonts w:ascii="Arial"/>
                <w:w w:val="95"/>
                <w:sz w:val="16"/>
              </w:rPr>
              <w:t>1,048,143,849</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28"/>
              <w:jc w:val="right"/>
              <w:rPr>
                <w:rFonts w:ascii="Arial" w:hAnsi="Arial" w:cs="Arial" w:eastAsia="Arial" w:hint="default"/>
                <w:sz w:val="16"/>
                <w:szCs w:val="16"/>
              </w:rPr>
            </w:pPr>
            <w:r>
              <w:rPr>
                <w:rFonts w:ascii="Arial"/>
                <w:w w:val="95"/>
                <w:sz w:val="16"/>
              </w:rPr>
              <w:t>10.4</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37" w:right="0"/>
              <w:jc w:val="left"/>
              <w:rPr>
                <w:rFonts w:ascii="Arial" w:hAnsi="Arial" w:cs="Arial" w:eastAsia="Arial" w:hint="default"/>
                <w:sz w:val="16"/>
                <w:szCs w:val="16"/>
              </w:rPr>
            </w:pPr>
            <w:r>
              <w:rPr>
                <w:rFonts w:ascii="Arial"/>
                <w:sz w:val="16"/>
              </w:rPr>
              <w:t>2,582,711,950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8"/>
              <w:jc w:val="right"/>
              <w:rPr>
                <w:rFonts w:ascii="Arial" w:hAnsi="Arial" w:cs="Arial" w:eastAsia="Arial" w:hint="default"/>
                <w:sz w:val="16"/>
                <w:szCs w:val="16"/>
              </w:rPr>
            </w:pPr>
            <w:r>
              <w:rPr>
                <w:rFonts w:ascii="Arial"/>
                <w:w w:val="95"/>
                <w:sz w:val="16"/>
              </w:rPr>
              <w:t>2,582,711,950</w:t>
            </w:r>
            <w:r>
              <w:rPr>
                <w:rFonts w:ascii="Arial"/>
                <w:sz w:val="16"/>
              </w:rPr>
            </w:r>
          </w:p>
        </w:tc>
      </w:tr>
      <w:tr>
        <w:trPr>
          <w:trHeight w:val="538"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02" w:right="140" w:hanging="183"/>
              <w:jc w:val="left"/>
              <w:rPr>
                <w:rFonts w:ascii="宋体" w:hAnsi="宋体" w:cs="宋体" w:eastAsia="宋体" w:hint="default"/>
                <w:sz w:val="16"/>
                <w:szCs w:val="16"/>
              </w:rPr>
            </w:pPr>
            <w:r>
              <w:rPr>
                <w:rFonts w:ascii="宋体" w:hAnsi="宋体" w:cs="宋体" w:eastAsia="宋体" w:hint="default"/>
                <w:sz w:val="16"/>
                <w:szCs w:val="16"/>
              </w:rPr>
              <w:t>经营活动产生的现金</w:t>
            </w:r>
            <w:r>
              <w:rPr>
                <w:rFonts w:ascii="宋体" w:hAnsi="宋体" w:cs="宋体" w:eastAsia="宋体" w:hint="default"/>
                <w:w w:val="99"/>
                <w:sz w:val="16"/>
                <w:szCs w:val="16"/>
              </w:rPr>
              <w:t> </w:t>
            </w:r>
            <w:r>
              <w:rPr>
                <w:rFonts w:ascii="宋体" w:hAnsi="宋体" w:cs="宋体" w:eastAsia="宋体" w:hint="default"/>
                <w:sz w:val="16"/>
                <w:szCs w:val="16"/>
              </w:rPr>
              <w:t>流量净额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3" w:right="0"/>
              <w:jc w:val="center"/>
              <w:rPr>
                <w:rFonts w:ascii="Arial" w:hAnsi="Arial" w:cs="Arial" w:eastAsia="Arial" w:hint="default"/>
                <w:sz w:val="16"/>
                <w:szCs w:val="16"/>
              </w:rPr>
            </w:pPr>
            <w:r>
              <w:rPr>
                <w:rFonts w:ascii="Arial"/>
                <w:sz w:val="16"/>
              </w:rPr>
              <w:t>69,452,862,906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6" w:right="0"/>
              <w:jc w:val="center"/>
              <w:rPr>
                <w:rFonts w:ascii="Arial" w:hAnsi="Arial" w:cs="Arial" w:eastAsia="Arial" w:hint="default"/>
                <w:sz w:val="16"/>
                <w:szCs w:val="16"/>
              </w:rPr>
            </w:pPr>
            <w:r>
              <w:rPr>
                <w:rFonts w:ascii="Arial"/>
                <w:sz w:val="16"/>
              </w:rPr>
              <w:t>68,241,006,456</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right"/>
              <w:rPr>
                <w:rFonts w:ascii="Arial" w:hAnsi="Arial" w:cs="Arial" w:eastAsia="Arial" w:hint="default"/>
                <w:sz w:val="16"/>
                <w:szCs w:val="16"/>
              </w:rPr>
            </w:pPr>
            <w:r>
              <w:rPr>
                <w:rFonts w:ascii="Arial"/>
                <w:w w:val="95"/>
                <w:sz w:val="16"/>
              </w:rPr>
              <w:t>68,209,960,601</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8"/>
              <w:jc w:val="right"/>
              <w:rPr>
                <w:rFonts w:ascii="Arial" w:hAnsi="Arial" w:cs="Arial" w:eastAsia="Arial" w:hint="default"/>
                <w:sz w:val="16"/>
                <w:szCs w:val="16"/>
              </w:rPr>
            </w:pPr>
            <w:r>
              <w:rPr>
                <w:rFonts w:ascii="Arial"/>
                <w:w w:val="95"/>
                <w:sz w:val="16"/>
              </w:rPr>
              <w:t>1.8</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 w:right="0"/>
              <w:jc w:val="left"/>
              <w:rPr>
                <w:rFonts w:ascii="Arial" w:hAnsi="Arial" w:cs="Arial" w:eastAsia="Arial" w:hint="default"/>
                <w:sz w:val="16"/>
                <w:szCs w:val="16"/>
              </w:rPr>
            </w:pPr>
            <w:r>
              <w:rPr>
                <w:rFonts w:ascii="Arial"/>
                <w:sz w:val="16"/>
              </w:rPr>
              <w:t>59,308,678,193</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9"/>
              <w:jc w:val="right"/>
              <w:rPr>
                <w:rFonts w:ascii="Arial" w:hAnsi="Arial" w:cs="Arial" w:eastAsia="Arial" w:hint="default"/>
                <w:sz w:val="16"/>
                <w:szCs w:val="16"/>
              </w:rPr>
            </w:pPr>
            <w:r>
              <w:rPr>
                <w:rFonts w:ascii="Arial"/>
                <w:w w:val="95"/>
                <w:sz w:val="16"/>
              </w:rPr>
              <w:t>59,308,819,463</w:t>
            </w:r>
            <w:r>
              <w:rPr>
                <w:rFonts w:ascii="Arial"/>
                <w:sz w:val="16"/>
              </w:rPr>
            </w:r>
          </w:p>
        </w:tc>
      </w:tr>
      <w:tr>
        <w:trPr>
          <w:trHeight w:val="304" w:hRule="exact"/>
        </w:trPr>
        <w:tc>
          <w:tcPr>
            <w:tcW w:w="1616" w:type="dxa"/>
            <w:vMerge w:val="restart"/>
            <w:tcBorders>
              <w:top w:val="single" w:sz="6" w:space="0" w:color="000000"/>
              <w:left w:val="single" w:sz="6" w:space="0" w:color="000000"/>
              <w:right w:val="single" w:sz="6" w:space="0" w:color="000000"/>
            </w:tcBorders>
          </w:tcPr>
          <w:p>
            <w:pPr/>
          </w:p>
        </w:tc>
        <w:tc>
          <w:tcPr>
            <w:tcW w:w="141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年末</w:t>
            </w:r>
          </w:p>
        </w:tc>
        <w:tc>
          <w:tcPr>
            <w:tcW w:w="26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742"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年末（注）</w:t>
            </w:r>
          </w:p>
        </w:tc>
        <w:tc>
          <w:tcPr>
            <w:tcW w:w="972" w:type="dxa"/>
            <w:vMerge w:val="restart"/>
            <w:tcBorders>
              <w:top w:val="single" w:sz="6" w:space="0" w:color="000000"/>
              <w:left w:val="single" w:sz="6" w:space="0" w:color="000000"/>
              <w:right w:val="single" w:sz="6" w:space="0" w:color="000000"/>
            </w:tcBorders>
          </w:tcPr>
          <w:p>
            <w:pPr>
              <w:pStyle w:val="TableParagraph"/>
              <w:spacing w:line="240" w:lineRule="auto" w:before="61"/>
              <w:ind w:left="31" w:right="36" w:firstLine="44"/>
              <w:jc w:val="left"/>
              <w:rPr>
                <w:rFonts w:ascii="Arial" w:hAnsi="Arial" w:cs="Arial" w:eastAsia="Arial" w:hint="default"/>
                <w:sz w:val="16"/>
                <w:szCs w:val="16"/>
              </w:rPr>
            </w:pPr>
            <w:r>
              <w:rPr>
                <w:rFonts w:ascii="宋体" w:hAnsi="宋体" w:cs="宋体" w:eastAsia="宋体" w:hint="default"/>
                <w:sz w:val="16"/>
                <w:szCs w:val="16"/>
              </w:rPr>
              <w:t>本年末比上</w:t>
            </w:r>
            <w:r>
              <w:rPr>
                <w:rFonts w:ascii="宋体" w:hAnsi="宋体" w:cs="宋体" w:eastAsia="宋体" w:hint="default"/>
                <w:w w:val="99"/>
                <w:sz w:val="16"/>
                <w:szCs w:val="16"/>
              </w:rPr>
              <w:t> </w:t>
            </w:r>
            <w:r>
              <w:rPr>
                <w:rFonts w:ascii="宋体" w:hAnsi="宋体" w:cs="宋体" w:eastAsia="宋体" w:hint="default"/>
                <w:sz w:val="16"/>
                <w:szCs w:val="16"/>
              </w:rPr>
              <w:t>年末增减</w:t>
            </w:r>
            <w:r>
              <w:rPr>
                <w:rFonts w:ascii="Arial" w:hAnsi="Arial" w:cs="Arial" w:eastAsia="Arial" w:hint="default"/>
                <w:sz w:val="16"/>
                <w:szCs w:val="16"/>
              </w:rPr>
              <w:t>(%)</w:t>
            </w:r>
          </w:p>
        </w:tc>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739"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6"/>
                <w:sz w:val="16"/>
                <w:szCs w:val="16"/>
              </w:rPr>
              <w:t> </w:t>
            </w:r>
            <w:r>
              <w:rPr>
                <w:rFonts w:ascii="宋体" w:hAnsi="宋体" w:cs="宋体" w:eastAsia="宋体" w:hint="default"/>
                <w:sz w:val="16"/>
                <w:szCs w:val="16"/>
              </w:rPr>
              <w:t>年末（注）</w:t>
            </w:r>
          </w:p>
        </w:tc>
      </w:tr>
      <w:tr>
        <w:trPr>
          <w:trHeight w:val="302" w:hRule="exact"/>
        </w:trPr>
        <w:tc>
          <w:tcPr>
            <w:tcW w:w="1616" w:type="dxa"/>
            <w:vMerge/>
            <w:tcBorders>
              <w:left w:val="single" w:sz="6" w:space="0" w:color="000000"/>
              <w:bottom w:val="single" w:sz="6" w:space="0" w:color="000000"/>
              <w:right w:val="single" w:sz="6" w:space="0" w:color="000000"/>
            </w:tcBorders>
          </w:tcPr>
          <w:p>
            <w:pPr/>
          </w:p>
        </w:tc>
        <w:tc>
          <w:tcPr>
            <w:tcW w:w="1414" w:type="dxa"/>
            <w:vMerge/>
            <w:tcBorders>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3" w:right="0"/>
              <w:jc w:val="center"/>
              <w:rPr>
                <w:rFonts w:ascii="宋体" w:hAnsi="宋体" w:cs="宋体" w:eastAsia="宋体" w:hint="default"/>
                <w:sz w:val="16"/>
                <w:szCs w:val="16"/>
              </w:rPr>
            </w:pPr>
            <w:r>
              <w:rPr>
                <w:rFonts w:ascii="宋体" w:hAnsi="宋体" w:cs="宋体" w:eastAsia="宋体" w:hint="default"/>
                <w:sz w:val="16"/>
                <w:szCs w:val="16"/>
              </w:rPr>
              <w:t>调整后</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25" w:right="0"/>
              <w:jc w:val="left"/>
              <w:rPr>
                <w:rFonts w:ascii="宋体" w:hAnsi="宋体" w:cs="宋体" w:eastAsia="宋体" w:hint="default"/>
                <w:sz w:val="16"/>
                <w:szCs w:val="16"/>
              </w:rPr>
            </w:pPr>
            <w:r>
              <w:rPr>
                <w:rFonts w:ascii="宋体" w:hAnsi="宋体" w:cs="宋体" w:eastAsia="宋体" w:hint="default"/>
                <w:sz w:val="16"/>
                <w:szCs w:val="16"/>
              </w:rPr>
              <w:t>调整前</w:t>
            </w:r>
          </w:p>
        </w:tc>
        <w:tc>
          <w:tcPr>
            <w:tcW w:w="972" w:type="dxa"/>
            <w:vMerge/>
            <w:tcBorders>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09" w:right="0"/>
              <w:jc w:val="left"/>
              <w:rPr>
                <w:rFonts w:ascii="宋体" w:hAnsi="宋体" w:cs="宋体" w:eastAsia="宋体" w:hint="default"/>
                <w:sz w:val="16"/>
                <w:szCs w:val="16"/>
              </w:rPr>
            </w:pPr>
            <w:r>
              <w:rPr>
                <w:rFonts w:ascii="宋体" w:hAnsi="宋体" w:cs="宋体" w:eastAsia="宋体" w:hint="default"/>
                <w:sz w:val="16"/>
                <w:szCs w:val="16"/>
              </w:rPr>
              <w:t>调整后</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40" w:right="0"/>
              <w:jc w:val="left"/>
              <w:rPr>
                <w:rFonts w:ascii="宋体" w:hAnsi="宋体" w:cs="宋体" w:eastAsia="宋体" w:hint="default"/>
                <w:sz w:val="16"/>
                <w:szCs w:val="16"/>
              </w:rPr>
            </w:pPr>
            <w:r>
              <w:rPr>
                <w:rFonts w:ascii="宋体" w:hAnsi="宋体" w:cs="宋体" w:eastAsia="宋体" w:hint="default"/>
                <w:sz w:val="16"/>
                <w:szCs w:val="16"/>
              </w:rPr>
              <w:t>调整前</w:t>
            </w:r>
          </w:p>
        </w:tc>
      </w:tr>
      <w:tr>
        <w:trPr>
          <w:trHeight w:val="304"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0" w:right="0"/>
              <w:jc w:val="left"/>
              <w:rPr>
                <w:rFonts w:ascii="宋体" w:hAnsi="宋体" w:cs="宋体" w:eastAsia="宋体" w:hint="default"/>
                <w:sz w:val="16"/>
                <w:szCs w:val="16"/>
              </w:rPr>
            </w:pPr>
            <w:r>
              <w:rPr>
                <w:rFonts w:ascii="宋体" w:hAnsi="宋体" w:cs="宋体" w:eastAsia="宋体" w:hint="default"/>
                <w:sz w:val="16"/>
                <w:szCs w:val="16"/>
              </w:rPr>
              <w:t>资产总额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64" w:right="0"/>
              <w:jc w:val="center"/>
              <w:rPr>
                <w:rFonts w:ascii="Arial" w:hAnsi="Arial" w:cs="Arial" w:eastAsia="Arial" w:hint="default"/>
                <w:sz w:val="16"/>
                <w:szCs w:val="16"/>
              </w:rPr>
            </w:pPr>
            <w:r>
              <w:rPr>
                <w:rFonts w:ascii="Arial"/>
                <w:sz w:val="16"/>
              </w:rPr>
              <w:t>458,523,843,879</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7" w:right="0"/>
              <w:jc w:val="center"/>
              <w:rPr>
                <w:rFonts w:ascii="Arial" w:hAnsi="Arial" w:cs="Arial" w:eastAsia="Arial" w:hint="default"/>
                <w:sz w:val="16"/>
                <w:szCs w:val="16"/>
              </w:rPr>
            </w:pPr>
            <w:r>
              <w:rPr>
                <w:rFonts w:ascii="Arial"/>
                <w:sz w:val="16"/>
              </w:rPr>
              <w:t>443,607,667,855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8"/>
              <w:jc w:val="right"/>
              <w:rPr>
                <w:rFonts w:ascii="Arial" w:hAnsi="Arial" w:cs="Arial" w:eastAsia="Arial" w:hint="default"/>
                <w:sz w:val="16"/>
                <w:szCs w:val="16"/>
              </w:rPr>
            </w:pPr>
            <w:r>
              <w:rPr>
                <w:rFonts w:ascii="Arial"/>
                <w:w w:val="95"/>
                <w:sz w:val="16"/>
              </w:rPr>
              <w:t>443,466,253,707</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9"/>
              <w:jc w:val="right"/>
              <w:rPr>
                <w:rFonts w:ascii="Arial" w:hAnsi="Arial" w:cs="Arial" w:eastAsia="Arial" w:hint="default"/>
                <w:sz w:val="16"/>
                <w:szCs w:val="16"/>
              </w:rPr>
            </w:pPr>
            <w:r>
              <w:rPr>
                <w:rFonts w:ascii="Arial"/>
                <w:w w:val="95"/>
                <w:sz w:val="16"/>
              </w:rPr>
              <w:t>3.4</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66"/>
              <w:jc w:val="right"/>
              <w:rPr>
                <w:rFonts w:ascii="Arial" w:hAnsi="Arial" w:cs="Arial" w:eastAsia="Arial" w:hint="default"/>
                <w:sz w:val="16"/>
                <w:szCs w:val="16"/>
              </w:rPr>
            </w:pPr>
            <w:r>
              <w:rPr>
                <w:rFonts w:ascii="Arial"/>
                <w:w w:val="95"/>
                <w:sz w:val="16"/>
              </w:rPr>
              <w:t>419,360,994,738</w:t>
            </w:r>
            <w:r>
              <w:rPr>
                <w:rFonts w:ascii="Arial"/>
                <w:sz w:val="16"/>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10"/>
              <w:jc w:val="right"/>
              <w:rPr>
                <w:rFonts w:ascii="Arial" w:hAnsi="Arial" w:cs="Arial" w:eastAsia="Arial" w:hint="default"/>
                <w:sz w:val="16"/>
                <w:szCs w:val="16"/>
              </w:rPr>
            </w:pPr>
            <w:r>
              <w:rPr>
                <w:rFonts w:ascii="Arial"/>
                <w:w w:val="95"/>
                <w:sz w:val="16"/>
              </w:rPr>
              <w:t>419,232,296,909</w:t>
            </w:r>
            <w:r>
              <w:rPr>
                <w:rFonts w:ascii="Arial"/>
                <w:sz w:val="16"/>
              </w:rPr>
            </w:r>
          </w:p>
        </w:tc>
      </w:tr>
      <w:tr>
        <w:trPr>
          <w:trHeight w:val="302"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0" w:right="0"/>
              <w:jc w:val="left"/>
              <w:rPr>
                <w:rFonts w:ascii="宋体" w:hAnsi="宋体" w:cs="宋体" w:eastAsia="宋体" w:hint="default"/>
                <w:sz w:val="16"/>
                <w:szCs w:val="16"/>
              </w:rPr>
            </w:pPr>
            <w:r>
              <w:rPr>
                <w:rFonts w:ascii="宋体" w:hAnsi="宋体" w:cs="宋体" w:eastAsia="宋体" w:hint="default"/>
                <w:sz w:val="16"/>
                <w:szCs w:val="16"/>
              </w:rPr>
              <w:t>负债总额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4" w:right="0"/>
              <w:jc w:val="center"/>
              <w:rPr>
                <w:rFonts w:ascii="Arial" w:hAnsi="Arial" w:cs="Arial" w:eastAsia="Arial" w:hint="default"/>
                <w:sz w:val="16"/>
                <w:szCs w:val="16"/>
              </w:rPr>
            </w:pPr>
            <w:r>
              <w:rPr>
                <w:rFonts w:ascii="Arial"/>
                <w:sz w:val="16"/>
              </w:rPr>
              <w:t>249,913,147,826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7" w:right="0"/>
              <w:jc w:val="center"/>
              <w:rPr>
                <w:rFonts w:ascii="Arial" w:hAnsi="Arial" w:cs="Arial" w:eastAsia="Arial" w:hint="default"/>
                <w:sz w:val="16"/>
                <w:szCs w:val="16"/>
              </w:rPr>
            </w:pPr>
            <w:r>
              <w:rPr>
                <w:rFonts w:ascii="Arial"/>
                <w:sz w:val="16"/>
              </w:rPr>
              <w:t>235,283,852,964</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8"/>
              <w:jc w:val="right"/>
              <w:rPr>
                <w:rFonts w:ascii="Arial" w:hAnsi="Arial" w:cs="Arial" w:eastAsia="Arial" w:hint="default"/>
                <w:sz w:val="16"/>
                <w:szCs w:val="16"/>
              </w:rPr>
            </w:pPr>
            <w:r>
              <w:rPr>
                <w:rFonts w:ascii="Arial"/>
                <w:w w:val="95"/>
                <w:sz w:val="16"/>
              </w:rPr>
              <w:t>235,285,807,693</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9"/>
              <w:jc w:val="right"/>
              <w:rPr>
                <w:rFonts w:ascii="Arial" w:hAnsi="Arial" w:cs="Arial" w:eastAsia="Arial" w:hint="default"/>
                <w:sz w:val="16"/>
                <w:szCs w:val="16"/>
              </w:rPr>
            </w:pPr>
            <w:r>
              <w:rPr>
                <w:rFonts w:ascii="Arial"/>
                <w:w w:val="95"/>
                <w:sz w:val="16"/>
              </w:rPr>
              <w:t>6.2</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66"/>
              <w:jc w:val="right"/>
              <w:rPr>
                <w:rFonts w:ascii="Arial" w:hAnsi="Arial" w:cs="Arial" w:eastAsia="Arial" w:hint="default"/>
                <w:sz w:val="16"/>
                <w:szCs w:val="16"/>
              </w:rPr>
            </w:pPr>
            <w:r>
              <w:rPr>
                <w:rFonts w:ascii="Arial"/>
                <w:w w:val="95"/>
                <w:sz w:val="16"/>
              </w:rPr>
              <w:t>210,392,509,758</w:t>
            </w:r>
            <w:r>
              <w:rPr>
                <w:rFonts w:ascii="Arial"/>
                <w:sz w:val="16"/>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10"/>
              <w:jc w:val="right"/>
              <w:rPr>
                <w:rFonts w:ascii="Arial" w:hAnsi="Arial" w:cs="Arial" w:eastAsia="Arial" w:hint="default"/>
                <w:sz w:val="16"/>
                <w:szCs w:val="16"/>
              </w:rPr>
            </w:pPr>
            <w:r>
              <w:rPr>
                <w:rFonts w:ascii="Arial"/>
                <w:w w:val="95"/>
                <w:sz w:val="16"/>
              </w:rPr>
              <w:t>210,386,824,377</w:t>
            </w:r>
            <w:r>
              <w:rPr>
                <w:rFonts w:ascii="Arial"/>
                <w:sz w:val="16"/>
              </w:rPr>
            </w:r>
          </w:p>
        </w:tc>
      </w:tr>
      <w:tr>
        <w:trPr>
          <w:trHeight w:val="520"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02" w:right="140" w:hanging="183"/>
              <w:jc w:val="left"/>
              <w:rPr>
                <w:rFonts w:ascii="宋体" w:hAnsi="宋体" w:cs="宋体" w:eastAsia="宋体" w:hint="default"/>
                <w:sz w:val="16"/>
                <w:szCs w:val="16"/>
              </w:rPr>
            </w:pPr>
            <w:r>
              <w:rPr>
                <w:rFonts w:ascii="宋体" w:hAnsi="宋体" w:cs="宋体" w:eastAsia="宋体" w:hint="default"/>
                <w:sz w:val="16"/>
                <w:szCs w:val="16"/>
              </w:rPr>
              <w:t>归属于上市公司股东</w:t>
            </w:r>
            <w:r>
              <w:rPr>
                <w:rFonts w:ascii="宋体" w:hAnsi="宋体" w:cs="宋体" w:eastAsia="宋体" w:hint="default"/>
                <w:w w:val="99"/>
                <w:sz w:val="16"/>
                <w:szCs w:val="16"/>
              </w:rPr>
              <w:t> </w:t>
            </w:r>
            <w:r>
              <w:rPr>
                <w:rFonts w:ascii="宋体" w:hAnsi="宋体" w:cs="宋体" w:eastAsia="宋体" w:hint="default"/>
                <w:sz w:val="16"/>
                <w:szCs w:val="16"/>
              </w:rPr>
              <w:t>的所有者权益</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53" w:right="0"/>
              <w:jc w:val="center"/>
              <w:rPr>
                <w:rFonts w:ascii="Arial" w:hAnsi="Arial" w:cs="Arial" w:eastAsia="Arial" w:hint="default"/>
                <w:sz w:val="16"/>
                <w:szCs w:val="16"/>
              </w:rPr>
            </w:pPr>
            <w:r>
              <w:rPr>
                <w:rFonts w:ascii="Arial"/>
                <w:sz w:val="16"/>
              </w:rPr>
              <w:t>71,023,802,206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26" w:right="0"/>
              <w:jc w:val="center"/>
              <w:rPr>
                <w:rFonts w:ascii="Arial" w:hAnsi="Arial" w:cs="Arial" w:eastAsia="Arial" w:hint="default"/>
                <w:sz w:val="16"/>
                <w:szCs w:val="16"/>
              </w:rPr>
            </w:pPr>
            <w:r>
              <w:rPr>
                <w:rFonts w:ascii="Arial"/>
                <w:sz w:val="16"/>
              </w:rPr>
              <w:t>70,884,609,445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38"/>
              <w:jc w:val="right"/>
              <w:rPr>
                <w:rFonts w:ascii="Arial" w:hAnsi="Arial" w:cs="Arial" w:eastAsia="Arial" w:hint="default"/>
                <w:sz w:val="16"/>
                <w:szCs w:val="16"/>
              </w:rPr>
            </w:pPr>
            <w:r>
              <w:rPr>
                <w:rFonts w:ascii="Arial"/>
                <w:w w:val="95"/>
                <w:sz w:val="16"/>
              </w:rPr>
              <w:t>70,836,035,619</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28"/>
              <w:jc w:val="right"/>
              <w:rPr>
                <w:rFonts w:ascii="Arial" w:hAnsi="Arial" w:cs="Arial" w:eastAsia="Arial" w:hint="default"/>
                <w:sz w:val="16"/>
                <w:szCs w:val="16"/>
              </w:rPr>
            </w:pPr>
            <w:r>
              <w:rPr>
                <w:rFonts w:ascii="Arial"/>
                <w:w w:val="95"/>
                <w:sz w:val="16"/>
              </w:rPr>
              <w:t>0.2</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65"/>
              <w:jc w:val="right"/>
              <w:rPr>
                <w:rFonts w:ascii="Arial" w:hAnsi="Arial" w:cs="Arial" w:eastAsia="Arial" w:hint="default"/>
                <w:sz w:val="16"/>
                <w:szCs w:val="16"/>
              </w:rPr>
            </w:pPr>
            <w:r>
              <w:rPr>
                <w:rFonts w:ascii="Arial"/>
                <w:w w:val="95"/>
                <w:sz w:val="16"/>
              </w:rPr>
              <w:t>71,025,562,842</w:t>
            </w:r>
            <w:r>
              <w:rPr>
                <w:rFonts w:ascii="Arial"/>
                <w:sz w:val="16"/>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9"/>
              <w:jc w:val="right"/>
              <w:rPr>
                <w:rFonts w:ascii="Arial" w:hAnsi="Arial" w:cs="Arial" w:eastAsia="Arial" w:hint="default"/>
                <w:sz w:val="16"/>
                <w:szCs w:val="16"/>
              </w:rPr>
            </w:pPr>
            <w:r>
              <w:rPr>
                <w:rFonts w:ascii="Arial"/>
                <w:w w:val="95"/>
                <w:sz w:val="16"/>
              </w:rPr>
              <w:t>70,983,885,838</w:t>
            </w:r>
            <w:r>
              <w:rPr>
                <w:rFonts w:ascii="Arial"/>
                <w:sz w:val="16"/>
              </w:rPr>
            </w:r>
          </w:p>
        </w:tc>
      </w:tr>
      <w:tr>
        <w:trPr>
          <w:trHeight w:val="304" w:hRule="exact"/>
        </w:trPr>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0" w:right="0"/>
              <w:jc w:val="left"/>
              <w:rPr>
                <w:rFonts w:ascii="宋体" w:hAnsi="宋体" w:cs="宋体" w:eastAsia="宋体" w:hint="default"/>
                <w:sz w:val="16"/>
                <w:szCs w:val="16"/>
              </w:rPr>
            </w:pPr>
            <w:r>
              <w:rPr>
                <w:rFonts w:ascii="宋体" w:hAnsi="宋体" w:cs="宋体" w:eastAsia="宋体" w:hint="default"/>
                <w:sz w:val="16"/>
                <w:szCs w:val="16"/>
              </w:rPr>
              <w:t>总股本</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53" w:right="0"/>
              <w:jc w:val="center"/>
              <w:rPr>
                <w:rFonts w:ascii="Arial" w:hAnsi="Arial" w:cs="Arial" w:eastAsia="Arial" w:hint="default"/>
                <w:sz w:val="16"/>
                <w:szCs w:val="16"/>
              </w:rPr>
            </w:pPr>
            <w:r>
              <w:rPr>
                <w:rFonts w:ascii="Arial"/>
                <w:sz w:val="16"/>
              </w:rPr>
              <w:t>21,196,596,395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26" w:right="0"/>
              <w:jc w:val="center"/>
              <w:rPr>
                <w:rFonts w:ascii="Arial" w:hAnsi="Arial" w:cs="Arial" w:eastAsia="Arial" w:hint="default"/>
                <w:sz w:val="16"/>
                <w:szCs w:val="16"/>
              </w:rPr>
            </w:pPr>
            <w:r>
              <w:rPr>
                <w:rFonts w:ascii="Arial"/>
                <w:sz w:val="16"/>
              </w:rPr>
              <w:t>21,196,596,395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8"/>
              <w:jc w:val="right"/>
              <w:rPr>
                <w:rFonts w:ascii="Arial" w:hAnsi="Arial" w:cs="Arial" w:eastAsia="Arial" w:hint="default"/>
                <w:sz w:val="16"/>
                <w:szCs w:val="16"/>
              </w:rPr>
            </w:pPr>
            <w:r>
              <w:rPr>
                <w:rFonts w:ascii="Arial"/>
                <w:w w:val="95"/>
                <w:sz w:val="16"/>
              </w:rPr>
              <w:t>21,196,596,395</w:t>
            </w:r>
            <w:r>
              <w:rPr>
                <w:rFonts w:ascii="Arial"/>
                <w:sz w:val="16"/>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0"/>
              <w:jc w:val="right"/>
              <w:rPr>
                <w:rFonts w:ascii="Arial" w:hAnsi="Arial" w:cs="Arial" w:eastAsia="Arial" w:hint="default"/>
                <w:sz w:val="16"/>
                <w:szCs w:val="16"/>
              </w:rPr>
            </w:pPr>
            <w:r>
              <w:rPr>
                <w:rFonts w:ascii="Arial"/>
                <w:w w:val="99"/>
                <w:sz w:val="16"/>
              </w:rPr>
              <w:t>-</w:t>
            </w:r>
            <w:r>
              <w:rPr>
                <w:rFonts w:ascii="Arial"/>
                <w:sz w:val="16"/>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65"/>
              <w:jc w:val="right"/>
              <w:rPr>
                <w:rFonts w:ascii="Arial" w:hAnsi="Arial" w:cs="Arial" w:eastAsia="Arial" w:hint="default"/>
                <w:sz w:val="16"/>
                <w:szCs w:val="16"/>
              </w:rPr>
            </w:pPr>
            <w:r>
              <w:rPr>
                <w:rFonts w:ascii="Arial"/>
                <w:w w:val="95"/>
                <w:sz w:val="16"/>
              </w:rPr>
              <w:t>21,196,596,395</w:t>
            </w:r>
            <w:r>
              <w:rPr>
                <w:rFonts w:ascii="Arial"/>
                <w:sz w:val="16"/>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9"/>
              <w:jc w:val="right"/>
              <w:rPr>
                <w:rFonts w:ascii="Arial" w:hAnsi="Arial" w:cs="Arial" w:eastAsia="Arial" w:hint="default"/>
                <w:sz w:val="16"/>
                <w:szCs w:val="16"/>
              </w:rPr>
            </w:pPr>
            <w:r>
              <w:rPr>
                <w:rFonts w:ascii="Arial"/>
                <w:w w:val="95"/>
                <w:sz w:val="16"/>
              </w:rPr>
              <w:t>21,196,596,395</w:t>
            </w:r>
            <w:r>
              <w:rPr>
                <w:rFonts w:ascii="Arial"/>
                <w:sz w:val="16"/>
              </w:rPr>
            </w:r>
          </w:p>
        </w:tc>
      </w:tr>
    </w:tbl>
    <w:p>
      <w:pPr>
        <w:spacing w:line="240" w:lineRule="auto" w:before="5"/>
        <w:rPr>
          <w:rFonts w:ascii="宋体" w:hAnsi="宋体" w:cs="宋体" w:eastAsia="宋体" w:hint="default"/>
          <w:sz w:val="19"/>
          <w:szCs w:val="19"/>
        </w:rPr>
      </w:pPr>
    </w:p>
    <w:tbl>
      <w:tblPr>
        <w:tblW w:w="0" w:type="auto"/>
        <w:jc w:val="left"/>
        <w:tblInd w:w="130" w:type="dxa"/>
        <w:tblLayout w:type="fixed"/>
        <w:tblCellMar>
          <w:top w:w="0" w:type="dxa"/>
          <w:left w:w="0" w:type="dxa"/>
          <w:bottom w:w="0" w:type="dxa"/>
          <w:right w:w="0" w:type="dxa"/>
        </w:tblCellMar>
        <w:tblLook w:val="01E0"/>
      </w:tblPr>
      <w:tblGrid>
        <w:gridCol w:w="3431"/>
        <w:gridCol w:w="767"/>
        <w:gridCol w:w="914"/>
        <w:gridCol w:w="853"/>
        <w:gridCol w:w="1616"/>
        <w:gridCol w:w="949"/>
        <w:gridCol w:w="852"/>
      </w:tblGrid>
      <w:tr>
        <w:trPr>
          <w:trHeight w:val="304" w:hRule="exact"/>
        </w:trPr>
        <w:tc>
          <w:tcPr>
            <w:tcW w:w="343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主要财务指标</w:t>
            </w:r>
          </w:p>
        </w:tc>
        <w:tc>
          <w:tcPr>
            <w:tcW w:w="76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9"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12"/>
                <w:sz w:val="16"/>
                <w:szCs w:val="16"/>
              </w:rPr>
              <w:t> </w:t>
            </w:r>
            <w:r>
              <w:rPr>
                <w:rFonts w:ascii="宋体" w:hAnsi="宋体" w:cs="宋体" w:eastAsia="宋体" w:hint="default"/>
                <w:sz w:val="16"/>
                <w:szCs w:val="16"/>
              </w:rPr>
              <w:t>年</w:t>
            </w:r>
          </w:p>
        </w:tc>
        <w:tc>
          <w:tcPr>
            <w:tcW w:w="1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57"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年（注）</w:t>
            </w:r>
          </w:p>
        </w:tc>
        <w:tc>
          <w:tcPr>
            <w:tcW w:w="161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6" w:right="0"/>
              <w:jc w:val="left"/>
              <w:rPr>
                <w:rFonts w:ascii="Arial" w:hAnsi="Arial" w:cs="Arial" w:eastAsia="Arial" w:hint="default"/>
                <w:sz w:val="16"/>
                <w:szCs w:val="16"/>
              </w:rPr>
            </w:pPr>
            <w:r>
              <w:rPr>
                <w:rFonts w:ascii="宋体" w:hAnsi="宋体" w:cs="宋体" w:eastAsia="宋体" w:hint="default"/>
                <w:sz w:val="16"/>
                <w:szCs w:val="16"/>
              </w:rPr>
              <w:t>本年比上年增减</w:t>
            </w:r>
            <w:r>
              <w:rPr>
                <w:rFonts w:ascii="Arial" w:hAnsi="Arial" w:cs="Arial" w:eastAsia="Arial" w:hint="default"/>
                <w:sz w:val="16"/>
                <w:szCs w:val="16"/>
              </w:rPr>
              <w:t>(%)</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74"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年（注）</w:t>
            </w:r>
          </w:p>
        </w:tc>
      </w:tr>
      <w:tr>
        <w:trPr>
          <w:trHeight w:val="302" w:hRule="exact"/>
        </w:trPr>
        <w:tc>
          <w:tcPr>
            <w:tcW w:w="3431" w:type="dxa"/>
            <w:vMerge/>
            <w:tcBorders>
              <w:left w:val="single" w:sz="6" w:space="0" w:color="000000"/>
              <w:bottom w:val="single" w:sz="6" w:space="0" w:color="000000"/>
              <w:right w:val="single" w:sz="6" w:space="0" w:color="000000"/>
            </w:tcBorders>
          </w:tcPr>
          <w:p>
            <w:pPr/>
          </w:p>
        </w:tc>
        <w:tc>
          <w:tcPr>
            <w:tcW w:w="767" w:type="dxa"/>
            <w:vMerge/>
            <w:tcBorders>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10" w:right="0"/>
              <w:jc w:val="left"/>
              <w:rPr>
                <w:rFonts w:ascii="宋体" w:hAnsi="宋体" w:cs="宋体" w:eastAsia="宋体" w:hint="default"/>
                <w:sz w:val="16"/>
                <w:szCs w:val="16"/>
              </w:rPr>
            </w:pPr>
            <w:r>
              <w:rPr>
                <w:rFonts w:ascii="宋体" w:hAnsi="宋体" w:cs="宋体" w:eastAsia="宋体" w:hint="default"/>
                <w:sz w:val="16"/>
                <w:szCs w:val="16"/>
              </w:rPr>
              <w:t>调整后</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36"/>
              <w:jc w:val="right"/>
              <w:rPr>
                <w:rFonts w:ascii="宋体" w:hAnsi="宋体" w:cs="宋体" w:eastAsia="宋体" w:hint="default"/>
                <w:sz w:val="16"/>
                <w:szCs w:val="16"/>
              </w:rPr>
            </w:pPr>
            <w:r>
              <w:rPr>
                <w:rFonts w:ascii="宋体" w:hAnsi="宋体" w:cs="宋体" w:eastAsia="宋体" w:hint="default"/>
                <w:w w:val="95"/>
                <w:sz w:val="16"/>
                <w:szCs w:val="16"/>
              </w:rPr>
              <w:t>调整前</w:t>
            </w:r>
            <w:r>
              <w:rPr>
                <w:rFonts w:ascii="宋体" w:hAnsi="宋体" w:cs="宋体" w:eastAsia="宋体" w:hint="default"/>
                <w:sz w:val="16"/>
                <w:szCs w:val="16"/>
              </w:rPr>
            </w:r>
          </w:p>
        </w:tc>
        <w:tc>
          <w:tcPr>
            <w:tcW w:w="1616" w:type="dxa"/>
            <w:vMerge/>
            <w:tcBorders>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12" w:right="0"/>
              <w:jc w:val="left"/>
              <w:rPr>
                <w:rFonts w:ascii="宋体" w:hAnsi="宋体" w:cs="宋体" w:eastAsia="宋体" w:hint="default"/>
                <w:sz w:val="16"/>
                <w:szCs w:val="16"/>
              </w:rPr>
            </w:pPr>
            <w:r>
              <w:rPr>
                <w:rFonts w:ascii="宋体" w:hAnsi="宋体" w:cs="宋体" w:eastAsia="宋体" w:hint="default"/>
                <w:sz w:val="16"/>
                <w:szCs w:val="16"/>
              </w:rPr>
              <w:t>调整后</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51" w:right="0"/>
              <w:jc w:val="left"/>
              <w:rPr>
                <w:rFonts w:ascii="宋体" w:hAnsi="宋体" w:cs="宋体" w:eastAsia="宋体" w:hint="default"/>
                <w:sz w:val="16"/>
                <w:szCs w:val="16"/>
              </w:rPr>
            </w:pPr>
            <w:r>
              <w:rPr>
                <w:rFonts w:ascii="宋体" w:hAnsi="宋体" w:cs="宋体" w:eastAsia="宋体" w:hint="default"/>
                <w:sz w:val="16"/>
                <w:szCs w:val="16"/>
              </w:rPr>
              <w:t>调整前</w:t>
            </w:r>
          </w:p>
        </w:tc>
      </w:tr>
      <w:tr>
        <w:trPr>
          <w:trHeight w:val="304"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 w:right="0"/>
              <w:jc w:val="left"/>
              <w:rPr>
                <w:rFonts w:ascii="宋体" w:hAnsi="宋体" w:cs="宋体" w:eastAsia="宋体" w:hint="default"/>
                <w:sz w:val="16"/>
                <w:szCs w:val="16"/>
              </w:rPr>
            </w:pPr>
            <w:r>
              <w:rPr>
                <w:rFonts w:ascii="宋体" w:hAnsi="宋体" w:cs="宋体" w:eastAsia="宋体" w:hint="default"/>
                <w:sz w:val="16"/>
                <w:szCs w:val="16"/>
              </w:rPr>
              <w:t>基本每股收益（元／股）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16"/>
                <w:szCs w:val="16"/>
              </w:rPr>
            </w:pPr>
            <w:r>
              <w:rPr>
                <w:rFonts w:ascii="Arial"/>
                <w:w w:val="95"/>
                <w:sz w:val="16"/>
              </w:rPr>
              <w:t>0.067</w:t>
            </w:r>
            <w:r>
              <w:rPr>
                <w:rFonts w:ascii="Arial"/>
                <w:sz w:val="16"/>
              </w:rPr>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16"/>
                <w:szCs w:val="16"/>
              </w:rPr>
            </w:pPr>
            <w:r>
              <w:rPr>
                <w:rFonts w:ascii="Arial"/>
                <w:w w:val="95"/>
                <w:sz w:val="16"/>
              </w:rPr>
              <w:t>0.058</w:t>
            </w:r>
            <w:r>
              <w:rPr>
                <w:rFonts w:ascii="Arial"/>
                <w:sz w:val="16"/>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0.058</w:t>
            </w:r>
            <w:r>
              <w:rPr>
                <w:rFonts w:ascii="Arial"/>
                <w:sz w:val="16"/>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16"/>
                <w:szCs w:val="16"/>
              </w:rPr>
            </w:pPr>
            <w:r>
              <w:rPr>
                <w:rFonts w:ascii="Arial"/>
                <w:w w:val="95"/>
                <w:sz w:val="16"/>
              </w:rPr>
              <w:t>14.4</w:t>
            </w:r>
            <w:r>
              <w:rPr>
                <w:rFonts w:ascii="Arial"/>
                <w:sz w:val="16"/>
              </w:rPr>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16"/>
                <w:szCs w:val="16"/>
              </w:rPr>
            </w:pPr>
            <w:r>
              <w:rPr>
                <w:rFonts w:ascii="Arial"/>
                <w:w w:val="95"/>
                <w:sz w:val="16"/>
              </w:rPr>
              <w:t>0.148</w:t>
            </w:r>
            <w:r>
              <w:rPr>
                <w:rFonts w:ascii="Arial"/>
                <w:sz w:val="16"/>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16"/>
                <w:szCs w:val="16"/>
              </w:rPr>
            </w:pPr>
            <w:r>
              <w:rPr>
                <w:rFonts w:ascii="Arial"/>
                <w:w w:val="95"/>
                <w:sz w:val="16"/>
              </w:rPr>
              <w:t>0.148</w:t>
            </w:r>
            <w:r>
              <w:rPr>
                <w:rFonts w:ascii="Arial"/>
                <w:sz w:val="16"/>
              </w:rPr>
            </w:r>
          </w:p>
        </w:tc>
      </w:tr>
      <w:tr>
        <w:trPr>
          <w:trHeight w:val="302"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 w:right="0"/>
              <w:jc w:val="left"/>
              <w:rPr>
                <w:rFonts w:ascii="宋体" w:hAnsi="宋体" w:cs="宋体" w:eastAsia="宋体" w:hint="default"/>
                <w:sz w:val="16"/>
                <w:szCs w:val="16"/>
              </w:rPr>
            </w:pPr>
            <w:r>
              <w:rPr>
                <w:rFonts w:ascii="宋体" w:hAnsi="宋体" w:cs="宋体" w:eastAsia="宋体" w:hint="default"/>
                <w:sz w:val="16"/>
                <w:szCs w:val="16"/>
              </w:rPr>
              <w:t>稀释每股收益（元／股）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6"/>
                <w:szCs w:val="16"/>
              </w:rPr>
            </w:pPr>
            <w:r>
              <w:rPr>
                <w:rFonts w:ascii="Arial"/>
                <w:w w:val="95"/>
                <w:sz w:val="16"/>
              </w:rPr>
              <w:t>0.066</w:t>
            </w:r>
            <w:r>
              <w:rPr>
                <w:rFonts w:ascii="Arial"/>
                <w:sz w:val="16"/>
              </w:rPr>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6"/>
                <w:szCs w:val="16"/>
              </w:rPr>
            </w:pPr>
            <w:r>
              <w:rPr>
                <w:rFonts w:ascii="Arial"/>
                <w:w w:val="95"/>
                <w:sz w:val="16"/>
              </w:rPr>
              <w:t>0.058</w:t>
            </w:r>
            <w:r>
              <w:rPr>
                <w:rFonts w:ascii="Arial"/>
                <w:sz w:val="16"/>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w:hAnsi="Arial" w:cs="Arial" w:eastAsia="Arial" w:hint="default"/>
                <w:sz w:val="16"/>
                <w:szCs w:val="16"/>
              </w:rPr>
            </w:pPr>
            <w:r>
              <w:rPr>
                <w:rFonts w:ascii="Arial"/>
                <w:w w:val="95"/>
                <w:sz w:val="16"/>
              </w:rPr>
              <w:t>0.058</w:t>
            </w:r>
            <w:r>
              <w:rPr>
                <w:rFonts w:ascii="Arial"/>
                <w:sz w:val="16"/>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Arial" w:hAnsi="Arial" w:cs="Arial" w:eastAsia="Arial" w:hint="default"/>
                <w:sz w:val="16"/>
                <w:szCs w:val="16"/>
              </w:rPr>
            </w:pPr>
            <w:r>
              <w:rPr>
                <w:rFonts w:ascii="Arial"/>
                <w:w w:val="95"/>
                <w:sz w:val="16"/>
              </w:rPr>
              <w:t>14.0</w:t>
            </w:r>
            <w:r>
              <w:rPr>
                <w:rFonts w:ascii="Arial"/>
                <w:sz w:val="16"/>
              </w:rPr>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6"/>
                <w:szCs w:val="16"/>
              </w:rPr>
            </w:pPr>
            <w:r>
              <w:rPr>
                <w:rFonts w:ascii="Arial"/>
                <w:w w:val="95"/>
                <w:sz w:val="16"/>
              </w:rPr>
              <w:t>0.148</w:t>
            </w:r>
            <w:r>
              <w:rPr>
                <w:rFonts w:ascii="Arial"/>
                <w:sz w:val="16"/>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6"/>
                <w:szCs w:val="16"/>
              </w:rPr>
            </w:pPr>
            <w:r>
              <w:rPr>
                <w:rFonts w:ascii="Arial"/>
                <w:w w:val="95"/>
                <w:sz w:val="16"/>
              </w:rPr>
              <w:t>0.147</w:t>
            </w:r>
            <w:r>
              <w:rPr>
                <w:rFonts w:ascii="Arial"/>
                <w:sz w:val="16"/>
              </w:rPr>
            </w:r>
          </w:p>
        </w:tc>
      </w:tr>
      <w:tr>
        <w:trPr>
          <w:trHeight w:val="304"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 w:right="0"/>
              <w:jc w:val="left"/>
              <w:rPr>
                <w:rFonts w:ascii="宋体" w:hAnsi="宋体" w:cs="宋体" w:eastAsia="宋体" w:hint="default"/>
                <w:sz w:val="16"/>
                <w:szCs w:val="16"/>
              </w:rPr>
            </w:pPr>
            <w:r>
              <w:rPr>
                <w:rFonts w:ascii="宋体" w:hAnsi="宋体" w:cs="宋体" w:eastAsia="宋体" w:hint="default"/>
                <w:sz w:val="16"/>
                <w:szCs w:val="16"/>
              </w:rPr>
              <w:t>用最新股本计算的每股收益（元</w:t>
            </w:r>
            <w:r>
              <w:rPr>
                <w:rFonts w:ascii="Arial" w:hAnsi="Arial" w:cs="Arial" w:eastAsia="Arial" w:hint="default"/>
                <w:sz w:val="16"/>
                <w:szCs w:val="16"/>
              </w:rPr>
              <w:t>/</w:t>
            </w:r>
            <w:r>
              <w:rPr>
                <w:rFonts w:ascii="宋体" w:hAnsi="宋体" w:cs="宋体" w:eastAsia="宋体" w:hint="default"/>
                <w:sz w:val="16"/>
                <w:szCs w:val="16"/>
              </w:rPr>
              <w:t>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r>
      <w:tr>
        <w:trPr>
          <w:trHeight w:val="302"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 w:right="0"/>
              <w:jc w:val="left"/>
              <w:rPr>
                <w:rFonts w:ascii="宋体" w:hAnsi="宋体" w:cs="宋体" w:eastAsia="宋体" w:hint="default"/>
                <w:sz w:val="16"/>
                <w:szCs w:val="16"/>
              </w:rPr>
            </w:pPr>
            <w:r>
              <w:rPr>
                <w:rFonts w:ascii="宋体" w:hAnsi="宋体" w:cs="宋体" w:eastAsia="宋体" w:hint="default"/>
                <w:sz w:val="16"/>
                <w:szCs w:val="16"/>
              </w:rPr>
              <w:t>扣除非经常性损益后的基本每股收益（元／股）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6"/>
                <w:szCs w:val="16"/>
              </w:rPr>
            </w:pPr>
            <w:r>
              <w:rPr>
                <w:rFonts w:ascii="Arial"/>
                <w:w w:val="95"/>
                <w:sz w:val="16"/>
              </w:rPr>
              <w:t>0.055</w:t>
            </w:r>
            <w:r>
              <w:rPr>
                <w:rFonts w:ascii="Arial"/>
                <w:sz w:val="16"/>
              </w:rPr>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6"/>
                <w:szCs w:val="16"/>
              </w:rPr>
            </w:pPr>
            <w:r>
              <w:rPr>
                <w:rFonts w:ascii="Arial"/>
                <w:w w:val="95"/>
                <w:sz w:val="16"/>
              </w:rPr>
              <w:t>0.049</w:t>
            </w:r>
            <w:r>
              <w:rPr>
                <w:rFonts w:ascii="Arial"/>
                <w:sz w:val="16"/>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Arial" w:hAnsi="Arial" w:cs="Arial" w:eastAsia="Arial" w:hint="default"/>
                <w:sz w:val="16"/>
                <w:szCs w:val="16"/>
              </w:rPr>
            </w:pPr>
            <w:r>
              <w:rPr>
                <w:rFonts w:ascii="Arial"/>
                <w:w w:val="95"/>
                <w:sz w:val="16"/>
              </w:rPr>
              <w:t>0.049</w:t>
            </w:r>
            <w:r>
              <w:rPr>
                <w:rFonts w:ascii="Arial"/>
                <w:sz w:val="16"/>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Arial" w:hAnsi="Arial" w:cs="Arial" w:eastAsia="Arial" w:hint="default"/>
                <w:sz w:val="16"/>
                <w:szCs w:val="16"/>
              </w:rPr>
            </w:pPr>
            <w:r>
              <w:rPr>
                <w:rFonts w:ascii="Arial"/>
                <w:w w:val="95"/>
                <w:sz w:val="16"/>
              </w:rPr>
              <w:t>10.4</w:t>
            </w:r>
            <w:r>
              <w:rPr>
                <w:rFonts w:ascii="Arial"/>
                <w:sz w:val="16"/>
              </w:rPr>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6"/>
                <w:szCs w:val="16"/>
              </w:rPr>
            </w:pPr>
            <w:r>
              <w:rPr>
                <w:rFonts w:ascii="Arial"/>
                <w:w w:val="95"/>
                <w:sz w:val="16"/>
              </w:rPr>
              <w:t>0.122</w:t>
            </w:r>
            <w:r>
              <w:rPr>
                <w:rFonts w:ascii="Arial"/>
                <w:sz w:val="16"/>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6"/>
                <w:szCs w:val="16"/>
              </w:rPr>
            </w:pPr>
            <w:r>
              <w:rPr>
                <w:rFonts w:ascii="Arial"/>
                <w:w w:val="95"/>
                <w:sz w:val="16"/>
              </w:rPr>
              <w:t>0.122</w:t>
            </w:r>
            <w:r>
              <w:rPr>
                <w:rFonts w:ascii="Arial"/>
                <w:sz w:val="16"/>
              </w:rPr>
            </w:r>
          </w:p>
        </w:tc>
      </w:tr>
      <w:tr>
        <w:trPr>
          <w:trHeight w:val="304"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 w:right="0"/>
              <w:jc w:val="left"/>
              <w:rPr>
                <w:rFonts w:ascii="宋体" w:hAnsi="宋体" w:cs="宋体" w:eastAsia="宋体" w:hint="default"/>
                <w:sz w:val="16"/>
                <w:szCs w:val="16"/>
              </w:rPr>
            </w:pPr>
            <w:r>
              <w:rPr>
                <w:rFonts w:ascii="宋体" w:hAnsi="宋体" w:cs="宋体" w:eastAsia="宋体" w:hint="default"/>
                <w:sz w:val="16"/>
                <w:szCs w:val="16"/>
              </w:rPr>
              <w:t>加权平均净资产收益率（</w:t>
            </w:r>
            <w:r>
              <w:rPr>
                <w:rFonts w:ascii="Arial" w:hAnsi="Arial" w:cs="Arial" w:eastAsia="Arial" w:hint="default"/>
                <w:sz w:val="16"/>
                <w:szCs w:val="16"/>
              </w:rPr>
              <w:t>%</w:t>
            </w:r>
            <w:r>
              <w:rPr>
                <w:rFonts w:ascii="宋体" w:hAnsi="宋体" w:cs="宋体" w:eastAsia="宋体" w:hint="default"/>
                <w:sz w:val="16"/>
                <w:szCs w:val="16"/>
              </w:rPr>
              <w:t>）</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1.99</w:t>
            </w:r>
            <w:r>
              <w:rPr>
                <w:rFonts w:ascii="Arial"/>
                <w:sz w:val="16"/>
              </w:rPr>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1.73</w:t>
            </w:r>
            <w:r>
              <w:rPr>
                <w:rFonts w:ascii="Arial"/>
                <w:sz w:val="16"/>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1.73</w:t>
            </w:r>
            <w:r>
              <w:rPr>
                <w:rFonts w:ascii="Arial"/>
                <w:sz w:val="16"/>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1"/>
                <w:sz w:val="16"/>
                <w:szCs w:val="16"/>
              </w:rPr>
              <w:t> </w:t>
            </w:r>
            <w:r>
              <w:rPr>
                <w:rFonts w:ascii="Arial" w:hAnsi="Arial" w:cs="Arial" w:eastAsia="Arial" w:hint="default"/>
                <w:sz w:val="16"/>
                <w:szCs w:val="16"/>
              </w:rPr>
              <w:t>0.26</w:t>
            </w:r>
            <w:r>
              <w:rPr>
                <w:rFonts w:ascii="Arial" w:hAnsi="Arial" w:cs="Arial" w:eastAsia="Arial" w:hint="default"/>
                <w:spacing w:val="-5"/>
                <w:sz w:val="16"/>
                <w:szCs w:val="16"/>
              </w:rPr>
              <w:t> </w:t>
            </w:r>
            <w:r>
              <w:rPr>
                <w:rFonts w:ascii="宋体" w:hAnsi="宋体" w:cs="宋体" w:eastAsia="宋体" w:hint="default"/>
                <w:sz w:val="16"/>
                <w:szCs w:val="16"/>
              </w:rPr>
              <w:t>个百分点</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4.48</w:t>
            </w:r>
            <w:r>
              <w:rPr>
                <w:rFonts w:ascii="Arial"/>
                <w:sz w:val="16"/>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4.47</w:t>
            </w:r>
            <w:r>
              <w:rPr>
                <w:rFonts w:ascii="Arial"/>
                <w:sz w:val="16"/>
              </w:rPr>
            </w:r>
          </w:p>
        </w:tc>
      </w:tr>
      <w:tr>
        <w:trPr>
          <w:trHeight w:val="52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7" w:right="668" w:hanging="180"/>
              <w:jc w:val="left"/>
              <w:rPr>
                <w:rFonts w:ascii="宋体" w:hAnsi="宋体" w:cs="宋体" w:eastAsia="宋体" w:hint="default"/>
                <w:sz w:val="16"/>
                <w:szCs w:val="16"/>
              </w:rPr>
            </w:pPr>
            <w:r>
              <w:rPr>
                <w:rFonts w:ascii="宋体" w:hAnsi="宋体" w:cs="宋体" w:eastAsia="宋体" w:hint="default"/>
                <w:sz w:val="16"/>
                <w:szCs w:val="16"/>
              </w:rPr>
              <w:t>扣除非经常性损益后的加权平均净资产</w:t>
            </w:r>
            <w:r>
              <w:rPr>
                <w:rFonts w:ascii="宋体" w:hAnsi="宋体" w:cs="宋体" w:eastAsia="宋体" w:hint="default"/>
                <w:w w:val="99"/>
                <w:sz w:val="16"/>
                <w:szCs w:val="16"/>
              </w:rPr>
              <w:t> </w:t>
            </w:r>
            <w:r>
              <w:rPr>
                <w:rFonts w:ascii="宋体" w:hAnsi="宋体" w:cs="宋体" w:eastAsia="宋体" w:hint="default"/>
                <w:sz w:val="16"/>
                <w:szCs w:val="16"/>
              </w:rPr>
              <w:t>收益率（</w:t>
            </w:r>
            <w:r>
              <w:rPr>
                <w:rFonts w:ascii="Arial" w:hAnsi="Arial" w:cs="Arial" w:eastAsia="Arial" w:hint="default"/>
                <w:sz w:val="16"/>
                <w:szCs w:val="16"/>
              </w:rPr>
              <w:t>%</w:t>
            </w:r>
            <w:r>
              <w:rPr>
                <w:rFonts w:ascii="宋体" w:hAnsi="宋体" w:cs="宋体" w:eastAsia="宋体" w:hint="default"/>
                <w:sz w:val="16"/>
                <w:szCs w:val="16"/>
              </w:rPr>
              <w:t>）</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6"/>
                <w:szCs w:val="16"/>
              </w:rPr>
            </w:pPr>
            <w:r>
              <w:rPr>
                <w:rFonts w:ascii="Arial"/>
                <w:w w:val="95"/>
                <w:sz w:val="16"/>
              </w:rPr>
              <w:t>1.63</w:t>
            </w:r>
            <w:r>
              <w:rPr>
                <w:rFonts w:ascii="Arial"/>
                <w:sz w:val="16"/>
              </w:rPr>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6"/>
                <w:szCs w:val="16"/>
              </w:rPr>
            </w:pPr>
            <w:r>
              <w:rPr>
                <w:rFonts w:ascii="Arial"/>
                <w:w w:val="95"/>
                <w:sz w:val="16"/>
              </w:rPr>
              <w:t>1.47</w:t>
            </w:r>
            <w:r>
              <w:rPr>
                <w:rFonts w:ascii="Arial"/>
                <w:sz w:val="16"/>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6"/>
                <w:szCs w:val="16"/>
              </w:rPr>
            </w:pPr>
            <w:r>
              <w:rPr>
                <w:rFonts w:ascii="Arial"/>
                <w:w w:val="95"/>
                <w:sz w:val="16"/>
              </w:rPr>
              <w:t>1.48</w:t>
            </w:r>
            <w:r>
              <w:rPr>
                <w:rFonts w:ascii="Arial"/>
                <w:sz w:val="16"/>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1"/>
                <w:sz w:val="16"/>
                <w:szCs w:val="16"/>
              </w:rPr>
              <w:t> </w:t>
            </w:r>
            <w:r>
              <w:rPr>
                <w:rFonts w:ascii="Arial" w:hAnsi="Arial" w:cs="Arial" w:eastAsia="Arial" w:hint="default"/>
                <w:sz w:val="16"/>
                <w:szCs w:val="16"/>
              </w:rPr>
              <w:t>0.16</w:t>
            </w:r>
            <w:r>
              <w:rPr>
                <w:rFonts w:ascii="Arial" w:hAnsi="Arial" w:cs="Arial" w:eastAsia="Arial" w:hint="default"/>
                <w:spacing w:val="-5"/>
                <w:sz w:val="16"/>
                <w:szCs w:val="16"/>
              </w:rPr>
              <w:t> </w:t>
            </w:r>
            <w:r>
              <w:rPr>
                <w:rFonts w:ascii="宋体" w:hAnsi="宋体" w:cs="宋体" w:eastAsia="宋体" w:hint="default"/>
                <w:sz w:val="16"/>
                <w:szCs w:val="16"/>
              </w:rPr>
              <w:t>个百分点</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6"/>
                <w:szCs w:val="16"/>
              </w:rPr>
            </w:pPr>
            <w:r>
              <w:rPr>
                <w:rFonts w:ascii="Arial"/>
                <w:w w:val="95"/>
                <w:sz w:val="16"/>
              </w:rPr>
              <w:t>3.68</w:t>
            </w:r>
            <w:r>
              <w:rPr>
                <w:rFonts w:ascii="Arial"/>
                <w:sz w:val="16"/>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6"/>
                <w:szCs w:val="16"/>
              </w:rPr>
            </w:pPr>
            <w:r>
              <w:rPr>
                <w:rFonts w:ascii="Arial"/>
                <w:w w:val="95"/>
                <w:sz w:val="16"/>
              </w:rPr>
              <w:t>3.68</w:t>
            </w:r>
            <w:r>
              <w:rPr>
                <w:rFonts w:ascii="Arial"/>
                <w:sz w:val="16"/>
              </w:rPr>
            </w:r>
          </w:p>
        </w:tc>
      </w:tr>
      <w:tr>
        <w:trPr>
          <w:trHeight w:val="304"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 w:right="0"/>
              <w:jc w:val="left"/>
              <w:rPr>
                <w:rFonts w:ascii="宋体" w:hAnsi="宋体" w:cs="宋体" w:eastAsia="宋体" w:hint="default"/>
                <w:sz w:val="16"/>
                <w:szCs w:val="16"/>
              </w:rPr>
            </w:pPr>
            <w:r>
              <w:rPr>
                <w:rFonts w:ascii="宋体" w:hAnsi="宋体" w:cs="宋体" w:eastAsia="宋体" w:hint="default"/>
                <w:sz w:val="16"/>
                <w:szCs w:val="16"/>
              </w:rPr>
              <w:t>每股经营活动产生的现金流量净额（元／股）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3.28</w:t>
            </w:r>
            <w:r>
              <w:rPr>
                <w:rFonts w:ascii="Arial"/>
                <w:sz w:val="16"/>
              </w:rPr>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3.22</w:t>
            </w:r>
            <w:r>
              <w:rPr>
                <w:rFonts w:ascii="Arial"/>
                <w:sz w:val="16"/>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16"/>
                <w:szCs w:val="16"/>
              </w:rPr>
            </w:pPr>
            <w:r>
              <w:rPr>
                <w:rFonts w:ascii="Arial"/>
                <w:w w:val="95"/>
                <w:sz w:val="16"/>
              </w:rPr>
              <w:t>3.22</w:t>
            </w:r>
            <w:r>
              <w:rPr>
                <w:rFonts w:ascii="Arial"/>
                <w:sz w:val="16"/>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16"/>
                <w:szCs w:val="16"/>
              </w:rPr>
            </w:pPr>
            <w:r>
              <w:rPr>
                <w:rFonts w:ascii="Arial"/>
                <w:w w:val="95"/>
                <w:sz w:val="16"/>
              </w:rPr>
              <w:t>1.8</w:t>
            </w:r>
            <w:r>
              <w:rPr>
                <w:rFonts w:ascii="Arial"/>
                <w:sz w:val="16"/>
              </w:rPr>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2.80</w:t>
            </w:r>
            <w:r>
              <w:rPr>
                <w:rFonts w:ascii="Arial"/>
                <w:sz w:val="16"/>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2.80</w:t>
            </w:r>
            <w:r>
              <w:rPr>
                <w:rFonts w:ascii="Arial"/>
                <w:sz w:val="16"/>
              </w:rPr>
            </w:r>
          </w:p>
        </w:tc>
      </w:tr>
      <w:tr>
        <w:trPr>
          <w:trHeight w:val="302" w:hRule="exact"/>
        </w:trPr>
        <w:tc>
          <w:tcPr>
            <w:tcW w:w="3431" w:type="dxa"/>
            <w:vMerge w:val="restart"/>
            <w:tcBorders>
              <w:top w:val="single" w:sz="6" w:space="0" w:color="000000"/>
              <w:left w:val="single" w:sz="6" w:space="0" w:color="000000"/>
              <w:right w:val="single" w:sz="6" w:space="0" w:color="000000"/>
            </w:tcBorders>
          </w:tcPr>
          <w:p>
            <w:pPr/>
          </w:p>
        </w:tc>
        <w:tc>
          <w:tcPr>
            <w:tcW w:w="767" w:type="dxa"/>
            <w:vMerge w:val="restart"/>
            <w:tcBorders>
              <w:top w:val="single" w:sz="6" w:space="0" w:color="000000"/>
              <w:left w:val="single" w:sz="6" w:space="0" w:color="000000"/>
              <w:right w:val="single" w:sz="6" w:space="0" w:color="000000"/>
            </w:tcBorders>
          </w:tcPr>
          <w:p>
            <w:pPr>
              <w:pStyle w:val="TableParagraph"/>
              <w:spacing w:line="171" w:lineRule="exact" w:before="98"/>
              <w:ind w:left="196" w:right="0"/>
              <w:jc w:val="left"/>
              <w:rPr>
                <w:rFonts w:ascii="Arial" w:hAnsi="Arial" w:cs="Arial" w:eastAsia="Arial" w:hint="default"/>
                <w:sz w:val="16"/>
                <w:szCs w:val="16"/>
              </w:rPr>
            </w:pPr>
            <w:r>
              <w:rPr>
                <w:rFonts w:ascii="Arial"/>
                <w:sz w:val="16"/>
              </w:rPr>
              <w:t>2011</w:t>
            </w:r>
          </w:p>
          <w:p>
            <w:pPr>
              <w:pStyle w:val="TableParagraph"/>
              <w:spacing w:line="197" w:lineRule="exact"/>
              <w:ind w:left="214" w:right="0"/>
              <w:jc w:val="left"/>
              <w:rPr>
                <w:rFonts w:ascii="宋体" w:hAnsi="宋体" w:cs="宋体" w:eastAsia="宋体" w:hint="default"/>
                <w:sz w:val="16"/>
                <w:szCs w:val="16"/>
              </w:rPr>
            </w:pPr>
            <w:r>
              <w:rPr>
                <w:rFonts w:ascii="宋体" w:hAnsi="宋体" w:cs="宋体" w:eastAsia="宋体" w:hint="default"/>
                <w:sz w:val="16"/>
                <w:szCs w:val="16"/>
              </w:rPr>
              <w:t>年末</w:t>
            </w:r>
          </w:p>
        </w:tc>
        <w:tc>
          <w:tcPr>
            <w:tcW w:w="1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7"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年末（注）</w:t>
            </w:r>
          </w:p>
        </w:tc>
        <w:tc>
          <w:tcPr>
            <w:tcW w:w="1616" w:type="dxa"/>
            <w:vMerge w:val="restart"/>
            <w:tcBorders>
              <w:top w:val="single" w:sz="6" w:space="0" w:color="000000"/>
              <w:left w:val="single" w:sz="6" w:space="0" w:color="000000"/>
              <w:right w:val="single" w:sz="6" w:space="0" w:color="000000"/>
            </w:tcBorders>
          </w:tcPr>
          <w:p>
            <w:pPr>
              <w:pStyle w:val="TableParagraph"/>
              <w:spacing w:line="240" w:lineRule="auto" w:before="61"/>
              <w:ind w:left="596" w:right="161" w:hanging="436"/>
              <w:jc w:val="left"/>
              <w:rPr>
                <w:rFonts w:ascii="Arial" w:hAnsi="Arial" w:cs="Arial" w:eastAsia="Arial" w:hint="default"/>
                <w:sz w:val="16"/>
                <w:szCs w:val="16"/>
              </w:rPr>
            </w:pPr>
            <w:r>
              <w:rPr>
                <w:rFonts w:ascii="宋体" w:hAnsi="宋体" w:cs="宋体" w:eastAsia="宋体" w:hint="default"/>
                <w:sz w:val="16"/>
                <w:szCs w:val="16"/>
              </w:rPr>
              <w:t>本年末比上年末增</w:t>
            </w:r>
            <w:r>
              <w:rPr>
                <w:rFonts w:ascii="宋体" w:hAnsi="宋体" w:cs="宋体" w:eastAsia="宋体" w:hint="default"/>
                <w:w w:val="99"/>
                <w:sz w:val="16"/>
                <w:szCs w:val="16"/>
              </w:rPr>
              <w:t> </w:t>
            </w:r>
            <w:r>
              <w:rPr>
                <w:rFonts w:ascii="宋体" w:hAnsi="宋体" w:cs="宋体" w:eastAsia="宋体" w:hint="default"/>
                <w:sz w:val="16"/>
                <w:szCs w:val="16"/>
              </w:rPr>
              <w:t>减</w:t>
            </w:r>
            <w:r>
              <w:rPr>
                <w:rFonts w:ascii="Arial" w:hAnsi="Arial" w:cs="Arial" w:eastAsia="Arial" w:hint="default"/>
                <w:sz w:val="16"/>
                <w:szCs w:val="16"/>
              </w:rPr>
              <w:t>(%)</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55"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6"/>
                <w:sz w:val="16"/>
                <w:szCs w:val="16"/>
              </w:rPr>
              <w:t> </w:t>
            </w:r>
            <w:r>
              <w:rPr>
                <w:rFonts w:ascii="宋体" w:hAnsi="宋体" w:cs="宋体" w:eastAsia="宋体" w:hint="default"/>
                <w:sz w:val="16"/>
                <w:szCs w:val="16"/>
              </w:rPr>
              <w:t>年末（注）</w:t>
            </w:r>
          </w:p>
        </w:tc>
      </w:tr>
      <w:tr>
        <w:trPr>
          <w:trHeight w:val="304" w:hRule="exact"/>
        </w:trPr>
        <w:tc>
          <w:tcPr>
            <w:tcW w:w="3431" w:type="dxa"/>
            <w:vMerge/>
            <w:tcBorders>
              <w:left w:val="single" w:sz="6" w:space="0" w:color="000000"/>
              <w:bottom w:val="single" w:sz="6" w:space="0" w:color="000000"/>
              <w:right w:val="single" w:sz="6" w:space="0" w:color="000000"/>
            </w:tcBorders>
          </w:tcPr>
          <w:p>
            <w:pPr/>
          </w:p>
        </w:tc>
        <w:tc>
          <w:tcPr>
            <w:tcW w:w="767" w:type="dxa"/>
            <w:vMerge/>
            <w:tcBorders>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8" w:right="0"/>
              <w:jc w:val="left"/>
              <w:rPr>
                <w:rFonts w:ascii="宋体" w:hAnsi="宋体" w:cs="宋体" w:eastAsia="宋体" w:hint="default"/>
                <w:sz w:val="16"/>
                <w:szCs w:val="16"/>
              </w:rPr>
            </w:pPr>
            <w:r>
              <w:rPr>
                <w:rFonts w:ascii="宋体" w:hAnsi="宋体" w:cs="宋体" w:eastAsia="宋体" w:hint="default"/>
                <w:sz w:val="16"/>
                <w:szCs w:val="16"/>
              </w:rPr>
              <w:t>调整后</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79"/>
              <w:jc w:val="right"/>
              <w:rPr>
                <w:rFonts w:ascii="宋体" w:hAnsi="宋体" w:cs="宋体" w:eastAsia="宋体" w:hint="default"/>
                <w:sz w:val="16"/>
                <w:szCs w:val="16"/>
              </w:rPr>
            </w:pPr>
            <w:r>
              <w:rPr>
                <w:rFonts w:ascii="宋体" w:hAnsi="宋体" w:cs="宋体" w:eastAsia="宋体" w:hint="default"/>
                <w:w w:val="95"/>
                <w:sz w:val="16"/>
                <w:szCs w:val="16"/>
              </w:rPr>
              <w:t>调整前</w:t>
            </w:r>
            <w:r>
              <w:rPr>
                <w:rFonts w:ascii="宋体" w:hAnsi="宋体" w:cs="宋体" w:eastAsia="宋体" w:hint="default"/>
                <w:sz w:val="16"/>
                <w:szCs w:val="16"/>
              </w:rPr>
            </w:r>
          </w:p>
        </w:tc>
        <w:tc>
          <w:tcPr>
            <w:tcW w:w="1616" w:type="dxa"/>
            <w:vMerge/>
            <w:tcBorders>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2" w:right="0"/>
              <w:jc w:val="left"/>
              <w:rPr>
                <w:rFonts w:ascii="宋体" w:hAnsi="宋体" w:cs="宋体" w:eastAsia="宋体" w:hint="default"/>
                <w:sz w:val="16"/>
                <w:szCs w:val="16"/>
              </w:rPr>
            </w:pPr>
            <w:r>
              <w:rPr>
                <w:rFonts w:ascii="宋体" w:hAnsi="宋体" w:cs="宋体" w:eastAsia="宋体" w:hint="default"/>
                <w:sz w:val="16"/>
                <w:szCs w:val="16"/>
              </w:rPr>
              <w:t>调整后</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1" w:right="0"/>
              <w:jc w:val="left"/>
              <w:rPr>
                <w:rFonts w:ascii="宋体" w:hAnsi="宋体" w:cs="宋体" w:eastAsia="宋体" w:hint="default"/>
                <w:sz w:val="16"/>
                <w:szCs w:val="16"/>
              </w:rPr>
            </w:pPr>
            <w:r>
              <w:rPr>
                <w:rFonts w:ascii="宋体" w:hAnsi="宋体" w:cs="宋体" w:eastAsia="宋体" w:hint="default"/>
                <w:sz w:val="16"/>
                <w:szCs w:val="16"/>
              </w:rPr>
              <w:t>调整前</w:t>
            </w:r>
          </w:p>
        </w:tc>
      </w:tr>
      <w:tr>
        <w:trPr>
          <w:trHeight w:val="302"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 w:right="0"/>
              <w:jc w:val="left"/>
              <w:rPr>
                <w:rFonts w:ascii="宋体" w:hAnsi="宋体" w:cs="宋体" w:eastAsia="宋体" w:hint="default"/>
                <w:sz w:val="16"/>
                <w:szCs w:val="16"/>
              </w:rPr>
            </w:pPr>
            <w:r>
              <w:rPr>
                <w:rFonts w:ascii="宋体" w:hAnsi="宋体" w:cs="宋体" w:eastAsia="宋体" w:hint="default"/>
                <w:sz w:val="16"/>
                <w:szCs w:val="16"/>
              </w:rPr>
              <w:t>归属于上市公司股东的每股净资产（元／股）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3.35</w:t>
            </w:r>
            <w:r>
              <w:rPr>
                <w:rFonts w:ascii="Arial"/>
                <w:sz w:val="16"/>
              </w:rPr>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3.34</w:t>
            </w:r>
            <w:r>
              <w:rPr>
                <w:rFonts w:ascii="Arial"/>
                <w:sz w:val="16"/>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3.34</w:t>
            </w:r>
            <w:r>
              <w:rPr>
                <w:rFonts w:ascii="Arial"/>
                <w:sz w:val="16"/>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16"/>
                <w:szCs w:val="16"/>
              </w:rPr>
            </w:pPr>
            <w:r>
              <w:rPr>
                <w:rFonts w:ascii="Arial"/>
                <w:w w:val="95"/>
                <w:sz w:val="16"/>
              </w:rPr>
              <w:t>0.2</w:t>
            </w:r>
            <w:r>
              <w:rPr>
                <w:rFonts w:ascii="Arial"/>
                <w:sz w:val="16"/>
              </w:rPr>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3.35</w:t>
            </w:r>
            <w:r>
              <w:rPr>
                <w:rFonts w:ascii="Arial"/>
                <w:sz w:val="16"/>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3.35</w:t>
            </w:r>
            <w:r>
              <w:rPr>
                <w:rFonts w:ascii="Arial"/>
                <w:sz w:val="16"/>
              </w:rPr>
            </w:r>
          </w:p>
        </w:tc>
      </w:tr>
      <w:tr>
        <w:trPr>
          <w:trHeight w:val="304"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 w:right="0"/>
              <w:jc w:val="left"/>
              <w:rPr>
                <w:rFonts w:ascii="宋体" w:hAnsi="宋体" w:cs="宋体" w:eastAsia="宋体" w:hint="default"/>
                <w:sz w:val="16"/>
                <w:szCs w:val="16"/>
              </w:rPr>
            </w:pPr>
            <w:r>
              <w:rPr>
                <w:rFonts w:ascii="宋体" w:hAnsi="宋体" w:cs="宋体" w:eastAsia="宋体" w:hint="default"/>
                <w:sz w:val="16"/>
                <w:szCs w:val="16"/>
              </w:rPr>
              <w:t>资产负债率（</w:t>
            </w:r>
            <w:r>
              <w:rPr>
                <w:rFonts w:ascii="Arial" w:hAnsi="Arial" w:cs="Arial" w:eastAsia="Arial" w:hint="default"/>
                <w:sz w:val="16"/>
                <w:szCs w:val="16"/>
              </w:rPr>
              <w:t>%</w:t>
            </w:r>
            <w:r>
              <w:rPr>
                <w:rFonts w:ascii="宋体" w:hAnsi="宋体" w:cs="宋体" w:eastAsia="宋体" w:hint="default"/>
                <w:sz w:val="16"/>
                <w:szCs w:val="16"/>
              </w:rPr>
              <w:t>）</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54.5</w:t>
            </w:r>
            <w:r>
              <w:rPr>
                <w:rFonts w:ascii="Arial"/>
                <w:sz w:val="16"/>
              </w:rPr>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53.0</w:t>
            </w:r>
            <w:r>
              <w:rPr>
                <w:rFonts w:ascii="Arial"/>
                <w:sz w:val="16"/>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16"/>
                <w:szCs w:val="16"/>
              </w:rPr>
            </w:pPr>
            <w:r>
              <w:rPr>
                <w:rFonts w:ascii="Arial"/>
                <w:w w:val="95"/>
                <w:sz w:val="16"/>
              </w:rPr>
              <w:t>53.1</w:t>
            </w:r>
            <w:r>
              <w:rPr>
                <w:rFonts w:ascii="Arial"/>
                <w:sz w:val="16"/>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1"/>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个百分点</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50.2</w:t>
            </w:r>
            <w:r>
              <w:rPr>
                <w:rFonts w:ascii="Arial"/>
                <w:sz w:val="16"/>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16"/>
                <w:szCs w:val="16"/>
              </w:rPr>
            </w:pPr>
            <w:r>
              <w:rPr>
                <w:rFonts w:ascii="Arial"/>
                <w:w w:val="95"/>
                <w:sz w:val="16"/>
              </w:rPr>
              <w:t>50.2</w:t>
            </w:r>
            <w:r>
              <w:rPr>
                <w:rFonts w:ascii="Arial"/>
                <w:sz w:val="16"/>
              </w:rPr>
            </w:r>
          </w:p>
        </w:tc>
      </w:tr>
    </w:tbl>
    <w:p>
      <w:pPr>
        <w:spacing w:line="240" w:lineRule="auto" w:before="2"/>
        <w:rPr>
          <w:rFonts w:ascii="宋体" w:hAnsi="宋体" w:cs="宋体" w:eastAsia="宋体" w:hint="default"/>
          <w:sz w:val="14"/>
          <w:szCs w:val="14"/>
        </w:rPr>
      </w:pPr>
    </w:p>
    <w:p>
      <w:pPr>
        <w:pStyle w:val="BodyText"/>
        <w:spacing w:line="295" w:lineRule="exact" w:before="31"/>
        <w:ind w:left="145" w:right="0"/>
        <w:jc w:val="left"/>
      </w:pPr>
      <w:r>
        <w:rPr>
          <w:spacing w:val="-3"/>
        </w:rPr>
        <w:t>注：于</w:t>
      </w:r>
      <w:r>
        <w:rPr>
          <w:spacing w:val="-60"/>
        </w:rPr>
        <w:t> </w:t>
      </w:r>
      <w:r>
        <w:rPr>
          <w:rFonts w:ascii="Arial" w:hAnsi="Arial" w:cs="Arial" w:eastAsia="Arial" w:hint="default"/>
        </w:rPr>
        <w:t>2011</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1</w:t>
      </w:r>
      <w:r>
        <w:rPr>
          <w:rFonts w:ascii="Arial" w:hAnsi="Arial" w:cs="Arial" w:eastAsia="Arial" w:hint="default"/>
          <w:spacing w:val="-11"/>
        </w:rPr>
        <w:t> </w:t>
      </w:r>
      <w:r>
        <w:rPr/>
        <w:t>日，宽带在线完成了同一控制下收购联通新时讯的交易。因此，比较年度</w:t>
      </w:r>
    </w:p>
    <w:p>
      <w:pPr>
        <w:pStyle w:val="BodyText"/>
        <w:spacing w:line="286" w:lineRule="exact" w:before="19"/>
        <w:ind w:left="595" w:right="354" w:hanging="1"/>
        <w:jc w:val="left"/>
      </w:pPr>
      <w:r>
        <w:rPr/>
        <w:t>即</w:t>
      </w:r>
      <w:r>
        <w:rPr>
          <w:spacing w:val="-57"/>
        </w:rPr>
        <w:t> </w:t>
      </w:r>
      <w:r>
        <w:rPr>
          <w:rFonts w:ascii="Arial" w:hAnsi="Arial" w:cs="Arial" w:eastAsia="Arial" w:hint="default"/>
        </w:rPr>
        <w:t>2010</w:t>
      </w:r>
      <w:r>
        <w:rPr>
          <w:rFonts w:ascii="Arial" w:hAnsi="Arial" w:cs="Arial" w:eastAsia="Arial" w:hint="default"/>
          <w:spacing w:val="-8"/>
        </w:rPr>
        <w:t> </w:t>
      </w:r>
      <w:r>
        <w:rPr/>
        <w:t>年度及</w:t>
      </w:r>
      <w:r>
        <w:rPr>
          <w:spacing w:val="-57"/>
        </w:rPr>
        <w:t> </w:t>
      </w:r>
      <w:r>
        <w:rPr>
          <w:rFonts w:ascii="Arial" w:hAnsi="Arial" w:cs="Arial" w:eastAsia="Arial" w:hint="default"/>
        </w:rPr>
        <w:t>2009</w:t>
      </w:r>
      <w:r>
        <w:rPr>
          <w:rFonts w:ascii="Arial" w:hAnsi="Arial" w:cs="Arial" w:eastAsia="Arial" w:hint="default"/>
          <w:spacing w:val="-8"/>
        </w:rPr>
        <w:t> </w:t>
      </w:r>
      <w:r>
        <w:rPr/>
        <w:t>年度的合并财务数据被重新列报以包括被合并方联通新时讯的财务状</w:t>
      </w:r>
      <w:r>
        <w:rPr>
          <w:w w:val="99"/>
        </w:rPr>
        <w:t> </w:t>
      </w:r>
      <w:r>
        <w:rPr/>
        <w:t>况、经营成果和现金流量。</w:t>
      </w:r>
    </w:p>
    <w:p>
      <w:pPr>
        <w:spacing w:after="0" w:line="286" w:lineRule="exact"/>
        <w:jc w:val="left"/>
        <w:sectPr>
          <w:pgSz w:w="11900" w:h="16840"/>
          <w:pgMar w:header="927" w:footer="752" w:top="1160" w:bottom="940" w:left="134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87" w:lineRule="exact" w:before="31"/>
        <w:ind w:left="145" w:right="251"/>
        <w:jc w:val="left"/>
      </w:pPr>
      <w:r>
        <w:rPr/>
        <w:t>（四）采用公允价值计量的项目</w:t>
      </w:r>
    </w:p>
    <w:p>
      <w:pPr>
        <w:pStyle w:val="BodyText"/>
        <w:spacing w:line="302" w:lineRule="exact"/>
        <w:ind w:left="0" w:right="256"/>
        <w:jc w:val="right"/>
      </w:pPr>
      <w:r>
        <w:rPr/>
        <w:t>单位</w:t>
      </w:r>
      <w:r>
        <w:rPr>
          <w:rFonts w:ascii="Arial" w:hAnsi="Arial" w:cs="Arial" w:eastAsia="Arial" w:hint="default"/>
        </w:rPr>
        <w:t>:</w:t>
      </w:r>
      <w:r>
        <w:rPr/>
        <w:t>元</w:t>
      </w:r>
      <w:r>
        <w:rPr>
          <w:spacing w:val="-3"/>
        </w:rPr>
        <w:t> </w:t>
      </w:r>
      <w:r>
        <w:rPr/>
        <w:t>币种</w:t>
      </w:r>
      <w:r>
        <w:rPr>
          <w:rFonts w:ascii="Arial" w:hAnsi="Arial" w:cs="Arial" w:eastAsia="Arial" w:hint="default"/>
        </w:rPr>
        <w:t>:</w:t>
      </w:r>
      <w:r>
        <w:rPr/>
        <w:t>人民币</w:t>
      </w:r>
    </w:p>
    <w:tbl>
      <w:tblPr>
        <w:tblW w:w="0" w:type="auto"/>
        <w:jc w:val="left"/>
        <w:tblInd w:w="156" w:type="dxa"/>
        <w:tblLayout w:type="fixed"/>
        <w:tblCellMar>
          <w:top w:w="0" w:type="dxa"/>
          <w:left w:w="0" w:type="dxa"/>
          <w:bottom w:w="0" w:type="dxa"/>
          <w:right w:w="0" w:type="dxa"/>
        </w:tblCellMar>
        <w:tblLook w:val="01E0"/>
      </w:tblPr>
      <w:tblGrid>
        <w:gridCol w:w="3626"/>
        <w:gridCol w:w="1507"/>
        <w:gridCol w:w="1430"/>
        <w:gridCol w:w="1366"/>
        <w:gridCol w:w="1476"/>
      </w:tblGrid>
      <w:tr>
        <w:trPr>
          <w:trHeight w:val="534" w:hRule="exact"/>
        </w:trPr>
        <w:tc>
          <w:tcPr>
            <w:tcW w:w="3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right="0"/>
              <w:jc w:val="center"/>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right="0"/>
              <w:jc w:val="center"/>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27"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年变动</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44" w:right="0"/>
              <w:jc w:val="center"/>
              <w:rPr>
                <w:rFonts w:ascii="宋体" w:hAnsi="宋体" w:cs="宋体" w:eastAsia="宋体" w:hint="default"/>
                <w:sz w:val="20"/>
                <w:szCs w:val="20"/>
              </w:rPr>
            </w:pPr>
            <w:r>
              <w:rPr>
                <w:rFonts w:ascii="宋体" w:hAnsi="宋体" w:cs="宋体" w:eastAsia="宋体" w:hint="default"/>
                <w:sz w:val="20"/>
                <w:szCs w:val="20"/>
              </w:rPr>
              <w:t>对</w:t>
            </w:r>
            <w:r>
              <w:rPr>
                <w:rFonts w:ascii="宋体" w:hAnsi="宋体" w:cs="宋体" w:eastAsia="宋体" w:hint="default"/>
                <w:spacing w:val="-51"/>
                <w:sz w:val="20"/>
                <w:szCs w:val="20"/>
              </w:rPr>
              <w:t> </w:t>
            </w: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年利润</w:t>
            </w:r>
          </w:p>
          <w:p>
            <w:pPr>
              <w:pStyle w:val="TableParagraph"/>
              <w:spacing w:line="253" w:lineRule="exact"/>
              <w:ind w:left="45" w:right="0"/>
              <w:jc w:val="center"/>
              <w:rPr>
                <w:rFonts w:ascii="宋体" w:hAnsi="宋体" w:cs="宋体" w:eastAsia="宋体" w:hint="default"/>
                <w:sz w:val="20"/>
                <w:szCs w:val="20"/>
              </w:rPr>
            </w:pPr>
            <w:r>
              <w:rPr>
                <w:rFonts w:ascii="宋体" w:hAnsi="宋体" w:cs="宋体" w:eastAsia="宋体" w:hint="default"/>
                <w:sz w:val="20"/>
                <w:szCs w:val="20"/>
              </w:rPr>
              <w:t>的影响金额</w:t>
            </w:r>
          </w:p>
        </w:tc>
      </w:tr>
      <w:tr>
        <w:trPr>
          <w:trHeight w:val="376" w:hRule="exact"/>
        </w:trPr>
        <w:tc>
          <w:tcPr>
            <w:tcW w:w="3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2" w:right="0"/>
              <w:jc w:val="left"/>
              <w:rPr>
                <w:rFonts w:ascii="宋体" w:hAnsi="宋体" w:cs="宋体" w:eastAsia="宋体" w:hint="default"/>
                <w:sz w:val="20"/>
                <w:szCs w:val="20"/>
              </w:rPr>
            </w:pPr>
            <w:r>
              <w:rPr>
                <w:rFonts w:ascii="宋体" w:hAnsi="宋体" w:cs="宋体" w:eastAsia="宋体" w:hint="default"/>
                <w:sz w:val="20"/>
                <w:szCs w:val="20"/>
              </w:rPr>
              <w:t>子公司持有的西班牙电信股票（注）</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3"/>
              <w:jc w:val="right"/>
              <w:rPr>
                <w:rFonts w:ascii="Arial" w:hAnsi="Arial" w:cs="Arial" w:eastAsia="Arial" w:hint="default"/>
                <w:sz w:val="20"/>
                <w:szCs w:val="20"/>
              </w:rPr>
            </w:pPr>
            <w:r>
              <w:rPr>
                <w:rFonts w:ascii="Arial"/>
                <w:spacing w:val="-2"/>
                <w:sz w:val="20"/>
              </w:rPr>
              <w:t>6,087,078,479</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9"/>
              <w:jc w:val="right"/>
              <w:rPr>
                <w:rFonts w:ascii="Arial" w:hAnsi="Arial" w:cs="Arial" w:eastAsia="Arial" w:hint="default"/>
                <w:sz w:val="20"/>
                <w:szCs w:val="20"/>
              </w:rPr>
            </w:pPr>
            <w:r>
              <w:rPr>
                <w:rFonts w:ascii="Arial"/>
                <w:spacing w:val="-1"/>
                <w:sz w:val="20"/>
              </w:rPr>
              <w:t>6,837,384,523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3" w:right="0"/>
              <w:jc w:val="left"/>
              <w:rPr>
                <w:rFonts w:ascii="Arial" w:hAnsi="Arial" w:cs="Arial" w:eastAsia="Arial" w:hint="default"/>
                <w:sz w:val="20"/>
                <w:szCs w:val="20"/>
              </w:rPr>
            </w:pPr>
            <w:r>
              <w:rPr>
                <w:rFonts w:ascii="Arial"/>
                <w:sz w:val="20"/>
              </w:rPr>
              <w:t>750,306,044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67"/>
              <w:jc w:val="right"/>
              <w:rPr>
                <w:rFonts w:ascii="Arial" w:hAnsi="Arial" w:cs="Arial" w:eastAsia="Arial" w:hint="default"/>
                <w:sz w:val="20"/>
                <w:szCs w:val="20"/>
              </w:rPr>
            </w:pPr>
            <w:r>
              <w:rPr>
                <w:rFonts w:ascii="Arial"/>
                <w:w w:val="100"/>
                <w:sz w:val="20"/>
              </w:rPr>
              <w:t>-</w:t>
            </w:r>
          </w:p>
        </w:tc>
      </w:tr>
      <w:tr>
        <w:trPr>
          <w:trHeight w:val="374" w:hRule="exact"/>
        </w:trPr>
        <w:tc>
          <w:tcPr>
            <w:tcW w:w="3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2" w:right="0"/>
              <w:jc w:val="left"/>
              <w:rPr>
                <w:rFonts w:ascii="宋体" w:hAnsi="宋体" w:cs="宋体" w:eastAsia="宋体" w:hint="default"/>
                <w:sz w:val="20"/>
                <w:szCs w:val="20"/>
              </w:rPr>
            </w:pPr>
            <w:r>
              <w:rPr>
                <w:rFonts w:ascii="宋体" w:hAnsi="宋体" w:cs="宋体" w:eastAsia="宋体" w:hint="default"/>
                <w:sz w:val="20"/>
                <w:szCs w:val="20"/>
              </w:rPr>
              <w:t>子公司持有的交通银行股票</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3"/>
              <w:jc w:val="right"/>
              <w:rPr>
                <w:rFonts w:ascii="Arial" w:hAnsi="Arial" w:cs="Arial" w:eastAsia="Arial" w:hint="default"/>
                <w:sz w:val="20"/>
                <w:szCs w:val="20"/>
              </w:rPr>
            </w:pPr>
            <w:r>
              <w:rPr>
                <w:rFonts w:ascii="Arial"/>
                <w:spacing w:val="-2"/>
                <w:sz w:val="20"/>
              </w:rPr>
              <w:t>126,460,124</w:t>
            </w:r>
            <w:r>
              <w:rPr>
                <w:rFonts w:ascii="Arial"/>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Arial" w:hAnsi="Arial" w:cs="Arial" w:eastAsia="Arial" w:hint="default"/>
                <w:sz w:val="20"/>
                <w:szCs w:val="20"/>
              </w:rPr>
            </w:pPr>
            <w:r>
              <w:rPr>
                <w:rFonts w:ascii="Arial"/>
                <w:spacing w:val="-2"/>
                <w:sz w:val="20"/>
              </w:rPr>
              <w:t>113,721,803</w:t>
            </w:r>
            <w:r>
              <w:rPr>
                <w:rFonts w:ascii="Arial"/>
                <w:sz w:val="20"/>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7" w:right="0"/>
              <w:jc w:val="left"/>
              <w:rPr>
                <w:rFonts w:ascii="Arial" w:hAnsi="Arial" w:cs="Arial" w:eastAsia="Arial" w:hint="default"/>
                <w:sz w:val="20"/>
                <w:szCs w:val="20"/>
              </w:rPr>
            </w:pPr>
            <w:r>
              <w:rPr>
                <w:rFonts w:ascii="Arial"/>
                <w:sz w:val="20"/>
              </w:rPr>
              <w:t>(12,738,321)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8"/>
              <w:jc w:val="right"/>
              <w:rPr>
                <w:rFonts w:ascii="Arial" w:hAnsi="Arial" w:cs="Arial" w:eastAsia="Arial" w:hint="default"/>
                <w:sz w:val="20"/>
                <w:szCs w:val="20"/>
              </w:rPr>
            </w:pPr>
            <w:r>
              <w:rPr>
                <w:rFonts w:ascii="Arial"/>
                <w:w w:val="100"/>
                <w:sz w:val="20"/>
              </w:rPr>
              <w:t>-</w:t>
            </w:r>
          </w:p>
        </w:tc>
      </w:tr>
      <w:tr>
        <w:trPr>
          <w:trHeight w:val="376" w:hRule="exact"/>
        </w:trPr>
        <w:tc>
          <w:tcPr>
            <w:tcW w:w="3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3"/>
              <w:jc w:val="right"/>
              <w:rPr>
                <w:rFonts w:ascii="Arial" w:hAnsi="Arial" w:cs="Arial" w:eastAsia="Arial" w:hint="default"/>
                <w:sz w:val="20"/>
                <w:szCs w:val="20"/>
              </w:rPr>
            </w:pPr>
            <w:r>
              <w:rPr>
                <w:rFonts w:ascii="Arial"/>
                <w:spacing w:val="-2"/>
                <w:sz w:val="20"/>
              </w:rPr>
              <w:t>6,213,538,603</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9"/>
              <w:jc w:val="right"/>
              <w:rPr>
                <w:rFonts w:ascii="Arial" w:hAnsi="Arial" w:cs="Arial" w:eastAsia="Arial" w:hint="default"/>
                <w:sz w:val="20"/>
                <w:szCs w:val="20"/>
              </w:rPr>
            </w:pPr>
            <w:r>
              <w:rPr>
                <w:rFonts w:ascii="Arial"/>
                <w:spacing w:val="-1"/>
                <w:sz w:val="20"/>
              </w:rPr>
              <w:t>6,951,106,326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3" w:right="0"/>
              <w:jc w:val="left"/>
              <w:rPr>
                <w:rFonts w:ascii="Arial" w:hAnsi="Arial" w:cs="Arial" w:eastAsia="Arial" w:hint="default"/>
                <w:sz w:val="20"/>
                <w:szCs w:val="20"/>
              </w:rPr>
            </w:pPr>
            <w:r>
              <w:rPr>
                <w:rFonts w:ascii="Arial"/>
                <w:sz w:val="20"/>
              </w:rPr>
              <w:t>737,567,723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67"/>
              <w:jc w:val="right"/>
              <w:rPr>
                <w:rFonts w:ascii="Arial" w:hAnsi="Arial" w:cs="Arial" w:eastAsia="Arial" w:hint="default"/>
                <w:sz w:val="20"/>
                <w:szCs w:val="20"/>
              </w:rPr>
            </w:pPr>
            <w:r>
              <w:rPr>
                <w:rFonts w:ascii="Arial"/>
                <w:w w:val="100"/>
                <w:sz w:val="20"/>
              </w:rPr>
              <w:t>-</w:t>
            </w:r>
          </w:p>
        </w:tc>
      </w:tr>
    </w:tbl>
    <w:p>
      <w:pPr>
        <w:spacing w:line="240" w:lineRule="auto" w:before="9"/>
        <w:rPr>
          <w:rFonts w:ascii="宋体" w:hAnsi="宋体" w:cs="宋体" w:eastAsia="宋体" w:hint="default"/>
          <w:sz w:val="13"/>
          <w:szCs w:val="13"/>
        </w:rPr>
      </w:pPr>
    </w:p>
    <w:p>
      <w:pPr>
        <w:pStyle w:val="BodyText"/>
        <w:spacing w:line="286" w:lineRule="exact" w:before="60"/>
        <w:ind w:left="523" w:right="251" w:hanging="378"/>
        <w:jc w:val="left"/>
        <w:rPr>
          <w:rFonts w:ascii="Arial" w:hAnsi="Arial" w:cs="Arial" w:eastAsia="Arial" w:hint="default"/>
        </w:rPr>
      </w:pPr>
      <w:r>
        <w:rPr>
          <w:spacing w:val="-9"/>
        </w:rPr>
        <w:t>注：子公司持有的西班牙电信股票是本公司的子公司中国联合网络通信（香港）股份有限公司（“联</w:t>
      </w:r>
      <w:r>
        <w:rPr>
          <w:spacing w:val="-101"/>
        </w:rPr>
        <w:t> </w:t>
      </w:r>
      <w:r>
        <w:rPr>
          <w:spacing w:val="-101"/>
        </w:rPr>
      </w:r>
      <w:r>
        <w:rPr/>
        <w:t>通红筹公司”）对西班牙电信的权益性投资，投资总金额为</w:t>
      </w:r>
      <w:r>
        <w:rPr>
          <w:spacing w:val="-56"/>
        </w:rPr>
        <w:t> </w:t>
      </w:r>
      <w:r>
        <w:rPr>
          <w:rFonts w:ascii="Arial" w:hAnsi="Arial" w:cs="Arial" w:eastAsia="Arial" w:hint="default"/>
        </w:rPr>
        <w:t>15</w:t>
      </w:r>
      <w:r>
        <w:rPr>
          <w:rFonts w:ascii="Arial" w:hAnsi="Arial" w:cs="Arial" w:eastAsia="Arial" w:hint="default"/>
          <w:spacing w:val="-7"/>
        </w:rPr>
        <w:t> </w:t>
      </w:r>
      <w:r>
        <w:rPr/>
        <w:t>亿美元，分别于</w:t>
      </w:r>
      <w:r>
        <w:rPr>
          <w:spacing w:val="-55"/>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10</w:t>
      </w:r>
    </w:p>
    <w:p>
      <w:pPr>
        <w:pStyle w:val="BodyText"/>
        <w:spacing w:line="274" w:lineRule="exact"/>
        <w:ind w:left="523" w:right="251"/>
        <w:jc w:val="left"/>
      </w:pPr>
      <w:r>
        <w:rPr/>
        <w:t>月</w:t>
      </w:r>
      <w:r>
        <w:rPr>
          <w:spacing w:val="-56"/>
        </w:rPr>
        <w:t> </w:t>
      </w:r>
      <w:r>
        <w:rPr>
          <w:rFonts w:ascii="Arial" w:hAnsi="Arial" w:cs="Arial" w:eastAsia="Arial" w:hint="default"/>
        </w:rPr>
        <w:t>21</w:t>
      </w:r>
      <w:r>
        <w:rPr>
          <w:rFonts w:ascii="Arial" w:hAnsi="Arial" w:cs="Arial" w:eastAsia="Arial" w:hint="default"/>
          <w:spacing w:val="-7"/>
        </w:rPr>
        <w:t> </w:t>
      </w:r>
      <w:r>
        <w:rPr/>
        <w:t>日和</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25</w:t>
      </w:r>
      <w:r>
        <w:rPr>
          <w:rFonts w:ascii="Arial" w:hAnsi="Arial" w:cs="Arial" w:eastAsia="Arial" w:hint="default"/>
          <w:spacing w:val="-7"/>
        </w:rPr>
        <w:t> </w:t>
      </w:r>
      <w:r>
        <w:rPr/>
        <w:t>日完成认购并被视为可供出售金融资产入账。</w:t>
      </w:r>
    </w:p>
    <w:p>
      <w:pPr>
        <w:spacing w:line="240" w:lineRule="auto" w:before="13"/>
        <w:rPr>
          <w:rFonts w:ascii="宋体" w:hAnsi="宋体" w:cs="宋体" w:eastAsia="宋体" w:hint="default"/>
          <w:sz w:val="17"/>
          <w:szCs w:val="17"/>
        </w:rPr>
      </w:pPr>
    </w:p>
    <w:p>
      <w:pPr>
        <w:pStyle w:val="BodyText"/>
        <w:spacing w:line="240" w:lineRule="auto"/>
        <w:ind w:left="145" w:right="251"/>
        <w:jc w:val="left"/>
      </w:pPr>
      <w:r>
        <w:rPr/>
        <w:t>四、股本变动及股东情况</w:t>
      </w:r>
    </w:p>
    <w:p>
      <w:pPr>
        <w:spacing w:line="240" w:lineRule="auto" w:before="1"/>
        <w:rPr>
          <w:rFonts w:ascii="宋体" w:hAnsi="宋体" w:cs="宋体" w:eastAsia="宋体" w:hint="default"/>
          <w:sz w:val="19"/>
          <w:szCs w:val="19"/>
        </w:rPr>
      </w:pPr>
    </w:p>
    <w:p>
      <w:pPr>
        <w:pStyle w:val="BodyText"/>
        <w:spacing w:line="240" w:lineRule="auto"/>
        <w:ind w:left="145" w:right="251"/>
        <w:jc w:val="left"/>
      </w:pPr>
      <w:r>
        <w:rPr/>
        <w:t>（一）股本变动情况</w:t>
      </w:r>
    </w:p>
    <w:p>
      <w:pPr>
        <w:spacing w:line="240" w:lineRule="auto" w:before="10"/>
        <w:rPr>
          <w:rFonts w:ascii="宋体" w:hAnsi="宋体" w:cs="宋体" w:eastAsia="宋体" w:hint="default"/>
          <w:sz w:val="16"/>
          <w:szCs w:val="16"/>
        </w:rPr>
      </w:pPr>
    </w:p>
    <w:p>
      <w:pPr>
        <w:pStyle w:val="BodyText"/>
        <w:spacing w:line="295" w:lineRule="exact" w:before="31"/>
        <w:ind w:left="145" w:right="251"/>
        <w:jc w:val="left"/>
      </w:pPr>
      <w:r>
        <w:rPr>
          <w:rFonts w:ascii="Arial" w:hAnsi="Arial" w:cs="Arial" w:eastAsia="Arial" w:hint="default"/>
        </w:rPr>
        <w:t>1</w:t>
      </w:r>
      <w:r>
        <w:rPr/>
        <w:t>、股份变动情况表</w:t>
      </w:r>
    </w:p>
    <w:p>
      <w:pPr>
        <w:pStyle w:val="BodyText"/>
        <w:spacing w:line="279" w:lineRule="exact"/>
        <w:ind w:left="0" w:right="257"/>
        <w:jc w:val="right"/>
      </w:pPr>
      <w:r>
        <w:rPr>
          <w:w w:val="95"/>
        </w:rPr>
        <w:t>单位：股</w:t>
      </w:r>
      <w:r>
        <w:rPr/>
      </w:r>
    </w:p>
    <w:p>
      <w:pPr>
        <w:spacing w:line="240" w:lineRule="auto" w:before="8"/>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574"/>
        <w:gridCol w:w="1422"/>
        <w:gridCol w:w="629"/>
        <w:gridCol w:w="584"/>
        <w:gridCol w:w="487"/>
        <w:gridCol w:w="784"/>
        <w:gridCol w:w="476"/>
        <w:gridCol w:w="478"/>
        <w:gridCol w:w="1432"/>
        <w:gridCol w:w="566"/>
      </w:tblGrid>
      <w:tr>
        <w:trPr>
          <w:trHeight w:val="302" w:hRule="exact"/>
        </w:trPr>
        <w:tc>
          <w:tcPr>
            <w:tcW w:w="2574" w:type="dxa"/>
            <w:vMerge w:val="restart"/>
            <w:tcBorders>
              <w:top w:val="single" w:sz="6" w:space="0" w:color="000000"/>
              <w:left w:val="single" w:sz="6" w:space="0" w:color="000000"/>
              <w:right w:val="single" w:sz="6" w:space="0" w:color="000000"/>
            </w:tcBorders>
          </w:tcPr>
          <w:p>
            <w:pPr/>
          </w:p>
        </w:tc>
        <w:tc>
          <w:tcPr>
            <w:tcW w:w="20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2809" w:type="dxa"/>
            <w:gridSpan w:val="5"/>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40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2" w:hRule="exact"/>
        </w:trPr>
        <w:tc>
          <w:tcPr>
            <w:tcW w:w="2574" w:type="dxa"/>
            <w:vMerge/>
            <w:tcBorders>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8"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2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165" w:right="0"/>
              <w:jc w:val="left"/>
              <w:rPr>
                <w:rFonts w:ascii="Arial" w:hAnsi="Arial" w:cs="Arial" w:eastAsia="Arial" w:hint="default"/>
                <w:sz w:val="18"/>
                <w:szCs w:val="18"/>
              </w:rPr>
            </w:pPr>
            <w:r>
              <w:rPr>
                <w:rFonts w:ascii="Arial"/>
                <w:sz w:val="18"/>
              </w:rPr>
              <w:t>(%)</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4"/>
              <w:jc w:val="right"/>
              <w:rPr>
                <w:rFonts w:ascii="宋体" w:hAnsi="宋体" w:cs="宋体" w:eastAsia="宋体" w:hint="default"/>
                <w:sz w:val="18"/>
                <w:szCs w:val="18"/>
              </w:rPr>
            </w:pPr>
            <w:r>
              <w:rPr>
                <w:rFonts w:ascii="宋体" w:hAnsi="宋体" w:cs="宋体" w:eastAsia="宋体" w:hint="default"/>
                <w:sz w:val="18"/>
                <w:szCs w:val="18"/>
              </w:rPr>
              <w:t>送股</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4"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04"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right"/>
              <w:rPr>
                <w:rFonts w:ascii="宋体" w:hAnsi="宋体" w:cs="宋体" w:eastAsia="宋体" w:hint="default"/>
                <w:sz w:val="18"/>
                <w:szCs w:val="18"/>
              </w:rPr>
            </w:pPr>
            <w:r>
              <w:rPr>
                <w:rFonts w:ascii="宋体" w:hAnsi="宋体" w:cs="宋体" w:eastAsia="宋体" w:hint="default"/>
                <w:sz w:val="18"/>
                <w:szCs w:val="18"/>
              </w:rPr>
              <w:t>其他</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5"/>
              <w:jc w:val="right"/>
              <w:rPr>
                <w:rFonts w:ascii="宋体" w:hAnsi="宋体" w:cs="宋体" w:eastAsia="宋体" w:hint="default"/>
                <w:sz w:val="18"/>
                <w:szCs w:val="18"/>
              </w:rPr>
            </w:pPr>
            <w:r>
              <w:rPr>
                <w:rFonts w:ascii="宋体" w:hAnsi="宋体" w:cs="宋体" w:eastAsia="宋体" w:hint="default"/>
                <w:sz w:val="18"/>
                <w:szCs w:val="18"/>
              </w:rPr>
              <w:t>小计</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6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106" w:right="0"/>
              <w:jc w:val="left"/>
              <w:rPr>
                <w:rFonts w:ascii="Arial" w:hAnsi="Arial" w:cs="Arial" w:eastAsia="Arial" w:hint="default"/>
                <w:sz w:val="18"/>
                <w:szCs w:val="18"/>
              </w:rPr>
            </w:pPr>
            <w:r>
              <w:rPr>
                <w:rFonts w:ascii="Arial"/>
                <w:sz w:val="18"/>
              </w:rPr>
              <w:t>(%)</w:t>
            </w:r>
          </w:p>
        </w:tc>
      </w:tr>
      <w:tr>
        <w:trPr>
          <w:trHeight w:val="302"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6858" w:type="dxa"/>
            <w:gridSpan w:val="9"/>
            <w:tcBorders>
              <w:top w:val="single" w:sz="6" w:space="0" w:color="000000"/>
              <w:left w:val="single" w:sz="6" w:space="0" w:color="000000"/>
              <w:bottom w:val="single" w:sz="6" w:space="0" w:color="000000"/>
              <w:right w:val="single" w:sz="6" w:space="0" w:color="000000"/>
            </w:tcBorders>
          </w:tcPr>
          <w:p>
            <w:pPr/>
          </w:p>
        </w:tc>
      </w:tr>
      <w:tr>
        <w:trPr>
          <w:trHeight w:val="304"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61"/>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w:hAnsi="Arial" w:cs="Arial" w:eastAsia="Arial" w:hint="default"/>
                <w:sz w:val="18"/>
                <w:szCs w:val="18"/>
              </w:rPr>
            </w:pPr>
            <w:r>
              <w:rPr>
                <w:rFonts w:ascii="Arial"/>
                <w:w w:val="99"/>
                <w:sz w:val="18"/>
              </w:rPr>
              <w:t>-</w:t>
            </w:r>
            <w:r>
              <w:rPr>
                <w:rFonts w:ascii="Arial"/>
                <w:sz w:val="18"/>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w:hAnsi="Arial" w:cs="Arial" w:eastAsia="Arial" w:hint="default"/>
                <w:sz w:val="18"/>
                <w:szCs w:val="18"/>
              </w:rPr>
            </w:pPr>
            <w:r>
              <w:rPr>
                <w:rFonts w:ascii="Arial"/>
                <w:w w:val="99"/>
                <w:sz w:val="18"/>
              </w:rPr>
              <w:t>-</w:t>
            </w:r>
            <w:r>
              <w:rPr>
                <w:rFonts w:ascii="Arial"/>
                <w:sz w:val="18"/>
              </w:rPr>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302"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1"/>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w:hAnsi="Arial" w:cs="Arial" w:eastAsia="Arial" w:hint="default"/>
                <w:sz w:val="18"/>
                <w:szCs w:val="18"/>
              </w:rPr>
            </w:pPr>
            <w:r>
              <w:rPr>
                <w:rFonts w:ascii="Arial"/>
                <w:w w:val="99"/>
                <w:sz w:val="18"/>
              </w:rPr>
              <w:t>-</w:t>
            </w:r>
            <w:r>
              <w:rPr>
                <w:rFonts w:ascii="Arial"/>
                <w:sz w:val="18"/>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304"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1"/>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w:hAnsi="Arial" w:cs="Arial" w:eastAsia="Arial" w:hint="default"/>
                <w:sz w:val="18"/>
                <w:szCs w:val="18"/>
              </w:rPr>
            </w:pPr>
            <w:r>
              <w:rPr>
                <w:rFonts w:ascii="Arial"/>
                <w:w w:val="99"/>
                <w:sz w:val="18"/>
              </w:rPr>
              <w:t>-</w:t>
            </w:r>
            <w:r>
              <w:rPr>
                <w:rFonts w:ascii="Arial"/>
                <w:sz w:val="18"/>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302"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61"/>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w:hAnsi="Arial" w:cs="Arial" w:eastAsia="Arial" w:hint="default"/>
                <w:sz w:val="18"/>
                <w:szCs w:val="18"/>
              </w:rPr>
            </w:pPr>
            <w:r>
              <w:rPr>
                <w:rFonts w:ascii="Arial"/>
                <w:w w:val="99"/>
                <w:sz w:val="18"/>
              </w:rPr>
              <w:t>-</w:t>
            </w:r>
            <w:r>
              <w:rPr>
                <w:rFonts w:ascii="Arial"/>
                <w:sz w:val="18"/>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w:hAnsi="Arial" w:cs="Arial" w:eastAsia="Arial" w:hint="default"/>
                <w:sz w:val="18"/>
                <w:szCs w:val="18"/>
              </w:rPr>
            </w:pPr>
            <w:r>
              <w:rPr>
                <w:rFonts w:ascii="Arial"/>
                <w:w w:val="99"/>
                <w:sz w:val="18"/>
              </w:rPr>
              <w:t>-</w:t>
            </w:r>
            <w:r>
              <w:rPr>
                <w:rFonts w:ascii="Arial"/>
                <w:sz w:val="18"/>
              </w:rPr>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304"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c>
          <w:tcPr>
            <w:tcW w:w="6858" w:type="dxa"/>
            <w:gridSpan w:val="9"/>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9"/>
              <w:jc w:val="right"/>
              <w:rPr>
                <w:rFonts w:ascii="Arial" w:hAnsi="Arial" w:cs="Arial" w:eastAsia="Arial" w:hint="default"/>
                <w:sz w:val="18"/>
                <w:szCs w:val="18"/>
              </w:rPr>
            </w:pPr>
            <w:r>
              <w:rPr>
                <w:rFonts w:ascii="Arial"/>
                <w:spacing w:val="-1"/>
                <w:sz w:val="18"/>
              </w:rPr>
              <w:t>21,196,596,395</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2"/>
              <w:jc w:val="right"/>
              <w:rPr>
                <w:rFonts w:ascii="Arial" w:hAnsi="Arial" w:cs="Arial" w:eastAsia="Arial" w:hint="default"/>
                <w:sz w:val="18"/>
                <w:szCs w:val="18"/>
              </w:rPr>
            </w:pPr>
            <w:r>
              <w:rPr>
                <w:rFonts w:ascii="Arial"/>
                <w:spacing w:val="-1"/>
                <w:w w:val="95"/>
                <w:sz w:val="18"/>
              </w:rPr>
              <w:t>100</w:t>
            </w:r>
            <w:r>
              <w:rPr>
                <w:rFonts w:ascii="Arial"/>
                <w:sz w:val="18"/>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5"/>
              <w:jc w:val="right"/>
              <w:rPr>
                <w:rFonts w:ascii="Arial" w:hAnsi="Arial" w:cs="Arial" w:eastAsia="Arial" w:hint="default"/>
                <w:sz w:val="18"/>
                <w:szCs w:val="18"/>
              </w:rPr>
            </w:pPr>
            <w:r>
              <w:rPr>
                <w:rFonts w:ascii="Arial"/>
                <w:spacing w:val="-1"/>
                <w:sz w:val="18"/>
              </w:rPr>
              <w:t>21,196,596,395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2"/>
              <w:jc w:val="right"/>
              <w:rPr>
                <w:rFonts w:ascii="Arial" w:hAnsi="Arial" w:cs="Arial" w:eastAsia="Arial" w:hint="default"/>
                <w:sz w:val="18"/>
                <w:szCs w:val="18"/>
              </w:rPr>
            </w:pPr>
            <w:r>
              <w:rPr>
                <w:rFonts w:ascii="Arial"/>
                <w:spacing w:val="-1"/>
                <w:w w:val="95"/>
                <w:sz w:val="18"/>
              </w:rPr>
              <w:t>100</w:t>
            </w:r>
            <w:r>
              <w:rPr>
                <w:rFonts w:ascii="Arial"/>
                <w:sz w:val="18"/>
              </w:rPr>
            </w:r>
          </w:p>
        </w:tc>
      </w:tr>
      <w:tr>
        <w:trPr>
          <w:trHeight w:val="304"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302"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304"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w:hAnsi="Arial" w:cs="Arial" w:eastAsia="Arial" w:hint="default"/>
                <w:sz w:val="18"/>
                <w:szCs w:val="18"/>
              </w:rPr>
            </w:pPr>
            <w:r>
              <w:rPr>
                <w:rFonts w:ascii="Arial"/>
                <w:w w:val="99"/>
                <w:sz w:val="18"/>
              </w:rPr>
              <w:t>-</w:t>
            </w:r>
            <w:r>
              <w:rPr>
                <w:rFonts w:ascii="Arial"/>
                <w:sz w:val="18"/>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w:hAnsi="Arial" w:cs="Arial" w:eastAsia="Arial" w:hint="default"/>
                <w:sz w:val="18"/>
                <w:szCs w:val="18"/>
              </w:rPr>
            </w:pPr>
            <w:r>
              <w:rPr>
                <w:rFonts w:ascii="Arial"/>
                <w:w w:val="99"/>
                <w:sz w:val="18"/>
              </w:rPr>
              <w:t>-</w:t>
            </w:r>
            <w:r>
              <w:rPr>
                <w:rFonts w:ascii="Arial"/>
                <w:sz w:val="18"/>
              </w:rPr>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304"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9"/>
              <w:jc w:val="right"/>
              <w:rPr>
                <w:rFonts w:ascii="Arial" w:hAnsi="Arial" w:cs="Arial" w:eastAsia="Arial" w:hint="default"/>
                <w:sz w:val="18"/>
                <w:szCs w:val="18"/>
              </w:rPr>
            </w:pPr>
            <w:r>
              <w:rPr>
                <w:rFonts w:ascii="Arial"/>
                <w:spacing w:val="-1"/>
                <w:sz w:val="18"/>
              </w:rPr>
              <w:t>21,196,596,395</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2"/>
              <w:jc w:val="right"/>
              <w:rPr>
                <w:rFonts w:ascii="Arial" w:hAnsi="Arial" w:cs="Arial" w:eastAsia="Arial" w:hint="default"/>
                <w:sz w:val="18"/>
                <w:szCs w:val="18"/>
              </w:rPr>
            </w:pPr>
            <w:r>
              <w:rPr>
                <w:rFonts w:ascii="Arial"/>
                <w:spacing w:val="-1"/>
                <w:w w:val="95"/>
                <w:sz w:val="18"/>
              </w:rPr>
              <w:t>100</w:t>
            </w:r>
            <w:r>
              <w:rPr>
                <w:rFonts w:ascii="Arial"/>
                <w:sz w:val="18"/>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45"/>
              <w:jc w:val="right"/>
              <w:rPr>
                <w:rFonts w:ascii="Arial" w:hAnsi="Arial" w:cs="Arial" w:eastAsia="Arial" w:hint="default"/>
                <w:sz w:val="18"/>
                <w:szCs w:val="18"/>
              </w:rPr>
            </w:pPr>
            <w:r>
              <w:rPr>
                <w:rFonts w:ascii="Arial"/>
                <w:spacing w:val="-1"/>
                <w:sz w:val="18"/>
              </w:rPr>
              <w:t>21,196,596,395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2"/>
              <w:jc w:val="right"/>
              <w:rPr>
                <w:rFonts w:ascii="Arial" w:hAnsi="Arial" w:cs="Arial" w:eastAsia="Arial" w:hint="default"/>
                <w:sz w:val="18"/>
                <w:szCs w:val="18"/>
              </w:rPr>
            </w:pPr>
            <w:r>
              <w:rPr>
                <w:rFonts w:ascii="Arial"/>
                <w:spacing w:val="-1"/>
                <w:w w:val="95"/>
                <w:sz w:val="18"/>
              </w:rPr>
              <w:t>100</w:t>
            </w:r>
            <w:r>
              <w:rPr>
                <w:rFonts w:ascii="Arial"/>
                <w:sz w:val="18"/>
              </w:rPr>
            </w:r>
          </w:p>
        </w:tc>
      </w:tr>
    </w:tbl>
    <w:p>
      <w:pPr>
        <w:spacing w:line="240" w:lineRule="auto" w:before="1"/>
        <w:rPr>
          <w:rFonts w:ascii="宋体" w:hAnsi="宋体" w:cs="宋体" w:eastAsia="宋体" w:hint="default"/>
          <w:sz w:val="14"/>
          <w:szCs w:val="14"/>
        </w:rPr>
      </w:pPr>
    </w:p>
    <w:p>
      <w:pPr>
        <w:pStyle w:val="BodyText"/>
        <w:spacing w:line="286" w:lineRule="exact" w:before="60"/>
        <w:ind w:left="478" w:right="7432" w:hanging="333"/>
        <w:jc w:val="left"/>
      </w:pPr>
      <w:r>
        <w:rPr>
          <w:rFonts w:ascii="Arial" w:hAnsi="Arial" w:cs="Arial" w:eastAsia="Arial" w:hint="default"/>
        </w:rPr>
        <w:t>2</w:t>
      </w:r>
      <w:r>
        <w:rPr/>
        <w:t>、限售股份变动情况</w:t>
      </w:r>
      <w:r>
        <w:rPr>
          <w:w w:val="99"/>
        </w:rPr>
        <w:t> </w:t>
      </w:r>
      <w:r>
        <w:rPr/>
        <w:t>不适用</w:t>
      </w:r>
    </w:p>
    <w:p>
      <w:pPr>
        <w:spacing w:line="240" w:lineRule="auto" w:before="2"/>
        <w:rPr>
          <w:rFonts w:ascii="宋体" w:hAnsi="宋体" w:cs="宋体" w:eastAsia="宋体" w:hint="default"/>
          <w:sz w:val="17"/>
          <w:szCs w:val="17"/>
        </w:rPr>
      </w:pPr>
    </w:p>
    <w:p>
      <w:pPr>
        <w:pStyle w:val="BodyText"/>
        <w:spacing w:line="240" w:lineRule="auto"/>
        <w:ind w:left="145" w:right="251"/>
        <w:jc w:val="left"/>
      </w:pPr>
      <w:r>
        <w:rPr/>
        <w:t>（二）证券发行与上市情况</w:t>
      </w:r>
    </w:p>
    <w:p>
      <w:pPr>
        <w:spacing w:line="240" w:lineRule="auto" w:before="3"/>
        <w:rPr>
          <w:rFonts w:ascii="宋体" w:hAnsi="宋体" w:cs="宋体" w:eastAsia="宋体" w:hint="default"/>
          <w:sz w:val="21"/>
          <w:szCs w:val="21"/>
        </w:rPr>
      </w:pPr>
    </w:p>
    <w:p>
      <w:pPr>
        <w:pStyle w:val="BodyText"/>
        <w:spacing w:line="286" w:lineRule="exact"/>
        <w:ind w:left="505" w:right="3235" w:hanging="360"/>
        <w:jc w:val="left"/>
      </w:pPr>
      <w:r>
        <w:rPr>
          <w:rFonts w:ascii="Arial" w:hAnsi="Arial" w:cs="Arial" w:eastAsia="Arial" w:hint="default"/>
        </w:rPr>
        <w:t>1</w:t>
      </w:r>
      <w:r>
        <w:rPr/>
        <w:t>、前三年历次证券发行情况</w:t>
      </w:r>
      <w:r>
        <w:rPr>
          <w:w w:val="99"/>
        </w:rPr>
        <w:t> </w:t>
      </w:r>
      <w:r>
        <w:rPr/>
        <w:t>截止本报告期末至前三年，本公司未有证券发行与上市情况。</w:t>
      </w:r>
    </w:p>
    <w:p>
      <w:pPr>
        <w:spacing w:after="0" w:line="286" w:lineRule="exact"/>
        <w:jc w:val="left"/>
        <w:sectPr>
          <w:pgSz w:w="11900" w:h="16840"/>
          <w:pgMar w:header="927" w:footer="752" w:top="1160" w:bottom="940" w:left="1340" w:right="8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86" w:lineRule="exact" w:before="60"/>
        <w:ind w:left="487" w:right="2373" w:hanging="342"/>
        <w:jc w:val="left"/>
      </w:pPr>
      <w:r>
        <w:rPr>
          <w:rFonts w:ascii="Arial" w:hAnsi="Arial" w:cs="Arial" w:eastAsia="Arial" w:hint="default"/>
        </w:rPr>
        <w:t>2</w:t>
      </w:r>
      <w:r>
        <w:rPr/>
        <w:t>、公司股份总数及结构的变动情况</w:t>
      </w:r>
      <w:r>
        <w:rPr>
          <w:w w:val="99"/>
        </w:rPr>
        <w:t> </w:t>
      </w:r>
      <w:r>
        <w:rPr/>
        <w:t>报告期内没有因送股、配股等原因引起本公司股份总数及结构的变动。</w:t>
      </w:r>
    </w:p>
    <w:p>
      <w:pPr>
        <w:spacing w:line="240" w:lineRule="auto" w:before="3"/>
        <w:rPr>
          <w:rFonts w:ascii="宋体" w:hAnsi="宋体" w:cs="宋体" w:eastAsia="宋体" w:hint="default"/>
          <w:sz w:val="19"/>
          <w:szCs w:val="19"/>
        </w:rPr>
      </w:pPr>
    </w:p>
    <w:p>
      <w:pPr>
        <w:pStyle w:val="BodyText"/>
        <w:spacing w:line="286" w:lineRule="exact"/>
        <w:ind w:left="478" w:right="5902" w:hanging="333"/>
        <w:jc w:val="left"/>
      </w:pPr>
      <w:r>
        <w:rPr>
          <w:rFonts w:ascii="Arial" w:hAnsi="Arial" w:cs="Arial" w:eastAsia="Arial" w:hint="default"/>
        </w:rPr>
        <w:t>3</w:t>
      </w:r>
      <w:r>
        <w:rPr/>
        <w:t>、现存的内部职工股情况</w:t>
      </w:r>
      <w:r>
        <w:rPr>
          <w:w w:val="99"/>
        </w:rPr>
        <w:t> </w:t>
      </w:r>
      <w:r>
        <w:rPr/>
        <w:t>本报告期末本公司无内部职工股。</w:t>
      </w:r>
    </w:p>
    <w:p>
      <w:pPr>
        <w:spacing w:line="240" w:lineRule="auto" w:before="4"/>
        <w:rPr>
          <w:rFonts w:ascii="宋体" w:hAnsi="宋体" w:cs="宋体" w:eastAsia="宋体" w:hint="default"/>
          <w:sz w:val="15"/>
          <w:szCs w:val="15"/>
        </w:rPr>
      </w:pPr>
    </w:p>
    <w:p>
      <w:pPr>
        <w:pStyle w:val="BodyText"/>
        <w:spacing w:line="240" w:lineRule="auto"/>
        <w:ind w:left="145" w:right="251"/>
        <w:jc w:val="left"/>
      </w:pPr>
      <w:r>
        <w:rPr/>
        <w:t>（三）股东和实际控制人情况</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27" w:footer="752" w:top="1160" w:bottom="940" w:left="1340" w:right="860"/>
        </w:sectPr>
      </w:pPr>
    </w:p>
    <w:p>
      <w:pPr>
        <w:pStyle w:val="BodyText"/>
        <w:spacing w:line="240" w:lineRule="auto" w:before="31"/>
        <w:ind w:left="145" w:right="-15"/>
        <w:jc w:val="left"/>
      </w:pPr>
      <w:r>
        <w:rPr>
          <w:rFonts w:ascii="Arial" w:hAnsi="Arial" w:cs="Arial" w:eastAsia="Arial" w:hint="default"/>
        </w:rPr>
        <w:t>1</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日，股东数量和持股情况如下：</w:t>
      </w:r>
    </w:p>
    <w:p>
      <w:pPr>
        <w:spacing w:line="240" w:lineRule="auto" w:before="7"/>
        <w:rPr>
          <w:rFonts w:ascii="宋体" w:hAnsi="宋体" w:cs="宋体" w:eastAsia="宋体" w:hint="default"/>
          <w:sz w:val="24"/>
          <w:szCs w:val="24"/>
        </w:rPr>
      </w:pPr>
      <w:r>
        <w:rPr/>
        <w:br w:type="column"/>
      </w:r>
      <w:r>
        <w:rPr>
          <w:rFonts w:ascii="宋体"/>
          <w:sz w:val="24"/>
        </w:rPr>
      </w:r>
    </w:p>
    <w:p>
      <w:pPr>
        <w:spacing w:before="0"/>
        <w:ind w:left="145" w:right="0" w:firstLine="0"/>
        <w:jc w:val="left"/>
        <w:rPr>
          <w:rFonts w:ascii="宋体" w:hAnsi="宋体" w:cs="宋体" w:eastAsia="宋体" w:hint="default"/>
          <w:sz w:val="20"/>
          <w:szCs w:val="20"/>
        </w:rPr>
      </w:pPr>
      <w:r>
        <w:rPr>
          <w:rFonts w:ascii="宋体" w:hAnsi="宋体" w:cs="宋体" w:eastAsia="宋体" w:hint="default"/>
          <w:sz w:val="20"/>
          <w:szCs w:val="20"/>
        </w:rPr>
        <w:t>单位：股</w:t>
      </w:r>
    </w:p>
    <w:p>
      <w:pPr>
        <w:spacing w:after="0"/>
        <w:jc w:val="left"/>
        <w:rPr>
          <w:rFonts w:ascii="宋体" w:hAnsi="宋体" w:cs="宋体" w:eastAsia="宋体" w:hint="default"/>
          <w:sz w:val="20"/>
          <w:szCs w:val="20"/>
        </w:rPr>
        <w:sectPr>
          <w:type w:val="continuous"/>
          <w:pgSz w:w="11900" w:h="16840"/>
          <w:pgMar w:top="1600" w:bottom="280" w:left="1340" w:right="860"/>
          <w:cols w:num="2" w:equalWidth="0">
            <w:col w:w="5537" w:space="2961"/>
            <w:col w:w="1202"/>
          </w:cols>
        </w:sectPr>
      </w:pPr>
    </w:p>
    <w:p>
      <w:pPr>
        <w:spacing w:line="240" w:lineRule="auto" w:before="3"/>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772"/>
        <w:gridCol w:w="593"/>
        <w:gridCol w:w="868"/>
        <w:gridCol w:w="1499"/>
        <w:gridCol w:w="1247"/>
        <w:gridCol w:w="1328"/>
        <w:gridCol w:w="1126"/>
      </w:tblGrid>
      <w:tr>
        <w:trPr>
          <w:trHeight w:val="481" w:hRule="exact"/>
        </w:trPr>
        <w:tc>
          <w:tcPr>
            <w:tcW w:w="42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年末股东总数</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Arial" w:hAnsi="Arial" w:cs="Arial" w:eastAsia="Arial" w:hint="default"/>
                <w:sz w:val="18"/>
                <w:szCs w:val="18"/>
              </w:rPr>
              <w:t>790,012</w:t>
            </w:r>
            <w:r>
              <w:rPr>
                <w:rFonts w:ascii="Arial" w:hAnsi="Arial" w:cs="Arial" w:eastAsia="Arial" w:hint="default"/>
                <w:spacing w:val="-11"/>
                <w:sz w:val="18"/>
                <w:szCs w:val="18"/>
              </w:rPr>
              <w:t> </w:t>
            </w:r>
            <w:r>
              <w:rPr>
                <w:rFonts w:ascii="宋体" w:hAnsi="宋体" w:cs="宋体" w:eastAsia="宋体" w:hint="default"/>
                <w:sz w:val="18"/>
                <w:szCs w:val="18"/>
              </w:rPr>
              <w:t>户</w:t>
            </w:r>
          </w:p>
        </w:tc>
        <w:tc>
          <w:tcPr>
            <w:tcW w:w="25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center"/>
              <w:rPr>
                <w:rFonts w:ascii="宋体" w:hAnsi="宋体" w:cs="宋体" w:eastAsia="宋体" w:hint="default"/>
                <w:sz w:val="18"/>
                <w:szCs w:val="18"/>
              </w:rPr>
            </w:pPr>
            <w:r>
              <w:rPr>
                <w:rFonts w:ascii="Arial" w:hAnsi="Arial" w:cs="Arial" w:eastAsia="Arial" w:hint="default"/>
                <w:sz w:val="18"/>
                <w:szCs w:val="18"/>
              </w:rPr>
              <w:t>831,011</w:t>
            </w:r>
            <w:r>
              <w:rPr>
                <w:rFonts w:ascii="Arial" w:hAnsi="Arial" w:cs="Arial" w:eastAsia="Arial" w:hint="default"/>
                <w:spacing w:val="-11"/>
                <w:sz w:val="18"/>
                <w:szCs w:val="18"/>
              </w:rPr>
              <w:t> </w:t>
            </w:r>
            <w:r>
              <w:rPr>
                <w:rFonts w:ascii="宋体" w:hAnsi="宋体" w:cs="宋体" w:eastAsia="宋体" w:hint="default"/>
                <w:sz w:val="18"/>
                <w:szCs w:val="18"/>
              </w:rPr>
              <w:t>户</w:t>
            </w:r>
          </w:p>
        </w:tc>
      </w:tr>
      <w:tr>
        <w:trPr>
          <w:trHeight w:val="248" w:hRule="exact"/>
        </w:trPr>
        <w:tc>
          <w:tcPr>
            <w:tcW w:w="943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482"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股东</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5"/>
              <w:ind w:right="9"/>
              <w:jc w:val="center"/>
              <w:rPr>
                <w:rFonts w:ascii="Arial" w:hAnsi="Arial" w:cs="Arial" w:eastAsia="Arial" w:hint="default"/>
                <w:sz w:val="18"/>
                <w:szCs w:val="18"/>
              </w:rPr>
            </w:pPr>
            <w:r>
              <w:rPr>
                <w:rFonts w:ascii="Arial"/>
                <w:sz w:val="18"/>
              </w:rPr>
              <w:t>(%)</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1"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4"/>
              <w:jc w:val="right"/>
              <w:rPr>
                <w:rFonts w:ascii="宋体" w:hAnsi="宋体" w:cs="宋体" w:eastAsia="宋体" w:hint="default"/>
                <w:sz w:val="18"/>
                <w:szCs w:val="18"/>
              </w:rPr>
            </w:pPr>
            <w:r>
              <w:rPr>
                <w:rFonts w:ascii="宋体" w:hAnsi="宋体" w:cs="宋体" w:eastAsia="宋体" w:hint="default"/>
                <w:sz w:val="18"/>
                <w:szCs w:val="18"/>
              </w:rPr>
              <w:t>报告期内增减</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34" w:lineRule="exact"/>
              <w:ind w:left="27" w:right="0"/>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590"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5"/>
              <w:jc w:val="center"/>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9"/>
              <w:ind w:left="99" w:right="116"/>
              <w:jc w:val="left"/>
              <w:rPr>
                <w:rFonts w:ascii="宋体" w:hAnsi="宋体" w:cs="宋体" w:eastAsia="宋体" w:hint="default"/>
                <w:sz w:val="18"/>
                <w:szCs w:val="18"/>
              </w:rPr>
            </w:pPr>
            <w:r>
              <w:rPr>
                <w:rFonts w:ascii="宋体" w:hAnsi="宋体" w:cs="宋体" w:eastAsia="宋体" w:hint="default"/>
                <w:sz w:val="18"/>
                <w:szCs w:val="18"/>
              </w:rPr>
              <w:t>国有 法人</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61.05</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12,939,746,152</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92"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134"/>
              <w:jc w:val="left"/>
              <w:rPr>
                <w:rFonts w:ascii="宋体" w:hAnsi="宋体" w:cs="宋体" w:eastAsia="宋体" w:hint="default"/>
                <w:sz w:val="18"/>
                <w:szCs w:val="18"/>
              </w:rPr>
            </w:pPr>
            <w:r>
              <w:rPr>
                <w:rFonts w:ascii="宋体" w:hAnsi="宋体" w:cs="宋体" w:eastAsia="宋体" w:hint="default"/>
                <w:sz w:val="18"/>
                <w:szCs w:val="18"/>
              </w:rPr>
              <w:t>中信证券股份有限公司客户信用 交易担保证券账户</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0.91</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spacing w:val="-1"/>
                <w:sz w:val="18"/>
              </w:rPr>
              <w:t>191,845,949</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186,692,830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90"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9"/>
              <w:ind w:left="100" w:right="134"/>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银华核心价值优 选股票型证券投资基金</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0.72</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152,437,027</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2,349,876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92"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8"/>
              <w:ind w:left="100" w:right="134"/>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鹏华价值优势股 票型证券投资基金</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0.72</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151,600,000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727,548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90"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5"/>
              <w:ind w:left="100"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银华</w:t>
            </w:r>
            <w:r>
              <w:rPr>
                <w:rFonts w:ascii="Arial" w:hAnsi="Arial" w:cs="Arial" w:eastAsia="Arial" w:hint="default"/>
                <w:sz w:val="18"/>
                <w:szCs w:val="18"/>
              </w:rPr>
              <w:t>—</w:t>
            </w:r>
            <w:r>
              <w:rPr>
                <w:rFonts w:ascii="宋体" w:hAnsi="宋体" w:cs="宋体" w:eastAsia="宋体" w:hint="default"/>
                <w:sz w:val="18"/>
                <w:szCs w:val="18"/>
              </w:rPr>
              <w:t>道琼斯</w:t>
            </w:r>
          </w:p>
          <w:p>
            <w:pPr>
              <w:pStyle w:val="TableParagraph"/>
              <w:spacing w:line="241" w:lineRule="exact"/>
              <w:ind w:left="100" w:right="0"/>
              <w:jc w:val="left"/>
              <w:rPr>
                <w:rFonts w:ascii="宋体" w:hAnsi="宋体" w:cs="宋体" w:eastAsia="宋体" w:hint="default"/>
                <w:sz w:val="18"/>
                <w:szCs w:val="18"/>
              </w:rPr>
            </w:pPr>
            <w:r>
              <w:rPr>
                <w:rFonts w:ascii="Arial" w:hAnsi="Arial" w:cs="Arial" w:eastAsia="Arial" w:hint="default"/>
                <w:sz w:val="18"/>
                <w:szCs w:val="18"/>
              </w:rPr>
              <w:t>88</w:t>
            </w:r>
            <w:r>
              <w:rPr>
                <w:rFonts w:ascii="Arial" w:hAnsi="Arial" w:cs="Arial" w:eastAsia="Arial" w:hint="default"/>
                <w:spacing w:val="-8"/>
                <w:sz w:val="18"/>
                <w:szCs w:val="18"/>
              </w:rPr>
              <w:t> </w:t>
            </w:r>
            <w:r>
              <w:rPr>
                <w:rFonts w:ascii="宋体" w:hAnsi="宋体" w:cs="宋体" w:eastAsia="宋体" w:hint="default"/>
                <w:sz w:val="18"/>
                <w:szCs w:val="18"/>
              </w:rPr>
              <w:t>精选证券投资基金</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0.55</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117,476,602</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7,235,911</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91"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32" w:lineRule="auto" w:before="14"/>
              <w:ind w:left="100" w:right="134"/>
              <w:jc w:val="both"/>
              <w:rPr>
                <w:rFonts w:ascii="宋体" w:hAnsi="宋体" w:cs="宋体" w:eastAsia="宋体" w:hint="default"/>
                <w:sz w:val="18"/>
                <w:szCs w:val="18"/>
              </w:rPr>
            </w:pPr>
            <w:r>
              <w:rPr>
                <w:rFonts w:ascii="宋体" w:hAnsi="宋体" w:cs="宋体" w:eastAsia="宋体" w:hint="default"/>
                <w:sz w:val="18"/>
                <w:szCs w:val="18"/>
              </w:rPr>
              <w:t>中国建设银行股份有限公司</w:t>
            </w:r>
            <w:r>
              <w:rPr>
                <w:rFonts w:ascii="Arial" w:hAnsi="Arial" w:cs="Arial" w:eastAsia="Arial" w:hint="default"/>
                <w:sz w:val="18"/>
                <w:szCs w:val="18"/>
              </w:rPr>
              <w:t>—</w:t>
            </w:r>
            <w:r>
              <w:rPr>
                <w:rFonts w:ascii="宋体" w:hAnsi="宋体" w:cs="宋体" w:eastAsia="宋体" w:hint="default"/>
                <w:sz w:val="18"/>
                <w:szCs w:val="18"/>
              </w:rPr>
              <w:t>长 盛同庆可分离交易股票型证券投 资基金</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0.47</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100,045,403</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100,045,403</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90"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9"/>
              <w:ind w:left="100" w:right="134"/>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Arial" w:hAnsi="Arial" w:cs="Arial" w:eastAsia="Arial" w:hint="default"/>
                <w:sz w:val="18"/>
                <w:szCs w:val="18"/>
              </w:rPr>
              <w:t>—</w:t>
            </w:r>
            <w:r>
              <w:rPr>
                <w:rFonts w:ascii="宋体" w:hAnsi="宋体" w:cs="宋体" w:eastAsia="宋体" w:hint="default"/>
                <w:sz w:val="18"/>
                <w:szCs w:val="18"/>
              </w:rPr>
              <w:t>博时第三产业成 长股票证券投资基金</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0.47</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99,999,646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99,999,646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92"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134"/>
              <w:jc w:val="left"/>
              <w:rPr>
                <w:rFonts w:ascii="宋体" w:hAnsi="宋体" w:cs="宋体" w:eastAsia="宋体" w:hint="default"/>
                <w:sz w:val="18"/>
                <w:szCs w:val="18"/>
              </w:rPr>
            </w:pPr>
            <w:r>
              <w:rPr>
                <w:rFonts w:ascii="宋体" w:hAnsi="宋体" w:cs="宋体" w:eastAsia="宋体" w:hint="default"/>
                <w:sz w:val="18"/>
                <w:szCs w:val="18"/>
              </w:rPr>
              <w:t>招商证券股份有限公司客户信用 交易担保证券账户</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0.42</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89,490,706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78,568,384</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90"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9"/>
              <w:ind w:left="100" w:right="204"/>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Arial" w:hAnsi="Arial" w:cs="Arial" w:eastAsia="Arial" w:hint="default"/>
                <w:sz w:val="18"/>
                <w:szCs w:val="18"/>
              </w:rPr>
              <w:t>—</w:t>
            </w:r>
            <w:r>
              <w:rPr>
                <w:rFonts w:ascii="宋体" w:hAnsi="宋体" w:cs="宋体" w:eastAsia="宋体" w:hint="default"/>
                <w:sz w:val="18"/>
                <w:szCs w:val="18"/>
              </w:rPr>
              <w:t>上证</w:t>
            </w:r>
            <w:r>
              <w:rPr>
                <w:rFonts w:ascii="宋体" w:hAnsi="宋体" w:cs="宋体" w:eastAsia="宋体" w:hint="default"/>
                <w:spacing w:val="-46"/>
                <w:sz w:val="18"/>
                <w:szCs w:val="18"/>
              </w:rPr>
              <w:t> </w:t>
            </w:r>
            <w:r>
              <w:rPr>
                <w:rFonts w:ascii="Arial" w:hAnsi="Arial" w:cs="Arial" w:eastAsia="Arial" w:hint="default"/>
                <w:sz w:val="18"/>
                <w:szCs w:val="18"/>
              </w:rPr>
              <w:t>50</w:t>
            </w:r>
            <w:r>
              <w:rPr>
                <w:rFonts w:ascii="Arial" w:hAnsi="Arial" w:cs="Arial" w:eastAsia="Arial" w:hint="default"/>
                <w:spacing w:val="-7"/>
                <w:sz w:val="18"/>
                <w:szCs w:val="18"/>
              </w:rPr>
              <w:t> </w:t>
            </w:r>
            <w:r>
              <w:rPr>
                <w:rFonts w:ascii="宋体" w:hAnsi="宋体" w:cs="宋体" w:eastAsia="宋体" w:hint="default"/>
                <w:sz w:val="18"/>
                <w:szCs w:val="18"/>
              </w:rPr>
              <w:t>交易型 开放式指数证券投资基金</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0.42</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88,693,545</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11,354,383</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92" w:hRule="exact"/>
        </w:trPr>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134"/>
              <w:jc w:val="left"/>
              <w:rPr>
                <w:rFonts w:ascii="宋体" w:hAnsi="宋体" w:cs="宋体" w:eastAsia="宋体" w:hint="default"/>
                <w:sz w:val="18"/>
                <w:szCs w:val="18"/>
              </w:rPr>
            </w:pPr>
            <w:r>
              <w:rPr>
                <w:rFonts w:ascii="宋体" w:hAnsi="宋体" w:cs="宋体" w:eastAsia="宋体" w:hint="default"/>
                <w:sz w:val="18"/>
                <w:szCs w:val="18"/>
              </w:rPr>
              <w:t>中国银河证券股份有限公司客户 信用交易担保证券账户</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0.38</w:t>
            </w:r>
            <w:r>
              <w:rPr>
                <w:rFonts w:ascii="Arial"/>
                <w:sz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79,606,405</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71,437,405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type w:val="continuous"/>
          <w:pgSz w:w="11900" w:h="16840"/>
          <w:pgMar w:top="1600" w:bottom="280" w:left="1340" w:right="860"/>
        </w:sectPr>
      </w:pPr>
    </w:p>
    <w:p>
      <w:pPr>
        <w:spacing w:line="240" w:lineRule="auto" w:before="11"/>
        <w:rPr>
          <w:rFonts w:ascii="宋体" w:hAnsi="宋体" w:cs="宋体" w:eastAsia="宋体" w:hint="default"/>
          <w:sz w:val="21"/>
          <w:szCs w:val="21"/>
        </w:rPr>
      </w:pPr>
    </w:p>
    <w:p>
      <w:pPr>
        <w:pStyle w:val="BodyText"/>
        <w:spacing w:line="240" w:lineRule="auto" w:before="31"/>
        <w:ind w:left="145"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日，前十名无限售条件股东持股情况如下：</w:t>
      </w:r>
    </w:p>
    <w:p>
      <w:pPr>
        <w:spacing w:line="240" w:lineRule="auto" w:before="10"/>
        <w:rPr>
          <w:rFonts w:ascii="宋体" w:hAnsi="宋体" w:cs="宋体" w:eastAsia="宋体" w:hint="default"/>
          <w:sz w:val="20"/>
          <w:szCs w:val="20"/>
        </w:rPr>
      </w:pPr>
    </w:p>
    <w:tbl>
      <w:tblPr>
        <w:tblW w:w="0" w:type="auto"/>
        <w:jc w:val="left"/>
        <w:tblInd w:w="130" w:type="dxa"/>
        <w:tblLayout w:type="fixed"/>
        <w:tblCellMar>
          <w:top w:w="0" w:type="dxa"/>
          <w:left w:w="0" w:type="dxa"/>
          <w:bottom w:w="0" w:type="dxa"/>
          <w:right w:w="0" w:type="dxa"/>
        </w:tblCellMar>
        <w:tblLook w:val="01E0"/>
      </w:tblPr>
      <w:tblGrid>
        <w:gridCol w:w="4032"/>
        <w:gridCol w:w="1800"/>
        <w:gridCol w:w="1574"/>
        <w:gridCol w:w="1720"/>
      </w:tblGrid>
      <w:tr>
        <w:trPr>
          <w:trHeight w:val="533"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持有无限售条件</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股份的数量</w:t>
            </w:r>
          </w:p>
        </w:tc>
        <w:tc>
          <w:tcPr>
            <w:tcW w:w="3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38" w:right="0"/>
              <w:jc w:val="left"/>
              <w:rPr>
                <w:rFonts w:ascii="宋体" w:hAnsi="宋体" w:cs="宋体" w:eastAsia="宋体" w:hint="default"/>
                <w:sz w:val="20"/>
                <w:szCs w:val="20"/>
              </w:rPr>
            </w:pPr>
            <w:r>
              <w:rPr>
                <w:rFonts w:ascii="宋体" w:hAnsi="宋体" w:cs="宋体" w:eastAsia="宋体" w:hint="default"/>
                <w:sz w:val="20"/>
                <w:szCs w:val="20"/>
              </w:rPr>
              <w:t>股份种类及数量</w:t>
            </w:r>
          </w:p>
        </w:tc>
      </w:tr>
      <w:tr>
        <w:trPr>
          <w:trHeight w:val="577"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00" w:right="0"/>
              <w:jc w:val="left"/>
              <w:rPr>
                <w:rFonts w:ascii="宋体" w:hAnsi="宋体" w:cs="宋体" w:eastAsia="宋体" w:hint="default"/>
                <w:sz w:val="20"/>
                <w:szCs w:val="20"/>
              </w:rPr>
            </w:pPr>
            <w:r>
              <w:rPr>
                <w:rFonts w:ascii="宋体" w:hAnsi="宋体" w:cs="宋体" w:eastAsia="宋体" w:hint="default"/>
                <w:sz w:val="20"/>
                <w:szCs w:val="20"/>
              </w:rPr>
              <w:t>中国联合网络通信集团有限公司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12,939,746,152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9"/>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12,939,746,152</w:t>
            </w:r>
          </w:p>
        </w:tc>
      </w:tr>
      <w:tr>
        <w:trPr>
          <w:trHeight w:val="577"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6"/>
              <w:ind w:left="100" w:right="114"/>
              <w:jc w:val="left"/>
              <w:rPr>
                <w:rFonts w:ascii="宋体" w:hAnsi="宋体" w:cs="宋体" w:eastAsia="宋体" w:hint="default"/>
                <w:sz w:val="20"/>
                <w:szCs w:val="20"/>
              </w:rPr>
            </w:pPr>
            <w:r>
              <w:rPr>
                <w:rFonts w:ascii="宋体" w:hAnsi="宋体" w:cs="宋体" w:eastAsia="宋体" w:hint="default"/>
                <w:sz w:val="20"/>
                <w:szCs w:val="20"/>
              </w:rPr>
              <w:t>中信证券股份有限公司客户信用交易担保证</w:t>
            </w:r>
            <w:r>
              <w:rPr>
                <w:rFonts w:ascii="宋体" w:hAnsi="宋体" w:cs="宋体" w:eastAsia="宋体" w:hint="default"/>
                <w:w w:val="100"/>
                <w:sz w:val="20"/>
                <w:szCs w:val="20"/>
              </w:rPr>
              <w:t> </w:t>
            </w:r>
            <w:r>
              <w:rPr>
                <w:rFonts w:ascii="宋体" w:hAnsi="宋体" w:cs="宋体" w:eastAsia="宋体" w:hint="default"/>
                <w:sz w:val="20"/>
                <w:szCs w:val="20"/>
              </w:rPr>
              <w:t>券账户</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191,845,949</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8"/>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191,845,949</w:t>
            </w:r>
          </w:p>
        </w:tc>
      </w:tr>
      <w:tr>
        <w:trPr>
          <w:trHeight w:val="577"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6"/>
              <w:ind w:left="100" w:right="114"/>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Arial" w:hAnsi="Arial" w:cs="Arial" w:eastAsia="Arial" w:hint="default"/>
                <w:sz w:val="20"/>
                <w:szCs w:val="20"/>
              </w:rPr>
              <w:t>—</w:t>
            </w:r>
            <w:r>
              <w:rPr>
                <w:rFonts w:ascii="宋体" w:hAnsi="宋体" w:cs="宋体" w:eastAsia="宋体" w:hint="default"/>
                <w:sz w:val="20"/>
                <w:szCs w:val="20"/>
              </w:rPr>
              <w:t>银华核心价值优选股票型证</w:t>
            </w:r>
            <w:r>
              <w:rPr>
                <w:rFonts w:ascii="宋体" w:hAnsi="宋体" w:cs="宋体" w:eastAsia="宋体" w:hint="default"/>
                <w:w w:val="100"/>
                <w:sz w:val="20"/>
                <w:szCs w:val="20"/>
              </w:rPr>
              <w:t> </w:t>
            </w:r>
            <w:r>
              <w:rPr>
                <w:rFonts w:ascii="宋体" w:hAnsi="宋体" w:cs="宋体" w:eastAsia="宋体" w:hint="default"/>
                <w:sz w:val="20"/>
                <w:szCs w:val="20"/>
              </w:rPr>
              <w:t>券投资基金</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152,437,027</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8"/>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152,437,027</w:t>
            </w:r>
          </w:p>
        </w:tc>
      </w:tr>
      <w:tr>
        <w:trPr>
          <w:trHeight w:val="577"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5"/>
              <w:ind w:left="100" w:right="114"/>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Arial" w:hAnsi="Arial" w:cs="Arial" w:eastAsia="Arial" w:hint="default"/>
                <w:sz w:val="20"/>
                <w:szCs w:val="20"/>
              </w:rPr>
              <w:t>—</w:t>
            </w:r>
            <w:r>
              <w:rPr>
                <w:rFonts w:ascii="宋体" w:hAnsi="宋体" w:cs="宋体" w:eastAsia="宋体" w:hint="default"/>
                <w:sz w:val="20"/>
                <w:szCs w:val="20"/>
              </w:rPr>
              <w:t>鹏华价值优势股票型证券投</w:t>
            </w:r>
            <w:r>
              <w:rPr>
                <w:rFonts w:ascii="宋体" w:hAnsi="宋体" w:cs="宋体" w:eastAsia="宋体" w:hint="default"/>
                <w:w w:val="100"/>
                <w:sz w:val="20"/>
                <w:szCs w:val="20"/>
              </w:rPr>
              <w:t> </w:t>
            </w:r>
            <w:r>
              <w:rPr>
                <w:rFonts w:ascii="宋体" w:hAnsi="宋体" w:cs="宋体" w:eastAsia="宋体" w:hint="default"/>
                <w:sz w:val="20"/>
                <w:szCs w:val="20"/>
              </w:rPr>
              <w:t>资基金</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151,600,000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78"/>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151,600,000</w:t>
            </w:r>
          </w:p>
        </w:tc>
      </w:tr>
      <w:tr>
        <w:trPr>
          <w:trHeight w:val="577"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5"/>
              <w:ind w:left="100" w:right="193"/>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Arial" w:hAnsi="Arial" w:cs="Arial" w:eastAsia="Arial" w:hint="default"/>
                <w:sz w:val="20"/>
                <w:szCs w:val="20"/>
              </w:rPr>
              <w:t>—</w:t>
            </w:r>
            <w:r>
              <w:rPr>
                <w:rFonts w:ascii="宋体" w:hAnsi="宋体" w:cs="宋体" w:eastAsia="宋体" w:hint="default"/>
                <w:sz w:val="20"/>
                <w:szCs w:val="20"/>
              </w:rPr>
              <w:t>银华</w:t>
            </w:r>
            <w:r>
              <w:rPr>
                <w:rFonts w:ascii="Arial" w:hAnsi="Arial" w:cs="Arial" w:eastAsia="Arial" w:hint="default"/>
                <w:sz w:val="20"/>
                <w:szCs w:val="20"/>
              </w:rPr>
              <w:t>—</w:t>
            </w:r>
            <w:r>
              <w:rPr>
                <w:rFonts w:ascii="宋体" w:hAnsi="宋体" w:cs="宋体" w:eastAsia="宋体" w:hint="default"/>
                <w:sz w:val="20"/>
                <w:szCs w:val="20"/>
              </w:rPr>
              <w:t>道琼斯</w:t>
            </w:r>
            <w:r>
              <w:rPr>
                <w:rFonts w:ascii="宋体" w:hAnsi="宋体" w:cs="宋体" w:eastAsia="宋体" w:hint="default"/>
                <w:spacing w:val="-54"/>
                <w:sz w:val="20"/>
                <w:szCs w:val="20"/>
              </w:rPr>
              <w:t> </w:t>
            </w:r>
            <w:r>
              <w:rPr>
                <w:rFonts w:ascii="Arial" w:hAnsi="Arial" w:cs="Arial" w:eastAsia="Arial" w:hint="default"/>
                <w:sz w:val="20"/>
                <w:szCs w:val="20"/>
              </w:rPr>
              <w:t>88</w:t>
            </w:r>
            <w:r>
              <w:rPr>
                <w:rFonts w:ascii="Arial" w:hAnsi="Arial" w:cs="Arial" w:eastAsia="Arial" w:hint="default"/>
                <w:spacing w:val="-9"/>
                <w:sz w:val="20"/>
                <w:szCs w:val="20"/>
              </w:rPr>
              <w:t> </w:t>
            </w:r>
            <w:r>
              <w:rPr>
                <w:rFonts w:ascii="宋体" w:hAnsi="宋体" w:cs="宋体" w:eastAsia="宋体" w:hint="default"/>
                <w:sz w:val="20"/>
                <w:szCs w:val="20"/>
              </w:rPr>
              <w:t>精选证券</w:t>
            </w:r>
            <w:r>
              <w:rPr>
                <w:rFonts w:ascii="宋体" w:hAnsi="宋体" w:cs="宋体" w:eastAsia="宋体" w:hint="default"/>
                <w:spacing w:val="-2"/>
                <w:w w:val="100"/>
                <w:sz w:val="20"/>
                <w:szCs w:val="20"/>
              </w:rPr>
              <w:t> </w:t>
            </w:r>
            <w:r>
              <w:rPr>
                <w:rFonts w:ascii="宋体" w:hAnsi="宋体" w:cs="宋体" w:eastAsia="宋体" w:hint="default"/>
                <w:sz w:val="20"/>
                <w:szCs w:val="20"/>
              </w:rPr>
              <w:t>投资基金</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117,476,602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79"/>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117,476,602</w:t>
            </w:r>
          </w:p>
        </w:tc>
      </w:tr>
      <w:tr>
        <w:trPr>
          <w:trHeight w:val="576"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5"/>
              <w:ind w:left="100" w:right="114"/>
              <w:jc w:val="left"/>
              <w:rPr>
                <w:rFonts w:ascii="宋体" w:hAnsi="宋体" w:cs="宋体" w:eastAsia="宋体" w:hint="default"/>
                <w:sz w:val="20"/>
                <w:szCs w:val="20"/>
              </w:rPr>
            </w:pPr>
            <w:r>
              <w:rPr>
                <w:rFonts w:ascii="宋体" w:hAnsi="宋体" w:cs="宋体" w:eastAsia="宋体" w:hint="default"/>
                <w:sz w:val="20"/>
                <w:szCs w:val="20"/>
              </w:rPr>
              <w:t>中国建设银行股份有限公司</w:t>
            </w:r>
            <w:r>
              <w:rPr>
                <w:rFonts w:ascii="Arial" w:hAnsi="Arial" w:cs="Arial" w:eastAsia="Arial" w:hint="default"/>
                <w:sz w:val="20"/>
                <w:szCs w:val="20"/>
              </w:rPr>
              <w:t>—</w:t>
            </w:r>
            <w:r>
              <w:rPr>
                <w:rFonts w:ascii="宋体" w:hAnsi="宋体" w:cs="宋体" w:eastAsia="宋体" w:hint="default"/>
                <w:sz w:val="20"/>
                <w:szCs w:val="20"/>
              </w:rPr>
              <w:t>长盛同庆可分</w:t>
            </w:r>
            <w:r>
              <w:rPr>
                <w:rFonts w:ascii="宋体" w:hAnsi="宋体" w:cs="宋体" w:eastAsia="宋体" w:hint="default"/>
                <w:w w:val="100"/>
                <w:sz w:val="20"/>
                <w:szCs w:val="20"/>
              </w:rPr>
              <w:t> </w:t>
            </w:r>
            <w:r>
              <w:rPr>
                <w:rFonts w:ascii="宋体" w:hAnsi="宋体" w:cs="宋体" w:eastAsia="宋体" w:hint="default"/>
                <w:sz w:val="20"/>
                <w:szCs w:val="20"/>
              </w:rPr>
              <w:t>离交易股票型证券投资基金</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99"/>
              <w:jc w:val="right"/>
              <w:rPr>
                <w:rFonts w:ascii="Arial" w:hAnsi="Arial" w:cs="Arial" w:eastAsia="Arial" w:hint="default"/>
                <w:sz w:val="20"/>
                <w:szCs w:val="20"/>
              </w:rPr>
            </w:pPr>
            <w:r>
              <w:rPr>
                <w:rFonts w:ascii="Arial"/>
                <w:spacing w:val="-1"/>
                <w:sz w:val="20"/>
              </w:rPr>
              <w:t>100,045,403</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78"/>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99"/>
              <w:jc w:val="right"/>
              <w:rPr>
                <w:rFonts w:ascii="Arial" w:hAnsi="Arial" w:cs="Arial" w:eastAsia="Arial" w:hint="default"/>
                <w:sz w:val="20"/>
                <w:szCs w:val="20"/>
              </w:rPr>
            </w:pPr>
            <w:r>
              <w:rPr>
                <w:rFonts w:ascii="Arial"/>
                <w:spacing w:val="-1"/>
                <w:sz w:val="20"/>
              </w:rPr>
              <w:t>100,045,403</w:t>
            </w:r>
          </w:p>
        </w:tc>
      </w:tr>
      <w:tr>
        <w:trPr>
          <w:trHeight w:val="577"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6"/>
              <w:ind w:left="100" w:right="114"/>
              <w:jc w:val="left"/>
              <w:rPr>
                <w:rFonts w:ascii="宋体" w:hAnsi="宋体" w:cs="宋体" w:eastAsia="宋体" w:hint="default"/>
                <w:sz w:val="20"/>
                <w:szCs w:val="20"/>
              </w:rPr>
            </w:pPr>
            <w:r>
              <w:rPr>
                <w:rFonts w:ascii="宋体" w:hAnsi="宋体" w:cs="宋体" w:eastAsia="宋体" w:hint="default"/>
                <w:sz w:val="20"/>
                <w:szCs w:val="20"/>
              </w:rPr>
              <w:t>中国工商银行</w:t>
            </w:r>
            <w:r>
              <w:rPr>
                <w:rFonts w:ascii="Arial" w:hAnsi="Arial" w:cs="Arial" w:eastAsia="Arial" w:hint="default"/>
                <w:sz w:val="20"/>
                <w:szCs w:val="20"/>
              </w:rPr>
              <w:t>—</w:t>
            </w:r>
            <w:r>
              <w:rPr>
                <w:rFonts w:ascii="宋体" w:hAnsi="宋体" w:cs="宋体" w:eastAsia="宋体" w:hint="default"/>
                <w:sz w:val="20"/>
                <w:szCs w:val="20"/>
              </w:rPr>
              <w:t>博时第三产业成长股票证券</w:t>
            </w:r>
            <w:r>
              <w:rPr>
                <w:rFonts w:ascii="宋体" w:hAnsi="宋体" w:cs="宋体" w:eastAsia="宋体" w:hint="default"/>
                <w:w w:val="100"/>
                <w:sz w:val="20"/>
                <w:szCs w:val="20"/>
              </w:rPr>
              <w:t> </w:t>
            </w:r>
            <w:r>
              <w:rPr>
                <w:rFonts w:ascii="宋体" w:hAnsi="宋体" w:cs="宋体" w:eastAsia="宋体" w:hint="default"/>
                <w:sz w:val="20"/>
                <w:szCs w:val="20"/>
              </w:rPr>
              <w:t>投资基金</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99,999,646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8"/>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99,999,646</w:t>
            </w:r>
          </w:p>
        </w:tc>
      </w:tr>
      <w:tr>
        <w:trPr>
          <w:trHeight w:val="577"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6"/>
              <w:ind w:left="100" w:right="114"/>
              <w:jc w:val="left"/>
              <w:rPr>
                <w:rFonts w:ascii="宋体" w:hAnsi="宋体" w:cs="宋体" w:eastAsia="宋体" w:hint="default"/>
                <w:sz w:val="20"/>
                <w:szCs w:val="20"/>
              </w:rPr>
            </w:pPr>
            <w:r>
              <w:rPr>
                <w:rFonts w:ascii="宋体" w:hAnsi="宋体" w:cs="宋体" w:eastAsia="宋体" w:hint="default"/>
                <w:sz w:val="20"/>
                <w:szCs w:val="20"/>
              </w:rPr>
              <w:t>招商证券股份有限公司客户信用交易担保证</w:t>
            </w:r>
            <w:r>
              <w:rPr>
                <w:rFonts w:ascii="宋体" w:hAnsi="宋体" w:cs="宋体" w:eastAsia="宋体" w:hint="default"/>
                <w:w w:val="100"/>
                <w:sz w:val="20"/>
                <w:szCs w:val="20"/>
              </w:rPr>
              <w:t> </w:t>
            </w:r>
            <w:r>
              <w:rPr>
                <w:rFonts w:ascii="宋体" w:hAnsi="宋体" w:cs="宋体" w:eastAsia="宋体" w:hint="default"/>
                <w:sz w:val="20"/>
                <w:szCs w:val="20"/>
              </w:rPr>
              <w:t>券账户</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89,490,706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8"/>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89,490,706</w:t>
            </w:r>
          </w:p>
        </w:tc>
      </w:tr>
      <w:tr>
        <w:trPr>
          <w:trHeight w:val="577"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6"/>
              <w:ind w:left="100" w:right="192"/>
              <w:jc w:val="left"/>
              <w:rPr>
                <w:rFonts w:ascii="宋体" w:hAnsi="宋体" w:cs="宋体" w:eastAsia="宋体" w:hint="default"/>
                <w:sz w:val="20"/>
                <w:szCs w:val="20"/>
              </w:rPr>
            </w:pPr>
            <w:r>
              <w:rPr>
                <w:rFonts w:ascii="宋体" w:hAnsi="宋体" w:cs="宋体" w:eastAsia="宋体" w:hint="default"/>
                <w:sz w:val="20"/>
                <w:szCs w:val="20"/>
              </w:rPr>
              <w:t>中国工商银行</w:t>
            </w:r>
            <w:r>
              <w:rPr>
                <w:rFonts w:ascii="Arial" w:hAnsi="Arial" w:cs="Arial" w:eastAsia="Arial" w:hint="default"/>
                <w:sz w:val="20"/>
                <w:szCs w:val="20"/>
              </w:rPr>
              <w:t>—</w:t>
            </w:r>
            <w:r>
              <w:rPr>
                <w:rFonts w:ascii="宋体" w:hAnsi="宋体" w:cs="宋体" w:eastAsia="宋体" w:hint="default"/>
                <w:sz w:val="20"/>
                <w:szCs w:val="20"/>
              </w:rPr>
              <w:t>上证</w:t>
            </w:r>
            <w:r>
              <w:rPr>
                <w:rFonts w:ascii="宋体" w:hAnsi="宋体" w:cs="宋体" w:eastAsia="宋体" w:hint="default"/>
                <w:spacing w:val="-53"/>
                <w:sz w:val="20"/>
                <w:szCs w:val="20"/>
              </w:rPr>
              <w:t> </w:t>
            </w:r>
            <w:r>
              <w:rPr>
                <w:rFonts w:ascii="Arial" w:hAnsi="Arial" w:cs="Arial" w:eastAsia="Arial" w:hint="default"/>
                <w:sz w:val="20"/>
                <w:szCs w:val="20"/>
              </w:rPr>
              <w:t>50</w:t>
            </w:r>
            <w:r>
              <w:rPr>
                <w:rFonts w:ascii="Arial" w:hAnsi="Arial" w:cs="Arial" w:eastAsia="Arial" w:hint="default"/>
                <w:spacing w:val="-9"/>
                <w:sz w:val="20"/>
                <w:szCs w:val="20"/>
              </w:rPr>
              <w:t> </w:t>
            </w:r>
            <w:r>
              <w:rPr>
                <w:rFonts w:ascii="宋体" w:hAnsi="宋体" w:cs="宋体" w:eastAsia="宋体" w:hint="default"/>
                <w:sz w:val="20"/>
                <w:szCs w:val="20"/>
              </w:rPr>
              <w:t>交易型开放式指数</w:t>
            </w:r>
            <w:r>
              <w:rPr>
                <w:rFonts w:ascii="宋体" w:hAnsi="宋体" w:cs="宋体" w:eastAsia="宋体" w:hint="default"/>
                <w:w w:val="100"/>
                <w:sz w:val="20"/>
                <w:szCs w:val="20"/>
              </w:rPr>
              <w:t> </w:t>
            </w:r>
            <w:r>
              <w:rPr>
                <w:rFonts w:ascii="宋体" w:hAnsi="宋体" w:cs="宋体" w:eastAsia="宋体" w:hint="default"/>
                <w:sz w:val="20"/>
                <w:szCs w:val="20"/>
              </w:rPr>
              <w:t>证券投资基金</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88,693,545</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78"/>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88,693,545</w:t>
            </w:r>
          </w:p>
        </w:tc>
      </w:tr>
      <w:tr>
        <w:trPr>
          <w:trHeight w:val="577"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5"/>
              <w:ind w:left="100" w:right="114"/>
              <w:jc w:val="left"/>
              <w:rPr>
                <w:rFonts w:ascii="宋体" w:hAnsi="宋体" w:cs="宋体" w:eastAsia="宋体" w:hint="default"/>
                <w:sz w:val="20"/>
                <w:szCs w:val="20"/>
              </w:rPr>
            </w:pPr>
            <w:r>
              <w:rPr>
                <w:rFonts w:ascii="宋体" w:hAnsi="宋体" w:cs="宋体" w:eastAsia="宋体" w:hint="default"/>
                <w:sz w:val="20"/>
                <w:szCs w:val="20"/>
              </w:rPr>
              <w:t>中国银河证券股份有限公司客户信用交易担</w:t>
            </w:r>
            <w:r>
              <w:rPr>
                <w:rFonts w:ascii="宋体" w:hAnsi="宋体" w:cs="宋体" w:eastAsia="宋体" w:hint="default"/>
                <w:w w:val="100"/>
                <w:sz w:val="20"/>
                <w:szCs w:val="20"/>
              </w:rPr>
              <w:t> </w:t>
            </w:r>
            <w:r>
              <w:rPr>
                <w:rFonts w:ascii="宋体" w:hAnsi="宋体" w:cs="宋体" w:eastAsia="宋体" w:hint="default"/>
                <w:sz w:val="20"/>
                <w:szCs w:val="20"/>
              </w:rPr>
              <w:t>保证券账户</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79,606,405</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78"/>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9"/>
              <w:jc w:val="right"/>
              <w:rPr>
                <w:rFonts w:ascii="Arial" w:hAnsi="Arial" w:cs="Arial" w:eastAsia="Arial" w:hint="default"/>
                <w:sz w:val="20"/>
                <w:szCs w:val="20"/>
              </w:rPr>
            </w:pPr>
            <w:r>
              <w:rPr>
                <w:rFonts w:ascii="Arial"/>
                <w:spacing w:val="-1"/>
                <w:sz w:val="20"/>
              </w:rPr>
              <w:t>79,606,405</w:t>
            </w:r>
          </w:p>
        </w:tc>
      </w:tr>
      <w:tr>
        <w:trPr>
          <w:trHeight w:val="1572" w:hRule="exact"/>
        </w:trPr>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上述股东关联关系或一致行动的说明</w:t>
            </w:r>
          </w:p>
        </w:tc>
        <w:tc>
          <w:tcPr>
            <w:tcW w:w="50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z w:val="20"/>
                <w:szCs w:val="20"/>
              </w:rPr>
              <w:t>本公司未知前十名股东之间存在关联关系或一致行动人</w:t>
            </w:r>
          </w:p>
          <w:p>
            <w:pPr>
              <w:pStyle w:val="TableParagraph"/>
              <w:spacing w:line="237" w:lineRule="auto" w:before="1"/>
              <w:ind w:left="99" w:right="176"/>
              <w:jc w:val="left"/>
              <w:rPr>
                <w:rFonts w:ascii="宋体" w:hAnsi="宋体" w:cs="宋体" w:eastAsia="宋体" w:hint="default"/>
                <w:sz w:val="20"/>
                <w:szCs w:val="20"/>
              </w:rPr>
            </w:pPr>
            <w:r>
              <w:rPr>
                <w:rFonts w:ascii="宋体" w:hAnsi="宋体" w:cs="宋体" w:eastAsia="宋体" w:hint="default"/>
                <w:sz w:val="20"/>
                <w:szCs w:val="20"/>
              </w:rPr>
              <w:t>的情况。</w:t>
            </w:r>
            <w:r>
              <w:rPr>
                <w:rFonts w:ascii="宋体" w:hAnsi="宋体" w:cs="宋体" w:eastAsia="宋体" w:hint="default"/>
                <w:w w:val="100"/>
                <w:sz w:val="20"/>
                <w:szCs w:val="20"/>
              </w:rPr>
              <w:t> </w:t>
            </w:r>
            <w:r>
              <w:rPr>
                <w:rFonts w:ascii="宋体" w:hAnsi="宋体" w:cs="宋体" w:eastAsia="宋体" w:hint="default"/>
                <w:sz w:val="20"/>
                <w:szCs w:val="20"/>
              </w:rPr>
              <w:t>本公司未知前十名无限售条件股东之间存在关联关系或</w:t>
            </w:r>
            <w:r>
              <w:rPr>
                <w:rFonts w:ascii="宋体" w:hAnsi="宋体" w:cs="宋体" w:eastAsia="宋体" w:hint="default"/>
                <w:w w:val="100"/>
                <w:sz w:val="20"/>
                <w:szCs w:val="20"/>
              </w:rPr>
              <w:t> </w:t>
            </w:r>
            <w:r>
              <w:rPr>
                <w:rFonts w:ascii="宋体" w:hAnsi="宋体" w:cs="宋体" w:eastAsia="宋体" w:hint="default"/>
                <w:sz w:val="20"/>
                <w:szCs w:val="20"/>
              </w:rPr>
              <w:t>一致行动人的情况。</w:t>
            </w:r>
            <w:r>
              <w:rPr>
                <w:rFonts w:ascii="宋体" w:hAnsi="宋体" w:cs="宋体" w:eastAsia="宋体" w:hint="default"/>
                <w:w w:val="100"/>
                <w:sz w:val="20"/>
                <w:szCs w:val="20"/>
              </w:rPr>
              <w:t> </w:t>
            </w:r>
            <w:r>
              <w:rPr>
                <w:rFonts w:ascii="宋体" w:hAnsi="宋体" w:cs="宋体" w:eastAsia="宋体" w:hint="default"/>
                <w:sz w:val="20"/>
                <w:szCs w:val="20"/>
              </w:rPr>
              <w:t>本公司未知前十名无限售条件股东和前十名股东之间存</w:t>
            </w:r>
            <w:r>
              <w:rPr>
                <w:rFonts w:ascii="宋体" w:hAnsi="宋体" w:cs="宋体" w:eastAsia="宋体" w:hint="default"/>
                <w:w w:val="100"/>
                <w:sz w:val="20"/>
                <w:szCs w:val="20"/>
              </w:rPr>
              <w:t> </w:t>
            </w:r>
            <w:r>
              <w:rPr>
                <w:rFonts w:ascii="宋体" w:hAnsi="宋体" w:cs="宋体" w:eastAsia="宋体" w:hint="default"/>
                <w:sz w:val="20"/>
                <w:szCs w:val="20"/>
              </w:rPr>
              <w:t>在关联关系的情况。</w:t>
            </w:r>
          </w:p>
        </w:tc>
      </w:tr>
    </w:tbl>
    <w:p>
      <w:pPr>
        <w:spacing w:line="240" w:lineRule="auto" w:before="4"/>
        <w:rPr>
          <w:rFonts w:ascii="宋体" w:hAnsi="宋体" w:cs="宋体" w:eastAsia="宋体" w:hint="default"/>
          <w:sz w:val="12"/>
          <w:szCs w:val="12"/>
        </w:rPr>
      </w:pPr>
    </w:p>
    <w:p>
      <w:pPr>
        <w:pStyle w:val="BodyText"/>
        <w:spacing w:line="240" w:lineRule="auto" w:before="31"/>
        <w:ind w:left="145"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年度，本集团不存在战略投资者或一般法人因配售新股成为前</w:t>
      </w:r>
      <w:r>
        <w:rPr>
          <w:spacing w:val="-56"/>
        </w:rPr>
        <w:t> </w:t>
      </w:r>
      <w:r>
        <w:rPr>
          <w:rFonts w:ascii="Arial" w:hAnsi="Arial" w:cs="Arial" w:eastAsia="Arial" w:hint="default"/>
        </w:rPr>
        <w:t>10</w:t>
      </w:r>
      <w:r>
        <w:rPr>
          <w:rFonts w:ascii="Arial" w:hAnsi="Arial" w:cs="Arial" w:eastAsia="Arial" w:hint="default"/>
          <w:spacing w:val="-7"/>
        </w:rPr>
        <w:t> </w:t>
      </w:r>
      <w:r>
        <w:rPr/>
        <w:t>名股东的情况。</w:t>
      </w:r>
    </w:p>
    <w:p>
      <w:pPr>
        <w:spacing w:line="240" w:lineRule="auto" w:before="13"/>
        <w:rPr>
          <w:rFonts w:ascii="宋体" w:hAnsi="宋体" w:cs="宋体" w:eastAsia="宋体" w:hint="default"/>
          <w:sz w:val="17"/>
          <w:szCs w:val="17"/>
        </w:rPr>
      </w:pPr>
    </w:p>
    <w:p>
      <w:pPr>
        <w:pStyle w:val="BodyText"/>
        <w:spacing w:line="240" w:lineRule="auto"/>
        <w:ind w:left="145" w:right="0"/>
        <w:jc w:val="left"/>
      </w:pPr>
      <w:r>
        <w:rPr>
          <w:rFonts w:ascii="Arial" w:hAnsi="Arial" w:cs="Arial" w:eastAsia="Arial" w:hint="default"/>
        </w:rPr>
        <w:t>2</w:t>
      </w:r>
      <w:r>
        <w:rPr/>
        <w:t>、控股股东及实际控制人情况</w:t>
      </w:r>
    </w:p>
    <w:p>
      <w:pPr>
        <w:spacing w:line="240" w:lineRule="auto" w:before="2"/>
        <w:rPr>
          <w:rFonts w:ascii="宋体" w:hAnsi="宋体" w:cs="宋体" w:eastAsia="宋体" w:hint="default"/>
          <w:sz w:val="26"/>
          <w:szCs w:val="26"/>
        </w:rPr>
      </w:pPr>
    </w:p>
    <w:p>
      <w:pPr>
        <w:pStyle w:val="BodyText"/>
        <w:spacing w:line="240" w:lineRule="auto"/>
        <w:ind w:left="145" w:right="0"/>
        <w:jc w:val="left"/>
      </w:pPr>
      <w:r>
        <w:rPr>
          <w:rFonts w:ascii="Arial" w:hAnsi="Arial" w:cs="Arial" w:eastAsia="Arial" w:hint="default"/>
        </w:rPr>
        <w:t>(1)</w:t>
      </w:r>
      <w:r>
        <w:rPr>
          <w:rFonts w:ascii="Arial" w:hAnsi="Arial" w:cs="Arial" w:eastAsia="Arial" w:hint="default"/>
          <w:spacing w:val="47"/>
        </w:rPr>
        <w:t> </w:t>
      </w:r>
      <w:r>
        <w:rPr/>
        <w:t>控股股东及实际控制人具体情况介绍</w:t>
      </w:r>
    </w:p>
    <w:p>
      <w:pPr>
        <w:spacing w:line="240" w:lineRule="auto" w:before="4"/>
        <w:rPr>
          <w:rFonts w:ascii="宋体" w:hAnsi="宋体" w:cs="宋体" w:eastAsia="宋体" w:hint="default"/>
          <w:sz w:val="28"/>
          <w:szCs w:val="28"/>
        </w:rPr>
      </w:pPr>
    </w:p>
    <w:p>
      <w:pPr>
        <w:pStyle w:val="BodyText"/>
        <w:spacing w:line="286" w:lineRule="exact"/>
        <w:ind w:left="487" w:right="0"/>
        <w:jc w:val="left"/>
      </w:pPr>
      <w:r>
        <w:rPr>
          <w:spacing w:val="-2"/>
        </w:rPr>
        <w:t>中国联合网络通信集团有限公司（“联通集团”）为本公司的控股股东，本公司的实际最终控</w:t>
      </w:r>
      <w:r>
        <w:rPr>
          <w:spacing w:val="-97"/>
        </w:rPr>
        <w:t> </w:t>
      </w:r>
      <w:r>
        <w:rPr>
          <w:spacing w:val="-97"/>
        </w:rPr>
      </w:r>
      <w:r>
        <w:rPr/>
        <w:t>制人为国务院国有资产监督管理委员会。</w:t>
      </w:r>
    </w:p>
    <w:p>
      <w:pPr>
        <w:spacing w:after="0" w:line="286" w:lineRule="exact"/>
        <w:jc w:val="left"/>
        <w:sectPr>
          <w:pgSz w:w="11900" w:h="16840"/>
          <w:pgMar w:header="927" w:footer="752" w:top="1160" w:bottom="940" w:left="1340" w:right="980"/>
        </w:sectPr>
      </w:pPr>
    </w:p>
    <w:p>
      <w:pPr>
        <w:spacing w:line="240" w:lineRule="auto" w:before="11"/>
        <w:rPr>
          <w:rFonts w:ascii="宋体" w:hAnsi="宋体" w:cs="宋体" w:eastAsia="宋体" w:hint="default"/>
          <w:sz w:val="21"/>
          <w:szCs w:val="21"/>
        </w:rPr>
      </w:pPr>
    </w:p>
    <w:p>
      <w:pPr>
        <w:pStyle w:val="BodyText"/>
        <w:spacing w:line="240" w:lineRule="auto" w:before="31"/>
        <w:ind w:left="145" w:right="0"/>
        <w:jc w:val="left"/>
      </w:pPr>
      <w:r>
        <w:rPr>
          <w:rFonts w:ascii="Arial" w:hAnsi="Arial" w:cs="Arial" w:eastAsia="Arial" w:hint="default"/>
        </w:rPr>
        <w:t>(2)</w:t>
      </w:r>
      <w:r>
        <w:rPr>
          <w:rFonts w:ascii="Arial" w:hAnsi="Arial" w:cs="Arial" w:eastAsia="Arial" w:hint="default"/>
          <w:spacing w:val="47"/>
        </w:rPr>
        <w:t> </w:t>
      </w:r>
      <w:r>
        <w:rPr/>
        <w:t>控股股东情况</w:t>
      </w:r>
    </w:p>
    <w:p>
      <w:pPr>
        <w:spacing w:line="240" w:lineRule="auto" w:before="10"/>
        <w:rPr>
          <w:rFonts w:ascii="宋体" w:hAnsi="宋体" w:cs="宋体" w:eastAsia="宋体" w:hint="default"/>
          <w:sz w:val="20"/>
          <w:szCs w:val="20"/>
        </w:rPr>
      </w:pPr>
    </w:p>
    <w:tbl>
      <w:tblPr>
        <w:tblW w:w="0" w:type="auto"/>
        <w:jc w:val="left"/>
        <w:tblInd w:w="480" w:type="dxa"/>
        <w:tblLayout w:type="fixed"/>
        <w:tblCellMar>
          <w:top w:w="0" w:type="dxa"/>
          <w:left w:w="0" w:type="dxa"/>
          <w:bottom w:w="0" w:type="dxa"/>
          <w:right w:w="0" w:type="dxa"/>
        </w:tblCellMar>
        <w:tblLook w:val="01E0"/>
      </w:tblPr>
      <w:tblGrid>
        <w:gridCol w:w="1655"/>
        <w:gridCol w:w="7111"/>
      </w:tblGrid>
      <w:tr>
        <w:trPr>
          <w:trHeight w:val="300" w:hRule="exact"/>
        </w:trPr>
        <w:tc>
          <w:tcPr>
            <w:tcW w:w="1655"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名称</w:t>
            </w:r>
          </w:p>
        </w:tc>
        <w:tc>
          <w:tcPr>
            <w:tcW w:w="7111"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中国联合网络通信集团有限公司</w:t>
            </w:r>
          </w:p>
        </w:tc>
      </w:tr>
      <w:tr>
        <w:trPr>
          <w:trHeight w:val="300" w:hRule="exact"/>
        </w:trPr>
        <w:tc>
          <w:tcPr>
            <w:tcW w:w="1655"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法定代表人</w:t>
            </w:r>
          </w:p>
        </w:tc>
        <w:tc>
          <w:tcPr>
            <w:tcW w:w="7111"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r>
      <w:tr>
        <w:trPr>
          <w:trHeight w:val="300" w:hRule="exact"/>
        </w:trPr>
        <w:tc>
          <w:tcPr>
            <w:tcW w:w="1655"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成立日期</w:t>
            </w:r>
          </w:p>
        </w:tc>
        <w:tc>
          <w:tcPr>
            <w:tcW w:w="7111" w:type="dxa"/>
            <w:tcBorders>
              <w:top w:val="single" w:sz="6" w:space="0" w:color="111111"/>
              <w:left w:val="single" w:sz="6" w:space="0" w:color="111111"/>
              <w:bottom w:val="single" w:sz="6" w:space="0" w:color="111111"/>
              <w:right w:val="single" w:sz="6" w:space="0" w:color="111111"/>
            </w:tcBorders>
          </w:tcPr>
          <w:p>
            <w:pPr>
              <w:pStyle w:val="TableParagraph"/>
              <w:spacing w:line="269" w:lineRule="exact"/>
              <w:ind w:left="100" w:right="0"/>
              <w:jc w:val="left"/>
              <w:rPr>
                <w:rFonts w:ascii="宋体" w:hAnsi="宋体" w:cs="宋体" w:eastAsia="宋体" w:hint="default"/>
                <w:sz w:val="22"/>
                <w:szCs w:val="22"/>
              </w:rPr>
            </w:pPr>
            <w:r>
              <w:rPr>
                <w:rFonts w:ascii="Arial" w:hAnsi="Arial" w:cs="Arial" w:eastAsia="Arial" w:hint="default"/>
                <w:sz w:val="22"/>
                <w:szCs w:val="22"/>
              </w:rPr>
              <w:t>1994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6</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18</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1" w:hRule="exact"/>
        </w:trPr>
        <w:tc>
          <w:tcPr>
            <w:tcW w:w="1655"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注册资本</w:t>
            </w:r>
          </w:p>
        </w:tc>
        <w:tc>
          <w:tcPr>
            <w:tcW w:w="7111" w:type="dxa"/>
            <w:tcBorders>
              <w:top w:val="single" w:sz="6" w:space="0" w:color="111111"/>
              <w:left w:val="single" w:sz="6" w:space="0" w:color="111111"/>
              <w:bottom w:val="single" w:sz="6" w:space="0" w:color="111111"/>
              <w:right w:val="single" w:sz="6" w:space="0" w:color="111111"/>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人民币</w:t>
            </w:r>
            <w:r>
              <w:rPr>
                <w:rFonts w:ascii="宋体" w:hAnsi="宋体" w:cs="宋体" w:eastAsia="宋体" w:hint="default"/>
                <w:spacing w:val="-57"/>
                <w:sz w:val="22"/>
                <w:szCs w:val="22"/>
              </w:rPr>
              <w:t> </w:t>
            </w:r>
            <w:r>
              <w:rPr>
                <w:rFonts w:ascii="Arial" w:hAnsi="Arial" w:cs="Arial" w:eastAsia="Arial" w:hint="default"/>
                <w:sz w:val="22"/>
                <w:szCs w:val="22"/>
              </w:rPr>
              <w:t>104,396,419,361</w:t>
            </w:r>
            <w:r>
              <w:rPr>
                <w:rFonts w:ascii="Arial" w:hAnsi="Arial" w:cs="Arial" w:eastAsia="Arial" w:hint="default"/>
                <w:spacing w:val="-8"/>
                <w:sz w:val="22"/>
                <w:szCs w:val="22"/>
              </w:rPr>
              <w:t> </w:t>
            </w:r>
            <w:r>
              <w:rPr>
                <w:rFonts w:ascii="宋体" w:hAnsi="宋体" w:cs="宋体" w:eastAsia="宋体" w:hint="default"/>
                <w:sz w:val="22"/>
                <w:szCs w:val="22"/>
              </w:rPr>
              <w:t>元</w:t>
            </w:r>
          </w:p>
        </w:tc>
      </w:tr>
      <w:tr>
        <w:trPr>
          <w:trHeight w:val="292" w:hRule="exact"/>
        </w:trPr>
        <w:tc>
          <w:tcPr>
            <w:tcW w:w="1655" w:type="dxa"/>
            <w:tcBorders>
              <w:top w:val="single" w:sz="6" w:space="0" w:color="111111"/>
              <w:left w:val="single" w:sz="6" w:space="0" w:color="111111"/>
              <w:bottom w:val="nil" w:sz="6" w:space="0" w:color="auto"/>
              <w:right w:val="single" w:sz="6" w:space="0" w:color="111111"/>
            </w:tcBorders>
          </w:tcPr>
          <w:p>
            <w:pPr/>
          </w:p>
        </w:tc>
        <w:tc>
          <w:tcPr>
            <w:tcW w:w="7111" w:type="dxa"/>
            <w:tcBorders>
              <w:top w:val="single" w:sz="6" w:space="0" w:color="111111"/>
              <w:left w:val="single" w:sz="6" w:space="0" w:color="111111"/>
              <w:bottom w:val="nil" w:sz="6" w:space="0" w:color="auto"/>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许可经营项目：固定通信业务、蜂窝移动通信业务、第一类卫星通信业</w:t>
            </w:r>
          </w:p>
        </w:tc>
      </w:tr>
      <w:tr>
        <w:trPr>
          <w:trHeight w:val="286"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务、第一类数据通信业务、网络接入业务（具体业务种类、覆盖范围以</w:t>
            </w:r>
          </w:p>
        </w:tc>
      </w:tr>
      <w:tr>
        <w:trPr>
          <w:trHeight w:val="290"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68" w:lineRule="exact"/>
              <w:ind w:left="100" w:right="0"/>
              <w:jc w:val="left"/>
              <w:rPr>
                <w:rFonts w:ascii="宋体" w:hAnsi="宋体" w:cs="宋体" w:eastAsia="宋体" w:hint="default"/>
                <w:sz w:val="22"/>
                <w:szCs w:val="22"/>
              </w:rPr>
            </w:pPr>
            <w:r>
              <w:rPr>
                <w:rFonts w:ascii="宋体" w:hAnsi="宋体" w:cs="宋体" w:eastAsia="宋体" w:hint="default"/>
                <w:sz w:val="22"/>
                <w:szCs w:val="22"/>
              </w:rPr>
              <w:t>许可证为准，有效期至</w:t>
            </w:r>
            <w:r>
              <w:rPr>
                <w:rFonts w:ascii="宋体" w:hAnsi="宋体" w:cs="宋体" w:eastAsia="宋体" w:hint="default"/>
                <w:spacing w:val="-55"/>
                <w:sz w:val="22"/>
                <w:szCs w:val="22"/>
              </w:rPr>
              <w:t> </w:t>
            </w:r>
            <w:r>
              <w:rPr>
                <w:rFonts w:ascii="Arial" w:hAnsi="Arial" w:cs="Arial" w:eastAsia="Arial" w:hint="default"/>
                <w:sz w:val="22"/>
                <w:szCs w:val="22"/>
              </w:rPr>
              <w:t>2019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6</w:t>
            </w:r>
            <w:r>
              <w:rPr>
                <w:rFonts w:ascii="Arial" w:hAnsi="Arial" w:cs="Arial" w:eastAsia="Arial" w:hint="default"/>
                <w:spacing w:val="-7"/>
                <w:sz w:val="22"/>
                <w:szCs w:val="22"/>
              </w:rPr>
              <w:t> </w:t>
            </w:r>
            <w:r>
              <w:rPr>
                <w:rFonts w:ascii="宋体" w:hAnsi="宋体" w:cs="宋体" w:eastAsia="宋体" w:hint="default"/>
                <w:sz w:val="22"/>
                <w:szCs w:val="22"/>
              </w:rPr>
              <w:t>日）；国内甚小口径终端地球站</w:t>
            </w:r>
          </w:p>
        </w:tc>
      </w:tr>
      <w:tr>
        <w:trPr>
          <w:trHeight w:val="285"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62"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Arial" w:hAnsi="Arial" w:cs="Arial" w:eastAsia="Arial" w:hint="default"/>
                <w:sz w:val="22"/>
                <w:szCs w:val="22"/>
              </w:rPr>
              <w:t>VSAT</w:t>
            </w:r>
            <w:r>
              <w:rPr>
                <w:rFonts w:ascii="宋体" w:hAnsi="宋体" w:cs="宋体" w:eastAsia="宋体" w:hint="default"/>
                <w:sz w:val="22"/>
                <w:szCs w:val="22"/>
              </w:rPr>
              <w:t>）通信业务、固定网国内数据传送业务、无线数据传送业务、用</w:t>
            </w:r>
          </w:p>
        </w:tc>
      </w:tr>
      <w:tr>
        <w:trPr>
          <w:trHeight w:val="280"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47" w:lineRule="exact"/>
              <w:ind w:left="100" w:right="0"/>
              <w:jc w:val="left"/>
              <w:rPr>
                <w:rFonts w:ascii="宋体" w:hAnsi="宋体" w:cs="宋体" w:eastAsia="宋体" w:hint="default"/>
                <w:sz w:val="22"/>
                <w:szCs w:val="22"/>
              </w:rPr>
            </w:pPr>
            <w:r>
              <w:rPr>
                <w:rFonts w:ascii="宋体" w:hAnsi="宋体" w:cs="宋体" w:eastAsia="宋体" w:hint="default"/>
                <w:sz w:val="22"/>
                <w:szCs w:val="22"/>
              </w:rPr>
              <w:t>户驻地网业务和网络托管业务、增值电信业务中的在线数据处理与交易</w:t>
            </w:r>
          </w:p>
        </w:tc>
      </w:tr>
      <w:tr>
        <w:trPr>
          <w:trHeight w:val="286"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处理业务、国内因特网虚拟专用网业务、因特网数据中心业务、语音信</w:t>
            </w:r>
          </w:p>
        </w:tc>
      </w:tr>
      <w:tr>
        <w:trPr>
          <w:trHeight w:val="290"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68" w:lineRule="exact"/>
              <w:ind w:left="100" w:right="0"/>
              <w:jc w:val="left"/>
              <w:rPr>
                <w:rFonts w:ascii="宋体" w:hAnsi="宋体" w:cs="宋体" w:eastAsia="宋体" w:hint="default"/>
                <w:sz w:val="22"/>
                <w:szCs w:val="22"/>
              </w:rPr>
            </w:pPr>
            <w:r>
              <w:rPr>
                <w:rFonts w:ascii="宋体" w:hAnsi="宋体" w:cs="宋体" w:eastAsia="宋体" w:hint="default"/>
                <w:sz w:val="22"/>
                <w:szCs w:val="22"/>
              </w:rPr>
              <w:t>箱业务、传真存储转发业务、</w:t>
            </w:r>
            <w:r>
              <w:rPr>
                <w:rFonts w:ascii="Arial" w:hAnsi="Arial" w:cs="Arial" w:eastAsia="Arial" w:hint="default"/>
                <w:sz w:val="22"/>
                <w:szCs w:val="22"/>
              </w:rPr>
              <w:t>X.400</w:t>
            </w:r>
            <w:r>
              <w:rPr>
                <w:rFonts w:ascii="Arial" w:hAnsi="Arial" w:cs="Arial" w:eastAsia="Arial" w:hint="default"/>
                <w:spacing w:val="-10"/>
                <w:sz w:val="22"/>
                <w:szCs w:val="22"/>
              </w:rPr>
              <w:t> </w:t>
            </w:r>
            <w:r>
              <w:rPr>
                <w:rFonts w:ascii="宋体" w:hAnsi="宋体" w:cs="宋体" w:eastAsia="宋体" w:hint="default"/>
                <w:sz w:val="22"/>
                <w:szCs w:val="22"/>
              </w:rPr>
              <w:t>电子邮件业务、呼叫中心业务、因</w:t>
            </w:r>
          </w:p>
        </w:tc>
      </w:tr>
      <w:tr>
        <w:trPr>
          <w:trHeight w:val="280"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47" w:lineRule="exact"/>
              <w:ind w:left="100" w:right="0"/>
              <w:jc w:val="left"/>
              <w:rPr>
                <w:rFonts w:ascii="宋体" w:hAnsi="宋体" w:cs="宋体" w:eastAsia="宋体" w:hint="default"/>
                <w:sz w:val="22"/>
                <w:szCs w:val="22"/>
              </w:rPr>
            </w:pPr>
            <w:r>
              <w:rPr>
                <w:rFonts w:ascii="宋体" w:hAnsi="宋体" w:cs="宋体" w:eastAsia="宋体" w:hint="default"/>
                <w:sz w:val="22"/>
                <w:szCs w:val="22"/>
              </w:rPr>
              <w:t>特网接入服务业务和信息服务业务（含固定网电话信息服务业务、互联</w:t>
            </w:r>
          </w:p>
        </w:tc>
      </w:tr>
      <w:tr>
        <w:trPr>
          <w:trHeight w:val="291" w:hRule="exact"/>
        </w:trPr>
        <w:tc>
          <w:tcPr>
            <w:tcW w:w="1655" w:type="dxa"/>
            <w:tcBorders>
              <w:top w:val="nil" w:sz="6" w:space="0" w:color="auto"/>
              <w:left w:val="single" w:sz="6" w:space="0" w:color="111111"/>
              <w:bottom w:val="nil" w:sz="6" w:space="0" w:color="auto"/>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主要经营业务</w:t>
            </w: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68" w:lineRule="exact"/>
              <w:ind w:left="100" w:right="-9"/>
              <w:jc w:val="left"/>
              <w:rPr>
                <w:rFonts w:ascii="宋体" w:hAnsi="宋体" w:cs="宋体" w:eastAsia="宋体" w:hint="default"/>
                <w:sz w:val="22"/>
                <w:szCs w:val="22"/>
              </w:rPr>
            </w:pPr>
            <w:r>
              <w:rPr>
                <w:rFonts w:ascii="宋体" w:hAnsi="宋体" w:cs="宋体" w:eastAsia="宋体" w:hint="default"/>
                <w:sz w:val="22"/>
                <w:szCs w:val="22"/>
              </w:rPr>
              <w:t>网信息服务业务和移动网信息服务业务，有效期至</w:t>
            </w:r>
            <w:r>
              <w:rPr>
                <w:rFonts w:ascii="宋体" w:hAnsi="宋体" w:cs="宋体" w:eastAsia="宋体" w:hint="default"/>
                <w:spacing w:val="-56"/>
                <w:sz w:val="22"/>
                <w:szCs w:val="22"/>
              </w:rPr>
              <w:t> </w:t>
            </w: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4</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9</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80"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47" w:lineRule="exact"/>
              <w:ind w:left="100" w:right="0"/>
              <w:jc w:val="left"/>
              <w:rPr>
                <w:rFonts w:ascii="宋体" w:hAnsi="宋体" w:cs="宋体" w:eastAsia="宋体" w:hint="default"/>
                <w:sz w:val="22"/>
                <w:szCs w:val="22"/>
              </w:rPr>
            </w:pPr>
            <w:r>
              <w:rPr>
                <w:rFonts w:ascii="宋体" w:hAnsi="宋体" w:cs="宋体" w:eastAsia="宋体" w:hint="default"/>
                <w:sz w:val="22"/>
                <w:szCs w:val="22"/>
              </w:rPr>
              <w:t>《信息通信技术》期刊出版（限中国联合网络通信集团有限公司《信息</w:t>
            </w:r>
          </w:p>
        </w:tc>
      </w:tr>
      <w:tr>
        <w:trPr>
          <w:trHeight w:val="290"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68" w:lineRule="exact"/>
              <w:ind w:left="100" w:right="0"/>
              <w:jc w:val="left"/>
              <w:rPr>
                <w:rFonts w:ascii="宋体" w:hAnsi="宋体" w:cs="宋体" w:eastAsia="宋体" w:hint="default"/>
                <w:sz w:val="22"/>
                <w:szCs w:val="22"/>
              </w:rPr>
            </w:pPr>
            <w:r>
              <w:rPr>
                <w:rFonts w:ascii="宋体" w:hAnsi="宋体" w:cs="宋体" w:eastAsia="宋体" w:hint="default"/>
                <w:sz w:val="22"/>
                <w:szCs w:val="22"/>
              </w:rPr>
              <w:t>通信技术》编辑部经营，有限期至</w:t>
            </w:r>
            <w:r>
              <w:rPr>
                <w:rFonts w:ascii="宋体" w:hAnsi="宋体" w:cs="宋体" w:eastAsia="宋体" w:hint="default"/>
                <w:spacing w:val="-55"/>
                <w:sz w:val="22"/>
                <w:szCs w:val="22"/>
              </w:rPr>
              <w:t> </w:t>
            </w: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日）；全国性互联</w:t>
            </w:r>
          </w:p>
        </w:tc>
      </w:tr>
      <w:tr>
        <w:trPr>
          <w:trHeight w:val="280"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47" w:lineRule="exact"/>
              <w:ind w:left="100" w:right="0"/>
              <w:jc w:val="left"/>
              <w:rPr>
                <w:rFonts w:ascii="宋体" w:hAnsi="宋体" w:cs="宋体" w:eastAsia="宋体" w:hint="default"/>
                <w:sz w:val="22"/>
                <w:szCs w:val="22"/>
              </w:rPr>
            </w:pPr>
            <w:r>
              <w:rPr>
                <w:rFonts w:ascii="宋体" w:hAnsi="宋体" w:cs="宋体" w:eastAsia="宋体" w:hint="default"/>
                <w:sz w:val="22"/>
                <w:szCs w:val="22"/>
              </w:rPr>
              <w:t>网上网服务营业场所连锁经营；利用互联网经营音像制品、游戏产品、</w:t>
            </w:r>
          </w:p>
        </w:tc>
      </w:tr>
      <w:tr>
        <w:trPr>
          <w:trHeight w:val="286"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艺术品、演出剧（节）目、动画等其它文化产品，从事互联网文化产品</w:t>
            </w:r>
          </w:p>
        </w:tc>
      </w:tr>
      <w:tr>
        <w:trPr>
          <w:trHeight w:val="286"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展览比赛等活动。一般经营项目：经营与通信及信息业务相关的系统集</w:t>
            </w:r>
          </w:p>
        </w:tc>
      </w:tr>
      <w:tr>
        <w:trPr>
          <w:trHeight w:val="286"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53" w:lineRule="exact"/>
              <w:ind w:left="100" w:right="-10"/>
              <w:jc w:val="left"/>
              <w:rPr>
                <w:rFonts w:ascii="宋体" w:hAnsi="宋体" w:cs="宋体" w:eastAsia="宋体" w:hint="default"/>
                <w:sz w:val="22"/>
                <w:szCs w:val="22"/>
              </w:rPr>
            </w:pPr>
            <w:r>
              <w:rPr>
                <w:rFonts w:ascii="宋体" w:hAnsi="宋体" w:cs="宋体" w:eastAsia="宋体" w:hint="default"/>
                <w:spacing w:val="-1"/>
                <w:sz w:val="22"/>
                <w:szCs w:val="22"/>
              </w:rPr>
              <w:t>成、技术开发、技术服务、设备生产、销售、设计施工业务；招标代理；</w:t>
            </w:r>
          </w:p>
        </w:tc>
      </w:tr>
      <w:tr>
        <w:trPr>
          <w:trHeight w:val="285" w:hRule="exact"/>
        </w:trPr>
        <w:tc>
          <w:tcPr>
            <w:tcW w:w="1655" w:type="dxa"/>
            <w:tcBorders>
              <w:top w:val="nil" w:sz="6" w:space="0" w:color="auto"/>
              <w:left w:val="single" w:sz="6" w:space="0" w:color="111111"/>
              <w:bottom w:val="nil" w:sz="6" w:space="0" w:color="auto"/>
              <w:right w:val="single" w:sz="6" w:space="0" w:color="111111"/>
            </w:tcBorders>
          </w:tcPr>
          <w:p>
            <w:pPr/>
          </w:p>
        </w:tc>
        <w:tc>
          <w:tcPr>
            <w:tcW w:w="7111" w:type="dxa"/>
            <w:tcBorders>
              <w:top w:val="nil" w:sz="6" w:space="0" w:color="auto"/>
              <w:left w:val="single" w:sz="6" w:space="0" w:color="111111"/>
              <w:bottom w:val="nil" w:sz="6" w:space="0" w:color="auto"/>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自有房屋出租；电子通信器材的销售；承办展览；专业人员培训；物业</w:t>
            </w:r>
          </w:p>
        </w:tc>
      </w:tr>
      <w:tr>
        <w:trPr>
          <w:trHeight w:val="294" w:hRule="exact"/>
        </w:trPr>
        <w:tc>
          <w:tcPr>
            <w:tcW w:w="1655" w:type="dxa"/>
            <w:tcBorders>
              <w:top w:val="nil" w:sz="6" w:space="0" w:color="auto"/>
              <w:left w:val="single" w:sz="6" w:space="0" w:color="111111"/>
              <w:bottom w:val="single" w:sz="6" w:space="0" w:color="111111"/>
              <w:right w:val="single" w:sz="6" w:space="0" w:color="111111"/>
            </w:tcBorders>
          </w:tcPr>
          <w:p>
            <w:pPr/>
          </w:p>
        </w:tc>
        <w:tc>
          <w:tcPr>
            <w:tcW w:w="7111" w:type="dxa"/>
            <w:tcBorders>
              <w:top w:val="nil" w:sz="6" w:space="0" w:color="auto"/>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管理；技术交流和信息咨询；广告业务；编制、发行电话号码簿。</w:t>
            </w:r>
          </w:p>
        </w:tc>
      </w:tr>
    </w:tbl>
    <w:p>
      <w:pPr>
        <w:spacing w:line="240" w:lineRule="auto" w:before="4"/>
        <w:rPr>
          <w:rFonts w:ascii="宋体" w:hAnsi="宋体" w:cs="宋体" w:eastAsia="宋体" w:hint="default"/>
          <w:sz w:val="12"/>
          <w:szCs w:val="12"/>
        </w:rPr>
      </w:pPr>
    </w:p>
    <w:p>
      <w:pPr>
        <w:pStyle w:val="BodyText"/>
        <w:spacing w:line="240" w:lineRule="auto" w:before="31"/>
        <w:ind w:left="145" w:right="0"/>
        <w:jc w:val="left"/>
      </w:pPr>
      <w:r>
        <w:rPr>
          <w:rFonts w:ascii="Arial" w:hAnsi="Arial" w:cs="Arial" w:eastAsia="Arial" w:hint="default"/>
        </w:rPr>
        <w:t>(3)</w:t>
      </w:r>
      <w:r>
        <w:rPr>
          <w:rFonts w:ascii="Arial" w:hAnsi="Arial" w:cs="Arial" w:eastAsia="Arial" w:hint="default"/>
          <w:spacing w:val="46"/>
        </w:rPr>
        <w:t> </w:t>
      </w:r>
      <w:r>
        <w:rPr/>
        <w:t>实际控制人情况</w:t>
      </w:r>
    </w:p>
    <w:p>
      <w:pPr>
        <w:spacing w:line="240" w:lineRule="auto" w:before="10"/>
        <w:rPr>
          <w:rFonts w:ascii="宋体" w:hAnsi="宋体" w:cs="宋体" w:eastAsia="宋体" w:hint="default"/>
          <w:sz w:val="20"/>
          <w:szCs w:val="20"/>
        </w:rPr>
      </w:pPr>
    </w:p>
    <w:tbl>
      <w:tblPr>
        <w:tblW w:w="0" w:type="auto"/>
        <w:jc w:val="left"/>
        <w:tblInd w:w="480" w:type="dxa"/>
        <w:tblLayout w:type="fixed"/>
        <w:tblCellMar>
          <w:top w:w="0" w:type="dxa"/>
          <w:left w:w="0" w:type="dxa"/>
          <w:bottom w:w="0" w:type="dxa"/>
          <w:right w:w="0" w:type="dxa"/>
        </w:tblCellMar>
        <w:tblLook w:val="01E0"/>
      </w:tblPr>
      <w:tblGrid>
        <w:gridCol w:w="1681"/>
        <w:gridCol w:w="7094"/>
      </w:tblGrid>
      <w:tr>
        <w:trPr>
          <w:trHeight w:val="300" w:hRule="exact"/>
        </w:trPr>
        <w:tc>
          <w:tcPr>
            <w:tcW w:w="1681"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名称</w:t>
            </w:r>
          </w:p>
        </w:tc>
        <w:tc>
          <w:tcPr>
            <w:tcW w:w="7094"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99" w:right="0"/>
              <w:jc w:val="left"/>
              <w:rPr>
                <w:rFonts w:ascii="宋体" w:hAnsi="宋体" w:cs="宋体" w:eastAsia="宋体" w:hint="default"/>
                <w:sz w:val="22"/>
                <w:szCs w:val="22"/>
              </w:rPr>
            </w:pPr>
            <w:r>
              <w:rPr>
                <w:rFonts w:ascii="宋体" w:hAnsi="宋体" w:cs="宋体" w:eastAsia="宋体" w:hint="default"/>
                <w:sz w:val="22"/>
                <w:szCs w:val="22"/>
              </w:rPr>
              <w:t>国务院国有资产监督管理委员会</w:t>
            </w:r>
          </w:p>
        </w:tc>
      </w:tr>
      <w:tr>
        <w:trPr>
          <w:trHeight w:val="300" w:hRule="exact"/>
        </w:trPr>
        <w:tc>
          <w:tcPr>
            <w:tcW w:w="1681"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单位负责人</w:t>
            </w:r>
          </w:p>
        </w:tc>
        <w:tc>
          <w:tcPr>
            <w:tcW w:w="7094"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王勇</w:t>
            </w:r>
          </w:p>
        </w:tc>
      </w:tr>
      <w:tr>
        <w:trPr>
          <w:trHeight w:val="301" w:hRule="exact"/>
        </w:trPr>
        <w:tc>
          <w:tcPr>
            <w:tcW w:w="1681"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批准设立日期</w:t>
            </w:r>
          </w:p>
        </w:tc>
        <w:tc>
          <w:tcPr>
            <w:tcW w:w="7094" w:type="dxa"/>
            <w:tcBorders>
              <w:top w:val="single" w:sz="6" w:space="0" w:color="111111"/>
              <w:left w:val="single" w:sz="6" w:space="0" w:color="111111"/>
              <w:bottom w:val="single" w:sz="6" w:space="0" w:color="111111"/>
              <w:right w:val="single" w:sz="6" w:space="0" w:color="111111"/>
            </w:tcBorders>
          </w:tcPr>
          <w:p>
            <w:pPr>
              <w:pStyle w:val="TableParagraph"/>
              <w:spacing w:line="269" w:lineRule="exact"/>
              <w:ind w:left="99" w:right="0"/>
              <w:jc w:val="left"/>
              <w:rPr>
                <w:rFonts w:ascii="宋体" w:hAnsi="宋体" w:cs="宋体" w:eastAsia="宋体" w:hint="default"/>
                <w:sz w:val="22"/>
                <w:szCs w:val="22"/>
              </w:rPr>
            </w:pPr>
            <w:r>
              <w:rPr>
                <w:rFonts w:ascii="Arial" w:hAnsi="Arial" w:cs="Arial" w:eastAsia="Arial" w:hint="default"/>
                <w:sz w:val="22"/>
                <w:szCs w:val="22"/>
              </w:rPr>
              <w:t>2003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月</w:t>
            </w:r>
          </w:p>
        </w:tc>
      </w:tr>
      <w:tr>
        <w:trPr>
          <w:trHeight w:val="300" w:hRule="exact"/>
        </w:trPr>
        <w:tc>
          <w:tcPr>
            <w:tcW w:w="1681"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注册资本</w:t>
            </w:r>
          </w:p>
        </w:tc>
        <w:tc>
          <w:tcPr>
            <w:tcW w:w="7094"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99"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586" w:hRule="exact"/>
        </w:trPr>
        <w:tc>
          <w:tcPr>
            <w:tcW w:w="16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6"/>
              <w:ind w:left="100" w:right="0"/>
              <w:jc w:val="left"/>
              <w:rPr>
                <w:rFonts w:ascii="宋体" w:hAnsi="宋体" w:cs="宋体" w:eastAsia="宋体" w:hint="default"/>
                <w:sz w:val="22"/>
                <w:szCs w:val="22"/>
              </w:rPr>
            </w:pPr>
            <w:r>
              <w:rPr>
                <w:rFonts w:ascii="宋体" w:hAnsi="宋体" w:cs="宋体" w:eastAsia="宋体" w:hint="default"/>
                <w:sz w:val="22"/>
                <w:szCs w:val="22"/>
              </w:rPr>
              <w:t>主要管理活动</w:t>
            </w:r>
          </w:p>
        </w:tc>
        <w:tc>
          <w:tcPr>
            <w:tcW w:w="7094" w:type="dxa"/>
            <w:tcBorders>
              <w:top w:val="single" w:sz="6" w:space="0" w:color="111111"/>
              <w:left w:val="single" w:sz="6" w:space="0" w:color="111111"/>
              <w:bottom w:val="single" w:sz="6" w:space="0" w:color="111111"/>
              <w:right w:val="single" w:sz="6" w:space="0" w:color="111111"/>
            </w:tcBorders>
          </w:tcPr>
          <w:p>
            <w:pPr>
              <w:pStyle w:val="TableParagraph"/>
              <w:spacing w:line="251" w:lineRule="exact"/>
              <w:ind w:left="99" w:right="0"/>
              <w:jc w:val="left"/>
              <w:rPr>
                <w:rFonts w:ascii="宋体" w:hAnsi="宋体" w:cs="宋体" w:eastAsia="宋体" w:hint="default"/>
                <w:sz w:val="22"/>
                <w:szCs w:val="22"/>
              </w:rPr>
            </w:pPr>
            <w:r>
              <w:rPr>
                <w:rFonts w:ascii="宋体" w:hAnsi="宋体" w:cs="宋体" w:eastAsia="宋体" w:hint="default"/>
                <w:sz w:val="22"/>
                <w:szCs w:val="22"/>
              </w:rPr>
              <w:t>经国务院授权代表国家履行对下属中央所属企业（不含金融类企业）的</w:t>
            </w:r>
          </w:p>
          <w:p>
            <w:pPr>
              <w:pStyle w:val="TableParagraph"/>
              <w:spacing w:line="287" w:lineRule="exact"/>
              <w:ind w:left="99" w:right="0"/>
              <w:jc w:val="left"/>
              <w:rPr>
                <w:rFonts w:ascii="宋体" w:hAnsi="宋体" w:cs="宋体" w:eastAsia="宋体" w:hint="default"/>
                <w:sz w:val="22"/>
                <w:szCs w:val="22"/>
              </w:rPr>
            </w:pPr>
            <w:r>
              <w:rPr>
                <w:rFonts w:ascii="宋体" w:hAnsi="宋体" w:cs="宋体" w:eastAsia="宋体" w:hint="default"/>
                <w:sz w:val="22"/>
                <w:szCs w:val="22"/>
              </w:rPr>
              <w:t>出资人职责，监管中央所属企业的国有资产</w:t>
            </w:r>
          </w:p>
        </w:tc>
      </w:tr>
    </w:tbl>
    <w:p>
      <w:pPr>
        <w:spacing w:line="240" w:lineRule="auto" w:before="2"/>
        <w:rPr>
          <w:rFonts w:ascii="宋体" w:hAnsi="宋体" w:cs="宋体" w:eastAsia="宋体" w:hint="default"/>
          <w:sz w:val="14"/>
          <w:szCs w:val="14"/>
        </w:rPr>
      </w:pPr>
    </w:p>
    <w:p>
      <w:pPr>
        <w:pStyle w:val="BodyText"/>
        <w:spacing w:line="240" w:lineRule="auto" w:before="31"/>
        <w:ind w:left="145" w:right="0"/>
        <w:jc w:val="left"/>
      </w:pPr>
      <w:r>
        <w:rPr>
          <w:rFonts w:ascii="Arial" w:hAnsi="Arial" w:cs="Arial" w:eastAsia="Arial" w:hint="default"/>
        </w:rPr>
        <w:t>(4)</w:t>
      </w:r>
      <w:r>
        <w:rPr>
          <w:rFonts w:ascii="Arial" w:hAnsi="Arial" w:cs="Arial" w:eastAsia="Arial" w:hint="default"/>
          <w:spacing w:val="47"/>
        </w:rPr>
        <w:t> </w:t>
      </w:r>
      <w:r>
        <w:rPr/>
        <w:t>本报告期内，本公司控股股东及实际控制人没有发生变更。</w:t>
      </w:r>
    </w:p>
    <w:p>
      <w:pPr>
        <w:spacing w:line="240" w:lineRule="auto" w:before="13"/>
        <w:rPr>
          <w:rFonts w:ascii="宋体" w:hAnsi="宋体" w:cs="宋体" w:eastAsia="宋体" w:hint="default"/>
          <w:sz w:val="17"/>
          <w:szCs w:val="17"/>
        </w:rPr>
      </w:pPr>
    </w:p>
    <w:p>
      <w:pPr>
        <w:pStyle w:val="BodyText"/>
        <w:spacing w:line="240" w:lineRule="auto"/>
        <w:ind w:left="505"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日，本公司与实际控制人之间的产权及控制关系的方框图如下：</w:t>
      </w:r>
    </w:p>
    <w:p>
      <w:pPr>
        <w:spacing w:line="240" w:lineRule="auto" w:before="8"/>
        <w:rPr>
          <w:rFonts w:ascii="宋体" w:hAnsi="宋体" w:cs="宋体" w:eastAsia="宋体" w:hint="default"/>
          <w:sz w:val="20"/>
          <w:szCs w:val="20"/>
        </w:rPr>
      </w:pPr>
    </w:p>
    <w:p>
      <w:pPr>
        <w:spacing w:line="2370" w:lineRule="exact"/>
        <w:ind w:left="145"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2522466" cy="15049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2522466" cy="1504950"/>
                    </a:xfrm>
                    <a:prstGeom prst="rect">
                      <a:avLst/>
                    </a:prstGeom>
                  </pic:spPr>
                </pic:pic>
              </a:graphicData>
            </a:graphic>
          </wp:inline>
        </w:drawing>
      </w:r>
      <w:r>
        <w:rPr>
          <w:rFonts w:ascii="宋体" w:hAnsi="宋体" w:cs="宋体" w:eastAsia="宋体" w:hint="default"/>
          <w:position w:val="-46"/>
          <w:sz w:val="20"/>
          <w:szCs w:val="20"/>
        </w:rPr>
      </w:r>
    </w:p>
    <w:p>
      <w:pPr>
        <w:spacing w:after="0" w:line="2370" w:lineRule="exact"/>
        <w:rPr>
          <w:rFonts w:ascii="宋体" w:hAnsi="宋体" w:cs="宋体" w:eastAsia="宋体" w:hint="default"/>
          <w:sz w:val="20"/>
          <w:szCs w:val="20"/>
        </w:rPr>
        <w:sectPr>
          <w:pgSz w:w="11900" w:h="16840"/>
          <w:pgMar w:header="927" w:footer="752" w:top="1160" w:bottom="940" w:left="134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71" w:lineRule="auto" w:before="31"/>
        <w:ind w:left="505" w:right="3255" w:hanging="360"/>
        <w:jc w:val="left"/>
      </w:pPr>
      <w:r>
        <w:rPr>
          <w:rFonts w:ascii="Arial" w:hAnsi="Arial" w:cs="Arial" w:eastAsia="Arial" w:hint="default"/>
        </w:rPr>
        <w:t>3</w:t>
      </w:r>
      <w:r>
        <w:rPr/>
        <w:t>、其他持股在百分之十以上的法人股东</w:t>
      </w:r>
      <w:r>
        <w:rPr>
          <w:w w:val="99"/>
        </w:rPr>
        <w:t> </w:t>
      </w:r>
      <w:r>
        <w:rPr/>
        <w:t>截止本报告期末，本公司无其他持股在百分之十以上的法人股东。</w:t>
      </w:r>
    </w:p>
    <w:p>
      <w:pPr>
        <w:spacing w:line="240" w:lineRule="auto" w:before="13"/>
        <w:rPr>
          <w:rFonts w:ascii="宋体" w:hAnsi="宋体" w:cs="宋体" w:eastAsia="宋体" w:hint="default"/>
          <w:sz w:val="16"/>
          <w:szCs w:val="16"/>
        </w:rPr>
      </w:pPr>
    </w:p>
    <w:p>
      <w:pPr>
        <w:pStyle w:val="BodyText"/>
        <w:spacing w:line="240" w:lineRule="auto"/>
        <w:ind w:left="145" w:right="3255"/>
        <w:jc w:val="left"/>
      </w:pPr>
      <w:r>
        <w:rPr/>
        <w:t>五、董事、监事和高级管理人员</w:t>
      </w:r>
    </w:p>
    <w:p>
      <w:pPr>
        <w:spacing w:line="240" w:lineRule="auto" w:before="4"/>
        <w:rPr>
          <w:rFonts w:ascii="宋体" w:hAnsi="宋体" w:cs="宋体" w:eastAsia="宋体" w:hint="default"/>
          <w:sz w:val="27"/>
          <w:szCs w:val="27"/>
        </w:rPr>
      </w:pPr>
    </w:p>
    <w:p>
      <w:pPr>
        <w:pStyle w:val="BodyText"/>
        <w:spacing w:line="240" w:lineRule="auto"/>
        <w:ind w:left="145" w:right="3255"/>
        <w:jc w:val="left"/>
      </w:pPr>
      <w:r>
        <w:rPr/>
        <w:t>（一）董事、监事和高级管理人员持股变动及报酬情况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694"/>
        <w:gridCol w:w="1062"/>
        <w:gridCol w:w="432"/>
        <w:gridCol w:w="420"/>
        <w:gridCol w:w="1716"/>
        <w:gridCol w:w="1553"/>
        <w:gridCol w:w="761"/>
        <w:gridCol w:w="854"/>
        <w:gridCol w:w="804"/>
        <w:gridCol w:w="768"/>
        <w:gridCol w:w="818"/>
      </w:tblGrid>
      <w:tr>
        <w:trPr>
          <w:trHeight w:val="1554"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5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4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7" w:right="119"/>
              <w:jc w:val="left"/>
              <w:rPr>
                <w:rFonts w:ascii="宋体" w:hAnsi="宋体" w:cs="宋体" w:eastAsia="宋体" w:hint="default"/>
                <w:sz w:val="18"/>
                <w:szCs w:val="18"/>
              </w:rPr>
            </w:pPr>
            <w:r>
              <w:rPr>
                <w:rFonts w:ascii="宋体" w:hAnsi="宋体" w:cs="宋体" w:eastAsia="宋体" w:hint="default"/>
                <w:sz w:val="18"/>
                <w:szCs w:val="18"/>
              </w:rPr>
              <w:t>性 别</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1" w:right="113"/>
              <w:jc w:val="left"/>
              <w:rPr>
                <w:rFonts w:ascii="宋体" w:hAnsi="宋体" w:cs="宋体" w:eastAsia="宋体" w:hint="default"/>
                <w:sz w:val="18"/>
                <w:szCs w:val="18"/>
              </w:rPr>
            </w:pPr>
            <w:r>
              <w:rPr>
                <w:rFonts w:ascii="宋体" w:hAnsi="宋体" w:cs="宋体" w:eastAsia="宋体" w:hint="default"/>
                <w:sz w:val="18"/>
                <w:szCs w:val="18"/>
              </w:rPr>
              <w:t>年 龄</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98"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88" w:right="107" w:hanging="90"/>
              <w:jc w:val="left"/>
              <w:rPr>
                <w:rFonts w:ascii="宋体" w:hAnsi="宋体" w:cs="宋体" w:eastAsia="宋体" w:hint="default"/>
                <w:sz w:val="18"/>
                <w:szCs w:val="18"/>
              </w:rPr>
            </w:pPr>
            <w:r>
              <w:rPr>
                <w:rFonts w:ascii="宋体" w:hAnsi="宋体" w:cs="宋体" w:eastAsia="宋体" w:hint="default"/>
                <w:sz w:val="18"/>
                <w:szCs w:val="18"/>
              </w:rPr>
              <w:t>年初持 股数</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38" w:right="149" w:hanging="90"/>
              <w:jc w:val="left"/>
              <w:rPr>
                <w:rFonts w:ascii="宋体" w:hAnsi="宋体" w:cs="宋体" w:eastAsia="宋体" w:hint="default"/>
                <w:sz w:val="18"/>
                <w:szCs w:val="18"/>
              </w:rPr>
            </w:pPr>
            <w:r>
              <w:rPr>
                <w:rFonts w:ascii="宋体" w:hAnsi="宋体" w:cs="宋体" w:eastAsia="宋体" w:hint="default"/>
                <w:sz w:val="18"/>
                <w:szCs w:val="18"/>
              </w:rPr>
              <w:t>年末持 股数</w:t>
            </w:r>
          </w:p>
          <w:p>
            <w:pPr>
              <w:pStyle w:val="TableParagraph"/>
              <w:spacing w:line="233" w:lineRule="exact"/>
              <w:ind w:left="99"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3" w:right="125"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41"/>
              <w:ind w:left="20" w:right="11"/>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w:t>
            </w:r>
          </w:p>
          <w:p>
            <w:pPr>
              <w:pStyle w:val="TableParagraph"/>
              <w:spacing w:line="233" w:lineRule="exact"/>
              <w:ind w:left="7" w:right="0"/>
              <w:jc w:val="center"/>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（税前）</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41"/>
              <w:ind w:left="43" w:right="38"/>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 报酬、津 贴（注）</w:t>
            </w:r>
          </w:p>
        </w:tc>
      </w:tr>
      <w:tr>
        <w:trPr>
          <w:trHeight w:val="332"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常小兵</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55</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5" w:right="0"/>
              <w:jc w:val="center"/>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23</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2" w:hRule="exact"/>
        </w:trPr>
        <w:tc>
          <w:tcPr>
            <w:tcW w:w="69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陆益民</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Arial" w:hAnsi="Arial" w:cs="Arial" w:eastAsia="Arial" w:hint="default"/>
                <w:sz w:val="18"/>
                <w:szCs w:val="18"/>
              </w:rPr>
            </w:pPr>
            <w:r>
              <w:rPr>
                <w:rFonts w:ascii="Arial"/>
                <w:sz w:val="18"/>
              </w:rPr>
              <w:t>48</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6"/>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694" w:type="dxa"/>
            <w:vMerge/>
            <w:tcBorders>
              <w:left w:val="single" w:sz="6" w:space="0" w:color="000000"/>
              <w:bottom w:val="single" w:sz="6" w:space="0" w:color="000000"/>
              <w:right w:val="single" w:sz="6" w:space="0" w:color="000000"/>
            </w:tcBorders>
          </w:tcPr>
          <w:p>
            <w:pP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Arial" w:hAnsi="Arial" w:cs="Arial" w:eastAsia="Arial" w:hint="default"/>
                <w:sz w:val="18"/>
                <w:szCs w:val="18"/>
              </w:rPr>
            </w:pPr>
            <w:r>
              <w:rPr>
                <w:rFonts w:ascii="Arial"/>
                <w:sz w:val="18"/>
              </w:rPr>
              <w:t>48</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6"/>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2"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佟吉禄</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53</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5" w:right="0"/>
              <w:jc w:val="center"/>
              <w:rPr>
                <w:rFonts w:ascii="宋体" w:hAnsi="宋体" w:cs="宋体" w:eastAsia="宋体" w:hint="default"/>
                <w:sz w:val="18"/>
                <w:szCs w:val="18"/>
              </w:rPr>
            </w:pPr>
            <w:r>
              <w:rPr>
                <w:rFonts w:ascii="Arial" w:hAnsi="Arial" w:cs="Arial" w:eastAsia="Arial" w:hint="default"/>
                <w:sz w:val="18"/>
                <w:szCs w:val="18"/>
              </w:rPr>
              <w:t>2001</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30</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2"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李福申</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Arial" w:hAnsi="Arial" w:cs="Arial" w:eastAsia="Arial" w:hint="default"/>
                <w:sz w:val="18"/>
                <w:szCs w:val="18"/>
              </w:rPr>
            </w:pPr>
            <w:r>
              <w:rPr>
                <w:rFonts w:ascii="Arial"/>
                <w:sz w:val="18"/>
              </w:rPr>
              <w:t>49</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6"/>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刘彩</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Arial" w:hAnsi="Arial" w:cs="Arial" w:eastAsia="Arial" w:hint="default"/>
                <w:sz w:val="18"/>
                <w:szCs w:val="18"/>
              </w:rPr>
            </w:pPr>
            <w:r>
              <w:rPr>
                <w:rFonts w:ascii="Arial"/>
                <w:sz w:val="18"/>
              </w:rPr>
              <w:t>71</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6"/>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9"/>
              <w:jc w:val="right"/>
              <w:rPr>
                <w:rFonts w:ascii="Arial" w:hAnsi="Arial" w:cs="Arial" w:eastAsia="Arial" w:hint="default"/>
                <w:sz w:val="18"/>
                <w:szCs w:val="18"/>
              </w:rPr>
            </w:pPr>
            <w:r>
              <w:rPr>
                <w:rFonts w:ascii="Arial"/>
                <w:spacing w:val="-1"/>
                <w:w w:val="95"/>
                <w:sz w:val="18"/>
              </w:rPr>
              <w:t>14.3</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赵纯均</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70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36"/>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8"/>
                <w:szCs w:val="18"/>
              </w:rPr>
            </w:pPr>
            <w:r>
              <w:rPr>
                <w:rFonts w:ascii="Arial"/>
                <w:spacing w:val="-1"/>
                <w:w w:val="95"/>
                <w:sz w:val="18"/>
              </w:rPr>
              <w:t>14.3</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张英海</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Arial" w:hAnsi="Arial" w:cs="Arial" w:eastAsia="Arial" w:hint="default"/>
                <w:sz w:val="18"/>
                <w:szCs w:val="18"/>
              </w:rPr>
            </w:pPr>
            <w:r>
              <w:rPr>
                <w:rFonts w:ascii="Arial"/>
                <w:sz w:val="18"/>
              </w:rPr>
              <w:t>59</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6"/>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9"/>
              <w:jc w:val="right"/>
              <w:rPr>
                <w:rFonts w:ascii="Arial" w:hAnsi="Arial" w:cs="Arial" w:eastAsia="Arial" w:hint="default"/>
                <w:sz w:val="18"/>
                <w:szCs w:val="18"/>
              </w:rPr>
            </w:pPr>
            <w:r>
              <w:rPr>
                <w:rFonts w:ascii="Arial"/>
                <w:spacing w:val="-1"/>
                <w:w w:val="95"/>
                <w:sz w:val="18"/>
              </w:rPr>
              <w:t>14.3</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夏大慰</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Arial" w:hAnsi="Arial" w:cs="Arial" w:eastAsia="Arial" w:hint="default"/>
                <w:sz w:val="18"/>
                <w:szCs w:val="18"/>
              </w:rPr>
            </w:pPr>
            <w:r>
              <w:rPr>
                <w:rFonts w:ascii="Arial"/>
                <w:sz w:val="18"/>
              </w:rPr>
              <w:t>58</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6"/>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9"/>
              <w:jc w:val="right"/>
              <w:rPr>
                <w:rFonts w:ascii="Arial" w:hAnsi="Arial" w:cs="Arial" w:eastAsia="Arial" w:hint="default"/>
                <w:sz w:val="18"/>
                <w:szCs w:val="18"/>
              </w:rPr>
            </w:pPr>
            <w:r>
              <w:rPr>
                <w:rFonts w:ascii="Arial"/>
                <w:spacing w:val="-1"/>
                <w:w w:val="95"/>
                <w:sz w:val="18"/>
              </w:rPr>
              <w:t>14.3</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58</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36"/>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2"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姚琼</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Arial" w:hAnsi="Arial" w:cs="Arial" w:eastAsia="Arial" w:hint="default"/>
                <w:sz w:val="18"/>
                <w:szCs w:val="18"/>
              </w:rPr>
            </w:pPr>
            <w:r>
              <w:rPr>
                <w:rFonts w:ascii="Arial"/>
                <w:sz w:val="18"/>
              </w:rPr>
              <w:t>54</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6"/>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韦海波</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46</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从二级</w:t>
            </w:r>
          </w:p>
          <w:p>
            <w:pPr>
              <w:pStyle w:val="TableParagraph"/>
              <w:spacing w:line="232" w:lineRule="exact" w:before="24"/>
              <w:ind w:left="301" w:right="126" w:hanging="180"/>
              <w:jc w:val="left"/>
              <w:rPr>
                <w:rFonts w:ascii="宋体" w:hAnsi="宋体" w:cs="宋体" w:eastAsia="宋体" w:hint="default"/>
                <w:sz w:val="18"/>
                <w:szCs w:val="18"/>
              </w:rPr>
            </w:pPr>
            <w:r>
              <w:rPr>
                <w:rFonts w:ascii="宋体" w:hAnsi="宋体" w:cs="宋体" w:eastAsia="宋体" w:hint="default"/>
                <w:sz w:val="18"/>
                <w:szCs w:val="18"/>
              </w:rPr>
              <w:t>市场购 买</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副总裁、财</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务负责人</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56</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6"/>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54.8</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张保英</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46</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5"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15</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0"/>
              <w:jc w:val="right"/>
              <w:rPr>
                <w:rFonts w:ascii="Arial" w:hAnsi="Arial" w:cs="Arial" w:eastAsia="Arial" w:hint="default"/>
                <w:sz w:val="18"/>
                <w:szCs w:val="18"/>
              </w:rPr>
            </w:pPr>
            <w:r>
              <w:rPr>
                <w:rFonts w:ascii="Arial"/>
                <w:w w:val="99"/>
                <w:sz w:val="18"/>
              </w:rPr>
              <w:t>-</w:t>
            </w:r>
            <w:r>
              <w:rPr>
                <w:rFonts w:ascii="Arial"/>
                <w:sz w:val="18"/>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8"/>
                <w:szCs w:val="18"/>
              </w:rPr>
            </w:pPr>
            <w:r>
              <w:rPr>
                <w:rFonts w:ascii="Arial"/>
                <w:spacing w:val="-1"/>
                <w:w w:val="95"/>
                <w:sz w:val="18"/>
              </w:rPr>
              <w:t>48.1</w:t>
            </w:r>
            <w:r>
              <w:rPr>
                <w:rFonts w:ascii="Arial"/>
                <w:sz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2"/>
          <w:szCs w:val="12"/>
        </w:rPr>
      </w:pPr>
    </w:p>
    <w:p>
      <w:pPr>
        <w:pStyle w:val="BodyText"/>
        <w:spacing w:line="286" w:lineRule="exact" w:before="60"/>
        <w:ind w:left="595" w:right="717" w:hanging="450"/>
        <w:jc w:val="both"/>
      </w:pPr>
      <w:r>
        <w:rPr/>
        <w:t>注：本公司董事长常小兵、董事兼总裁陆益民、董事佟吉禄、董事李福申、监事会主席李建国、</w:t>
      </w:r>
      <w:r>
        <w:rPr>
          <w:w w:val="99"/>
        </w:rPr>
        <w:t> </w:t>
      </w:r>
      <w:r>
        <w:rPr/>
        <w:t>姚琼监事和韦海波监事均在本公司的子公司联通红筹公司或其全资子公司联通运营公司领取</w:t>
      </w:r>
      <w:r>
        <w:rPr>
          <w:w w:val="99"/>
        </w:rPr>
        <w:t> </w:t>
      </w:r>
      <w:r>
        <w:rPr/>
        <w:t>报酬。报告期内，常小兵先生的薪酬为</w:t>
      </w:r>
      <w:r>
        <w:rPr>
          <w:spacing w:val="-66"/>
        </w:rPr>
        <w:t> </w:t>
      </w:r>
      <w:r>
        <w:rPr>
          <w:rFonts w:ascii="Arial" w:hAnsi="Arial" w:cs="Arial" w:eastAsia="Arial" w:hint="default"/>
        </w:rPr>
        <w:t>100.2</w:t>
      </w:r>
      <w:r>
        <w:rPr>
          <w:rFonts w:ascii="Arial" w:hAnsi="Arial" w:cs="Arial" w:eastAsia="Arial" w:hint="default"/>
          <w:spacing w:val="-17"/>
        </w:rPr>
        <w:t> </w:t>
      </w:r>
      <w:r>
        <w:rPr/>
        <w:t>万港元，陆益民先生的薪酬为</w:t>
      </w:r>
      <w:r>
        <w:rPr>
          <w:spacing w:val="-66"/>
        </w:rPr>
        <w:t> </w:t>
      </w:r>
      <w:r>
        <w:rPr>
          <w:rFonts w:ascii="Arial" w:hAnsi="Arial" w:cs="Arial" w:eastAsia="Arial" w:hint="default"/>
        </w:rPr>
        <w:t>98.9</w:t>
      </w:r>
      <w:r>
        <w:rPr>
          <w:rFonts w:ascii="Arial" w:hAnsi="Arial" w:cs="Arial" w:eastAsia="Arial" w:hint="default"/>
          <w:spacing w:val="-17"/>
        </w:rPr>
        <w:t> </w:t>
      </w:r>
      <w:r>
        <w:rPr>
          <w:spacing w:val="-3"/>
        </w:rPr>
        <w:t>万港元，佟</w:t>
      </w:r>
    </w:p>
    <w:p>
      <w:pPr>
        <w:pStyle w:val="BodyText"/>
        <w:spacing w:line="265" w:lineRule="exact"/>
        <w:ind w:left="595" w:right="0"/>
        <w:jc w:val="left"/>
        <w:rPr>
          <w:rFonts w:ascii="Arial" w:hAnsi="Arial" w:cs="Arial" w:eastAsia="Arial" w:hint="default"/>
        </w:rPr>
      </w:pPr>
      <w:r>
        <w:rPr>
          <w:w w:val="99"/>
        </w:rPr>
        <w:t>吉禄先</w:t>
      </w:r>
      <w:r>
        <w:rPr>
          <w:spacing w:val="1"/>
          <w:w w:val="99"/>
        </w:rPr>
        <w:t>生的</w:t>
      </w:r>
      <w:r>
        <w:rPr>
          <w:w w:val="99"/>
        </w:rPr>
        <w:t>薪酬为</w:t>
      </w:r>
      <w:r>
        <w:rPr>
          <w:spacing w:val="-55"/>
        </w:rPr>
        <w:t> </w:t>
      </w:r>
      <w:r>
        <w:rPr>
          <w:rFonts w:ascii="Arial" w:hAnsi="Arial" w:cs="Arial" w:eastAsia="Arial" w:hint="default"/>
          <w:w w:val="99"/>
        </w:rPr>
        <w:t>87.5</w:t>
      </w:r>
      <w:r>
        <w:rPr>
          <w:rFonts w:ascii="Arial" w:hAnsi="Arial" w:cs="Arial" w:eastAsia="Arial" w:hint="default"/>
          <w:spacing w:val="-6"/>
        </w:rPr>
        <w:t> </w:t>
      </w:r>
      <w:r>
        <w:rPr>
          <w:w w:val="99"/>
        </w:rPr>
        <w:t>万港元</w:t>
      </w:r>
      <w:r>
        <w:rPr>
          <w:spacing w:val="-96"/>
          <w:w w:val="99"/>
        </w:rPr>
        <w:t>，</w:t>
      </w:r>
      <w:r>
        <w:rPr>
          <w:spacing w:val="1"/>
          <w:w w:val="99"/>
        </w:rPr>
        <w:t>李福</w:t>
      </w:r>
      <w:r>
        <w:rPr>
          <w:w w:val="99"/>
        </w:rPr>
        <w:t>申先生</w:t>
      </w:r>
      <w:r>
        <w:rPr>
          <w:spacing w:val="1"/>
          <w:w w:val="99"/>
        </w:rPr>
        <w:t>的薪</w:t>
      </w:r>
      <w:r>
        <w:rPr>
          <w:w w:val="99"/>
        </w:rPr>
        <w:t>酬为</w:t>
      </w:r>
      <w:r>
        <w:rPr>
          <w:spacing w:val="-55"/>
        </w:rPr>
        <w:t> </w:t>
      </w:r>
      <w:r>
        <w:rPr>
          <w:rFonts w:ascii="Arial" w:hAnsi="Arial" w:cs="Arial" w:eastAsia="Arial" w:hint="default"/>
          <w:w w:val="99"/>
        </w:rPr>
        <w:t>87.1</w:t>
      </w:r>
      <w:r>
        <w:rPr>
          <w:rFonts w:ascii="Arial" w:hAnsi="Arial" w:cs="Arial" w:eastAsia="Arial" w:hint="default"/>
          <w:spacing w:val="-6"/>
        </w:rPr>
        <w:t> </w:t>
      </w:r>
      <w:r>
        <w:rPr>
          <w:w w:val="99"/>
        </w:rPr>
        <w:t>万港元</w:t>
      </w:r>
      <w:r>
        <w:rPr>
          <w:spacing w:val="-96"/>
          <w:w w:val="99"/>
        </w:rPr>
        <w:t>，</w:t>
      </w:r>
      <w:r>
        <w:rPr>
          <w:w w:val="99"/>
        </w:rPr>
        <w:t>李</w:t>
      </w:r>
      <w:r>
        <w:rPr>
          <w:spacing w:val="1"/>
          <w:w w:val="99"/>
        </w:rPr>
        <w:t>建国</w:t>
      </w:r>
      <w:r>
        <w:rPr>
          <w:w w:val="99"/>
        </w:rPr>
        <w:t>女士的</w:t>
      </w:r>
      <w:r>
        <w:rPr>
          <w:spacing w:val="1"/>
          <w:w w:val="99"/>
        </w:rPr>
        <w:t>薪酬</w:t>
      </w:r>
      <w:r>
        <w:rPr>
          <w:w w:val="99"/>
        </w:rPr>
        <w:t>为</w:t>
      </w:r>
      <w:r>
        <w:rPr>
          <w:spacing w:val="-55"/>
        </w:rPr>
        <w:t> </w:t>
      </w:r>
      <w:r>
        <w:rPr>
          <w:rFonts w:ascii="Arial" w:hAnsi="Arial" w:cs="Arial" w:eastAsia="Arial" w:hint="default"/>
          <w:w w:val="99"/>
        </w:rPr>
        <w:t>87.5</w:t>
      </w:r>
      <w:r>
        <w:rPr>
          <w:rFonts w:ascii="Arial" w:hAnsi="Arial" w:cs="Arial" w:eastAsia="Arial" w:hint="default"/>
        </w:rPr>
      </w:r>
    </w:p>
    <w:p>
      <w:pPr>
        <w:pStyle w:val="BodyText"/>
        <w:spacing w:line="295" w:lineRule="exact"/>
        <w:ind w:left="595" w:right="0"/>
        <w:jc w:val="left"/>
      </w:pPr>
      <w:r>
        <w:rPr/>
        <w:t>万港元。姚琼女士的薪酬为人民币</w:t>
      </w:r>
      <w:r>
        <w:rPr>
          <w:spacing w:val="-56"/>
        </w:rPr>
        <w:t> </w:t>
      </w:r>
      <w:r>
        <w:rPr>
          <w:rFonts w:ascii="Arial" w:hAnsi="Arial" w:cs="Arial" w:eastAsia="Arial" w:hint="default"/>
        </w:rPr>
        <w:t>56.3</w:t>
      </w:r>
      <w:r>
        <w:rPr>
          <w:rFonts w:ascii="Arial" w:hAnsi="Arial" w:cs="Arial" w:eastAsia="Arial" w:hint="default"/>
          <w:spacing w:val="-8"/>
        </w:rPr>
        <w:t> </w:t>
      </w:r>
      <w:r>
        <w:rPr/>
        <w:t>万元，韦海波先生的薪酬为人民币</w:t>
      </w:r>
      <w:r>
        <w:rPr>
          <w:spacing w:val="-57"/>
        </w:rPr>
        <w:t> </w:t>
      </w:r>
      <w:r>
        <w:rPr>
          <w:rFonts w:ascii="Arial" w:hAnsi="Arial" w:cs="Arial" w:eastAsia="Arial" w:hint="default"/>
        </w:rPr>
        <w:t>35.7</w:t>
      </w:r>
      <w:r>
        <w:rPr>
          <w:rFonts w:ascii="Arial" w:hAnsi="Arial" w:cs="Arial" w:eastAsia="Arial" w:hint="default"/>
          <w:spacing w:val="-8"/>
        </w:rPr>
        <w:t> </w:t>
      </w:r>
      <w:r>
        <w:rPr/>
        <w:t>万元。</w:t>
      </w:r>
    </w:p>
    <w:p>
      <w:pPr>
        <w:spacing w:after="0" w:line="295" w:lineRule="exact"/>
        <w:jc w:val="left"/>
        <w:sectPr>
          <w:pgSz w:w="11900" w:h="16840"/>
          <w:pgMar w:header="927" w:footer="752" w:top="1160" w:bottom="940" w:left="1340" w:right="4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95" w:lineRule="exact" w:before="31"/>
        <w:ind w:left="145" w:right="91"/>
        <w:jc w:val="left"/>
      </w:pPr>
      <w:r>
        <w:rPr>
          <w:rFonts w:ascii="Arial" w:hAnsi="Arial" w:cs="Arial" w:eastAsia="Arial" w:hint="default"/>
        </w:rPr>
        <w:t>(1) </w:t>
      </w:r>
      <w:r>
        <w:rPr>
          <w:rFonts w:ascii="Arial" w:hAnsi="Arial" w:cs="Arial" w:eastAsia="Arial" w:hint="default"/>
          <w:spacing w:val="23"/>
        </w:rPr>
        <w:t> </w:t>
      </w:r>
      <w:r>
        <w:rPr/>
        <w:t>常小兵：</w:t>
      </w:r>
    </w:p>
    <w:p>
      <w:pPr>
        <w:pStyle w:val="BodyText"/>
        <w:spacing w:line="230" w:lineRule="auto" w:before="1"/>
        <w:ind w:left="568" w:right="91"/>
        <w:jc w:val="left"/>
        <w:rPr>
          <w:rFonts w:ascii="Arial" w:hAnsi="Arial" w:cs="Arial" w:eastAsia="Arial" w:hint="default"/>
        </w:rPr>
      </w:pPr>
      <w:r>
        <w:rPr/>
        <w:t>常小兵先生为教授级高级工程师，</w:t>
      </w:r>
      <w:r>
        <w:rPr>
          <w:rFonts w:ascii="Arial" w:hAnsi="Arial" w:cs="Arial" w:eastAsia="Arial" w:hint="default"/>
        </w:rPr>
        <w:t>1982</w:t>
      </w:r>
      <w:r>
        <w:rPr>
          <w:rFonts w:ascii="Arial" w:hAnsi="Arial" w:cs="Arial" w:eastAsia="Arial" w:hint="default"/>
          <w:spacing w:val="-17"/>
        </w:rPr>
        <w:t> </w:t>
      </w:r>
      <w:r>
        <w:rPr/>
        <w:t>年毕业于南京邮电学院电信工程系，获得工学学士学</w:t>
      </w:r>
      <w:r>
        <w:rPr>
          <w:w w:val="99"/>
        </w:rPr>
        <w:t> </w:t>
      </w:r>
      <w:r>
        <w:rPr/>
        <w:t>位；</w:t>
      </w:r>
      <w:r>
        <w:rPr>
          <w:rFonts w:ascii="Arial" w:hAnsi="Arial" w:cs="Arial" w:eastAsia="Arial" w:hint="default"/>
        </w:rPr>
        <w:t>2001 </w:t>
      </w:r>
      <w:r>
        <w:rPr/>
        <w:t>年获得清华大学工商管理硕士学位；</w:t>
      </w:r>
      <w:r>
        <w:rPr>
          <w:rFonts w:ascii="Arial" w:hAnsi="Arial" w:cs="Arial" w:eastAsia="Arial" w:hint="default"/>
        </w:rPr>
        <w:t>2005</w:t>
      </w:r>
      <w:r>
        <w:rPr>
          <w:rFonts w:ascii="Arial" w:hAnsi="Arial" w:cs="Arial" w:eastAsia="Arial" w:hint="default"/>
          <w:spacing w:val="-41"/>
        </w:rPr>
        <w:t> </w:t>
      </w:r>
      <w:r>
        <w:rPr/>
        <w:t>年获得香港理工大学工商管理博士学位。</w:t>
      </w:r>
      <w:r>
        <w:rPr>
          <w:w w:val="99"/>
        </w:rPr>
        <w:t> </w:t>
      </w:r>
      <w:r>
        <w:rPr/>
        <w:t>曾先后任江苏省南京市电信局副局长、中国邮电电信总局副局长、信息产业部电信管理局副</w:t>
      </w:r>
      <w:r>
        <w:rPr>
          <w:w w:val="99"/>
        </w:rPr>
        <w:t> </w:t>
      </w:r>
      <w:r>
        <w:rPr/>
        <w:t>局长与局长、中国电信集团公司副总经理、中国电信股份有限公司执行董事及总裁。自</w:t>
      </w:r>
      <w:r>
        <w:rPr>
          <w:spacing w:val="-90"/>
        </w:rPr>
        <w:t> </w:t>
      </w:r>
      <w:r>
        <w:rPr>
          <w:rFonts w:ascii="Arial" w:hAnsi="Arial" w:cs="Arial" w:eastAsia="Arial" w:hint="default"/>
        </w:rPr>
        <w:t>2004</w:t>
      </w:r>
    </w:p>
    <w:p>
      <w:pPr>
        <w:pStyle w:val="BodyText"/>
        <w:spacing w:line="278" w:lineRule="exact"/>
        <w:ind w:left="568" w:right="91"/>
        <w:jc w:val="left"/>
      </w:pPr>
      <w:r>
        <w:rPr/>
        <w:t>年</w:t>
      </w:r>
      <w:r>
        <w:rPr>
          <w:spacing w:val="-56"/>
        </w:rPr>
        <w:t> </w:t>
      </w:r>
      <w:r>
        <w:rPr>
          <w:rFonts w:ascii="Arial" w:hAnsi="Arial" w:cs="Arial" w:eastAsia="Arial" w:hint="default"/>
        </w:rPr>
        <w:t>11</w:t>
      </w:r>
      <w:r>
        <w:rPr>
          <w:rFonts w:ascii="Arial" w:hAnsi="Arial" w:cs="Arial" w:eastAsia="Arial" w:hint="default"/>
          <w:spacing w:val="-7"/>
        </w:rPr>
        <w:t> </w:t>
      </w:r>
      <w:r>
        <w:rPr/>
        <w:t>月加入中国联合通信有限公司担任董事长。中国联合通信有限公司于</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月更</w:t>
      </w:r>
    </w:p>
    <w:p>
      <w:pPr>
        <w:pStyle w:val="BodyText"/>
        <w:spacing w:line="286" w:lineRule="exact" w:before="18"/>
        <w:ind w:left="568" w:right="201"/>
        <w:jc w:val="left"/>
      </w:pPr>
      <w:r>
        <w:rPr>
          <w:spacing w:val="-18"/>
          <w:w w:val="99"/>
        </w:rPr>
        <w:t>名为中国联合网络通信集团有限公司（“联通集团”）。常先生自</w:t>
      </w:r>
      <w:r>
        <w:rPr>
          <w:spacing w:val="-51"/>
          <w:w w:val="99"/>
        </w:rPr>
        <w:t> </w:t>
      </w:r>
      <w:r>
        <w:rPr>
          <w:rFonts w:ascii="Arial" w:hAnsi="Arial" w:cs="Arial" w:eastAsia="Arial" w:hint="default"/>
          <w:w w:val="99"/>
        </w:rPr>
        <w:t>2011</w:t>
      </w:r>
      <w:r>
        <w:rPr>
          <w:rFonts w:ascii="Arial" w:hAnsi="Arial" w:cs="Arial" w:eastAsia="Arial" w:hint="default"/>
          <w:spacing w:val="-2"/>
          <w:w w:val="99"/>
        </w:rPr>
        <w:t> </w:t>
      </w:r>
      <w:r>
        <w:rPr>
          <w:w w:val="99"/>
        </w:rPr>
        <w:t>年</w:t>
      </w:r>
      <w:r>
        <w:rPr>
          <w:spacing w:val="-51"/>
          <w:w w:val="99"/>
        </w:rPr>
        <w:t> </w:t>
      </w:r>
      <w:r>
        <w:rPr>
          <w:rFonts w:ascii="Arial" w:hAnsi="Arial" w:cs="Arial" w:eastAsia="Arial" w:hint="default"/>
          <w:w w:val="99"/>
        </w:rPr>
        <w:t>5</w:t>
      </w:r>
      <w:r>
        <w:rPr>
          <w:rFonts w:ascii="Arial" w:hAnsi="Arial" w:cs="Arial" w:eastAsia="Arial" w:hint="default"/>
          <w:spacing w:val="-2"/>
          <w:w w:val="99"/>
        </w:rPr>
        <w:t> </w:t>
      </w:r>
      <w:r>
        <w:rPr>
          <w:w w:val="99"/>
        </w:rPr>
        <w:t>月起担任</w:t>
      </w:r>
      <w:r>
        <w:rPr>
          <w:spacing w:val="-51"/>
          <w:w w:val="99"/>
        </w:rPr>
        <w:t> </w:t>
      </w:r>
      <w:r>
        <w:rPr>
          <w:rFonts w:ascii="Arial" w:hAnsi="Arial" w:cs="Arial" w:eastAsia="Arial" w:hint="default"/>
          <w:w w:val="99"/>
        </w:rPr>
        <w:t>Telefónica </w:t>
      </w:r>
      <w:r>
        <w:rPr>
          <w:rFonts w:ascii="Arial" w:hAnsi="Arial" w:cs="Arial" w:eastAsia="Arial" w:hint="default"/>
        </w:rPr>
        <w:t>S.A.</w:t>
      </w:r>
      <w:r>
        <w:rPr/>
        <w:t>（西班牙电信）董事。常先生目前担任联通集团公司董事长，联通红筹公司执行董事、</w:t>
      </w:r>
      <w:r>
        <w:rPr>
          <w:w w:val="99"/>
        </w:rPr>
        <w:t> </w:t>
      </w:r>
      <w:r>
        <w:rPr/>
        <w:t>董事长兼首席执行官，联通运营公司董事长，并自</w:t>
      </w:r>
      <w:r>
        <w:rPr>
          <w:spacing w:val="-56"/>
        </w:rPr>
        <w:t> </w:t>
      </w:r>
      <w:r>
        <w:rPr>
          <w:rFonts w:ascii="Arial" w:hAnsi="Arial" w:cs="Arial" w:eastAsia="Arial" w:hint="default"/>
        </w:rPr>
        <w:t>2004</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月起任本公司董事长。常小兵</w:t>
      </w:r>
      <w:r>
        <w:rPr>
          <w:w w:val="99"/>
        </w:rPr>
        <w:t> </w:t>
      </w:r>
      <w:r>
        <w:rPr/>
        <w:t>先生有丰富的电信行业管理和从业经验。</w:t>
      </w:r>
    </w:p>
    <w:p>
      <w:pPr>
        <w:spacing w:line="240" w:lineRule="auto" w:before="1"/>
        <w:rPr>
          <w:rFonts w:ascii="宋体" w:hAnsi="宋体" w:cs="宋体" w:eastAsia="宋体" w:hint="default"/>
          <w:sz w:val="17"/>
          <w:szCs w:val="17"/>
        </w:rPr>
      </w:pPr>
    </w:p>
    <w:p>
      <w:pPr>
        <w:pStyle w:val="BodyText"/>
        <w:spacing w:line="295" w:lineRule="exact"/>
        <w:ind w:left="145" w:right="91"/>
        <w:jc w:val="left"/>
      </w:pPr>
      <w:r>
        <w:rPr>
          <w:rFonts w:ascii="Arial" w:hAnsi="Arial" w:cs="Arial" w:eastAsia="Arial" w:hint="default"/>
        </w:rPr>
        <w:t>(2)</w:t>
      </w:r>
      <w:r>
        <w:rPr>
          <w:rFonts w:ascii="Arial" w:hAnsi="Arial" w:cs="Arial" w:eastAsia="Arial" w:hint="default"/>
          <w:spacing w:val="27"/>
        </w:rPr>
        <w:t> </w:t>
      </w:r>
      <w:r>
        <w:rPr/>
        <w:t>陆益民：</w:t>
      </w:r>
    </w:p>
    <w:p>
      <w:pPr>
        <w:pStyle w:val="BodyText"/>
        <w:spacing w:line="286" w:lineRule="exact" w:before="19"/>
        <w:ind w:left="505" w:right="214"/>
        <w:jc w:val="both"/>
        <w:rPr>
          <w:rFonts w:ascii="Arial" w:hAnsi="Arial" w:cs="Arial" w:eastAsia="Arial" w:hint="default"/>
        </w:rPr>
      </w:pPr>
      <w:r>
        <w:rPr/>
        <w:t>陆益民先生为研究员级高级工程师，</w:t>
      </w:r>
      <w:r>
        <w:rPr>
          <w:rFonts w:ascii="Arial" w:hAnsi="Arial" w:cs="Arial" w:eastAsia="Arial" w:hint="default"/>
        </w:rPr>
        <w:t>1985</w:t>
      </w:r>
      <w:r>
        <w:rPr>
          <w:rFonts w:ascii="Arial" w:hAnsi="Arial" w:cs="Arial" w:eastAsia="Arial" w:hint="default"/>
          <w:spacing w:val="-8"/>
        </w:rPr>
        <w:t> </w:t>
      </w:r>
      <w:r>
        <w:rPr/>
        <w:t>年毕业于上海交通大学计算机科学技术专业并取得</w:t>
      </w:r>
      <w:r>
        <w:rPr>
          <w:w w:val="99"/>
        </w:rPr>
        <w:t> </w:t>
      </w:r>
      <w:r>
        <w:rPr/>
        <w:t>工学学士学位，</w:t>
      </w:r>
      <w:r>
        <w:rPr>
          <w:rFonts w:ascii="Arial" w:hAnsi="Arial" w:cs="Arial" w:eastAsia="Arial" w:hint="default"/>
        </w:rPr>
        <w:t>2001</w:t>
      </w:r>
      <w:r>
        <w:rPr>
          <w:rFonts w:ascii="Arial" w:hAnsi="Arial" w:cs="Arial" w:eastAsia="Arial" w:hint="default"/>
          <w:spacing w:val="-8"/>
        </w:rPr>
        <w:t> </w:t>
      </w:r>
      <w:r>
        <w:rPr/>
        <w:t>年</w:t>
      </w:r>
      <w:r>
        <w:rPr>
          <w:spacing w:val="-57"/>
        </w:rPr>
        <w:t> </w:t>
      </w:r>
      <w:r>
        <w:rPr>
          <w:rFonts w:ascii="Arial" w:hAnsi="Arial" w:cs="Arial" w:eastAsia="Arial" w:hint="default"/>
        </w:rPr>
        <w:t>6</w:t>
      </w:r>
      <w:r>
        <w:rPr>
          <w:rFonts w:ascii="Arial" w:hAnsi="Arial" w:cs="Arial" w:eastAsia="Arial" w:hint="default"/>
          <w:spacing w:val="-8"/>
        </w:rPr>
        <w:t> </w:t>
      </w:r>
      <w:r>
        <w:rPr/>
        <w:t>月取得美国哈佛大学肯尼迪政府学院公共管理专业硕士学位。陆先</w:t>
      </w:r>
      <w:r>
        <w:rPr>
          <w:w w:val="99"/>
        </w:rPr>
        <w:t> </w:t>
      </w:r>
      <w:r>
        <w:rPr/>
        <w:t>生于</w:t>
      </w:r>
      <w:r>
        <w:rPr>
          <w:spacing w:val="-52"/>
        </w:rPr>
        <w:t> </w:t>
      </w:r>
      <w:r>
        <w:rPr>
          <w:rFonts w:ascii="Arial" w:hAnsi="Arial" w:cs="Arial" w:eastAsia="Arial" w:hint="default"/>
        </w:rPr>
        <w:t>2007</w:t>
      </w:r>
      <w:r>
        <w:rPr>
          <w:rFonts w:ascii="Arial" w:hAnsi="Arial" w:cs="Arial" w:eastAsia="Arial" w:hint="default"/>
          <w:spacing w:val="-3"/>
        </w:rPr>
        <w:t> </w:t>
      </w:r>
      <w:r>
        <w:rPr/>
        <w:t>年</w:t>
      </w:r>
      <w:r>
        <w:rPr>
          <w:spacing w:val="-52"/>
        </w:rPr>
        <w:t> </w:t>
      </w:r>
      <w:r>
        <w:rPr>
          <w:rFonts w:ascii="Arial" w:hAnsi="Arial" w:cs="Arial" w:eastAsia="Arial" w:hint="default"/>
        </w:rPr>
        <w:t>12</w:t>
      </w:r>
      <w:r>
        <w:rPr>
          <w:rFonts w:ascii="Arial" w:hAnsi="Arial" w:cs="Arial" w:eastAsia="Arial" w:hint="default"/>
          <w:spacing w:val="-3"/>
        </w:rPr>
        <w:t> </w:t>
      </w:r>
      <w:r>
        <w:rPr>
          <w:spacing w:val="-9"/>
        </w:rPr>
        <w:t>月加入中国网络通信集团公司（“网通集团”）担任高级管理职务，并于</w:t>
      </w:r>
      <w:r>
        <w:rPr>
          <w:spacing w:val="-52"/>
        </w:rPr>
        <w:t> </w:t>
      </w:r>
      <w:r>
        <w:rPr>
          <w:rFonts w:ascii="Arial" w:hAnsi="Arial" w:cs="Arial" w:eastAsia="Arial" w:hint="default"/>
        </w:rPr>
        <w:t>2008</w:t>
      </w:r>
    </w:p>
    <w:p>
      <w:pPr>
        <w:pStyle w:val="BodyText"/>
        <w:spacing w:line="265" w:lineRule="exact"/>
        <w:ind w:left="505" w:right="91"/>
        <w:jc w:val="left"/>
      </w:pPr>
      <w:r>
        <w:rPr/>
        <w:t>年</w:t>
      </w:r>
      <w:r>
        <w:rPr>
          <w:spacing w:val="-56"/>
        </w:rPr>
        <w:t> </w:t>
      </w:r>
      <w:r>
        <w:rPr>
          <w:rFonts w:ascii="Arial" w:hAnsi="Arial" w:cs="Arial" w:eastAsia="Arial" w:hint="default"/>
        </w:rPr>
        <w:t>5</w:t>
      </w:r>
      <w:r>
        <w:rPr>
          <w:rFonts w:ascii="Arial" w:hAnsi="Arial" w:cs="Arial" w:eastAsia="Arial" w:hint="default"/>
          <w:spacing w:val="-7"/>
        </w:rPr>
        <w:t> </w:t>
      </w:r>
      <w:r>
        <w:rPr/>
        <w:t>月起担任香港电讯盈科有限公司非执行董事，</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月起担任香港电讯管理有限公</w:t>
      </w:r>
    </w:p>
    <w:p>
      <w:pPr>
        <w:pStyle w:val="BodyText"/>
        <w:spacing w:line="225" w:lineRule="auto" w:before="6"/>
        <w:ind w:left="505" w:right="201"/>
        <w:jc w:val="left"/>
      </w:pPr>
      <w:r>
        <w:rPr/>
        <w:t>司（作为香港电讯信托的托管人</w:t>
      </w:r>
      <w:r>
        <w:rPr>
          <w:rFonts w:ascii="Arial" w:hAnsi="Arial" w:cs="Arial" w:eastAsia="Arial" w:hint="default"/>
        </w:rPr>
        <w:t>-</w:t>
      </w:r>
      <w:r>
        <w:rPr/>
        <w:t>经理）非执行董事。加入网通集团之前，曾在中共中央办公</w:t>
      </w:r>
      <w:r>
        <w:rPr>
          <w:w w:val="99"/>
        </w:rPr>
        <w:t> </w:t>
      </w:r>
      <w:r>
        <w:rPr/>
        <w:t>厅秘书局工作，自</w:t>
      </w:r>
      <w:r>
        <w:rPr>
          <w:spacing w:val="-57"/>
        </w:rPr>
        <w:t> </w:t>
      </w:r>
      <w:r>
        <w:rPr>
          <w:rFonts w:ascii="Arial" w:hAnsi="Arial" w:cs="Arial" w:eastAsia="Arial" w:hint="default"/>
        </w:rPr>
        <w:t>1992</w:t>
      </w:r>
      <w:r>
        <w:rPr>
          <w:rFonts w:ascii="Arial" w:hAnsi="Arial" w:cs="Arial" w:eastAsia="Arial" w:hint="default"/>
          <w:spacing w:val="-8"/>
        </w:rPr>
        <w:t> </w:t>
      </w:r>
      <w:r>
        <w:rPr/>
        <w:t>年起先后担任信息处理室副主任及主任，</w:t>
      </w:r>
      <w:r>
        <w:rPr>
          <w:rFonts w:ascii="Arial" w:hAnsi="Arial" w:cs="Arial" w:eastAsia="Arial" w:hint="default"/>
        </w:rPr>
        <w:t>2001</w:t>
      </w:r>
      <w:r>
        <w:rPr>
          <w:rFonts w:ascii="Arial" w:hAnsi="Arial" w:cs="Arial" w:eastAsia="Arial" w:hint="default"/>
          <w:spacing w:val="-8"/>
        </w:rPr>
        <w:t> </w:t>
      </w:r>
      <w:r>
        <w:rPr/>
        <w:t>年起担任专职副局级</w:t>
      </w:r>
      <w:r>
        <w:rPr>
          <w:w w:val="99"/>
        </w:rPr>
        <w:t> </w:t>
      </w:r>
      <w:r>
        <w:rPr/>
        <w:t>秘书，</w:t>
      </w:r>
      <w:r>
        <w:rPr>
          <w:rFonts w:ascii="Arial" w:hAnsi="Arial" w:cs="Arial" w:eastAsia="Arial" w:hint="default"/>
        </w:rPr>
        <w:t>2005</w:t>
      </w:r>
      <w:r>
        <w:rPr>
          <w:rFonts w:ascii="Arial" w:hAnsi="Arial" w:cs="Arial" w:eastAsia="Arial" w:hint="default"/>
          <w:spacing w:val="-7"/>
        </w:rPr>
        <w:t> </w:t>
      </w:r>
      <w:r>
        <w:rPr/>
        <w:t>年起担任专职正局级秘书。</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月起担任联通红筹公司执行董事。</w:t>
      </w:r>
      <w:r>
        <w:rPr>
          <w:rFonts w:ascii="Arial" w:hAnsi="Arial" w:cs="Arial" w:eastAsia="Arial" w:hint="default"/>
        </w:rPr>
        <w:t>2009</w:t>
      </w:r>
      <w:r>
        <w:rPr>
          <w:rFonts w:ascii="Arial" w:hAnsi="Arial" w:cs="Arial" w:eastAsia="Arial" w:hint="default"/>
          <w:w w:val="99"/>
        </w:rPr>
        <w:t> </w:t>
      </w:r>
      <w:r>
        <w:rPr/>
        <w:t>年</w:t>
      </w:r>
      <w:r>
        <w:rPr>
          <w:spacing w:val="-46"/>
        </w:rPr>
        <w:t> </w:t>
      </w:r>
      <w:r>
        <w:rPr>
          <w:rFonts w:ascii="Arial" w:hAnsi="Arial" w:cs="Arial" w:eastAsia="Arial" w:hint="default"/>
        </w:rPr>
        <w:t>2</w:t>
      </w:r>
      <w:r>
        <w:rPr>
          <w:rFonts w:ascii="Arial" w:hAnsi="Arial" w:cs="Arial" w:eastAsia="Arial" w:hint="default"/>
          <w:spacing w:val="3"/>
        </w:rPr>
        <w:t> </w:t>
      </w:r>
      <w:r>
        <w:rPr>
          <w:spacing w:val="-3"/>
        </w:rPr>
        <w:t>月起担任联通红筹公司总裁。陆先生目前担任联通集团副董事长及总经理，联通红筹公司</w:t>
      </w:r>
      <w:r>
        <w:rPr>
          <w:w w:val="99"/>
        </w:rPr>
        <w:t> </w:t>
      </w:r>
      <w:r>
        <w:rPr>
          <w:spacing w:val="-3"/>
        </w:rPr>
        <w:t>执行董事及总裁，联通运营公司董事及总裁。</w:t>
      </w:r>
      <w:r>
        <w:rPr>
          <w:rFonts w:ascii="Arial" w:hAnsi="Arial" w:cs="Arial" w:eastAsia="Arial" w:hint="default"/>
          <w:spacing w:val="-3"/>
        </w:rPr>
        <w:t>2009</w:t>
      </w:r>
      <w:r>
        <w:rPr>
          <w:rFonts w:ascii="Arial" w:hAnsi="Arial" w:cs="Arial" w:eastAsia="Arial" w:hint="default"/>
          <w:spacing w:val="-6"/>
        </w:rPr>
        <w:t> </w:t>
      </w:r>
      <w:r>
        <w:rPr/>
        <w:t>年</w:t>
      </w:r>
      <w:r>
        <w:rPr>
          <w:spacing w:val="-55"/>
        </w:rPr>
        <w:t> </w:t>
      </w:r>
      <w:r>
        <w:rPr>
          <w:rFonts w:ascii="Arial" w:hAnsi="Arial" w:cs="Arial" w:eastAsia="Arial" w:hint="default"/>
        </w:rPr>
        <w:t>3</w:t>
      </w:r>
      <w:r>
        <w:rPr>
          <w:rFonts w:ascii="Arial" w:hAnsi="Arial" w:cs="Arial" w:eastAsia="Arial" w:hint="default"/>
          <w:spacing w:val="-6"/>
        </w:rPr>
        <w:t> </w:t>
      </w:r>
      <w:r>
        <w:rPr>
          <w:spacing w:val="-3"/>
        </w:rPr>
        <w:t>月起任本公司总裁。</w:t>
      </w:r>
      <w:r>
        <w:rPr>
          <w:rFonts w:ascii="Arial" w:hAnsi="Arial" w:cs="Arial" w:eastAsia="Arial" w:hint="default"/>
          <w:spacing w:val="-3"/>
        </w:rPr>
        <w:t>2009</w:t>
      </w:r>
      <w:r>
        <w:rPr>
          <w:rFonts w:ascii="Arial" w:hAnsi="Arial" w:cs="Arial" w:eastAsia="Arial" w:hint="default"/>
          <w:spacing w:val="-5"/>
        </w:rPr>
        <w:t> </w:t>
      </w:r>
      <w:r>
        <w:rPr/>
        <w:t>年</w:t>
      </w:r>
      <w:r>
        <w:rPr>
          <w:spacing w:val="-55"/>
        </w:rPr>
        <w:t> </w:t>
      </w:r>
      <w:r>
        <w:rPr>
          <w:rFonts w:ascii="Arial" w:hAnsi="Arial" w:cs="Arial" w:eastAsia="Arial" w:hint="default"/>
        </w:rPr>
        <w:t>5</w:t>
      </w:r>
      <w:r>
        <w:rPr>
          <w:rFonts w:ascii="Arial" w:hAnsi="Arial" w:cs="Arial" w:eastAsia="Arial" w:hint="default"/>
          <w:spacing w:val="-6"/>
        </w:rPr>
        <w:t> </w:t>
      </w:r>
      <w:r>
        <w:rPr/>
        <w:t>月起任</w:t>
      </w:r>
      <w:r>
        <w:rPr>
          <w:w w:val="99"/>
        </w:rPr>
        <w:t> </w:t>
      </w:r>
      <w:r>
        <w:rPr/>
        <w:t>本公司董事。陆益民先生具有丰富的政府工作经历和管理经验。</w:t>
      </w:r>
    </w:p>
    <w:p>
      <w:pPr>
        <w:spacing w:line="240" w:lineRule="auto" w:before="3"/>
        <w:rPr>
          <w:rFonts w:ascii="宋体" w:hAnsi="宋体" w:cs="宋体" w:eastAsia="宋体" w:hint="default"/>
          <w:sz w:val="19"/>
          <w:szCs w:val="19"/>
        </w:rPr>
      </w:pPr>
    </w:p>
    <w:p>
      <w:pPr>
        <w:pStyle w:val="BodyText"/>
        <w:spacing w:line="295" w:lineRule="exact"/>
        <w:ind w:left="145" w:right="91"/>
        <w:jc w:val="left"/>
      </w:pPr>
      <w:r>
        <w:rPr>
          <w:rFonts w:ascii="Arial" w:hAnsi="Arial" w:cs="Arial" w:eastAsia="Arial" w:hint="default"/>
        </w:rPr>
        <w:t>(3)</w:t>
      </w:r>
      <w:r>
        <w:rPr>
          <w:rFonts w:ascii="Arial" w:hAnsi="Arial" w:cs="Arial" w:eastAsia="Arial" w:hint="default"/>
          <w:spacing w:val="27"/>
        </w:rPr>
        <w:t> </w:t>
      </w:r>
      <w:r>
        <w:rPr/>
        <w:t>佟吉禄：</w:t>
      </w:r>
    </w:p>
    <w:p>
      <w:pPr>
        <w:pStyle w:val="BodyText"/>
        <w:spacing w:line="225" w:lineRule="auto" w:before="6"/>
        <w:ind w:left="505" w:right="213"/>
        <w:jc w:val="both"/>
        <w:rPr>
          <w:rFonts w:ascii="Arial" w:hAnsi="Arial" w:cs="Arial" w:eastAsia="Arial" w:hint="default"/>
        </w:rPr>
      </w:pPr>
      <w:r>
        <w:rPr>
          <w:spacing w:val="-3"/>
        </w:rPr>
        <w:t>佟吉禄先生为高级经济师，</w:t>
      </w:r>
      <w:r>
        <w:rPr>
          <w:rFonts w:ascii="Arial" w:hAnsi="Arial" w:cs="Arial" w:eastAsia="Arial" w:hint="default"/>
          <w:spacing w:val="-3"/>
        </w:rPr>
        <w:t>1987 </w:t>
      </w:r>
      <w:r>
        <w:rPr/>
        <w:t>年毕业于北京邮电大学经济管理专业，</w:t>
      </w:r>
      <w:r>
        <w:rPr>
          <w:rFonts w:ascii="Arial" w:hAnsi="Arial" w:cs="Arial" w:eastAsia="Arial" w:hint="default"/>
        </w:rPr>
        <w:t>2002</w:t>
      </w:r>
      <w:r>
        <w:rPr>
          <w:rFonts w:ascii="Arial" w:hAnsi="Arial" w:cs="Arial" w:eastAsia="Arial" w:hint="default"/>
          <w:spacing w:val="-37"/>
        </w:rPr>
        <w:t> </w:t>
      </w:r>
      <w:r>
        <w:rPr/>
        <w:t>年获得澳洲国立</w:t>
      </w:r>
      <w:r>
        <w:rPr>
          <w:w w:val="99"/>
        </w:rPr>
        <w:t> </w:t>
      </w:r>
      <w:r>
        <w:rPr/>
        <w:t>大学工商管理硕士，并于</w:t>
      </w:r>
      <w:r>
        <w:rPr>
          <w:spacing w:val="-68"/>
        </w:rPr>
        <w:t> </w:t>
      </w:r>
      <w:r>
        <w:rPr>
          <w:rFonts w:ascii="Arial" w:hAnsi="Arial" w:cs="Arial" w:eastAsia="Arial" w:hint="default"/>
        </w:rPr>
        <w:t>2009</w:t>
      </w:r>
      <w:r>
        <w:rPr>
          <w:rFonts w:ascii="Arial" w:hAnsi="Arial" w:cs="Arial" w:eastAsia="Arial" w:hint="default"/>
          <w:spacing w:val="-19"/>
        </w:rPr>
        <w:t> </w:t>
      </w:r>
      <w:r>
        <w:rPr/>
        <w:t>年取得香港理工大学管理学博士学位。曾先后担任辽宁省邮电</w:t>
      </w:r>
      <w:r>
        <w:rPr>
          <w:w w:val="99"/>
        </w:rPr>
        <w:t> </w:t>
      </w:r>
      <w:r>
        <w:rPr/>
        <w:t>管理局财务处处长、辽宁省邮电管理局副局长、辽宁省邮政局副局长等职。</w:t>
      </w:r>
      <w:r>
        <w:rPr>
          <w:rFonts w:ascii="Arial" w:hAnsi="Arial" w:cs="Arial" w:eastAsia="Arial" w:hint="default"/>
        </w:rPr>
        <w:t>2000</w:t>
      </w:r>
      <w:r>
        <w:rPr>
          <w:rFonts w:ascii="Arial" w:hAnsi="Arial" w:cs="Arial" w:eastAsia="Arial" w:hint="default"/>
          <w:spacing w:val="-7"/>
        </w:rPr>
        <w:t> </w:t>
      </w:r>
      <w:r>
        <w:rPr/>
        <w:t>年</w:t>
      </w:r>
      <w:r>
        <w:rPr>
          <w:spacing w:val="-57"/>
        </w:rPr>
        <w:t> </w:t>
      </w:r>
      <w:r>
        <w:rPr>
          <w:rFonts w:ascii="Arial" w:hAnsi="Arial" w:cs="Arial" w:eastAsia="Arial" w:hint="default"/>
        </w:rPr>
        <w:t>7</w:t>
      </w:r>
      <w:r>
        <w:rPr>
          <w:rFonts w:ascii="Arial" w:hAnsi="Arial" w:cs="Arial" w:eastAsia="Arial" w:hint="default"/>
          <w:spacing w:val="-8"/>
        </w:rPr>
        <w:t> </w:t>
      </w:r>
      <w:r>
        <w:rPr/>
        <w:t>月加入</w:t>
      </w:r>
      <w:r>
        <w:rPr>
          <w:w w:val="99"/>
        </w:rPr>
        <w:t> </w:t>
      </w:r>
      <w:r>
        <w:rPr>
          <w:spacing w:val="-10"/>
          <w:w w:val="99"/>
        </w:rPr>
        <w:t>中国联合通信有限公司，先后担任总会计师、副总经理，并于</w:t>
      </w:r>
      <w:r>
        <w:rPr>
          <w:spacing w:val="-53"/>
          <w:w w:val="99"/>
        </w:rPr>
        <w:t> </w:t>
      </w:r>
      <w:r>
        <w:rPr>
          <w:rFonts w:ascii="Arial" w:hAnsi="Arial" w:cs="Arial" w:eastAsia="Arial" w:hint="default"/>
          <w:w w:val="99"/>
        </w:rPr>
        <w:t>2003</w:t>
      </w:r>
      <w:r>
        <w:rPr>
          <w:rFonts w:ascii="Arial" w:hAnsi="Arial" w:cs="Arial" w:eastAsia="Arial" w:hint="default"/>
          <w:spacing w:val="-4"/>
          <w:w w:val="99"/>
        </w:rPr>
        <w:t> </w:t>
      </w:r>
      <w:r>
        <w:rPr>
          <w:w w:val="99"/>
        </w:rPr>
        <w:t>年</w:t>
      </w:r>
      <w:r>
        <w:rPr>
          <w:spacing w:val="-53"/>
          <w:w w:val="99"/>
        </w:rPr>
        <w:t> </w:t>
      </w:r>
      <w:r>
        <w:rPr>
          <w:rFonts w:ascii="Arial" w:hAnsi="Arial" w:cs="Arial" w:eastAsia="Arial" w:hint="default"/>
          <w:w w:val="99"/>
        </w:rPr>
        <w:t>9</w:t>
      </w:r>
      <w:r>
        <w:rPr>
          <w:rFonts w:ascii="Arial" w:hAnsi="Arial" w:cs="Arial" w:eastAsia="Arial" w:hint="default"/>
          <w:spacing w:val="-4"/>
          <w:w w:val="99"/>
        </w:rPr>
        <w:t> </w:t>
      </w:r>
      <w:r>
        <w:rPr>
          <w:spacing w:val="-11"/>
          <w:w w:val="99"/>
        </w:rPr>
        <w:t>月起出任董事。自</w:t>
      </w:r>
      <w:r>
        <w:rPr>
          <w:spacing w:val="-53"/>
          <w:w w:val="99"/>
        </w:rPr>
        <w:t> </w:t>
      </w:r>
      <w:r>
        <w:rPr>
          <w:rFonts w:ascii="Arial" w:hAnsi="Arial" w:cs="Arial" w:eastAsia="Arial" w:hint="default"/>
          <w:w w:val="99"/>
        </w:rPr>
        <w:t>2004</w:t>
      </w:r>
      <w:r>
        <w:rPr>
          <w:rFonts w:ascii="Arial" w:hAnsi="Arial" w:cs="Arial" w:eastAsia="Arial" w:hint="default"/>
        </w:rPr>
      </w:r>
    </w:p>
    <w:p>
      <w:pPr>
        <w:pStyle w:val="BodyText"/>
        <w:spacing w:line="230" w:lineRule="auto"/>
        <w:ind w:left="505" w:right="213"/>
        <w:jc w:val="both"/>
      </w:pPr>
      <w:r>
        <w:rPr/>
        <w:t>年</w:t>
      </w:r>
      <w:r>
        <w:rPr>
          <w:spacing w:val="-64"/>
        </w:rPr>
        <w:t> </w:t>
      </w:r>
      <w:r>
        <w:rPr>
          <w:rFonts w:ascii="Arial" w:hAnsi="Arial" w:cs="Arial" w:eastAsia="Arial" w:hint="default"/>
        </w:rPr>
        <w:t>2</w:t>
      </w:r>
      <w:r>
        <w:rPr>
          <w:rFonts w:ascii="Arial" w:hAnsi="Arial" w:cs="Arial" w:eastAsia="Arial" w:hint="default"/>
          <w:spacing w:val="-15"/>
        </w:rPr>
        <w:t> </w:t>
      </w:r>
      <w:r>
        <w:rPr/>
        <w:t>月至</w:t>
      </w:r>
      <w:r>
        <w:rPr>
          <w:spacing w:val="-64"/>
        </w:rPr>
        <w:t> </w:t>
      </w:r>
      <w:r>
        <w:rPr>
          <w:rFonts w:ascii="Arial" w:hAnsi="Arial" w:cs="Arial" w:eastAsia="Arial" w:hint="default"/>
        </w:rPr>
        <w:t>2011</w:t>
      </w:r>
      <w:r>
        <w:rPr>
          <w:rFonts w:ascii="Arial" w:hAnsi="Arial" w:cs="Arial" w:eastAsia="Arial" w:hint="default"/>
          <w:spacing w:val="-15"/>
        </w:rPr>
        <w:t> </w:t>
      </w:r>
      <w:r>
        <w:rPr/>
        <w:t>年</w:t>
      </w:r>
      <w:r>
        <w:rPr>
          <w:spacing w:val="-64"/>
        </w:rPr>
        <w:t> </w:t>
      </w:r>
      <w:r>
        <w:rPr>
          <w:rFonts w:ascii="Arial" w:hAnsi="Arial" w:cs="Arial" w:eastAsia="Arial" w:hint="default"/>
        </w:rPr>
        <w:t>3</w:t>
      </w:r>
      <w:r>
        <w:rPr>
          <w:rFonts w:ascii="Arial" w:hAnsi="Arial" w:cs="Arial" w:eastAsia="Arial" w:hint="default"/>
          <w:spacing w:val="-15"/>
        </w:rPr>
        <w:t> </w:t>
      </w:r>
      <w:r>
        <w:rPr/>
        <w:t>月，佟先生担任联通红筹公司首席财务官。佟先生目前担任联通集团公司</w:t>
      </w:r>
      <w:r>
        <w:rPr>
          <w:w w:val="99"/>
        </w:rPr>
        <w:t> </w:t>
      </w:r>
      <w:r>
        <w:rPr>
          <w:spacing w:val="-2"/>
        </w:rPr>
        <w:t>董事、副总经理，联通红筹公司执行董事兼高级副总裁，联通运营公司董事、高级副总裁。佟</w:t>
      </w:r>
      <w:r>
        <w:rPr>
          <w:w w:val="99"/>
        </w:rPr>
        <w:t> </w:t>
      </w:r>
      <w:r>
        <w:rPr/>
        <w:t>先生自</w:t>
      </w:r>
      <w:r>
        <w:rPr>
          <w:spacing w:val="-56"/>
        </w:rPr>
        <w:t> </w:t>
      </w:r>
      <w:r>
        <w:rPr>
          <w:rFonts w:ascii="Arial" w:hAnsi="Arial" w:cs="Arial" w:eastAsia="Arial" w:hint="default"/>
        </w:rPr>
        <w:t>2001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spacing w:val="-8"/>
        </w:rPr>
        <w:t>月起担任本公司董事，并于</w:t>
      </w:r>
      <w:r>
        <w:rPr>
          <w:spacing w:val="-56"/>
        </w:rPr>
        <w:t> </w:t>
      </w:r>
      <w:r>
        <w:rPr>
          <w:rFonts w:ascii="Arial" w:hAnsi="Arial" w:cs="Arial" w:eastAsia="Arial" w:hint="default"/>
        </w:rPr>
        <w:t>2001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月至</w:t>
      </w:r>
      <w:r>
        <w:rPr>
          <w:spacing w:val="-56"/>
        </w:rPr>
        <w:t> </w:t>
      </w:r>
      <w:r>
        <w:rPr>
          <w:rFonts w:ascii="Arial" w:hAnsi="Arial" w:cs="Arial" w:eastAsia="Arial" w:hint="default"/>
        </w:rPr>
        <w:t>2002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月担任本公司副总</w:t>
      </w:r>
      <w:r>
        <w:rPr>
          <w:w w:val="99"/>
        </w:rPr>
        <w:t> </w:t>
      </w:r>
      <w:r>
        <w:rPr/>
        <w:t>裁。佟吉禄先生拥有丰富的电信企业管理经验和上市公司财务管理经验。</w:t>
      </w:r>
    </w:p>
    <w:p>
      <w:pPr>
        <w:spacing w:after="0" w:line="230" w:lineRule="auto"/>
        <w:jc w:val="both"/>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95" w:lineRule="exact" w:before="31"/>
        <w:ind w:left="145" w:right="91"/>
        <w:jc w:val="left"/>
      </w:pPr>
      <w:r>
        <w:rPr>
          <w:rFonts w:ascii="Arial" w:hAnsi="Arial" w:cs="Arial" w:eastAsia="Arial" w:hint="default"/>
        </w:rPr>
        <w:t>(4) </w:t>
      </w:r>
      <w:r>
        <w:rPr>
          <w:rFonts w:ascii="Arial" w:hAnsi="Arial" w:cs="Arial" w:eastAsia="Arial" w:hint="default"/>
          <w:spacing w:val="11"/>
        </w:rPr>
        <w:t> </w:t>
      </w:r>
      <w:r>
        <w:rPr/>
        <w:t>李福申：</w:t>
      </w:r>
    </w:p>
    <w:p>
      <w:pPr>
        <w:pStyle w:val="BodyText"/>
        <w:spacing w:line="284" w:lineRule="exact" w:before="20"/>
        <w:ind w:left="568" w:right="206" w:hanging="1"/>
        <w:jc w:val="left"/>
      </w:pPr>
      <w:r>
        <w:rPr/>
        <w:t>李福申先生为高级会计师，</w:t>
      </w:r>
      <w:r>
        <w:rPr>
          <w:rFonts w:ascii="Arial" w:hAnsi="Arial" w:cs="Arial" w:eastAsia="Arial" w:hint="default"/>
        </w:rPr>
        <w:t>1988</w:t>
      </w:r>
      <w:r>
        <w:rPr>
          <w:rFonts w:ascii="Arial" w:hAnsi="Arial" w:cs="Arial" w:eastAsia="Arial" w:hint="default"/>
          <w:spacing w:val="-8"/>
        </w:rPr>
        <w:t> </w:t>
      </w:r>
      <w:r>
        <w:rPr/>
        <w:t>年毕业于吉林工学院管理工程专业，并于</w:t>
      </w:r>
      <w:r>
        <w:rPr>
          <w:spacing w:val="-57"/>
        </w:rPr>
        <w:t> </w:t>
      </w:r>
      <w:r>
        <w:rPr>
          <w:rFonts w:ascii="Arial" w:hAnsi="Arial" w:cs="Arial" w:eastAsia="Arial" w:hint="default"/>
        </w:rPr>
        <w:t>2004</w:t>
      </w:r>
      <w:r>
        <w:rPr>
          <w:rFonts w:ascii="Arial" w:hAnsi="Arial" w:cs="Arial" w:eastAsia="Arial" w:hint="default"/>
          <w:spacing w:val="-8"/>
        </w:rPr>
        <w:t> </w:t>
      </w:r>
      <w:r>
        <w:rPr/>
        <w:t>年取得澳大</w:t>
      </w:r>
      <w:r>
        <w:rPr>
          <w:w w:val="99"/>
        </w:rPr>
        <w:t> </w:t>
      </w:r>
      <w:r>
        <w:rPr/>
        <w:t>利亚国立大学管理学硕士学位。</w:t>
      </w:r>
      <w:r>
        <w:rPr>
          <w:rFonts w:ascii="Arial" w:hAnsi="Arial" w:cs="Arial" w:eastAsia="Arial" w:hint="default"/>
        </w:rPr>
        <w:t>2001</w:t>
      </w:r>
      <w:r>
        <w:rPr>
          <w:rFonts w:ascii="Arial" w:hAnsi="Arial" w:cs="Arial" w:eastAsia="Arial" w:hint="default"/>
          <w:spacing w:val="-10"/>
        </w:rPr>
        <w:t> </w:t>
      </w:r>
      <w:r>
        <w:rPr/>
        <w:t>年</w:t>
      </w:r>
      <w:r>
        <w:rPr>
          <w:spacing w:val="-59"/>
        </w:rPr>
        <w:t> </w:t>
      </w:r>
      <w:r>
        <w:rPr>
          <w:rFonts w:ascii="Arial" w:hAnsi="Arial" w:cs="Arial" w:eastAsia="Arial" w:hint="default"/>
        </w:rPr>
        <w:t>11</w:t>
      </w:r>
      <w:r>
        <w:rPr>
          <w:rFonts w:ascii="Arial" w:hAnsi="Arial" w:cs="Arial" w:eastAsia="Arial" w:hint="default"/>
          <w:spacing w:val="-10"/>
        </w:rPr>
        <w:t> </w:t>
      </w:r>
      <w:r>
        <w:rPr/>
        <w:t>月至</w:t>
      </w:r>
      <w:r>
        <w:rPr>
          <w:spacing w:val="-59"/>
        </w:rPr>
        <w:t> </w:t>
      </w:r>
      <w:r>
        <w:rPr>
          <w:rFonts w:ascii="Arial" w:hAnsi="Arial" w:cs="Arial" w:eastAsia="Arial" w:hint="default"/>
        </w:rPr>
        <w:t>2003</w:t>
      </w:r>
      <w:r>
        <w:rPr>
          <w:rFonts w:ascii="Arial" w:hAnsi="Arial" w:cs="Arial" w:eastAsia="Arial" w:hint="default"/>
          <w:spacing w:val="-10"/>
        </w:rPr>
        <w:t> </w:t>
      </w:r>
      <w:r>
        <w:rPr/>
        <w:t>年</w:t>
      </w:r>
      <w:r>
        <w:rPr>
          <w:spacing w:val="-59"/>
        </w:rPr>
        <w:t> </w:t>
      </w:r>
      <w:r>
        <w:rPr>
          <w:rFonts w:ascii="Arial" w:hAnsi="Arial" w:cs="Arial" w:eastAsia="Arial" w:hint="default"/>
        </w:rPr>
        <w:t>10</w:t>
      </w:r>
      <w:r>
        <w:rPr>
          <w:rFonts w:ascii="Arial" w:hAnsi="Arial" w:cs="Arial" w:eastAsia="Arial" w:hint="default"/>
          <w:spacing w:val="-10"/>
        </w:rPr>
        <w:t> </w:t>
      </w:r>
      <w:r>
        <w:rPr/>
        <w:t>月担任原吉林省电信公司及吉林</w:t>
      </w:r>
    </w:p>
    <w:p>
      <w:pPr>
        <w:pStyle w:val="BodyText"/>
        <w:spacing w:line="266" w:lineRule="exact"/>
        <w:ind w:left="568" w:right="91"/>
        <w:jc w:val="left"/>
      </w:pPr>
      <w:r>
        <w:rPr/>
        <w:t>省通信公司副总经理。</w:t>
      </w:r>
      <w:r>
        <w:rPr>
          <w:rFonts w:ascii="Arial" w:hAnsi="Arial" w:cs="Arial" w:eastAsia="Arial" w:hint="default"/>
        </w:rPr>
        <w:t>2003</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月至</w:t>
      </w:r>
      <w:r>
        <w:rPr>
          <w:spacing w:val="-57"/>
        </w:rPr>
        <w:t> </w:t>
      </w:r>
      <w:r>
        <w:rPr>
          <w:rFonts w:ascii="Arial" w:hAnsi="Arial" w:cs="Arial" w:eastAsia="Arial" w:hint="default"/>
        </w:rPr>
        <w:t>2005</w:t>
      </w:r>
      <w:r>
        <w:rPr>
          <w:rFonts w:ascii="Arial" w:hAnsi="Arial" w:cs="Arial" w:eastAsia="Arial" w:hint="default"/>
          <w:spacing w:val="-8"/>
        </w:rPr>
        <w:t> </w:t>
      </w:r>
      <w:r>
        <w:rPr/>
        <w:t>年</w:t>
      </w:r>
      <w:r>
        <w:rPr>
          <w:spacing w:val="-57"/>
        </w:rPr>
        <w:t> </w:t>
      </w:r>
      <w:r>
        <w:rPr>
          <w:rFonts w:ascii="Arial" w:hAnsi="Arial" w:cs="Arial" w:eastAsia="Arial" w:hint="default"/>
        </w:rPr>
        <w:t>8</w:t>
      </w:r>
      <w:r>
        <w:rPr>
          <w:rFonts w:ascii="Arial" w:hAnsi="Arial" w:cs="Arial" w:eastAsia="Arial" w:hint="default"/>
          <w:spacing w:val="-8"/>
        </w:rPr>
        <w:t> </w:t>
      </w:r>
      <w:r>
        <w:rPr/>
        <w:t>月担任中国网络通信集团公司（“网通集</w:t>
      </w:r>
    </w:p>
    <w:p>
      <w:pPr>
        <w:pStyle w:val="BodyText"/>
        <w:spacing w:line="286" w:lineRule="exact"/>
        <w:ind w:left="568" w:right="91"/>
        <w:jc w:val="left"/>
      </w:pPr>
      <w:r>
        <w:rPr/>
        <w:t>团”）财务部总经理，并自</w:t>
      </w:r>
      <w:r>
        <w:rPr>
          <w:spacing w:val="-56"/>
        </w:rPr>
        <w:t> </w:t>
      </w:r>
      <w:r>
        <w:rPr>
          <w:rFonts w:ascii="Arial" w:hAnsi="Arial" w:cs="Arial" w:eastAsia="Arial" w:hint="default"/>
        </w:rPr>
        <w:t>2005</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月起任网通集团总会计师。</w:t>
      </w:r>
      <w:r>
        <w:rPr>
          <w:rFonts w:ascii="Arial" w:hAnsi="Arial" w:cs="Arial" w:eastAsia="Arial" w:hint="default"/>
        </w:rPr>
        <w:t>2005</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月起担任中国</w:t>
      </w:r>
    </w:p>
    <w:p>
      <w:pPr>
        <w:pStyle w:val="BodyText"/>
        <w:spacing w:line="285" w:lineRule="exact"/>
        <w:ind w:left="568" w:right="91"/>
        <w:jc w:val="left"/>
      </w:pPr>
      <w:r>
        <w:rPr>
          <w:spacing w:val="-4"/>
        </w:rPr>
        <w:t>网通集团（香港）有限公司（“中国网通”）首席财务官，并自</w:t>
      </w:r>
      <w:r>
        <w:rPr>
          <w:spacing w:val="-54"/>
        </w:rPr>
        <w:t> </w:t>
      </w:r>
      <w:r>
        <w:rPr>
          <w:rFonts w:ascii="Arial" w:hAnsi="Arial" w:cs="Arial" w:eastAsia="Arial" w:hint="default"/>
        </w:rPr>
        <w:t>2007</w:t>
      </w:r>
      <w:r>
        <w:rPr>
          <w:rFonts w:ascii="Arial" w:hAnsi="Arial" w:cs="Arial" w:eastAsia="Arial" w:hint="default"/>
          <w:spacing w:val="-5"/>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月起任中国网通执</w:t>
      </w:r>
    </w:p>
    <w:p>
      <w:pPr>
        <w:pStyle w:val="BodyText"/>
        <w:spacing w:line="285" w:lineRule="exact"/>
        <w:ind w:left="568" w:right="91"/>
        <w:jc w:val="left"/>
      </w:pPr>
      <w:r>
        <w:rPr/>
        <w:t>行董事。自</w:t>
      </w:r>
      <w:r>
        <w:rPr>
          <w:spacing w:val="-55"/>
        </w:rPr>
        <w:t> </w:t>
      </w:r>
      <w:r>
        <w:rPr>
          <w:rFonts w:ascii="Arial" w:hAnsi="Arial" w:cs="Arial" w:eastAsia="Arial" w:hint="default"/>
        </w:rPr>
        <w:t>2006</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月至</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月，担任中国网通联席公司秘书。自</w:t>
      </w:r>
      <w:r>
        <w:rPr>
          <w:spacing w:val="-56"/>
        </w:rPr>
        <w:t> </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月起</w:t>
      </w:r>
    </w:p>
    <w:p>
      <w:pPr>
        <w:pStyle w:val="BodyText"/>
        <w:spacing w:line="286" w:lineRule="exact"/>
        <w:ind w:left="568" w:right="91"/>
        <w:jc w:val="left"/>
      </w:pPr>
      <w:r>
        <w:rPr>
          <w:spacing w:val="-3"/>
        </w:rPr>
        <w:t>亦担任香港电讯盈科有限公司非执行董事。自</w:t>
      </w:r>
      <w:r>
        <w:rPr>
          <w:spacing w:val="-55"/>
        </w:rPr>
        <w:t> </w:t>
      </w:r>
      <w:r>
        <w:rPr>
          <w:rFonts w:ascii="Arial" w:hAnsi="Arial" w:cs="Arial" w:eastAsia="Arial" w:hint="default"/>
        </w:rPr>
        <w:t>2009</w:t>
      </w:r>
      <w:r>
        <w:rPr>
          <w:rFonts w:ascii="Arial" w:hAnsi="Arial" w:cs="Arial" w:eastAsia="Arial" w:hint="default"/>
          <w:spacing w:val="-6"/>
        </w:rPr>
        <w:t> </w:t>
      </w:r>
      <w:r>
        <w:rPr/>
        <w:t>年</w:t>
      </w:r>
      <w:r>
        <w:rPr>
          <w:spacing w:val="-55"/>
        </w:rPr>
        <w:t> </w:t>
      </w:r>
      <w:r>
        <w:rPr>
          <w:rFonts w:ascii="Arial" w:hAnsi="Arial" w:cs="Arial" w:eastAsia="Arial" w:hint="default"/>
        </w:rPr>
        <w:t>2</w:t>
      </w:r>
      <w:r>
        <w:rPr>
          <w:rFonts w:ascii="Arial" w:hAnsi="Arial" w:cs="Arial" w:eastAsia="Arial" w:hint="default"/>
          <w:spacing w:val="-6"/>
        </w:rPr>
        <w:t> </w:t>
      </w:r>
      <w:r>
        <w:rPr/>
        <w:t>月至</w:t>
      </w:r>
      <w:r>
        <w:rPr>
          <w:spacing w:val="-55"/>
        </w:rPr>
        <w:t> </w:t>
      </w:r>
      <w:r>
        <w:rPr>
          <w:rFonts w:ascii="Arial" w:hAnsi="Arial" w:cs="Arial" w:eastAsia="Arial" w:hint="default"/>
        </w:rPr>
        <w:t>2011</w:t>
      </w:r>
      <w:r>
        <w:rPr>
          <w:rFonts w:ascii="Arial" w:hAnsi="Arial" w:cs="Arial" w:eastAsia="Arial" w:hint="default"/>
          <w:spacing w:val="-6"/>
        </w:rPr>
        <w:t> </w:t>
      </w:r>
      <w:r>
        <w:rPr/>
        <w:t>年</w:t>
      </w:r>
      <w:r>
        <w:rPr>
          <w:spacing w:val="-55"/>
        </w:rPr>
        <w:t> </w:t>
      </w:r>
      <w:r>
        <w:rPr>
          <w:rFonts w:ascii="Arial" w:hAnsi="Arial" w:cs="Arial" w:eastAsia="Arial" w:hint="default"/>
        </w:rPr>
        <w:t>3</w:t>
      </w:r>
      <w:r>
        <w:rPr>
          <w:rFonts w:ascii="Arial" w:hAnsi="Arial" w:cs="Arial" w:eastAsia="Arial" w:hint="default"/>
          <w:spacing w:val="-6"/>
        </w:rPr>
        <w:t> </w:t>
      </w:r>
      <w:r>
        <w:rPr/>
        <w:t>月担任联通红筹公司</w:t>
      </w:r>
    </w:p>
    <w:p>
      <w:pPr>
        <w:pStyle w:val="BodyText"/>
        <w:spacing w:line="225" w:lineRule="auto" w:before="6"/>
        <w:ind w:left="568" w:right="214"/>
        <w:jc w:val="both"/>
      </w:pPr>
      <w:r>
        <w:rPr>
          <w:spacing w:val="-7"/>
        </w:rPr>
        <w:t>高级副总裁。于</w:t>
      </w:r>
      <w:r>
        <w:rPr>
          <w:spacing w:val="-68"/>
        </w:rPr>
        <w:t> </w:t>
      </w:r>
      <w:r>
        <w:rPr>
          <w:rFonts w:ascii="Arial" w:hAnsi="Arial" w:cs="Arial" w:eastAsia="Arial" w:hint="default"/>
        </w:rPr>
        <w:t>2011</w:t>
      </w:r>
      <w:r>
        <w:rPr>
          <w:rFonts w:ascii="Arial" w:hAnsi="Arial" w:cs="Arial" w:eastAsia="Arial" w:hint="default"/>
          <w:spacing w:val="-19"/>
        </w:rPr>
        <w:t> </w:t>
      </w:r>
      <w:r>
        <w:rPr/>
        <w:t>年</w:t>
      </w:r>
      <w:r>
        <w:rPr>
          <w:spacing w:val="-68"/>
        </w:rPr>
        <w:t> </w:t>
      </w:r>
      <w:r>
        <w:rPr>
          <w:rFonts w:ascii="Arial" w:hAnsi="Arial" w:cs="Arial" w:eastAsia="Arial" w:hint="default"/>
        </w:rPr>
        <w:t>3</w:t>
      </w:r>
      <w:r>
        <w:rPr>
          <w:rFonts w:ascii="Arial" w:hAnsi="Arial" w:cs="Arial" w:eastAsia="Arial" w:hint="default"/>
          <w:spacing w:val="-19"/>
        </w:rPr>
        <w:t> </w:t>
      </w:r>
      <w:r>
        <w:rPr/>
        <w:t>月起担任联通红筹公司执行董事兼首席财务官。李先生目前还担任</w:t>
      </w:r>
      <w:r>
        <w:rPr>
          <w:w w:val="99"/>
        </w:rPr>
        <w:t> </w:t>
      </w:r>
      <w:r>
        <w:rPr/>
        <w:t>联通集团董事、副总经理兼总会计师，联通运营公司董事及高级副总裁。</w:t>
      </w:r>
      <w:r>
        <w:rPr>
          <w:rFonts w:ascii="Arial" w:hAnsi="Arial" w:cs="Arial" w:eastAsia="Arial" w:hint="default"/>
        </w:rPr>
        <w:t>2011</w:t>
      </w:r>
      <w:r>
        <w:rPr>
          <w:rFonts w:ascii="Arial" w:hAnsi="Arial" w:cs="Arial" w:eastAsia="Arial" w:hint="default"/>
          <w:spacing w:val="-22"/>
        </w:rPr>
        <w:t> </w:t>
      </w:r>
      <w:r>
        <w:rPr/>
        <w:t>年</w:t>
      </w:r>
      <w:r>
        <w:rPr>
          <w:spacing w:val="-71"/>
        </w:rPr>
        <w:t> </w:t>
      </w:r>
      <w:r>
        <w:rPr>
          <w:rFonts w:ascii="Arial" w:hAnsi="Arial" w:cs="Arial" w:eastAsia="Arial" w:hint="default"/>
        </w:rPr>
        <w:t>5</w:t>
      </w:r>
      <w:r>
        <w:rPr>
          <w:rFonts w:ascii="Arial" w:hAnsi="Arial" w:cs="Arial" w:eastAsia="Arial" w:hint="default"/>
          <w:spacing w:val="-22"/>
        </w:rPr>
        <w:t> </w:t>
      </w:r>
      <w:r>
        <w:rPr/>
        <w:t>月起任本</w:t>
      </w:r>
      <w:r>
        <w:rPr>
          <w:w w:val="99"/>
        </w:rPr>
        <w:t> </w:t>
      </w:r>
      <w:r>
        <w:rPr/>
        <w:t>公司董事。李先生长期在电信行业工作，具有丰富的管理经验。</w:t>
      </w:r>
    </w:p>
    <w:p>
      <w:pPr>
        <w:spacing w:line="240" w:lineRule="auto" w:before="4"/>
        <w:rPr>
          <w:rFonts w:ascii="宋体" w:hAnsi="宋体" w:cs="宋体" w:eastAsia="宋体" w:hint="default"/>
          <w:sz w:val="19"/>
          <w:szCs w:val="19"/>
        </w:rPr>
      </w:pPr>
    </w:p>
    <w:p>
      <w:pPr>
        <w:pStyle w:val="BodyText"/>
        <w:spacing w:line="295" w:lineRule="exact"/>
        <w:ind w:left="145" w:right="91"/>
        <w:jc w:val="left"/>
      </w:pPr>
      <w:r>
        <w:rPr>
          <w:rFonts w:ascii="Arial" w:hAnsi="Arial" w:cs="Arial" w:eastAsia="Arial" w:hint="default"/>
        </w:rPr>
        <w:t>(5) </w:t>
      </w:r>
      <w:r>
        <w:rPr>
          <w:rFonts w:ascii="Arial" w:hAnsi="Arial" w:cs="Arial" w:eastAsia="Arial" w:hint="default"/>
          <w:spacing w:val="24"/>
        </w:rPr>
        <w:t> </w:t>
      </w:r>
      <w:r>
        <w:rPr/>
        <w:t>刘彩：</w:t>
      </w:r>
    </w:p>
    <w:p>
      <w:pPr>
        <w:pStyle w:val="BodyText"/>
        <w:spacing w:line="286" w:lineRule="exact" w:before="19"/>
        <w:ind w:left="568" w:right="200"/>
        <w:jc w:val="left"/>
        <w:rPr>
          <w:rFonts w:ascii="Arial" w:hAnsi="Arial" w:cs="Arial" w:eastAsia="Arial" w:hint="default"/>
        </w:rPr>
      </w:pPr>
      <w:r>
        <w:rPr/>
        <w:t>刘彩先生为教授级高级工程师，</w:t>
      </w:r>
      <w:r>
        <w:rPr>
          <w:rFonts w:ascii="Arial" w:hAnsi="Arial" w:cs="Arial" w:eastAsia="Arial" w:hint="default"/>
        </w:rPr>
        <w:t>1963</w:t>
      </w:r>
      <w:r>
        <w:rPr>
          <w:rFonts w:ascii="Arial" w:hAnsi="Arial" w:cs="Arial" w:eastAsia="Arial" w:hint="default"/>
          <w:spacing w:val="-39"/>
        </w:rPr>
        <w:t> </w:t>
      </w:r>
      <w:r>
        <w:rPr/>
        <w:t>年毕业于北京邮电学院（现北京邮电大学），主修通信</w:t>
      </w:r>
      <w:r>
        <w:rPr>
          <w:w w:val="99"/>
        </w:rPr>
        <w:t> </w:t>
      </w:r>
      <w:r>
        <w:rPr/>
        <w:t>工程。</w:t>
      </w:r>
      <w:r>
        <w:rPr>
          <w:rFonts w:ascii="Arial" w:hAnsi="Arial" w:cs="Arial" w:eastAsia="Arial" w:hint="default"/>
        </w:rPr>
        <w:t>1963</w:t>
      </w:r>
      <w:r>
        <w:rPr>
          <w:rFonts w:ascii="Arial" w:hAnsi="Arial" w:cs="Arial" w:eastAsia="Arial" w:hint="default"/>
          <w:spacing w:val="-7"/>
        </w:rPr>
        <w:t> </w:t>
      </w:r>
      <w:r>
        <w:rPr/>
        <w:t>年至</w:t>
      </w:r>
      <w:r>
        <w:rPr>
          <w:spacing w:val="-57"/>
        </w:rPr>
        <w:t> </w:t>
      </w:r>
      <w:r>
        <w:rPr>
          <w:rFonts w:ascii="Arial" w:hAnsi="Arial" w:cs="Arial" w:eastAsia="Arial" w:hint="default"/>
        </w:rPr>
        <w:t>1988</w:t>
      </w:r>
      <w:r>
        <w:rPr>
          <w:rFonts w:ascii="Arial" w:hAnsi="Arial" w:cs="Arial" w:eastAsia="Arial" w:hint="default"/>
          <w:spacing w:val="-8"/>
        </w:rPr>
        <w:t> </w:t>
      </w:r>
      <w:r>
        <w:rPr/>
        <w:t>年在邮电科学研究院任技术员、工程师、高级工程师。其间于</w:t>
      </w:r>
      <w:r>
        <w:rPr>
          <w:spacing w:val="-57"/>
        </w:rPr>
        <w:t> </w:t>
      </w:r>
      <w:r>
        <w:rPr>
          <w:rFonts w:ascii="Arial" w:hAnsi="Arial" w:cs="Arial" w:eastAsia="Arial" w:hint="default"/>
        </w:rPr>
        <w:t>1984</w:t>
      </w:r>
    </w:p>
    <w:p>
      <w:pPr>
        <w:pStyle w:val="BodyText"/>
        <w:spacing w:line="265" w:lineRule="exact"/>
        <w:ind w:left="568" w:right="91"/>
        <w:jc w:val="left"/>
        <w:rPr>
          <w:rFonts w:ascii="Arial" w:hAnsi="Arial" w:cs="Arial" w:eastAsia="Arial" w:hint="default"/>
        </w:rPr>
      </w:pPr>
      <w:r>
        <w:rPr/>
        <w:t>年至</w:t>
      </w:r>
      <w:r>
        <w:rPr>
          <w:spacing w:val="-57"/>
        </w:rPr>
        <w:t> </w:t>
      </w:r>
      <w:r>
        <w:rPr>
          <w:rFonts w:ascii="Arial" w:hAnsi="Arial" w:cs="Arial" w:eastAsia="Arial" w:hint="default"/>
        </w:rPr>
        <w:t>1986</w:t>
      </w:r>
      <w:r>
        <w:rPr>
          <w:rFonts w:ascii="Arial" w:hAnsi="Arial" w:cs="Arial" w:eastAsia="Arial" w:hint="default"/>
          <w:spacing w:val="-8"/>
        </w:rPr>
        <w:t> </w:t>
      </w:r>
      <w:r>
        <w:rPr/>
        <w:t>年、</w:t>
      </w:r>
      <w:r>
        <w:rPr>
          <w:rFonts w:ascii="Arial" w:hAnsi="Arial" w:cs="Arial" w:eastAsia="Arial" w:hint="default"/>
        </w:rPr>
        <w:t>1988</w:t>
      </w:r>
      <w:r>
        <w:rPr>
          <w:rFonts w:ascii="Arial" w:hAnsi="Arial" w:cs="Arial" w:eastAsia="Arial" w:hint="default"/>
          <w:spacing w:val="-8"/>
        </w:rPr>
        <w:t> </w:t>
      </w:r>
      <w:r>
        <w:rPr/>
        <w:t>年至</w:t>
      </w:r>
      <w:r>
        <w:rPr>
          <w:spacing w:val="-57"/>
        </w:rPr>
        <w:t> </w:t>
      </w:r>
      <w:r>
        <w:rPr>
          <w:rFonts w:ascii="Arial" w:hAnsi="Arial" w:cs="Arial" w:eastAsia="Arial" w:hint="default"/>
        </w:rPr>
        <w:t>1989</w:t>
      </w:r>
      <w:r>
        <w:rPr>
          <w:rFonts w:ascii="Arial" w:hAnsi="Arial" w:cs="Arial" w:eastAsia="Arial" w:hint="default"/>
          <w:spacing w:val="-8"/>
        </w:rPr>
        <w:t> </w:t>
      </w:r>
      <w:r>
        <w:rPr/>
        <w:t>年先后被选派比利时和美国进修经济管理。</w:t>
      </w:r>
      <w:r>
        <w:rPr>
          <w:rFonts w:ascii="Arial" w:hAnsi="Arial" w:cs="Arial" w:eastAsia="Arial" w:hint="default"/>
        </w:rPr>
        <w:t>1986</w:t>
      </w:r>
      <w:r>
        <w:rPr>
          <w:rFonts w:ascii="Arial" w:hAnsi="Arial" w:cs="Arial" w:eastAsia="Arial" w:hint="default"/>
          <w:spacing w:val="-7"/>
        </w:rPr>
        <w:t> </w:t>
      </w:r>
      <w:r>
        <w:rPr/>
        <w:t>年至</w:t>
      </w:r>
      <w:r>
        <w:rPr>
          <w:spacing w:val="-57"/>
        </w:rPr>
        <w:t> </w:t>
      </w:r>
      <w:r>
        <w:rPr>
          <w:rFonts w:ascii="Arial" w:hAnsi="Arial" w:cs="Arial" w:eastAsia="Arial" w:hint="default"/>
        </w:rPr>
        <w:t>1988</w:t>
      </w:r>
    </w:p>
    <w:p>
      <w:pPr>
        <w:pStyle w:val="BodyText"/>
        <w:spacing w:line="232" w:lineRule="auto"/>
        <w:ind w:left="567" w:right="208"/>
        <w:jc w:val="left"/>
      </w:pPr>
      <w:r>
        <w:rPr/>
        <w:t>年</w:t>
      </w:r>
      <w:r>
        <w:rPr>
          <w:spacing w:val="-52"/>
        </w:rPr>
        <w:t> </w:t>
      </w:r>
      <w:r>
        <w:rPr>
          <w:rFonts w:ascii="Arial" w:hAnsi="Arial" w:cs="Arial" w:eastAsia="Arial" w:hint="default"/>
        </w:rPr>
        <w:t>12</w:t>
      </w:r>
      <w:r>
        <w:rPr>
          <w:rFonts w:ascii="Arial" w:hAnsi="Arial" w:cs="Arial" w:eastAsia="Arial" w:hint="default"/>
          <w:spacing w:val="-3"/>
        </w:rPr>
        <w:t> </w:t>
      </w:r>
      <w:r>
        <w:rPr>
          <w:spacing w:val="-3"/>
        </w:rPr>
        <w:t>月任邮电部经济技术发展研究中心副主任。</w:t>
      </w:r>
      <w:r>
        <w:rPr>
          <w:rFonts w:ascii="Arial" w:hAnsi="Arial" w:cs="Arial" w:eastAsia="Arial" w:hint="default"/>
          <w:spacing w:val="-3"/>
        </w:rPr>
        <w:t>1988 </w:t>
      </w:r>
      <w:r>
        <w:rPr/>
        <w:t>年至</w:t>
      </w:r>
      <w:r>
        <w:rPr>
          <w:spacing w:val="-52"/>
        </w:rPr>
        <w:t> </w:t>
      </w:r>
      <w:r>
        <w:rPr>
          <w:rFonts w:ascii="Arial" w:hAnsi="Arial" w:cs="Arial" w:eastAsia="Arial" w:hint="default"/>
        </w:rPr>
        <w:t>2001</w:t>
      </w:r>
      <w:r>
        <w:rPr>
          <w:rFonts w:ascii="Arial" w:hAnsi="Arial" w:cs="Arial" w:eastAsia="Arial" w:hint="default"/>
          <w:spacing w:val="-3"/>
        </w:rPr>
        <w:t> </w:t>
      </w:r>
      <w:r>
        <w:rPr>
          <w:spacing w:val="-5"/>
        </w:rPr>
        <w:t>年先后任邮电部、信息产业</w:t>
      </w:r>
      <w:r>
        <w:rPr>
          <w:w w:val="99"/>
        </w:rPr>
        <w:t> </w:t>
      </w:r>
      <w:r>
        <w:rPr/>
        <w:t>部政策法规司副司长、司长，负责研究制定通信政策；起草电信改革方案、企业重组方案；</w:t>
      </w:r>
      <w:r>
        <w:rPr>
          <w:w w:val="99"/>
        </w:rPr>
        <w:t> </w:t>
      </w:r>
      <w:r>
        <w:rPr>
          <w:spacing w:val="-4"/>
        </w:rPr>
        <w:t>起草《中华人民共和国电信条例》；作为电信谈判首席代表，参加我国加入</w:t>
      </w:r>
      <w:r>
        <w:rPr>
          <w:spacing w:val="-55"/>
        </w:rPr>
        <w:t> </w:t>
      </w:r>
      <w:r>
        <w:rPr>
          <w:rFonts w:ascii="Arial" w:hAnsi="Arial" w:cs="Arial" w:eastAsia="Arial" w:hint="default"/>
        </w:rPr>
        <w:t>WTO</w:t>
      </w:r>
      <w:r>
        <w:rPr>
          <w:rFonts w:ascii="Arial" w:hAnsi="Arial" w:cs="Arial" w:eastAsia="Arial" w:hint="default"/>
          <w:spacing w:val="-7"/>
        </w:rPr>
        <w:t> </w:t>
      </w:r>
      <w:r>
        <w:rPr>
          <w:spacing w:val="-5"/>
        </w:rPr>
        <w:t>谈判。</w:t>
      </w:r>
      <w:r>
        <w:rPr>
          <w:rFonts w:ascii="Arial" w:hAnsi="Arial" w:cs="Arial" w:eastAsia="Arial" w:hint="default"/>
          <w:spacing w:val="-5"/>
        </w:rPr>
        <w:t>2001</w:t>
      </w:r>
      <w:r>
        <w:rPr>
          <w:rFonts w:ascii="Arial" w:hAnsi="Arial" w:cs="Arial" w:eastAsia="Arial" w:hint="default"/>
          <w:w w:val="99"/>
        </w:rPr>
        <w:t> </w:t>
      </w:r>
      <w:r>
        <w:rPr/>
        <w:t>年后任中国通信学会副理事长，中国科协第六、第七届全委会委员，电信法起草专家咨询委</w:t>
      </w:r>
      <w:r>
        <w:rPr>
          <w:w w:val="99"/>
        </w:rPr>
        <w:t> </w:t>
      </w:r>
      <w:r>
        <w:rPr/>
        <w:t>员会主任委员。</w:t>
      </w:r>
      <w:r>
        <w:rPr>
          <w:rFonts w:ascii="Arial" w:hAnsi="Arial" w:cs="Arial" w:eastAsia="Arial" w:hint="default"/>
        </w:rPr>
        <w:t>2006</w:t>
      </w:r>
      <w:r>
        <w:rPr>
          <w:rFonts w:ascii="Arial" w:hAnsi="Arial" w:cs="Arial" w:eastAsia="Arial" w:hint="default"/>
          <w:spacing w:val="-9"/>
        </w:rPr>
        <w:t> </w:t>
      </w:r>
      <w:r>
        <w:rPr/>
        <w:t>年代表中国担任联合国信息与通信技术促进发展全球联盟（</w:t>
      </w:r>
      <w:r>
        <w:rPr>
          <w:rFonts w:ascii="Arial" w:hAnsi="Arial" w:cs="Arial" w:eastAsia="Arial" w:hint="default"/>
        </w:rPr>
        <w:t>GAID</w:t>
      </w:r>
      <w:r>
        <w:rPr/>
        <w:t>）第</w:t>
      </w:r>
      <w:r>
        <w:rPr>
          <w:w w:val="99"/>
        </w:rPr>
        <w:t> </w:t>
      </w:r>
      <w:r>
        <w:rPr/>
        <w:t>一届战略理事会理事。目前担任中国通信学会副理事长、香港京信通信系统公司独立非执行</w:t>
      </w:r>
      <w:r>
        <w:rPr>
          <w:w w:val="99"/>
        </w:rPr>
        <w:t> </w:t>
      </w:r>
      <w:r>
        <w:rPr/>
        <w:t>董事。刘彩先生自</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月起担任本公司独立董事。</w:t>
      </w:r>
    </w:p>
    <w:p>
      <w:pPr>
        <w:spacing w:line="240" w:lineRule="auto" w:before="13"/>
        <w:rPr>
          <w:rFonts w:ascii="宋体" w:hAnsi="宋体" w:cs="宋体" w:eastAsia="宋体" w:hint="default"/>
          <w:sz w:val="17"/>
          <w:szCs w:val="17"/>
        </w:rPr>
      </w:pPr>
    </w:p>
    <w:p>
      <w:pPr>
        <w:pStyle w:val="BodyText"/>
        <w:spacing w:line="295" w:lineRule="exact"/>
        <w:ind w:left="145" w:right="91"/>
        <w:jc w:val="left"/>
      </w:pPr>
      <w:r>
        <w:rPr>
          <w:rFonts w:ascii="Arial" w:hAnsi="Arial" w:cs="Arial" w:eastAsia="Arial" w:hint="default"/>
        </w:rPr>
        <w:t>(6) </w:t>
      </w:r>
      <w:r>
        <w:rPr>
          <w:rFonts w:ascii="Arial" w:hAnsi="Arial" w:cs="Arial" w:eastAsia="Arial" w:hint="default"/>
          <w:spacing w:val="23"/>
        </w:rPr>
        <w:t> </w:t>
      </w:r>
      <w:r>
        <w:rPr/>
        <w:t>赵纯均：</w:t>
      </w:r>
    </w:p>
    <w:p>
      <w:pPr>
        <w:pStyle w:val="BodyText"/>
        <w:spacing w:line="286" w:lineRule="exact"/>
        <w:ind w:left="567" w:right="91"/>
        <w:jc w:val="left"/>
      </w:pPr>
      <w:r>
        <w:rPr/>
        <w:t>赵纯均先生</w:t>
      </w:r>
      <w:r>
        <w:rPr>
          <w:spacing w:val="-56"/>
        </w:rPr>
        <w:t> </w:t>
      </w:r>
      <w:r>
        <w:rPr>
          <w:rFonts w:ascii="Arial" w:hAnsi="Arial" w:cs="Arial" w:eastAsia="Arial" w:hint="default"/>
        </w:rPr>
        <w:t>1965</w:t>
      </w:r>
      <w:r>
        <w:rPr>
          <w:rFonts w:ascii="Arial" w:hAnsi="Arial" w:cs="Arial" w:eastAsia="Arial" w:hint="default"/>
          <w:spacing w:val="-8"/>
        </w:rPr>
        <w:t> </w:t>
      </w:r>
      <w:r>
        <w:rPr/>
        <w:t>年</w:t>
      </w:r>
      <w:r>
        <w:rPr>
          <w:spacing w:val="-57"/>
        </w:rPr>
        <w:t> </w:t>
      </w:r>
      <w:r>
        <w:rPr>
          <w:rFonts w:ascii="Arial" w:hAnsi="Arial" w:cs="Arial" w:eastAsia="Arial" w:hint="default"/>
        </w:rPr>
        <w:t>7</w:t>
      </w:r>
      <w:r>
        <w:rPr>
          <w:rFonts w:ascii="Arial" w:hAnsi="Arial" w:cs="Arial" w:eastAsia="Arial" w:hint="default"/>
          <w:spacing w:val="-8"/>
        </w:rPr>
        <w:t> </w:t>
      </w:r>
      <w:r>
        <w:rPr/>
        <w:t>月于清华大学电机系工业企业电气化与自动化本科毕业。</w:t>
      </w:r>
      <w:r>
        <w:rPr>
          <w:rFonts w:ascii="Arial" w:hAnsi="Arial" w:cs="Arial" w:eastAsia="Arial" w:hint="default"/>
        </w:rPr>
        <w:t>1965</w:t>
      </w:r>
      <w:r>
        <w:rPr>
          <w:rFonts w:ascii="Arial" w:hAnsi="Arial" w:cs="Arial" w:eastAsia="Arial" w:hint="default"/>
          <w:spacing w:val="-8"/>
        </w:rPr>
        <w:t> </w:t>
      </w:r>
      <w:r>
        <w:rPr/>
        <w:t>年</w:t>
      </w:r>
      <w:r>
        <w:rPr>
          <w:spacing w:val="-57"/>
        </w:rPr>
        <w:t> </w:t>
      </w:r>
      <w:r>
        <w:rPr>
          <w:rFonts w:ascii="Arial" w:hAnsi="Arial" w:cs="Arial" w:eastAsia="Arial" w:hint="default"/>
        </w:rPr>
        <w:t>9</w:t>
      </w:r>
      <w:r>
        <w:rPr>
          <w:rFonts w:ascii="Arial" w:hAnsi="Arial" w:cs="Arial" w:eastAsia="Arial" w:hint="default"/>
          <w:spacing w:val="-8"/>
        </w:rPr>
        <w:t> </w:t>
      </w:r>
      <w:r>
        <w:rPr/>
        <w:t>月</w:t>
      </w:r>
    </w:p>
    <w:p>
      <w:pPr>
        <w:pStyle w:val="BodyText"/>
        <w:spacing w:line="225" w:lineRule="auto" w:before="6"/>
        <w:ind w:left="567" w:right="259"/>
        <w:jc w:val="both"/>
      </w:pPr>
      <w:r>
        <w:rPr/>
        <w:t>起先后在清华大学绵阳分校、清华大学自动化系任教，</w:t>
      </w:r>
      <w:r>
        <w:rPr>
          <w:rFonts w:ascii="Arial" w:hAnsi="Arial" w:cs="Arial" w:eastAsia="Arial" w:hint="default"/>
        </w:rPr>
        <w:t>1984</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月至</w:t>
      </w:r>
      <w:r>
        <w:rPr>
          <w:spacing w:val="-56"/>
        </w:rPr>
        <w:t> </w:t>
      </w:r>
      <w:r>
        <w:rPr>
          <w:rFonts w:ascii="Arial" w:hAnsi="Arial" w:cs="Arial" w:eastAsia="Arial" w:hint="default"/>
        </w:rPr>
        <w:t>1986</w:t>
      </w:r>
      <w:r>
        <w:rPr>
          <w:rFonts w:ascii="Arial" w:hAnsi="Arial" w:cs="Arial" w:eastAsia="Arial" w:hint="default"/>
          <w:spacing w:val="-7"/>
        </w:rPr>
        <w:t> </w:t>
      </w:r>
      <w:r>
        <w:rPr/>
        <w:t>年</w:t>
      </w:r>
      <w:r>
        <w:rPr>
          <w:spacing w:val="-56"/>
        </w:rPr>
        <w:t> </w:t>
      </w:r>
      <w:r>
        <w:rPr>
          <w:rFonts w:ascii="Arial" w:hAnsi="Arial" w:cs="Arial" w:eastAsia="Arial" w:hint="default"/>
        </w:rPr>
        <w:t>2</w:t>
      </w:r>
      <w:r>
        <w:rPr>
          <w:rFonts w:ascii="Arial" w:hAnsi="Arial" w:cs="Arial" w:eastAsia="Arial" w:hint="default"/>
          <w:spacing w:val="-7"/>
        </w:rPr>
        <w:t> </w:t>
      </w:r>
      <w:r>
        <w:rPr/>
        <w:t>月奥地利</w:t>
      </w:r>
      <w:r>
        <w:rPr>
          <w:w w:val="99"/>
        </w:rPr>
        <w:t> </w:t>
      </w:r>
      <w:r>
        <w:rPr/>
        <w:t>国际应用系统分析研究所（</w:t>
      </w:r>
      <w:r>
        <w:rPr>
          <w:rFonts w:ascii="Arial" w:hAnsi="Arial" w:cs="Arial" w:eastAsia="Arial" w:hint="default"/>
        </w:rPr>
        <w:t>IIASA</w:t>
      </w:r>
      <w:r>
        <w:rPr/>
        <w:t>），做研究学者，</w:t>
      </w:r>
      <w:r>
        <w:rPr>
          <w:rFonts w:ascii="Arial" w:hAnsi="Arial" w:cs="Arial" w:eastAsia="Arial" w:hint="default"/>
        </w:rPr>
        <w:t>1986</w:t>
      </w:r>
      <w:r>
        <w:rPr>
          <w:rFonts w:ascii="Arial" w:hAnsi="Arial" w:cs="Arial" w:eastAsia="Arial" w:hint="default"/>
          <w:spacing w:val="-8"/>
        </w:rPr>
        <w:t> </w:t>
      </w:r>
      <w:r>
        <w:rPr/>
        <w:t>年</w:t>
      </w:r>
      <w:r>
        <w:rPr>
          <w:spacing w:val="-57"/>
        </w:rPr>
        <w:t> </w:t>
      </w:r>
      <w:r>
        <w:rPr>
          <w:rFonts w:ascii="Arial" w:hAnsi="Arial" w:cs="Arial" w:eastAsia="Arial" w:hint="default"/>
        </w:rPr>
        <w:t>2</w:t>
      </w:r>
      <w:r>
        <w:rPr>
          <w:rFonts w:ascii="Arial" w:hAnsi="Arial" w:cs="Arial" w:eastAsia="Arial" w:hint="default"/>
          <w:spacing w:val="-8"/>
        </w:rPr>
        <w:t> </w:t>
      </w:r>
      <w:r>
        <w:rPr/>
        <w:t>月起先后任清华大学经济管理</w:t>
      </w:r>
      <w:r>
        <w:rPr>
          <w:w w:val="99"/>
        </w:rPr>
        <w:t> </w:t>
      </w:r>
      <w:r>
        <w:rPr/>
        <w:t>学院院长助理、系主任、常务</w:t>
      </w:r>
      <w:r>
        <w:rPr>
          <w:rFonts w:ascii="Arial" w:hAnsi="Arial" w:cs="Arial" w:eastAsia="Arial" w:hint="default"/>
        </w:rPr>
        <w:t>/</w:t>
      </w:r>
      <w:r>
        <w:rPr/>
        <w:t>第一副院长，</w:t>
      </w:r>
      <w:r>
        <w:rPr>
          <w:rFonts w:ascii="Arial" w:hAnsi="Arial" w:cs="Arial" w:eastAsia="Arial" w:hint="default"/>
        </w:rPr>
        <w:t>2001</w:t>
      </w:r>
      <w:r>
        <w:rPr>
          <w:rFonts w:ascii="Arial" w:hAnsi="Arial" w:cs="Arial" w:eastAsia="Arial" w:hint="default"/>
          <w:spacing w:val="-8"/>
        </w:rPr>
        <w:t> </w:t>
      </w:r>
      <w:r>
        <w:rPr/>
        <w:t>年</w:t>
      </w:r>
      <w:r>
        <w:rPr>
          <w:spacing w:val="-57"/>
        </w:rPr>
        <w:t> </w:t>
      </w:r>
      <w:r>
        <w:rPr>
          <w:rFonts w:ascii="Arial" w:hAnsi="Arial" w:cs="Arial" w:eastAsia="Arial" w:hint="default"/>
        </w:rPr>
        <w:t>6</w:t>
      </w:r>
      <w:r>
        <w:rPr>
          <w:rFonts w:ascii="Arial" w:hAnsi="Arial" w:cs="Arial" w:eastAsia="Arial" w:hint="default"/>
          <w:spacing w:val="-8"/>
        </w:rPr>
        <w:t> </w:t>
      </w:r>
      <w:r>
        <w:rPr/>
        <w:t>月至</w:t>
      </w:r>
      <w:r>
        <w:rPr>
          <w:spacing w:val="-57"/>
        </w:rPr>
        <w:t> </w:t>
      </w:r>
      <w:r>
        <w:rPr>
          <w:rFonts w:ascii="Arial" w:hAnsi="Arial" w:cs="Arial" w:eastAsia="Arial" w:hint="default"/>
        </w:rPr>
        <w:t>2005</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月清华大学经济管理</w:t>
      </w:r>
    </w:p>
    <w:p>
      <w:pPr>
        <w:pStyle w:val="BodyText"/>
        <w:spacing w:line="232" w:lineRule="auto"/>
        <w:ind w:left="568" w:right="93" w:hanging="1"/>
        <w:jc w:val="left"/>
      </w:pPr>
      <w:r>
        <w:rPr>
          <w:spacing w:val="-3"/>
        </w:rPr>
        <w:t>学院任院长。</w:t>
      </w:r>
      <w:r>
        <w:rPr>
          <w:rFonts w:ascii="Arial" w:hAnsi="Arial" w:cs="Arial" w:eastAsia="Arial" w:hint="default"/>
          <w:spacing w:val="-3"/>
        </w:rPr>
        <w:t>2005</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月至</w:t>
      </w:r>
      <w:r>
        <w:rPr>
          <w:spacing w:val="-55"/>
        </w:rPr>
        <w:t> </w:t>
      </w:r>
      <w:r>
        <w:rPr>
          <w:rFonts w:ascii="Arial" w:hAnsi="Arial" w:cs="Arial" w:eastAsia="Arial" w:hint="default"/>
        </w:rPr>
        <w:t>2009</w:t>
      </w:r>
      <w:r>
        <w:rPr>
          <w:rFonts w:ascii="Arial" w:hAnsi="Arial" w:cs="Arial" w:eastAsia="Arial" w:hint="default"/>
          <w:spacing w:val="-6"/>
        </w:rPr>
        <w:t> </w:t>
      </w:r>
      <w:r>
        <w:rPr/>
        <w:t>年</w:t>
      </w:r>
      <w:r>
        <w:rPr>
          <w:spacing w:val="-55"/>
        </w:rPr>
        <w:t> </w:t>
      </w:r>
      <w:r>
        <w:rPr>
          <w:rFonts w:ascii="Arial" w:hAnsi="Arial" w:cs="Arial" w:eastAsia="Arial" w:hint="default"/>
        </w:rPr>
        <w:t>4</w:t>
      </w:r>
      <w:r>
        <w:rPr>
          <w:rFonts w:ascii="Arial" w:hAnsi="Arial" w:cs="Arial" w:eastAsia="Arial" w:hint="default"/>
          <w:spacing w:val="-6"/>
        </w:rPr>
        <w:t> </w:t>
      </w:r>
      <w:r>
        <w:rPr>
          <w:spacing w:val="-3"/>
        </w:rPr>
        <w:t>月任清华大学经济管理学院教授、顾问。</w:t>
      </w:r>
      <w:r>
        <w:rPr>
          <w:rFonts w:ascii="Arial" w:hAnsi="Arial" w:cs="Arial" w:eastAsia="Arial" w:hint="default"/>
          <w:spacing w:val="-3"/>
        </w:rPr>
        <w:t>2005</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w w:val="99"/>
        </w:rPr>
        <w:t> </w:t>
      </w:r>
      <w:r>
        <w:rPr>
          <w:spacing w:val="-1"/>
        </w:rPr>
        <w:t>月至今，任清华大学经济管理学院顾问委员会委员，清华大学校务委员会、学术委员会委员，</w:t>
      </w:r>
      <w:r>
        <w:rPr>
          <w:spacing w:val="-108"/>
        </w:rPr>
        <w:t> </w:t>
      </w:r>
      <w:r>
        <w:rPr>
          <w:spacing w:val="-108"/>
        </w:rPr>
      </w:r>
      <w:r>
        <w:rPr/>
        <w:t>全国</w:t>
      </w:r>
      <w:r>
        <w:rPr>
          <w:spacing w:val="-74"/>
        </w:rPr>
        <w:t> </w:t>
      </w:r>
      <w:r>
        <w:rPr>
          <w:rFonts w:ascii="Arial" w:hAnsi="Arial" w:cs="Arial" w:eastAsia="Arial" w:hint="default"/>
        </w:rPr>
        <w:t>MBA</w:t>
      </w:r>
      <w:r>
        <w:rPr>
          <w:rFonts w:ascii="Arial" w:hAnsi="Arial" w:cs="Arial" w:eastAsia="Arial" w:hint="default"/>
          <w:spacing w:val="-24"/>
        </w:rPr>
        <w:t> </w:t>
      </w:r>
      <w:r>
        <w:rPr/>
        <w:t>教育指导委员会副主任、教育部社科委管理学部召集人。曾任大恒新纪元科技股份</w:t>
      </w:r>
      <w:r>
        <w:rPr>
          <w:w w:val="99"/>
        </w:rPr>
        <w:t> </w:t>
      </w:r>
      <w:r>
        <w:rPr/>
        <w:t>有限公司独立董事、清华同方股份有限公司监事长、中银国际基金管理有限公司独立董事。</w:t>
      </w:r>
      <w:r>
        <w:rPr>
          <w:w w:val="99"/>
        </w:rPr>
        <w:t> </w:t>
      </w:r>
      <w:r>
        <w:rPr/>
        <w:t>目前还兼任中国管理现代化研究会理事长、中国企业研究会副会长、中国工业经济联合会高</w:t>
      </w:r>
      <w:r>
        <w:rPr>
          <w:w w:val="99"/>
        </w:rPr>
        <w:t> </w:t>
      </w:r>
      <w:r>
        <w:rPr/>
        <w:t>级副会长、中国企业联合会常务理事，并担任中国通信服务股份有限公司独立董事、东方电</w:t>
      </w:r>
      <w:r>
        <w:rPr>
          <w:w w:val="99"/>
        </w:rPr>
        <w:t> </w:t>
      </w:r>
      <w:r>
        <w:rPr/>
        <w:t>气股份有限公司独立董事。赵纯均先生自</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月起担任本公司独立董事。</w:t>
      </w:r>
    </w:p>
    <w:p>
      <w:pPr>
        <w:spacing w:after="0" w:line="232" w:lineRule="auto"/>
        <w:jc w:val="left"/>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95" w:lineRule="exact" w:before="31"/>
        <w:ind w:left="145" w:right="91"/>
        <w:jc w:val="left"/>
      </w:pPr>
      <w:r>
        <w:rPr>
          <w:rFonts w:ascii="Arial" w:hAnsi="Arial" w:cs="Arial" w:eastAsia="Arial" w:hint="default"/>
        </w:rPr>
        <w:t>(7) </w:t>
      </w:r>
      <w:r>
        <w:rPr>
          <w:rFonts w:ascii="Arial" w:hAnsi="Arial" w:cs="Arial" w:eastAsia="Arial" w:hint="default"/>
          <w:spacing w:val="23"/>
        </w:rPr>
        <w:t> </w:t>
      </w:r>
      <w:r>
        <w:rPr/>
        <w:t>张英海：</w:t>
      </w:r>
    </w:p>
    <w:p>
      <w:pPr>
        <w:pStyle w:val="BodyText"/>
        <w:spacing w:line="228" w:lineRule="auto" w:before="4"/>
        <w:ind w:left="568" w:right="202"/>
        <w:jc w:val="left"/>
      </w:pPr>
      <w:r>
        <w:rPr>
          <w:w w:val="99"/>
        </w:rPr>
        <w:t>张英海先生于</w:t>
      </w:r>
      <w:r>
        <w:rPr>
          <w:spacing w:val="-52"/>
          <w:w w:val="99"/>
        </w:rPr>
        <w:t> </w:t>
      </w:r>
      <w:r>
        <w:rPr>
          <w:rFonts w:ascii="Arial" w:hAnsi="Arial" w:cs="Arial" w:eastAsia="Arial" w:hint="default"/>
          <w:w w:val="99"/>
        </w:rPr>
        <w:t>1975</w:t>
      </w:r>
      <w:r>
        <w:rPr>
          <w:rFonts w:ascii="Arial" w:hAnsi="Arial" w:cs="Arial" w:eastAsia="Arial" w:hint="default"/>
          <w:spacing w:val="-3"/>
          <w:w w:val="99"/>
        </w:rPr>
        <w:t> </w:t>
      </w:r>
      <w:r>
        <w:rPr>
          <w:spacing w:val="-7"/>
          <w:w w:val="99"/>
        </w:rPr>
        <w:t>年北京邮电学院大学毕业，</w:t>
      </w:r>
      <w:r>
        <w:rPr>
          <w:rFonts w:ascii="Arial" w:hAnsi="Arial" w:cs="Arial" w:eastAsia="Arial" w:hint="default"/>
          <w:spacing w:val="-7"/>
          <w:w w:val="99"/>
        </w:rPr>
        <w:t>1981</w:t>
      </w:r>
      <w:r>
        <w:rPr>
          <w:rFonts w:ascii="Arial" w:hAnsi="Arial" w:cs="Arial" w:eastAsia="Arial" w:hint="default"/>
          <w:spacing w:val="-3"/>
          <w:w w:val="99"/>
        </w:rPr>
        <w:t> </w:t>
      </w:r>
      <w:r>
        <w:rPr>
          <w:w w:val="99"/>
        </w:rPr>
        <w:t>年</w:t>
      </w:r>
      <w:r>
        <w:rPr>
          <w:spacing w:val="-52"/>
          <w:w w:val="99"/>
        </w:rPr>
        <w:t> </w:t>
      </w:r>
      <w:r>
        <w:rPr>
          <w:rFonts w:ascii="Arial" w:hAnsi="Arial" w:cs="Arial" w:eastAsia="Arial" w:hint="default"/>
          <w:w w:val="99"/>
        </w:rPr>
        <w:t>12</w:t>
      </w:r>
      <w:r>
        <w:rPr>
          <w:rFonts w:ascii="Arial" w:hAnsi="Arial" w:cs="Arial" w:eastAsia="Arial" w:hint="default"/>
          <w:spacing w:val="-3"/>
          <w:w w:val="99"/>
        </w:rPr>
        <w:t> </w:t>
      </w:r>
      <w:r>
        <w:rPr>
          <w:w w:val="99"/>
        </w:rPr>
        <w:t>月北京邮电学院应用物理系硕士毕 </w:t>
      </w:r>
      <w:r>
        <w:rPr>
          <w:spacing w:val="-4"/>
        </w:rPr>
        <w:t>业并获得硕士学位，</w:t>
      </w:r>
      <w:r>
        <w:rPr>
          <w:rFonts w:ascii="Arial" w:hAnsi="Arial" w:cs="Arial" w:eastAsia="Arial" w:hint="default"/>
          <w:spacing w:val="-4"/>
        </w:rPr>
        <w:t>2007</w:t>
      </w:r>
      <w:r>
        <w:rPr>
          <w:rFonts w:ascii="Arial" w:hAnsi="Arial" w:cs="Arial" w:eastAsia="Arial" w:hint="default"/>
          <w:spacing w:val="-5"/>
        </w:rPr>
        <w:t> </w:t>
      </w:r>
      <w:r>
        <w:rPr/>
        <w:t>年</w:t>
      </w:r>
      <w:r>
        <w:rPr>
          <w:spacing w:val="-54"/>
        </w:rPr>
        <w:t> </w:t>
      </w:r>
      <w:r>
        <w:rPr>
          <w:rFonts w:ascii="Arial" w:hAnsi="Arial" w:cs="Arial" w:eastAsia="Arial" w:hint="default"/>
        </w:rPr>
        <w:t>7</w:t>
      </w:r>
      <w:r>
        <w:rPr>
          <w:rFonts w:ascii="Arial" w:hAnsi="Arial" w:cs="Arial" w:eastAsia="Arial" w:hint="default"/>
          <w:spacing w:val="-5"/>
        </w:rPr>
        <w:t> </w:t>
      </w:r>
      <w:r>
        <w:rPr/>
        <w:t>月年获得北京邮电大学电子工程学院电路与系统专业毕业博士</w:t>
      </w:r>
      <w:r>
        <w:rPr>
          <w:w w:val="99"/>
        </w:rPr>
        <w:t> </w:t>
      </w:r>
      <w:r>
        <w:rPr/>
        <w:t>学位。</w:t>
      </w:r>
      <w:r>
        <w:rPr>
          <w:rFonts w:ascii="Arial" w:hAnsi="Arial" w:cs="Arial" w:eastAsia="Arial" w:hint="default"/>
        </w:rPr>
        <w:t>1987</w:t>
      </w:r>
      <w:r>
        <w:rPr>
          <w:rFonts w:ascii="Arial" w:hAnsi="Arial" w:cs="Arial" w:eastAsia="Arial" w:hint="default"/>
          <w:spacing w:val="-7"/>
        </w:rPr>
        <w:t> </w:t>
      </w:r>
      <w:r>
        <w:rPr/>
        <w:t>年赴日本东北大学进修电子工学专业，</w:t>
      </w:r>
      <w:r>
        <w:rPr>
          <w:rFonts w:ascii="Arial" w:hAnsi="Arial" w:cs="Arial" w:eastAsia="Arial" w:hint="default"/>
        </w:rPr>
        <w:t>1990</w:t>
      </w:r>
      <w:r>
        <w:rPr>
          <w:rFonts w:ascii="Arial" w:hAnsi="Arial" w:cs="Arial" w:eastAsia="Arial" w:hint="default"/>
          <w:spacing w:val="-8"/>
        </w:rPr>
        <w:t> </w:t>
      </w:r>
      <w:r>
        <w:rPr/>
        <w:t>年回国。先后参加美国</w:t>
      </w:r>
      <w:r>
        <w:rPr>
          <w:spacing w:val="-57"/>
        </w:rPr>
        <w:t> </w:t>
      </w:r>
      <w:r>
        <w:rPr>
          <w:rFonts w:ascii="Arial" w:hAnsi="Arial" w:cs="Arial" w:eastAsia="Arial" w:hint="default"/>
        </w:rPr>
        <w:t>AT</w:t>
      </w:r>
      <w:r>
        <w:rPr/>
        <w:t>﹠</w:t>
      </w:r>
      <w:r>
        <w:rPr>
          <w:rFonts w:ascii="Arial" w:hAnsi="Arial" w:cs="Arial" w:eastAsia="Arial" w:hint="default"/>
        </w:rPr>
        <w:t>T</w:t>
      </w:r>
      <w:r>
        <w:rPr>
          <w:rFonts w:ascii="Arial" w:hAnsi="Arial" w:cs="Arial" w:eastAsia="Arial" w:hint="default"/>
          <w:spacing w:val="-8"/>
        </w:rPr>
        <w:t> </w:t>
      </w:r>
      <w:r>
        <w:rPr/>
        <w:t>高级</w:t>
      </w:r>
      <w:r>
        <w:rPr>
          <w:w w:val="99"/>
        </w:rPr>
        <w:t> </w:t>
      </w:r>
      <w:r>
        <w:rPr/>
        <w:t>电信管理人员培训、邮电部局长学习班、教育部校长海外培训班。</w:t>
      </w:r>
      <w:r>
        <w:rPr>
          <w:rFonts w:ascii="Arial" w:hAnsi="Arial" w:cs="Arial" w:eastAsia="Arial" w:hint="default"/>
        </w:rPr>
        <w:t>1971</w:t>
      </w:r>
      <w:r>
        <w:rPr>
          <w:rFonts w:ascii="Arial" w:hAnsi="Arial" w:cs="Arial" w:eastAsia="Arial" w:hint="default"/>
          <w:spacing w:val="-8"/>
        </w:rPr>
        <w:t> </w:t>
      </w:r>
      <w:r>
        <w:rPr/>
        <w:t>年至</w:t>
      </w:r>
      <w:r>
        <w:rPr>
          <w:spacing w:val="-57"/>
        </w:rPr>
        <w:t> </w:t>
      </w:r>
      <w:r>
        <w:rPr>
          <w:rFonts w:ascii="Arial" w:hAnsi="Arial" w:cs="Arial" w:eastAsia="Arial" w:hint="default"/>
        </w:rPr>
        <w:t>1996</w:t>
      </w:r>
      <w:r>
        <w:rPr>
          <w:rFonts w:ascii="Arial" w:hAnsi="Arial" w:cs="Arial" w:eastAsia="Arial" w:hint="default"/>
          <w:spacing w:val="-8"/>
        </w:rPr>
        <w:t> </w:t>
      </w:r>
      <w:r>
        <w:rPr/>
        <w:t>年先后在</w:t>
      </w:r>
      <w:r>
        <w:rPr>
          <w:w w:val="99"/>
        </w:rPr>
        <w:t> </w:t>
      </w:r>
      <w:r>
        <w:rPr/>
        <w:t>中央广播事业局科学研究所、北京邮电学院工作、学习。</w:t>
      </w:r>
      <w:r>
        <w:rPr>
          <w:rFonts w:ascii="Arial" w:hAnsi="Arial" w:cs="Arial" w:eastAsia="Arial" w:hint="default"/>
        </w:rPr>
        <w:t>1996</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月至</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月任北京</w:t>
      </w:r>
      <w:r>
        <w:rPr>
          <w:w w:val="99"/>
        </w:rPr>
        <w:t> </w:t>
      </w:r>
      <w:r>
        <w:rPr/>
        <w:t>邮电大学副校长。</w:t>
      </w:r>
      <w:r>
        <w:rPr>
          <w:rFonts w:ascii="Arial" w:hAnsi="Arial" w:cs="Arial" w:eastAsia="Arial" w:hint="default"/>
        </w:rPr>
        <w:t>2008</w:t>
      </w:r>
      <w:r>
        <w:rPr>
          <w:rFonts w:ascii="Arial" w:hAnsi="Arial" w:cs="Arial" w:eastAsia="Arial" w:hint="default"/>
          <w:spacing w:val="-21"/>
        </w:rPr>
        <w:t> </w:t>
      </w:r>
      <w:r>
        <w:rPr/>
        <w:t>年</w:t>
      </w:r>
      <w:r>
        <w:rPr>
          <w:spacing w:val="-71"/>
        </w:rPr>
        <w:t> </w:t>
      </w:r>
      <w:r>
        <w:rPr>
          <w:rFonts w:ascii="Arial" w:hAnsi="Arial" w:cs="Arial" w:eastAsia="Arial" w:hint="default"/>
        </w:rPr>
        <w:t>5</w:t>
      </w:r>
      <w:r>
        <w:rPr>
          <w:rFonts w:ascii="Arial" w:hAnsi="Arial" w:cs="Arial" w:eastAsia="Arial" w:hint="default"/>
          <w:spacing w:val="-22"/>
        </w:rPr>
        <w:t> </w:t>
      </w:r>
      <w:r>
        <w:rPr/>
        <w:t>月至今任北京邮电大学教授、副校长兼研究生院院长。目前兼任</w:t>
      </w:r>
      <w:r>
        <w:rPr>
          <w:w w:val="99"/>
        </w:rPr>
        <w:t> </w:t>
      </w:r>
      <w:r>
        <w:rPr/>
        <w:t>北京通信信息协会理事长，并担任北京梅泰诺通信技术股份公司独立董事。张英海先生自</w:t>
      </w:r>
      <w:r>
        <w:rPr>
          <w:w w:val="99"/>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月起担任本公司独立董事。</w:t>
      </w:r>
    </w:p>
    <w:p>
      <w:pPr>
        <w:spacing w:line="240" w:lineRule="auto" w:before="1"/>
        <w:rPr>
          <w:rFonts w:ascii="宋体" w:hAnsi="宋体" w:cs="宋体" w:eastAsia="宋体" w:hint="default"/>
          <w:sz w:val="18"/>
          <w:szCs w:val="18"/>
        </w:rPr>
      </w:pPr>
    </w:p>
    <w:p>
      <w:pPr>
        <w:pStyle w:val="BodyText"/>
        <w:spacing w:line="295" w:lineRule="exact"/>
        <w:ind w:left="145" w:right="91"/>
        <w:jc w:val="left"/>
      </w:pPr>
      <w:r>
        <w:rPr>
          <w:rFonts w:ascii="Arial" w:hAnsi="Arial" w:cs="Arial" w:eastAsia="Arial" w:hint="default"/>
        </w:rPr>
        <w:t>(8) </w:t>
      </w:r>
      <w:r>
        <w:rPr>
          <w:rFonts w:ascii="Arial" w:hAnsi="Arial" w:cs="Arial" w:eastAsia="Arial" w:hint="default"/>
          <w:spacing w:val="57"/>
        </w:rPr>
        <w:t> </w:t>
      </w:r>
      <w:r>
        <w:rPr/>
        <w:t>夏大慰：</w:t>
      </w:r>
    </w:p>
    <w:p>
      <w:pPr>
        <w:pStyle w:val="BodyText"/>
        <w:spacing w:line="230" w:lineRule="auto" w:before="1"/>
        <w:ind w:left="568" w:right="93"/>
        <w:jc w:val="left"/>
      </w:pPr>
      <w:r>
        <w:rPr/>
        <w:t>夏大慰先生</w:t>
      </w:r>
      <w:r>
        <w:rPr>
          <w:spacing w:val="-56"/>
        </w:rPr>
        <w:t> </w:t>
      </w:r>
      <w:r>
        <w:rPr>
          <w:rFonts w:ascii="Arial" w:hAnsi="Arial" w:cs="Arial" w:eastAsia="Arial" w:hint="default"/>
        </w:rPr>
        <w:t>1982</w:t>
      </w:r>
      <w:r>
        <w:rPr>
          <w:rFonts w:ascii="Arial" w:hAnsi="Arial" w:cs="Arial" w:eastAsia="Arial" w:hint="default"/>
          <w:spacing w:val="-8"/>
        </w:rPr>
        <w:t> </w:t>
      </w:r>
      <w:r>
        <w:rPr/>
        <w:t>年毕业于长春工业大学获工学学士学位，</w:t>
      </w:r>
      <w:r>
        <w:rPr>
          <w:rFonts w:ascii="Arial" w:hAnsi="Arial" w:cs="Arial" w:eastAsia="Arial" w:hint="default"/>
        </w:rPr>
        <w:t>1985</w:t>
      </w:r>
      <w:r>
        <w:rPr>
          <w:rFonts w:ascii="Arial" w:hAnsi="Arial" w:cs="Arial" w:eastAsia="Arial" w:hint="default"/>
          <w:spacing w:val="-8"/>
        </w:rPr>
        <w:t> </w:t>
      </w:r>
      <w:r>
        <w:rPr/>
        <w:t>年毕业于上海财经大学获经</w:t>
      </w:r>
      <w:r>
        <w:rPr>
          <w:w w:val="99"/>
        </w:rPr>
        <w:t> </w:t>
      </w:r>
      <w:r>
        <w:rPr>
          <w:spacing w:val="-4"/>
        </w:rPr>
        <w:t>济学硕士学位。</w:t>
      </w:r>
      <w:r>
        <w:rPr>
          <w:rFonts w:ascii="Arial" w:hAnsi="Arial" w:cs="Arial" w:eastAsia="Arial" w:hint="default"/>
          <w:spacing w:val="-4"/>
        </w:rPr>
        <w:t>1985</w:t>
      </w:r>
      <w:r>
        <w:rPr>
          <w:rFonts w:ascii="Arial" w:hAnsi="Arial" w:cs="Arial" w:eastAsia="Arial" w:hint="default"/>
          <w:spacing w:val="-5"/>
        </w:rPr>
        <w:t> </w:t>
      </w:r>
      <w:r>
        <w:rPr>
          <w:spacing w:val="-3"/>
        </w:rPr>
        <w:t>年起在上海财经大学任教。</w:t>
      </w:r>
      <w:r>
        <w:rPr>
          <w:rFonts w:ascii="Arial" w:hAnsi="Arial" w:cs="Arial" w:eastAsia="Arial" w:hint="default"/>
          <w:spacing w:val="-3"/>
        </w:rPr>
        <w:t>1988</w:t>
      </w:r>
      <w:r>
        <w:rPr>
          <w:rFonts w:ascii="Arial" w:hAnsi="Arial" w:cs="Arial" w:eastAsia="Arial" w:hint="default"/>
          <w:spacing w:val="-5"/>
        </w:rPr>
        <w:t> </w:t>
      </w:r>
      <w:r>
        <w:rPr/>
        <w:t>年至</w:t>
      </w:r>
      <w:r>
        <w:rPr>
          <w:spacing w:val="-53"/>
        </w:rPr>
        <w:t> </w:t>
      </w:r>
      <w:r>
        <w:rPr>
          <w:rFonts w:ascii="Arial" w:hAnsi="Arial" w:cs="Arial" w:eastAsia="Arial" w:hint="default"/>
        </w:rPr>
        <w:t>1990</w:t>
      </w:r>
      <w:r>
        <w:rPr>
          <w:rFonts w:ascii="Arial" w:hAnsi="Arial" w:cs="Arial" w:eastAsia="Arial" w:hint="default"/>
          <w:spacing w:val="-5"/>
        </w:rPr>
        <w:t> </w:t>
      </w:r>
      <w:r>
        <w:rPr/>
        <w:t>年在日本大阪市立大学担任</w:t>
      </w:r>
      <w:r>
        <w:rPr>
          <w:spacing w:val="-107"/>
        </w:rPr>
        <w:t> </w:t>
      </w:r>
      <w:r>
        <w:rPr>
          <w:spacing w:val="-107"/>
        </w:rPr>
      </w:r>
      <w:r>
        <w:rPr/>
        <w:t>客座研究员。</w:t>
      </w:r>
      <w:r>
        <w:rPr>
          <w:rFonts w:ascii="Arial" w:hAnsi="Arial" w:cs="Arial" w:eastAsia="Arial" w:hint="default"/>
        </w:rPr>
        <w:t>1994</w:t>
      </w:r>
      <w:r>
        <w:rPr>
          <w:rFonts w:ascii="Arial" w:hAnsi="Arial" w:cs="Arial" w:eastAsia="Arial" w:hint="default"/>
          <w:spacing w:val="-7"/>
        </w:rPr>
        <w:t> </w:t>
      </w:r>
      <w:r>
        <w:rPr/>
        <w:t>年晋升为教授。自</w:t>
      </w:r>
      <w:r>
        <w:rPr>
          <w:spacing w:val="-56"/>
        </w:rPr>
        <w:t> </w:t>
      </w:r>
      <w:r>
        <w:rPr>
          <w:rFonts w:ascii="Arial" w:hAnsi="Arial" w:cs="Arial" w:eastAsia="Arial" w:hint="default"/>
        </w:rPr>
        <w:t>1993</w:t>
      </w:r>
      <w:r>
        <w:rPr>
          <w:rFonts w:ascii="Arial" w:hAnsi="Arial" w:cs="Arial" w:eastAsia="Arial" w:hint="default"/>
          <w:spacing w:val="-7"/>
        </w:rPr>
        <w:t> </w:t>
      </w:r>
      <w:r>
        <w:rPr/>
        <w:t>年起曾先后担任上海财经大学国际经济管理学院</w:t>
      </w:r>
      <w:r>
        <w:rPr>
          <w:w w:val="99"/>
        </w:rPr>
        <w:t> </w:t>
      </w:r>
      <w:r>
        <w:rPr/>
        <w:t>院长、校长助理、副校长、常务副校长等职务。</w:t>
      </w:r>
      <w:r>
        <w:rPr>
          <w:rFonts w:ascii="Arial" w:hAnsi="Arial" w:cs="Arial" w:eastAsia="Arial" w:hint="default"/>
        </w:rPr>
        <w:t>2000</w:t>
      </w:r>
      <w:r>
        <w:rPr>
          <w:rFonts w:ascii="Arial" w:hAnsi="Arial" w:cs="Arial" w:eastAsia="Arial" w:hint="default"/>
          <w:spacing w:val="-18"/>
        </w:rPr>
        <w:t> </w:t>
      </w:r>
      <w:r>
        <w:rPr/>
        <w:t>年奉调组建上海国家会计学院并担任院</w:t>
      </w:r>
      <w:r>
        <w:rPr>
          <w:w w:val="99"/>
        </w:rPr>
        <w:t> </w:t>
      </w:r>
      <w:r>
        <w:rPr>
          <w:spacing w:val="-1"/>
        </w:rPr>
        <w:t>长至今。享受国务院政府津贴。现任上海国家会计学院院长，党委书记，教授、博士生导师。</w:t>
      </w:r>
      <w:r>
        <w:rPr>
          <w:spacing w:val="-108"/>
        </w:rPr>
        <w:t> </w:t>
      </w:r>
      <w:r>
        <w:rPr>
          <w:spacing w:val="-108"/>
        </w:rPr>
      </w:r>
      <w:r>
        <w:rPr/>
        <w:t>目前兼任中国工业经济学会副会长，财政部会计准则委员会咨询专家，财政部企业内部控制</w:t>
      </w:r>
      <w:r>
        <w:rPr>
          <w:w w:val="99"/>
        </w:rPr>
        <w:t> </w:t>
      </w:r>
      <w:r>
        <w:rPr/>
        <w:t>标准委员会委员，香港中文大学名誉教授，复旦大学管理学院兼职教授，上海证券交易所上</w:t>
      </w:r>
      <w:r>
        <w:rPr>
          <w:w w:val="99"/>
        </w:rPr>
        <w:t> </w:t>
      </w:r>
      <w:r>
        <w:rPr>
          <w:spacing w:val="-4"/>
        </w:rPr>
        <w:t>市公司专家委员会委员。目前还担任联华超市股份有限公司独立董事，上海锦江国际酒店（集</w:t>
      </w:r>
      <w:r>
        <w:rPr>
          <w:spacing w:val="-96"/>
        </w:rPr>
        <w:t> </w:t>
      </w:r>
      <w:r>
        <w:rPr>
          <w:spacing w:val="-96"/>
        </w:rPr>
      </w:r>
      <w:r>
        <w:rPr/>
        <w:t>团）股份有限公司独立董事，上海电力股份有限公司独立董事。夏大慰先生自</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w:t>
      </w:r>
      <w:r>
        <w:rPr>
          <w:w w:val="99"/>
        </w:rPr>
        <w:t> </w:t>
      </w:r>
      <w:r>
        <w:rPr/>
        <w:t>起担任本公司独立董事。</w:t>
      </w:r>
    </w:p>
    <w:p>
      <w:pPr>
        <w:spacing w:line="240" w:lineRule="auto" w:before="4"/>
        <w:rPr>
          <w:rFonts w:ascii="宋体" w:hAnsi="宋体" w:cs="宋体" w:eastAsia="宋体" w:hint="default"/>
          <w:sz w:val="19"/>
          <w:szCs w:val="19"/>
        </w:rPr>
      </w:pPr>
    </w:p>
    <w:p>
      <w:pPr>
        <w:pStyle w:val="BodyText"/>
        <w:spacing w:line="294" w:lineRule="exact"/>
        <w:ind w:left="145" w:right="91"/>
        <w:jc w:val="left"/>
      </w:pPr>
      <w:r>
        <w:rPr>
          <w:rFonts w:ascii="Arial" w:hAnsi="Arial" w:cs="Arial" w:eastAsia="Arial" w:hint="default"/>
        </w:rPr>
        <w:t>(9)</w:t>
      </w:r>
      <w:r>
        <w:rPr>
          <w:rFonts w:ascii="Arial" w:hAnsi="Arial" w:cs="Arial" w:eastAsia="Arial" w:hint="default"/>
          <w:spacing w:val="27"/>
        </w:rPr>
        <w:t> </w:t>
      </w:r>
      <w:r>
        <w:rPr/>
        <w:t>李建国：</w:t>
      </w:r>
    </w:p>
    <w:p>
      <w:pPr>
        <w:pStyle w:val="BodyText"/>
        <w:spacing w:line="225" w:lineRule="auto" w:before="6"/>
        <w:ind w:left="505" w:right="205"/>
        <w:jc w:val="left"/>
      </w:pPr>
      <w:r>
        <w:rPr/>
        <w:t>李建国女士是一位高级经济师，于</w:t>
      </w:r>
      <w:r>
        <w:rPr>
          <w:spacing w:val="-64"/>
        </w:rPr>
        <w:t> </w:t>
      </w:r>
      <w:r>
        <w:rPr>
          <w:rFonts w:ascii="Arial" w:hAnsi="Arial" w:cs="Arial" w:eastAsia="Arial" w:hint="default"/>
        </w:rPr>
        <w:t>1982</w:t>
      </w:r>
      <w:r>
        <w:rPr>
          <w:rFonts w:ascii="Arial" w:hAnsi="Arial" w:cs="Arial" w:eastAsia="Arial" w:hint="default"/>
          <w:spacing w:val="-16"/>
        </w:rPr>
        <w:t> </w:t>
      </w:r>
      <w:r>
        <w:rPr/>
        <w:t>年毕业于湘潭大学化工专修科。</w:t>
      </w:r>
      <w:r>
        <w:rPr>
          <w:rFonts w:ascii="Arial" w:hAnsi="Arial" w:cs="Arial" w:eastAsia="Arial" w:hint="default"/>
        </w:rPr>
        <w:t>2006</w:t>
      </w:r>
      <w:r>
        <w:rPr>
          <w:rFonts w:ascii="Arial" w:hAnsi="Arial" w:cs="Arial" w:eastAsia="Arial" w:hint="default"/>
          <w:spacing w:val="-16"/>
        </w:rPr>
        <w:t> </w:t>
      </w:r>
      <w:r>
        <w:rPr/>
        <w:t>年</w:t>
      </w:r>
      <w:r>
        <w:rPr>
          <w:spacing w:val="-65"/>
        </w:rPr>
        <w:t> </w:t>
      </w:r>
      <w:r>
        <w:rPr>
          <w:rFonts w:ascii="Arial" w:hAnsi="Arial" w:cs="Arial" w:eastAsia="Arial" w:hint="default"/>
        </w:rPr>
        <w:t>12</w:t>
      </w:r>
      <w:r>
        <w:rPr>
          <w:rFonts w:ascii="Arial" w:hAnsi="Arial" w:cs="Arial" w:eastAsia="Arial" w:hint="default"/>
          <w:spacing w:val="-16"/>
        </w:rPr>
        <w:t> </w:t>
      </w:r>
      <w:r>
        <w:rPr/>
        <w:t>月获得香</w:t>
      </w:r>
      <w:r>
        <w:rPr>
          <w:w w:val="99"/>
        </w:rPr>
        <w:t> </w:t>
      </w:r>
      <w:r>
        <w:rPr/>
        <w:t>港理工大学工商管理专业硕士。</w:t>
      </w:r>
      <w:r>
        <w:rPr>
          <w:rFonts w:ascii="Arial" w:hAnsi="Arial" w:cs="Arial" w:eastAsia="Arial" w:hint="default"/>
        </w:rPr>
        <w:t>1982</w:t>
      </w:r>
      <w:r>
        <w:rPr>
          <w:rFonts w:ascii="Arial" w:hAnsi="Arial" w:cs="Arial" w:eastAsia="Arial" w:hint="default"/>
          <w:spacing w:val="-8"/>
        </w:rPr>
        <w:t> </w:t>
      </w:r>
      <w:r>
        <w:rPr/>
        <w:t>年至</w:t>
      </w:r>
      <w:r>
        <w:rPr>
          <w:spacing w:val="-57"/>
        </w:rPr>
        <w:t> </w:t>
      </w:r>
      <w:r>
        <w:rPr>
          <w:rFonts w:ascii="Arial" w:hAnsi="Arial" w:cs="Arial" w:eastAsia="Arial" w:hint="default"/>
        </w:rPr>
        <w:t>1983</w:t>
      </w:r>
      <w:r>
        <w:rPr>
          <w:rFonts w:ascii="Arial" w:hAnsi="Arial" w:cs="Arial" w:eastAsia="Arial" w:hint="default"/>
          <w:spacing w:val="-8"/>
        </w:rPr>
        <w:t> </w:t>
      </w:r>
      <w:r>
        <w:rPr/>
        <w:t>年曾经先后担任湖南岳化总厂涤纶厂党委副</w:t>
      </w:r>
      <w:r>
        <w:rPr>
          <w:w w:val="99"/>
        </w:rPr>
        <w:t> </w:t>
      </w:r>
      <w:r>
        <w:rPr/>
        <w:t>书记、书记。</w:t>
      </w:r>
      <w:r>
        <w:rPr>
          <w:rFonts w:ascii="Arial" w:hAnsi="Arial" w:cs="Arial" w:eastAsia="Arial" w:hint="default"/>
        </w:rPr>
        <w:t>1983</w:t>
      </w:r>
      <w:r>
        <w:rPr>
          <w:rFonts w:ascii="Arial" w:hAnsi="Arial" w:cs="Arial" w:eastAsia="Arial" w:hint="default"/>
          <w:spacing w:val="-8"/>
        </w:rPr>
        <w:t> </w:t>
      </w:r>
      <w:r>
        <w:rPr/>
        <w:t>年至</w:t>
      </w:r>
      <w:r>
        <w:rPr>
          <w:spacing w:val="-57"/>
        </w:rPr>
        <w:t> </w:t>
      </w:r>
      <w:r>
        <w:rPr>
          <w:rFonts w:ascii="Arial" w:hAnsi="Arial" w:cs="Arial" w:eastAsia="Arial" w:hint="default"/>
        </w:rPr>
        <w:t>1993</w:t>
      </w:r>
      <w:r>
        <w:rPr>
          <w:rFonts w:ascii="Arial" w:hAnsi="Arial" w:cs="Arial" w:eastAsia="Arial" w:hint="default"/>
          <w:spacing w:val="-8"/>
        </w:rPr>
        <w:t> </w:t>
      </w:r>
      <w:r>
        <w:rPr/>
        <w:t>年曾经担任湖南第八、九届团省委书记、共青团第十一届中央</w:t>
      </w:r>
      <w:r>
        <w:rPr>
          <w:w w:val="99"/>
        </w:rPr>
        <w:t> </w:t>
      </w:r>
      <w:r>
        <w:rPr/>
        <w:t>委员会委员、共青团第十二届中央委员会常委。</w:t>
      </w:r>
      <w:r>
        <w:rPr>
          <w:rFonts w:ascii="Arial" w:hAnsi="Arial" w:cs="Arial" w:eastAsia="Arial" w:hint="default"/>
        </w:rPr>
        <w:t>1993</w:t>
      </w:r>
      <w:r>
        <w:rPr>
          <w:rFonts w:ascii="Arial" w:hAnsi="Arial" w:cs="Arial" w:eastAsia="Arial" w:hint="default"/>
          <w:spacing w:val="-8"/>
        </w:rPr>
        <w:t> </w:t>
      </w:r>
      <w:r>
        <w:rPr/>
        <w:t>年至</w:t>
      </w:r>
      <w:r>
        <w:rPr>
          <w:spacing w:val="-57"/>
        </w:rPr>
        <w:t> </w:t>
      </w:r>
      <w:r>
        <w:rPr>
          <w:rFonts w:ascii="Arial" w:hAnsi="Arial" w:cs="Arial" w:eastAsia="Arial" w:hint="default"/>
        </w:rPr>
        <w:t>1997</w:t>
      </w:r>
      <w:r>
        <w:rPr>
          <w:rFonts w:ascii="Arial" w:hAnsi="Arial" w:cs="Arial" w:eastAsia="Arial" w:hint="default"/>
          <w:spacing w:val="-8"/>
        </w:rPr>
        <w:t> </w:t>
      </w:r>
      <w:r>
        <w:rPr/>
        <w:t>年初担任化工管理干部学院</w:t>
      </w:r>
      <w:r>
        <w:rPr>
          <w:w w:val="99"/>
        </w:rPr>
        <w:t> </w:t>
      </w:r>
      <w:r>
        <w:rPr/>
        <w:t>党委书记。</w:t>
      </w:r>
      <w:r>
        <w:rPr>
          <w:rFonts w:ascii="Arial" w:hAnsi="Arial" w:cs="Arial" w:eastAsia="Arial" w:hint="default"/>
        </w:rPr>
        <w:t>1997</w:t>
      </w:r>
      <w:r>
        <w:rPr>
          <w:rFonts w:ascii="Arial" w:hAnsi="Arial" w:cs="Arial" w:eastAsia="Arial" w:hint="default"/>
          <w:spacing w:val="-8"/>
        </w:rPr>
        <w:t> </w:t>
      </w:r>
      <w:r>
        <w:rPr/>
        <w:t>年初至</w:t>
      </w:r>
      <w:r>
        <w:rPr>
          <w:spacing w:val="-56"/>
        </w:rPr>
        <w:t> </w:t>
      </w:r>
      <w:r>
        <w:rPr>
          <w:rFonts w:ascii="Arial" w:hAnsi="Arial" w:cs="Arial" w:eastAsia="Arial" w:hint="default"/>
        </w:rPr>
        <w:t>2000</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月担任中央纪委、监察部驻国家石化局纪检组副组长、监</w:t>
      </w:r>
    </w:p>
    <w:p>
      <w:pPr>
        <w:pStyle w:val="BodyText"/>
        <w:spacing w:line="279" w:lineRule="exact"/>
        <w:ind w:left="505" w:right="91"/>
        <w:jc w:val="left"/>
      </w:pPr>
      <w:r>
        <w:rPr/>
        <w:t>察局局长。</w:t>
      </w:r>
      <w:r>
        <w:rPr>
          <w:rFonts w:ascii="Arial" w:hAnsi="Arial" w:cs="Arial" w:eastAsia="Arial" w:hint="default"/>
        </w:rPr>
        <w:t>2000</w:t>
      </w:r>
      <w:r>
        <w:rPr>
          <w:rFonts w:ascii="Arial" w:hAnsi="Arial" w:cs="Arial" w:eastAsia="Arial" w:hint="default"/>
          <w:spacing w:val="-8"/>
        </w:rPr>
        <w:t> </w:t>
      </w:r>
      <w:r>
        <w:rPr/>
        <w:t>年</w:t>
      </w:r>
      <w:r>
        <w:rPr>
          <w:spacing w:val="-57"/>
        </w:rPr>
        <w:t> </w:t>
      </w:r>
      <w:r>
        <w:rPr>
          <w:rFonts w:ascii="Arial" w:hAnsi="Arial" w:cs="Arial" w:eastAsia="Arial" w:hint="default"/>
        </w:rPr>
        <w:t>6</w:t>
      </w:r>
      <w:r>
        <w:rPr>
          <w:rFonts w:ascii="Arial" w:hAnsi="Arial" w:cs="Arial" w:eastAsia="Arial" w:hint="default"/>
          <w:spacing w:val="-8"/>
        </w:rPr>
        <w:t> </w:t>
      </w:r>
      <w:r>
        <w:rPr/>
        <w:t>月起加入联通集团。</w:t>
      </w:r>
      <w:r>
        <w:rPr>
          <w:rFonts w:ascii="Arial" w:hAnsi="Arial" w:cs="Arial" w:eastAsia="Arial" w:hint="default"/>
        </w:rPr>
        <w:t>2000</w:t>
      </w:r>
      <w:r>
        <w:rPr>
          <w:rFonts w:ascii="Arial" w:hAnsi="Arial" w:cs="Arial" w:eastAsia="Arial" w:hint="default"/>
          <w:spacing w:val="-7"/>
        </w:rPr>
        <w:t> </w:t>
      </w:r>
      <w:r>
        <w:rPr/>
        <w:t>年</w:t>
      </w:r>
      <w:r>
        <w:rPr>
          <w:spacing w:val="-57"/>
        </w:rPr>
        <w:t> </w:t>
      </w:r>
      <w:r>
        <w:rPr>
          <w:rFonts w:ascii="Arial" w:hAnsi="Arial" w:cs="Arial" w:eastAsia="Arial" w:hint="default"/>
        </w:rPr>
        <w:t>6</w:t>
      </w:r>
      <w:r>
        <w:rPr>
          <w:rFonts w:ascii="Arial" w:hAnsi="Arial" w:cs="Arial" w:eastAsia="Arial" w:hint="default"/>
          <w:spacing w:val="-8"/>
        </w:rPr>
        <w:t> </w:t>
      </w:r>
      <w:r>
        <w:rPr/>
        <w:t>月至</w:t>
      </w:r>
      <w:r>
        <w:rPr>
          <w:spacing w:val="-57"/>
        </w:rPr>
        <w:t> </w:t>
      </w:r>
      <w:r>
        <w:rPr>
          <w:rFonts w:ascii="Arial" w:hAnsi="Arial" w:cs="Arial" w:eastAsia="Arial" w:hint="default"/>
        </w:rPr>
        <w:t>2007</w:t>
      </w:r>
      <w:r>
        <w:rPr>
          <w:rFonts w:ascii="Arial" w:hAnsi="Arial" w:cs="Arial" w:eastAsia="Arial" w:hint="default"/>
          <w:spacing w:val="-8"/>
        </w:rPr>
        <w:t> </w:t>
      </w:r>
      <w:r>
        <w:rPr/>
        <w:t>年</w:t>
      </w:r>
      <w:r>
        <w:rPr>
          <w:spacing w:val="-57"/>
        </w:rPr>
        <w:t> </w:t>
      </w:r>
      <w:r>
        <w:rPr>
          <w:rFonts w:ascii="Arial" w:hAnsi="Arial" w:cs="Arial" w:eastAsia="Arial" w:hint="default"/>
        </w:rPr>
        <w:t>7</w:t>
      </w:r>
      <w:r>
        <w:rPr>
          <w:rFonts w:ascii="Arial" w:hAnsi="Arial" w:cs="Arial" w:eastAsia="Arial" w:hint="default"/>
          <w:spacing w:val="-8"/>
        </w:rPr>
        <w:t> </w:t>
      </w:r>
      <w:r>
        <w:rPr/>
        <w:t>月任联通集团党组成员、</w:t>
      </w:r>
    </w:p>
    <w:p>
      <w:pPr>
        <w:pStyle w:val="BodyText"/>
        <w:spacing w:line="286" w:lineRule="exact"/>
        <w:ind w:left="505" w:right="0"/>
        <w:jc w:val="left"/>
      </w:pPr>
      <w:r>
        <w:rPr>
          <w:spacing w:val="-9"/>
        </w:rPr>
        <w:t>纪检组长。</w:t>
      </w:r>
      <w:r>
        <w:rPr>
          <w:rFonts w:ascii="Arial" w:hAnsi="Arial" w:cs="Arial" w:eastAsia="Arial" w:hint="default"/>
          <w:spacing w:val="-9"/>
        </w:rPr>
        <w:t>2001</w:t>
      </w:r>
      <w:r>
        <w:rPr>
          <w:rFonts w:ascii="Arial" w:hAnsi="Arial" w:cs="Arial" w:eastAsia="Arial" w:hint="default"/>
          <w:spacing w:val="-5"/>
        </w:rPr>
        <w:t> </w:t>
      </w:r>
      <w:r>
        <w:rPr>
          <w:spacing w:val="-5"/>
        </w:rPr>
        <w:t>年起兼任联通集团工会主席。</w:t>
      </w:r>
      <w:r>
        <w:rPr>
          <w:rFonts w:ascii="Arial" w:hAnsi="Arial" w:cs="Arial" w:eastAsia="Arial" w:hint="default"/>
          <w:spacing w:val="-5"/>
        </w:rPr>
        <w:t>2003 </w:t>
      </w:r>
      <w:r>
        <w:rPr/>
        <w:t>年</w:t>
      </w:r>
      <w:r>
        <w:rPr>
          <w:spacing w:val="-54"/>
        </w:rPr>
        <w:t> </w:t>
      </w:r>
      <w:r>
        <w:rPr>
          <w:rFonts w:ascii="Arial" w:hAnsi="Arial" w:cs="Arial" w:eastAsia="Arial" w:hint="default"/>
        </w:rPr>
        <w:t>9</w:t>
      </w:r>
      <w:r>
        <w:rPr>
          <w:rFonts w:ascii="Arial" w:hAnsi="Arial" w:cs="Arial" w:eastAsia="Arial" w:hint="default"/>
          <w:spacing w:val="-5"/>
        </w:rPr>
        <w:t> </w:t>
      </w:r>
      <w:r>
        <w:rPr/>
        <w:t>月至</w:t>
      </w:r>
      <w:r>
        <w:rPr>
          <w:spacing w:val="-54"/>
        </w:rPr>
        <w:t> </w:t>
      </w:r>
      <w:r>
        <w:rPr>
          <w:rFonts w:ascii="Arial" w:hAnsi="Arial" w:cs="Arial" w:eastAsia="Arial" w:hint="default"/>
        </w:rPr>
        <w:t>2007</w:t>
      </w:r>
      <w:r>
        <w:rPr>
          <w:rFonts w:ascii="Arial" w:hAnsi="Arial" w:cs="Arial" w:eastAsia="Arial" w:hint="default"/>
          <w:spacing w:val="-5"/>
        </w:rPr>
        <w:t> </w:t>
      </w:r>
      <w:r>
        <w:rPr/>
        <w:t>年</w:t>
      </w:r>
      <w:r>
        <w:rPr>
          <w:spacing w:val="-54"/>
        </w:rPr>
        <w:t> </w:t>
      </w:r>
      <w:r>
        <w:rPr>
          <w:rFonts w:ascii="Arial" w:hAnsi="Arial" w:cs="Arial" w:eastAsia="Arial" w:hint="default"/>
        </w:rPr>
        <w:t>7</w:t>
      </w:r>
      <w:r>
        <w:rPr>
          <w:rFonts w:ascii="Arial" w:hAnsi="Arial" w:cs="Arial" w:eastAsia="Arial" w:hint="default"/>
          <w:spacing w:val="-5"/>
        </w:rPr>
        <w:t> </w:t>
      </w:r>
      <w:r>
        <w:rPr/>
        <w:t>月曾任联通集团董事、</w:t>
      </w:r>
    </w:p>
    <w:p>
      <w:pPr>
        <w:pStyle w:val="BodyText"/>
        <w:spacing w:line="285" w:lineRule="exact"/>
        <w:ind w:left="505" w:right="91"/>
        <w:jc w:val="left"/>
      </w:pPr>
      <w:r>
        <w:rPr>
          <w:spacing w:val="-3"/>
        </w:rPr>
        <w:t>联通运营公司董事、联通红筹公司执行董事。</w:t>
      </w:r>
      <w:r>
        <w:rPr>
          <w:rFonts w:ascii="Arial" w:hAnsi="Arial" w:cs="Arial" w:eastAsia="Arial" w:hint="default"/>
          <w:spacing w:val="-3"/>
        </w:rPr>
        <w:t>2001</w:t>
      </w:r>
      <w:r>
        <w:rPr>
          <w:rFonts w:ascii="Arial" w:hAnsi="Arial" w:cs="Arial" w:eastAsia="Arial" w:hint="default"/>
          <w:spacing w:val="-5"/>
        </w:rPr>
        <w:t> </w:t>
      </w:r>
      <w:r>
        <w:rPr/>
        <w:t>年</w:t>
      </w:r>
      <w:r>
        <w:rPr>
          <w:spacing w:val="-54"/>
        </w:rPr>
        <w:t> </w:t>
      </w:r>
      <w:r>
        <w:rPr>
          <w:rFonts w:ascii="Arial" w:hAnsi="Arial" w:cs="Arial" w:eastAsia="Arial" w:hint="default"/>
        </w:rPr>
        <w:t>12</w:t>
      </w:r>
      <w:r>
        <w:rPr>
          <w:rFonts w:ascii="Arial" w:hAnsi="Arial" w:cs="Arial" w:eastAsia="Arial" w:hint="default"/>
          <w:spacing w:val="-5"/>
        </w:rPr>
        <w:t> </w:t>
      </w:r>
      <w:r>
        <w:rPr/>
        <w:t>月至</w:t>
      </w:r>
      <w:r>
        <w:rPr>
          <w:spacing w:val="-54"/>
        </w:rPr>
        <w:t> </w:t>
      </w:r>
      <w:r>
        <w:rPr>
          <w:rFonts w:ascii="Arial" w:hAnsi="Arial" w:cs="Arial" w:eastAsia="Arial" w:hint="default"/>
        </w:rPr>
        <w:t>2007</w:t>
      </w:r>
      <w:r>
        <w:rPr>
          <w:rFonts w:ascii="Arial" w:hAnsi="Arial" w:cs="Arial" w:eastAsia="Arial" w:hint="default"/>
          <w:spacing w:val="-5"/>
        </w:rPr>
        <w:t> </w:t>
      </w:r>
      <w:r>
        <w:rPr/>
        <w:t>年</w:t>
      </w:r>
      <w:r>
        <w:rPr>
          <w:spacing w:val="-54"/>
        </w:rPr>
        <w:t> </w:t>
      </w:r>
      <w:r>
        <w:rPr>
          <w:rFonts w:ascii="Arial" w:hAnsi="Arial" w:cs="Arial" w:eastAsia="Arial" w:hint="default"/>
        </w:rPr>
        <w:t>7</w:t>
      </w:r>
      <w:r>
        <w:rPr>
          <w:rFonts w:ascii="Arial" w:hAnsi="Arial" w:cs="Arial" w:eastAsia="Arial" w:hint="default"/>
          <w:spacing w:val="-5"/>
        </w:rPr>
        <w:t> </w:t>
      </w:r>
      <w:r>
        <w:rPr/>
        <w:t>月曾任本公司监事会</w:t>
      </w:r>
    </w:p>
    <w:p>
      <w:pPr>
        <w:pStyle w:val="BodyText"/>
        <w:spacing w:line="285" w:lineRule="exact"/>
        <w:ind w:left="505" w:right="91"/>
        <w:jc w:val="left"/>
      </w:pPr>
      <w:r>
        <w:rPr/>
        <w:t>主席。并曾于</w:t>
      </w:r>
      <w:r>
        <w:rPr>
          <w:spacing w:val="-56"/>
        </w:rPr>
        <w:t> </w:t>
      </w:r>
      <w:r>
        <w:rPr>
          <w:rFonts w:ascii="Arial" w:hAnsi="Arial" w:cs="Arial" w:eastAsia="Arial" w:hint="default"/>
        </w:rPr>
        <w:t>2006</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月至</w:t>
      </w:r>
      <w:r>
        <w:rPr>
          <w:spacing w:val="-56"/>
        </w:rPr>
        <w:t> </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月期间担任联通红筹公司执行董事。</w:t>
      </w:r>
      <w:r>
        <w:rPr>
          <w:rFonts w:ascii="Arial" w:hAnsi="Arial" w:cs="Arial" w:eastAsia="Arial" w:hint="default"/>
        </w:rPr>
        <w:t>2007</w:t>
      </w:r>
      <w:r>
        <w:rPr>
          <w:rFonts w:ascii="Arial" w:hAnsi="Arial" w:cs="Arial" w:eastAsia="Arial" w:hint="default"/>
          <w:spacing w:val="-6"/>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月至</w:t>
      </w:r>
    </w:p>
    <w:p>
      <w:pPr>
        <w:pStyle w:val="BodyText"/>
        <w:spacing w:line="230" w:lineRule="auto" w:before="1"/>
        <w:ind w:left="505" w:right="213"/>
        <w:jc w:val="both"/>
      </w:pP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月曾任网通集团党组成员、党组纪检组组长，中国网通（集团）有限公司董事，中</w:t>
      </w:r>
      <w:r>
        <w:rPr>
          <w:w w:val="99"/>
        </w:rPr>
        <w:t> </w:t>
      </w:r>
      <w:r>
        <w:rPr/>
        <w:t>国网通执行董事。</w:t>
      </w:r>
      <w:r>
        <w:rPr>
          <w:rFonts w:ascii="Arial" w:hAnsi="Arial" w:cs="Arial" w:eastAsia="Arial" w:hint="default"/>
        </w:rPr>
        <w:t>2008</w:t>
      </w:r>
      <w:r>
        <w:rPr>
          <w:rFonts w:ascii="Arial" w:hAnsi="Arial" w:cs="Arial" w:eastAsia="Arial" w:hint="default"/>
          <w:spacing w:val="-7"/>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月起任联通运营公司董事。</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2</w:t>
      </w:r>
      <w:r>
        <w:rPr>
          <w:rFonts w:ascii="Arial" w:hAnsi="Arial" w:cs="Arial" w:eastAsia="Arial" w:hint="default"/>
          <w:spacing w:val="-8"/>
        </w:rPr>
        <w:t> </w:t>
      </w:r>
      <w:r>
        <w:rPr/>
        <w:t>月起担任联通红筹公司高</w:t>
      </w:r>
      <w:r>
        <w:rPr>
          <w:w w:val="99"/>
        </w:rPr>
        <w:t> </w:t>
      </w:r>
      <w:r>
        <w:rPr>
          <w:spacing w:val="-2"/>
        </w:rPr>
        <w:t>级副总裁。李女士目前担任联通集团党组成员、纪检组长、工会主席，联通红筹公司高级副总</w:t>
      </w:r>
      <w:r>
        <w:rPr>
          <w:w w:val="99"/>
        </w:rPr>
        <w:t> </w:t>
      </w:r>
      <w:r>
        <w:rPr/>
        <w:t>裁，联通运营公司董事及高级副总裁。自</w:t>
      </w:r>
      <w:r>
        <w:rPr>
          <w:spacing w:val="-65"/>
        </w:rPr>
        <w:t> </w:t>
      </w:r>
      <w:r>
        <w:rPr>
          <w:rFonts w:ascii="Arial" w:hAnsi="Arial" w:cs="Arial" w:eastAsia="Arial" w:hint="default"/>
        </w:rPr>
        <w:t>2009</w:t>
      </w:r>
      <w:r>
        <w:rPr>
          <w:rFonts w:ascii="Arial" w:hAnsi="Arial" w:cs="Arial" w:eastAsia="Arial" w:hint="default"/>
          <w:spacing w:val="-16"/>
        </w:rPr>
        <w:t> </w:t>
      </w:r>
      <w:r>
        <w:rPr/>
        <w:t>年</w:t>
      </w:r>
      <w:r>
        <w:rPr>
          <w:spacing w:val="-65"/>
        </w:rPr>
        <w:t> </w:t>
      </w:r>
      <w:r>
        <w:rPr>
          <w:rFonts w:ascii="Arial" w:hAnsi="Arial" w:cs="Arial" w:eastAsia="Arial" w:hint="default"/>
        </w:rPr>
        <w:t>5</w:t>
      </w:r>
      <w:r>
        <w:rPr>
          <w:rFonts w:ascii="Arial" w:hAnsi="Arial" w:cs="Arial" w:eastAsia="Arial" w:hint="default"/>
          <w:spacing w:val="-16"/>
        </w:rPr>
        <w:t> </w:t>
      </w:r>
      <w:r>
        <w:rPr/>
        <w:t>月起担任本公司监事、监事会主席。李建</w:t>
      </w:r>
      <w:r>
        <w:rPr>
          <w:w w:val="99"/>
        </w:rPr>
        <w:t> </w:t>
      </w:r>
      <w:r>
        <w:rPr>
          <w:spacing w:val="-2"/>
        </w:rPr>
        <w:t>国女士长期在企业、地方政府和国家部委担任领导职务，具有丰富的政府、企业工作经历和管</w:t>
      </w:r>
      <w:r>
        <w:rPr>
          <w:w w:val="99"/>
        </w:rPr>
        <w:t> </w:t>
      </w:r>
      <w:r>
        <w:rPr/>
        <w:t>理经验。</w:t>
      </w:r>
    </w:p>
    <w:p>
      <w:pPr>
        <w:spacing w:after="0" w:line="230" w:lineRule="auto"/>
        <w:jc w:val="both"/>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95" w:lineRule="exact" w:before="31"/>
        <w:ind w:left="145" w:right="91"/>
        <w:jc w:val="left"/>
      </w:pPr>
      <w:r>
        <w:rPr>
          <w:rFonts w:ascii="Arial" w:hAnsi="Arial" w:cs="Arial" w:eastAsia="Arial" w:hint="default"/>
        </w:rPr>
        <w:t>(10)</w:t>
      </w:r>
      <w:r>
        <w:rPr>
          <w:rFonts w:ascii="Arial" w:hAnsi="Arial" w:cs="Arial" w:eastAsia="Arial" w:hint="default"/>
          <w:spacing w:val="-37"/>
        </w:rPr>
        <w:t> </w:t>
      </w:r>
      <w:r>
        <w:rPr/>
        <w:t>姚琼：</w:t>
      </w:r>
    </w:p>
    <w:p>
      <w:pPr>
        <w:pStyle w:val="BodyText"/>
        <w:spacing w:line="237" w:lineRule="auto"/>
        <w:ind w:left="568" w:right="287"/>
        <w:jc w:val="both"/>
      </w:pPr>
      <w:r>
        <w:rPr/>
        <w:t>姚琼女士为高级政工师，工商管理硕士学位。曾任国家档案局综合档案馆司副处长，中国航</w:t>
      </w:r>
      <w:r>
        <w:rPr>
          <w:w w:val="99"/>
        </w:rPr>
        <w:t> </w:t>
      </w:r>
      <w:r>
        <w:rPr/>
        <w:t>空工业总公司人事劳动局培训中心副主任、主任，国防科工委直属机关党委正处级纪律检查</w:t>
      </w:r>
      <w:r>
        <w:rPr>
          <w:w w:val="99"/>
        </w:rPr>
        <w:t> </w:t>
      </w:r>
      <w:r>
        <w:rPr/>
        <w:t>员、离退休干部局处长。</w:t>
      </w:r>
      <w:r>
        <w:rPr>
          <w:rFonts w:ascii="Arial" w:hAnsi="Arial" w:cs="Arial" w:eastAsia="Arial" w:hint="default"/>
        </w:rPr>
        <w:t>2002</w:t>
      </w:r>
      <w:r>
        <w:rPr>
          <w:rFonts w:ascii="Arial" w:hAnsi="Arial" w:cs="Arial" w:eastAsia="Arial" w:hint="default"/>
          <w:spacing w:val="-7"/>
        </w:rPr>
        <w:t> </w:t>
      </w:r>
      <w:r>
        <w:rPr/>
        <w:t>年</w:t>
      </w:r>
      <w:r>
        <w:rPr>
          <w:spacing w:val="-56"/>
        </w:rPr>
        <w:t> </w:t>
      </w:r>
      <w:r>
        <w:rPr>
          <w:rFonts w:ascii="Arial" w:hAnsi="Arial" w:cs="Arial" w:eastAsia="Arial" w:hint="default"/>
        </w:rPr>
        <w:t>6</w:t>
      </w:r>
      <w:r>
        <w:rPr>
          <w:rFonts w:ascii="Arial" w:hAnsi="Arial" w:cs="Arial" w:eastAsia="Arial" w:hint="default"/>
          <w:spacing w:val="-7"/>
        </w:rPr>
        <w:t> </w:t>
      </w:r>
      <w:r>
        <w:rPr/>
        <w:t>月至</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月在中国网络通信集团公司先后担任党</w:t>
      </w:r>
    </w:p>
    <w:p>
      <w:pPr>
        <w:pStyle w:val="BodyText"/>
        <w:spacing w:line="277" w:lineRule="exact"/>
        <w:ind w:left="568" w:right="91"/>
        <w:jc w:val="left"/>
      </w:pPr>
      <w:r>
        <w:rPr/>
        <w:t>群工作部综合办公室负责人、集团工会副主席。</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11</w:t>
      </w:r>
      <w:r>
        <w:rPr>
          <w:rFonts w:ascii="Arial" w:hAnsi="Arial" w:cs="Arial" w:eastAsia="Arial" w:hint="default"/>
          <w:spacing w:val="-8"/>
        </w:rPr>
        <w:t> </w:t>
      </w:r>
      <w:r>
        <w:rPr/>
        <w:t>月至</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月任中国联通集</w:t>
      </w:r>
    </w:p>
    <w:p>
      <w:pPr>
        <w:pStyle w:val="BodyText"/>
        <w:spacing w:line="230" w:lineRule="auto" w:before="1"/>
        <w:ind w:left="568" w:right="287"/>
        <w:jc w:val="both"/>
      </w:pPr>
      <w:r>
        <w:rPr/>
        <w:t>团工会副主席。自</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9</w:t>
      </w:r>
      <w:r>
        <w:rPr>
          <w:rFonts w:ascii="Arial" w:hAnsi="Arial" w:cs="Arial" w:eastAsia="Arial" w:hint="default"/>
          <w:spacing w:val="-7"/>
        </w:rPr>
        <w:t> </w:t>
      </w:r>
      <w:r>
        <w:rPr/>
        <w:t>日起任本公司监事。</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月至今任联通集团工会资</w:t>
      </w:r>
      <w:r>
        <w:rPr>
          <w:w w:val="99"/>
        </w:rPr>
        <w:t> </w:t>
      </w:r>
      <w:r>
        <w:rPr/>
        <w:t>深经理。姚琼女士具有丰富的政府、企业工作经历和组织职工参与民主管理、开展工会工作</w:t>
      </w:r>
      <w:r>
        <w:rPr>
          <w:w w:val="99"/>
        </w:rPr>
        <w:t> </w:t>
      </w:r>
      <w:r>
        <w:rPr/>
        <w:t>方面的经验。</w:t>
      </w:r>
    </w:p>
    <w:p>
      <w:pPr>
        <w:spacing w:line="240" w:lineRule="auto" w:before="4"/>
        <w:rPr>
          <w:rFonts w:ascii="宋体" w:hAnsi="宋体" w:cs="宋体" w:eastAsia="宋体" w:hint="default"/>
          <w:sz w:val="19"/>
          <w:szCs w:val="19"/>
        </w:rPr>
      </w:pPr>
    </w:p>
    <w:p>
      <w:pPr>
        <w:pStyle w:val="BodyText"/>
        <w:spacing w:line="294" w:lineRule="exact"/>
        <w:ind w:left="145" w:right="91"/>
        <w:jc w:val="left"/>
      </w:pPr>
      <w:r>
        <w:rPr>
          <w:rFonts w:ascii="Arial" w:hAnsi="Arial" w:cs="Arial" w:eastAsia="Arial" w:hint="default"/>
        </w:rPr>
        <w:t>(11)</w:t>
      </w:r>
      <w:r>
        <w:rPr>
          <w:rFonts w:ascii="Arial" w:hAnsi="Arial" w:cs="Arial" w:eastAsia="Arial" w:hint="default"/>
          <w:spacing w:val="-38"/>
        </w:rPr>
        <w:t> </w:t>
      </w:r>
      <w:r>
        <w:rPr/>
        <w:t>韦海波：</w:t>
      </w:r>
    </w:p>
    <w:p>
      <w:pPr>
        <w:pStyle w:val="BodyText"/>
        <w:spacing w:line="286" w:lineRule="exact" w:before="18"/>
        <w:ind w:left="568" w:right="198"/>
        <w:jc w:val="left"/>
        <w:rPr>
          <w:rFonts w:ascii="Arial" w:hAnsi="Arial" w:cs="Arial" w:eastAsia="Arial" w:hint="default"/>
        </w:rPr>
      </w:pPr>
      <w:r>
        <w:rPr/>
        <w:t>韦海波先生为高级经济师，</w:t>
      </w:r>
      <w:r>
        <w:rPr>
          <w:rFonts w:ascii="Arial" w:hAnsi="Arial" w:cs="Arial" w:eastAsia="Arial" w:hint="default"/>
        </w:rPr>
        <w:t>1985 </w:t>
      </w:r>
      <w:r>
        <w:rPr/>
        <w:t>年毕业于河北师范大学数学系本科，</w:t>
      </w:r>
      <w:r>
        <w:rPr>
          <w:rFonts w:ascii="Arial" w:hAnsi="Arial" w:cs="Arial" w:eastAsia="Arial" w:hint="default"/>
        </w:rPr>
        <w:t>1990</w:t>
      </w:r>
      <w:r>
        <w:rPr>
          <w:rFonts w:ascii="Arial" w:hAnsi="Arial" w:cs="Arial" w:eastAsia="Arial" w:hint="default"/>
          <w:spacing w:val="-16"/>
        </w:rPr>
        <w:t> </w:t>
      </w:r>
      <w:r>
        <w:rPr/>
        <w:t>年毕业于上海交</w:t>
      </w:r>
      <w:r>
        <w:rPr>
          <w:w w:val="99"/>
        </w:rPr>
        <w:t> </w:t>
      </w:r>
      <w:r>
        <w:rPr/>
        <w:t>通大学应用数学系获硕士学位。</w:t>
      </w:r>
      <w:r>
        <w:rPr>
          <w:rFonts w:ascii="Arial" w:hAnsi="Arial" w:cs="Arial" w:eastAsia="Arial" w:hint="default"/>
        </w:rPr>
        <w:t>2004</w:t>
      </w:r>
      <w:r>
        <w:rPr>
          <w:rFonts w:ascii="Arial" w:hAnsi="Arial" w:cs="Arial" w:eastAsia="Arial" w:hint="default"/>
          <w:spacing w:val="-37"/>
        </w:rPr>
        <w:t> </w:t>
      </w:r>
      <w:r>
        <w:rPr/>
        <w:t>年获复旦大学与挪威管理学院合作信息通信管理专业硕</w:t>
      </w:r>
      <w:r>
        <w:rPr>
          <w:w w:val="99"/>
        </w:rPr>
        <w:t> </w:t>
      </w:r>
      <w:r>
        <w:rPr>
          <w:spacing w:val="-3"/>
        </w:rPr>
        <w:t>士。</w:t>
      </w:r>
      <w:r>
        <w:rPr>
          <w:rFonts w:ascii="Arial" w:hAnsi="Arial" w:cs="Arial" w:eastAsia="Arial" w:hint="default"/>
          <w:spacing w:val="-3"/>
        </w:rPr>
        <w:t>2010</w:t>
      </w:r>
      <w:r>
        <w:rPr>
          <w:rFonts w:ascii="Arial" w:hAnsi="Arial" w:cs="Arial" w:eastAsia="Arial" w:hint="default"/>
          <w:spacing w:val="-16"/>
        </w:rPr>
        <w:t> </w:t>
      </w:r>
      <w:r>
        <w:rPr/>
        <w:t>年获香港理工大学管理学博士。曾任河北省师范大学数学系讲师，</w:t>
      </w:r>
      <w:r>
        <w:rPr>
          <w:rFonts w:ascii="Arial" w:hAnsi="Arial" w:cs="Arial" w:eastAsia="Arial" w:hint="default"/>
        </w:rPr>
        <w:t>1996</w:t>
      </w:r>
      <w:r>
        <w:rPr>
          <w:rFonts w:ascii="Arial" w:hAnsi="Arial" w:cs="Arial" w:eastAsia="Arial" w:hint="default"/>
          <w:spacing w:val="-15"/>
        </w:rPr>
        <w:t> </w:t>
      </w:r>
      <w:r>
        <w:rPr/>
        <w:t>年</w:t>
      </w:r>
      <w:r>
        <w:rPr>
          <w:spacing w:val="-65"/>
        </w:rPr>
        <w:t> </w:t>
      </w:r>
      <w:r>
        <w:rPr>
          <w:rFonts w:ascii="Arial" w:hAnsi="Arial" w:cs="Arial" w:eastAsia="Arial" w:hint="default"/>
        </w:rPr>
        <w:t>10</w:t>
      </w:r>
      <w:r>
        <w:rPr>
          <w:rFonts w:ascii="Arial" w:hAnsi="Arial" w:cs="Arial" w:eastAsia="Arial" w:hint="default"/>
          <w:spacing w:val="-16"/>
        </w:rPr>
        <w:t> </w:t>
      </w:r>
      <w:r>
        <w:rPr/>
        <w:t>月至</w:t>
      </w:r>
      <w:r>
        <w:rPr>
          <w:w w:val="99"/>
        </w:rPr>
        <w:t> </w:t>
      </w:r>
      <w:r>
        <w:rPr>
          <w:rFonts w:ascii="Arial" w:hAnsi="Arial" w:cs="Arial" w:eastAsia="Arial" w:hint="default"/>
        </w:rPr>
        <w:t>2001</w:t>
      </w:r>
      <w:r>
        <w:rPr>
          <w:rFonts w:ascii="Arial" w:hAnsi="Arial" w:cs="Arial" w:eastAsia="Arial" w:hint="default"/>
          <w:spacing w:val="-14"/>
        </w:rPr>
        <w:t> </w:t>
      </w:r>
      <w:r>
        <w:rPr/>
        <w:t>年</w:t>
      </w:r>
      <w:r>
        <w:rPr>
          <w:spacing w:val="-63"/>
        </w:rPr>
        <w:t> </w:t>
      </w:r>
      <w:r>
        <w:rPr>
          <w:rFonts w:ascii="Arial" w:hAnsi="Arial" w:cs="Arial" w:eastAsia="Arial" w:hint="default"/>
        </w:rPr>
        <w:t>2</w:t>
      </w:r>
      <w:r>
        <w:rPr>
          <w:rFonts w:ascii="Arial" w:hAnsi="Arial" w:cs="Arial" w:eastAsia="Arial" w:hint="default"/>
          <w:spacing w:val="-14"/>
        </w:rPr>
        <w:t> </w:t>
      </w:r>
      <w:r>
        <w:rPr/>
        <w:t>月，任原河北省邮电管理局财务处副处长、财务部主任。</w:t>
      </w:r>
      <w:r>
        <w:rPr>
          <w:rFonts w:ascii="Arial" w:hAnsi="Arial" w:cs="Arial" w:eastAsia="Arial" w:hint="default"/>
        </w:rPr>
        <w:t>2001</w:t>
      </w:r>
      <w:r>
        <w:rPr>
          <w:rFonts w:ascii="Arial" w:hAnsi="Arial" w:cs="Arial" w:eastAsia="Arial" w:hint="default"/>
          <w:spacing w:val="-14"/>
        </w:rPr>
        <w:t> </w:t>
      </w:r>
      <w:r>
        <w:rPr/>
        <w:t>年</w:t>
      </w:r>
      <w:r>
        <w:rPr>
          <w:spacing w:val="-63"/>
        </w:rPr>
        <w:t> </w:t>
      </w:r>
      <w:r>
        <w:rPr>
          <w:rFonts w:ascii="Arial" w:hAnsi="Arial" w:cs="Arial" w:eastAsia="Arial" w:hint="default"/>
        </w:rPr>
        <w:t>3</w:t>
      </w:r>
      <w:r>
        <w:rPr>
          <w:rFonts w:ascii="Arial" w:hAnsi="Arial" w:cs="Arial" w:eastAsia="Arial" w:hint="default"/>
          <w:spacing w:val="-14"/>
        </w:rPr>
        <w:t> </w:t>
      </w:r>
      <w:r>
        <w:rPr/>
        <w:t>月至</w:t>
      </w:r>
      <w:r>
        <w:rPr>
          <w:spacing w:val="-63"/>
        </w:rPr>
        <w:t> </w:t>
      </w:r>
      <w:r>
        <w:rPr>
          <w:rFonts w:ascii="Arial" w:hAnsi="Arial" w:cs="Arial" w:eastAsia="Arial" w:hint="default"/>
        </w:rPr>
        <w:t>2002</w:t>
      </w:r>
      <w:r>
        <w:rPr>
          <w:rFonts w:ascii="Arial" w:hAnsi="Arial" w:cs="Arial" w:eastAsia="Arial" w:hint="default"/>
          <w:spacing w:val="-14"/>
        </w:rPr>
        <w:t> </w:t>
      </w:r>
      <w:r>
        <w:rPr/>
        <w:t>年</w:t>
      </w:r>
      <w:r>
        <w:rPr>
          <w:spacing w:val="-63"/>
        </w:rPr>
        <w:t> </w:t>
      </w:r>
      <w:r>
        <w:rPr>
          <w:rFonts w:ascii="Arial" w:hAnsi="Arial" w:cs="Arial" w:eastAsia="Arial" w:hint="default"/>
        </w:rPr>
        <w:t>8</w:t>
      </w:r>
    </w:p>
    <w:p>
      <w:pPr>
        <w:pStyle w:val="BodyText"/>
        <w:spacing w:line="225" w:lineRule="auto"/>
        <w:ind w:left="568" w:right="203"/>
        <w:jc w:val="left"/>
      </w:pPr>
      <w:r>
        <w:rPr/>
        <w:t>月任河北省电信公司副总经理。</w:t>
      </w:r>
      <w:r>
        <w:rPr>
          <w:rFonts w:ascii="Arial" w:hAnsi="Arial" w:cs="Arial" w:eastAsia="Arial" w:hint="default"/>
        </w:rPr>
        <w:t>2002</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月至</w:t>
      </w:r>
      <w:r>
        <w:rPr>
          <w:spacing w:val="-56"/>
        </w:rPr>
        <w:t> </w:t>
      </w:r>
      <w:r>
        <w:rPr>
          <w:rFonts w:ascii="Arial" w:hAnsi="Arial" w:cs="Arial" w:eastAsia="Arial" w:hint="default"/>
        </w:rPr>
        <w:t>2003</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月任中国网通河北省通信公司副</w:t>
      </w:r>
      <w:r>
        <w:rPr>
          <w:w w:val="99"/>
        </w:rPr>
        <w:t> </w:t>
      </w:r>
      <w:r>
        <w:rPr>
          <w:spacing w:val="-3"/>
        </w:rPr>
        <w:t>总经理。</w:t>
      </w:r>
      <w:r>
        <w:rPr>
          <w:rFonts w:ascii="Arial" w:hAnsi="Arial" w:cs="Arial" w:eastAsia="Arial" w:hint="default"/>
          <w:spacing w:val="-3"/>
        </w:rPr>
        <w:t>2004</w:t>
      </w:r>
      <w:r>
        <w:rPr>
          <w:rFonts w:ascii="Arial" w:hAnsi="Arial" w:cs="Arial" w:eastAsia="Arial" w:hint="default"/>
          <w:spacing w:val="-14"/>
        </w:rPr>
        <w:t> </w:t>
      </w:r>
      <w:r>
        <w:rPr/>
        <w:t>年</w:t>
      </w:r>
      <w:r>
        <w:rPr>
          <w:spacing w:val="-63"/>
        </w:rPr>
        <w:t> </w:t>
      </w:r>
      <w:r>
        <w:rPr>
          <w:rFonts w:ascii="Arial" w:hAnsi="Arial" w:cs="Arial" w:eastAsia="Arial" w:hint="default"/>
        </w:rPr>
        <w:t>1</w:t>
      </w:r>
      <w:r>
        <w:rPr>
          <w:rFonts w:ascii="Arial" w:hAnsi="Arial" w:cs="Arial" w:eastAsia="Arial" w:hint="default"/>
          <w:spacing w:val="-14"/>
        </w:rPr>
        <w:t> </w:t>
      </w:r>
      <w:r>
        <w:rPr/>
        <w:t>月起先后担任中国网通南方有限公司副总经理，网通北京市通信公司副总</w:t>
      </w:r>
      <w:r>
        <w:rPr>
          <w:w w:val="99"/>
        </w:rPr>
        <w:t> </w:t>
      </w:r>
      <w:r>
        <w:rPr/>
        <w:t>经理，网通集团财务部总经理兼计费结算与财务共享中心总经理，网通北京市分公司常务副</w:t>
      </w:r>
    </w:p>
    <w:p>
      <w:pPr>
        <w:pStyle w:val="BodyText"/>
        <w:spacing w:line="294" w:lineRule="exact"/>
        <w:ind w:left="568" w:right="91"/>
        <w:jc w:val="left"/>
      </w:pPr>
      <w:r>
        <w:rPr/>
        <w:t>总经理。</w:t>
      </w:r>
      <w:r>
        <w:rPr>
          <w:rFonts w:ascii="Arial" w:hAnsi="Arial" w:cs="Arial" w:eastAsia="Arial" w:hint="default"/>
        </w:rPr>
        <w:t>2008</w:t>
      </w:r>
      <w:r>
        <w:rPr>
          <w:rFonts w:ascii="Arial" w:hAnsi="Arial" w:cs="Arial" w:eastAsia="Arial" w:hint="default"/>
          <w:spacing w:val="-9"/>
        </w:rPr>
        <w:t> </w:t>
      </w:r>
      <w:r>
        <w:rPr/>
        <w:t>年</w:t>
      </w:r>
      <w:r>
        <w:rPr>
          <w:spacing w:val="-58"/>
        </w:rPr>
        <w:t> </w:t>
      </w:r>
      <w:r>
        <w:rPr>
          <w:rFonts w:ascii="Arial" w:hAnsi="Arial" w:cs="Arial" w:eastAsia="Arial" w:hint="default"/>
        </w:rPr>
        <w:t>11</w:t>
      </w:r>
      <w:r>
        <w:rPr>
          <w:rFonts w:ascii="Arial" w:hAnsi="Arial" w:cs="Arial" w:eastAsia="Arial" w:hint="default"/>
          <w:spacing w:val="-9"/>
        </w:rPr>
        <w:t> </w:t>
      </w:r>
      <w:r>
        <w:rPr/>
        <w:t>月至</w:t>
      </w:r>
      <w:r>
        <w:rPr>
          <w:spacing w:val="-58"/>
        </w:rPr>
        <w:t> </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3</w:t>
      </w:r>
      <w:r>
        <w:rPr>
          <w:rFonts w:ascii="Arial" w:hAnsi="Arial" w:cs="Arial" w:eastAsia="Arial" w:hint="default"/>
          <w:spacing w:val="-9"/>
        </w:rPr>
        <w:t> </w:t>
      </w:r>
      <w:r>
        <w:rPr/>
        <w:t>月任中国联通北京分公司筹备组副组长。</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3</w:t>
      </w:r>
      <w:r>
        <w:rPr>
          <w:rFonts w:ascii="Arial" w:hAnsi="Arial" w:cs="Arial" w:eastAsia="Arial" w:hint="default"/>
          <w:spacing w:val="-9"/>
        </w:rPr>
        <w:t> </w:t>
      </w:r>
      <w:r>
        <w:rPr/>
        <w:t>月至</w:t>
      </w:r>
    </w:p>
    <w:p>
      <w:pPr>
        <w:pStyle w:val="BodyText"/>
        <w:spacing w:line="285" w:lineRule="exact"/>
        <w:ind w:left="568" w:right="91"/>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月任中国联通北京市分公司副总经理。</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月至</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月任中国联通审</w:t>
      </w:r>
    </w:p>
    <w:p>
      <w:pPr>
        <w:pStyle w:val="BodyText"/>
        <w:spacing w:line="286" w:lineRule="exact" w:before="18"/>
        <w:ind w:left="568" w:right="298" w:hanging="1"/>
        <w:jc w:val="left"/>
      </w:pPr>
      <w:r>
        <w:rPr/>
        <w:t>计部总经理。</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月起任中国联通天津分公司总经理。自</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24</w:t>
      </w:r>
      <w:r>
        <w:rPr>
          <w:rFonts w:ascii="Arial" w:hAnsi="Arial" w:cs="Arial" w:eastAsia="Arial" w:hint="default"/>
          <w:spacing w:val="-7"/>
        </w:rPr>
        <w:t> </w:t>
      </w:r>
      <w:r>
        <w:rPr/>
        <w:t>日起任本公</w:t>
      </w:r>
      <w:r>
        <w:rPr>
          <w:w w:val="99"/>
        </w:rPr>
        <w:t> </w:t>
      </w:r>
      <w:r>
        <w:rPr/>
        <w:t>司监事。韦海波先生长期在电信行业工作，具有丰富的管理经验。</w:t>
      </w:r>
    </w:p>
    <w:p>
      <w:pPr>
        <w:spacing w:line="240" w:lineRule="auto" w:before="2"/>
        <w:rPr>
          <w:rFonts w:ascii="宋体" w:hAnsi="宋体" w:cs="宋体" w:eastAsia="宋体" w:hint="default"/>
          <w:sz w:val="17"/>
          <w:szCs w:val="17"/>
        </w:rPr>
      </w:pPr>
    </w:p>
    <w:p>
      <w:pPr>
        <w:pStyle w:val="BodyText"/>
        <w:spacing w:line="294" w:lineRule="exact"/>
        <w:ind w:left="145" w:right="91"/>
        <w:jc w:val="left"/>
      </w:pPr>
      <w:r>
        <w:rPr>
          <w:rFonts w:ascii="Arial" w:hAnsi="Arial" w:cs="Arial" w:eastAsia="Arial" w:hint="default"/>
        </w:rPr>
        <w:t>(12)</w:t>
      </w:r>
      <w:r>
        <w:rPr>
          <w:rFonts w:ascii="Arial" w:hAnsi="Arial" w:cs="Arial" w:eastAsia="Arial" w:hint="default"/>
          <w:spacing w:val="-37"/>
        </w:rPr>
        <w:t> </w:t>
      </w:r>
      <w:r>
        <w:rPr/>
        <w:t>张健：</w:t>
      </w:r>
    </w:p>
    <w:p>
      <w:pPr>
        <w:pStyle w:val="BodyText"/>
        <w:spacing w:line="285" w:lineRule="exact"/>
        <w:ind w:left="568" w:right="91"/>
        <w:jc w:val="left"/>
      </w:pPr>
      <w:r>
        <w:rPr/>
        <w:t>张健先生为高级经济师，于</w:t>
      </w:r>
      <w:r>
        <w:rPr>
          <w:spacing w:val="-57"/>
        </w:rPr>
        <w:t> </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4</w:t>
      </w:r>
      <w:r>
        <w:rPr>
          <w:rFonts w:ascii="Arial" w:hAnsi="Arial" w:cs="Arial" w:eastAsia="Arial" w:hint="default"/>
          <w:spacing w:val="-8"/>
        </w:rPr>
        <w:t> </w:t>
      </w:r>
      <w:r>
        <w:rPr/>
        <w:t>月获法国雷恩高等商学院工商管理博士学位。</w:t>
      </w:r>
      <w:r>
        <w:rPr>
          <w:rFonts w:ascii="Arial" w:hAnsi="Arial" w:cs="Arial" w:eastAsia="Arial" w:hint="default"/>
        </w:rPr>
        <w:t>1986</w:t>
      </w:r>
      <w:r>
        <w:rPr>
          <w:rFonts w:ascii="Arial" w:hAnsi="Arial" w:cs="Arial" w:eastAsia="Arial" w:hint="default"/>
          <w:spacing w:val="-8"/>
        </w:rPr>
        <w:t> </w:t>
      </w:r>
      <w:r>
        <w:rPr/>
        <w:t>年</w:t>
      </w:r>
    </w:p>
    <w:p>
      <w:pPr>
        <w:pStyle w:val="BodyText"/>
        <w:spacing w:line="286" w:lineRule="exact"/>
        <w:ind w:left="568" w:right="91"/>
        <w:jc w:val="left"/>
      </w:pPr>
      <w:r>
        <w:rPr>
          <w:rFonts w:ascii="Arial" w:hAnsi="Arial" w:cs="Arial" w:eastAsia="Arial" w:hint="default"/>
        </w:rPr>
        <w:t>12</w:t>
      </w:r>
      <w:r>
        <w:rPr>
          <w:rFonts w:ascii="Arial" w:hAnsi="Arial" w:cs="Arial" w:eastAsia="Arial" w:hint="default"/>
          <w:spacing w:val="-10"/>
        </w:rPr>
        <w:t> </w:t>
      </w:r>
      <w:r>
        <w:rPr/>
        <w:t>月至</w:t>
      </w:r>
      <w:r>
        <w:rPr>
          <w:spacing w:val="-59"/>
        </w:rPr>
        <w:t> </w:t>
      </w:r>
      <w:r>
        <w:rPr>
          <w:rFonts w:ascii="Arial" w:hAnsi="Arial" w:cs="Arial" w:eastAsia="Arial" w:hint="default"/>
        </w:rPr>
        <w:t>1992</w:t>
      </w:r>
      <w:r>
        <w:rPr>
          <w:rFonts w:ascii="Arial" w:hAnsi="Arial" w:cs="Arial" w:eastAsia="Arial" w:hint="default"/>
          <w:spacing w:val="-10"/>
        </w:rPr>
        <w:t> </w:t>
      </w:r>
      <w:r>
        <w:rPr/>
        <w:t>年</w:t>
      </w:r>
      <w:r>
        <w:rPr>
          <w:spacing w:val="-59"/>
        </w:rPr>
        <w:t> </w:t>
      </w:r>
      <w:r>
        <w:rPr>
          <w:rFonts w:ascii="Arial" w:hAnsi="Arial" w:cs="Arial" w:eastAsia="Arial" w:hint="default"/>
        </w:rPr>
        <w:t>8</w:t>
      </w:r>
      <w:r>
        <w:rPr>
          <w:rFonts w:ascii="Arial" w:hAnsi="Arial" w:cs="Arial" w:eastAsia="Arial" w:hint="default"/>
          <w:spacing w:val="-10"/>
        </w:rPr>
        <w:t> </w:t>
      </w:r>
      <w:r>
        <w:rPr/>
        <w:t>月任上海市市内电话局副局长。</w:t>
      </w:r>
      <w:r>
        <w:rPr>
          <w:rFonts w:ascii="Arial" w:hAnsi="Arial" w:cs="Arial" w:eastAsia="Arial" w:hint="default"/>
        </w:rPr>
        <w:t>1992</w:t>
      </w:r>
      <w:r>
        <w:rPr>
          <w:rFonts w:ascii="Arial" w:hAnsi="Arial" w:cs="Arial" w:eastAsia="Arial" w:hint="default"/>
          <w:spacing w:val="-9"/>
        </w:rPr>
        <w:t> </w:t>
      </w:r>
      <w:r>
        <w:rPr/>
        <w:t>年</w:t>
      </w:r>
      <w:r>
        <w:rPr>
          <w:spacing w:val="-59"/>
        </w:rPr>
        <w:t> </w:t>
      </w:r>
      <w:r>
        <w:rPr>
          <w:rFonts w:ascii="Arial" w:hAnsi="Arial" w:cs="Arial" w:eastAsia="Arial" w:hint="default"/>
        </w:rPr>
        <w:t>8</w:t>
      </w:r>
      <w:r>
        <w:rPr>
          <w:rFonts w:ascii="Arial" w:hAnsi="Arial" w:cs="Arial" w:eastAsia="Arial" w:hint="default"/>
          <w:spacing w:val="-10"/>
        </w:rPr>
        <w:t> </w:t>
      </w:r>
      <w:r>
        <w:rPr/>
        <w:t>月至</w:t>
      </w:r>
      <w:r>
        <w:rPr>
          <w:spacing w:val="-59"/>
        </w:rPr>
        <w:t> </w:t>
      </w:r>
      <w:r>
        <w:rPr>
          <w:rFonts w:ascii="Arial" w:hAnsi="Arial" w:cs="Arial" w:eastAsia="Arial" w:hint="default"/>
        </w:rPr>
        <w:t>1997</w:t>
      </w:r>
      <w:r>
        <w:rPr>
          <w:rFonts w:ascii="Arial" w:hAnsi="Arial" w:cs="Arial" w:eastAsia="Arial" w:hint="default"/>
          <w:spacing w:val="-10"/>
        </w:rPr>
        <w:t> </w:t>
      </w:r>
      <w:r>
        <w:rPr/>
        <w:t>年</w:t>
      </w:r>
      <w:r>
        <w:rPr>
          <w:spacing w:val="-59"/>
        </w:rPr>
        <w:t> </w:t>
      </w:r>
      <w:r>
        <w:rPr>
          <w:rFonts w:ascii="Arial" w:hAnsi="Arial" w:cs="Arial" w:eastAsia="Arial" w:hint="default"/>
        </w:rPr>
        <w:t>2</w:t>
      </w:r>
      <w:r>
        <w:rPr>
          <w:rFonts w:ascii="Arial" w:hAnsi="Arial" w:cs="Arial" w:eastAsia="Arial" w:hint="default"/>
          <w:spacing w:val="-10"/>
        </w:rPr>
        <w:t> </w:t>
      </w:r>
      <w:r>
        <w:rPr/>
        <w:t>月先后担任上海</w:t>
      </w:r>
    </w:p>
    <w:p>
      <w:pPr>
        <w:pStyle w:val="BodyText"/>
        <w:spacing w:line="286" w:lineRule="exact"/>
        <w:ind w:left="568" w:right="0"/>
        <w:jc w:val="left"/>
      </w:pPr>
      <w:r>
        <w:rPr>
          <w:spacing w:val="-5"/>
        </w:rPr>
        <w:t>国脉通信股份有限公司总经理、副董事长。</w:t>
      </w:r>
      <w:r>
        <w:rPr>
          <w:rFonts w:ascii="Arial" w:hAnsi="Arial" w:cs="Arial" w:eastAsia="Arial" w:hint="default"/>
          <w:spacing w:val="-5"/>
        </w:rPr>
        <w:t>1997</w:t>
      </w:r>
      <w:r>
        <w:rPr>
          <w:rFonts w:ascii="Arial" w:hAnsi="Arial" w:cs="Arial" w:eastAsia="Arial" w:hint="default"/>
          <w:spacing w:val="-6"/>
        </w:rPr>
        <w:t> </w:t>
      </w:r>
      <w:r>
        <w:rPr/>
        <w:t>年</w:t>
      </w:r>
      <w:r>
        <w:rPr>
          <w:spacing w:val="-55"/>
        </w:rPr>
        <w:t> </w:t>
      </w:r>
      <w:r>
        <w:rPr>
          <w:rFonts w:ascii="Arial" w:hAnsi="Arial" w:cs="Arial" w:eastAsia="Arial" w:hint="default"/>
        </w:rPr>
        <w:t>2</w:t>
      </w:r>
      <w:r>
        <w:rPr>
          <w:rFonts w:ascii="Arial" w:hAnsi="Arial" w:cs="Arial" w:eastAsia="Arial" w:hint="default"/>
          <w:spacing w:val="-6"/>
        </w:rPr>
        <w:t> </w:t>
      </w:r>
      <w:r>
        <w:rPr/>
        <w:t>月至</w:t>
      </w:r>
      <w:r>
        <w:rPr>
          <w:spacing w:val="-55"/>
        </w:rPr>
        <w:t> </w:t>
      </w:r>
      <w:r>
        <w:rPr>
          <w:rFonts w:ascii="Arial" w:hAnsi="Arial" w:cs="Arial" w:eastAsia="Arial" w:hint="default"/>
        </w:rPr>
        <w:t>1999</w:t>
      </w:r>
      <w:r>
        <w:rPr>
          <w:rFonts w:ascii="Arial" w:hAnsi="Arial" w:cs="Arial" w:eastAsia="Arial" w:hint="default"/>
          <w:spacing w:val="-6"/>
        </w:rPr>
        <w:t> </w:t>
      </w:r>
      <w:r>
        <w:rPr/>
        <w:t>年</w:t>
      </w:r>
      <w:r>
        <w:rPr>
          <w:spacing w:val="-55"/>
        </w:rPr>
        <w:t> </w:t>
      </w:r>
      <w:r>
        <w:rPr>
          <w:rFonts w:ascii="Arial" w:hAnsi="Arial" w:cs="Arial" w:eastAsia="Arial" w:hint="default"/>
        </w:rPr>
        <w:t>6</w:t>
      </w:r>
      <w:r>
        <w:rPr>
          <w:rFonts w:ascii="Arial" w:hAnsi="Arial" w:cs="Arial" w:eastAsia="Arial" w:hint="default"/>
          <w:spacing w:val="-6"/>
        </w:rPr>
        <w:t> </w:t>
      </w:r>
      <w:r>
        <w:rPr/>
        <w:t>月任上海市电话局局长。</w:t>
      </w:r>
    </w:p>
    <w:p>
      <w:pPr>
        <w:pStyle w:val="BodyText"/>
        <w:spacing w:line="285" w:lineRule="exact"/>
        <w:ind w:left="568" w:right="91"/>
        <w:jc w:val="left"/>
      </w:pPr>
      <w:r>
        <w:rPr>
          <w:rFonts w:ascii="Arial" w:hAnsi="Arial" w:cs="Arial" w:eastAsia="Arial" w:hint="default"/>
        </w:rPr>
        <w:t>1999</w:t>
      </w:r>
      <w:r>
        <w:rPr>
          <w:rFonts w:ascii="Arial" w:hAnsi="Arial" w:cs="Arial" w:eastAsia="Arial" w:hint="default"/>
          <w:spacing w:val="-7"/>
        </w:rPr>
        <w:t> </w:t>
      </w:r>
      <w:r>
        <w:rPr/>
        <w:t>年</w:t>
      </w:r>
      <w:r>
        <w:rPr>
          <w:spacing w:val="-56"/>
        </w:rPr>
        <w:t> </w:t>
      </w:r>
      <w:r>
        <w:rPr>
          <w:rFonts w:ascii="Arial" w:hAnsi="Arial" w:cs="Arial" w:eastAsia="Arial" w:hint="default"/>
        </w:rPr>
        <w:t>6</w:t>
      </w:r>
      <w:r>
        <w:rPr>
          <w:rFonts w:ascii="Arial" w:hAnsi="Arial" w:cs="Arial" w:eastAsia="Arial" w:hint="default"/>
          <w:spacing w:val="-7"/>
        </w:rPr>
        <w:t> </w:t>
      </w:r>
      <w:r>
        <w:rPr/>
        <w:t>月至</w:t>
      </w:r>
      <w:r>
        <w:rPr>
          <w:spacing w:val="-56"/>
        </w:rPr>
        <w:t> </w:t>
      </w:r>
      <w:r>
        <w:rPr>
          <w:rFonts w:ascii="Arial" w:hAnsi="Arial" w:cs="Arial" w:eastAsia="Arial" w:hint="default"/>
        </w:rPr>
        <w:t>2000</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月任上海市邮电管理局副局长。</w:t>
      </w:r>
      <w:r>
        <w:rPr>
          <w:rFonts w:ascii="Arial" w:hAnsi="Arial" w:cs="Arial" w:eastAsia="Arial" w:hint="default"/>
        </w:rPr>
        <w:t>2000</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月至</w:t>
      </w:r>
      <w:r>
        <w:rPr>
          <w:spacing w:val="-56"/>
        </w:rPr>
        <w:t> </w:t>
      </w:r>
      <w:r>
        <w:rPr>
          <w:rFonts w:ascii="Arial" w:hAnsi="Arial" w:cs="Arial" w:eastAsia="Arial" w:hint="default"/>
        </w:rPr>
        <w:t>2003</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月担任</w:t>
      </w:r>
    </w:p>
    <w:p>
      <w:pPr>
        <w:pStyle w:val="BodyText"/>
        <w:spacing w:line="285" w:lineRule="exact"/>
        <w:ind w:left="568" w:right="91"/>
        <w:jc w:val="left"/>
        <w:rPr>
          <w:rFonts w:ascii="Arial" w:hAnsi="Arial" w:cs="Arial" w:eastAsia="Arial" w:hint="default"/>
        </w:rPr>
      </w:pPr>
      <w:r>
        <w:rPr>
          <w:spacing w:val="-6"/>
        </w:rPr>
        <w:t>上海市通信管理局局长。</w:t>
      </w:r>
      <w:r>
        <w:rPr>
          <w:rFonts w:ascii="Arial" w:hAnsi="Arial" w:cs="Arial" w:eastAsia="Arial" w:hint="default"/>
          <w:spacing w:val="-6"/>
        </w:rPr>
        <w:t>2003</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月至</w:t>
      </w:r>
      <w:r>
        <w:rPr>
          <w:spacing w:val="-56"/>
        </w:rPr>
        <w:t> </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8</w:t>
      </w:r>
      <w:r>
        <w:rPr>
          <w:rFonts w:ascii="Arial" w:hAnsi="Arial" w:cs="Arial" w:eastAsia="Arial" w:hint="default"/>
          <w:spacing w:val="-7"/>
        </w:rPr>
        <w:t> </w:t>
      </w:r>
      <w:r>
        <w:rPr>
          <w:spacing w:val="-4"/>
        </w:rPr>
        <w:t>月担任中国联通上海分公司总经理。</w:t>
      </w:r>
      <w:r>
        <w:rPr>
          <w:rFonts w:ascii="Arial" w:hAnsi="Arial" w:cs="Arial" w:eastAsia="Arial" w:hint="default"/>
          <w:spacing w:val="-4"/>
        </w:rPr>
        <w:t>2007</w:t>
      </w:r>
    </w:p>
    <w:p>
      <w:pPr>
        <w:pStyle w:val="BodyText"/>
        <w:spacing w:line="286" w:lineRule="exact" w:before="19"/>
        <w:ind w:left="568" w:right="209"/>
        <w:jc w:val="left"/>
      </w:pPr>
      <w:r>
        <w:rPr/>
        <w:t>年</w:t>
      </w:r>
      <w:r>
        <w:rPr>
          <w:spacing w:val="-60"/>
        </w:rPr>
        <w:t> </w:t>
      </w:r>
      <w:r>
        <w:rPr>
          <w:rFonts w:ascii="Arial" w:hAnsi="Arial" w:cs="Arial" w:eastAsia="Arial" w:hint="default"/>
        </w:rPr>
        <w:t>8</w:t>
      </w:r>
      <w:r>
        <w:rPr>
          <w:rFonts w:ascii="Arial" w:hAnsi="Arial" w:cs="Arial" w:eastAsia="Arial" w:hint="default"/>
          <w:spacing w:val="-11"/>
        </w:rPr>
        <w:t> </w:t>
      </w:r>
      <w:r>
        <w:rPr/>
        <w:t>月至</w:t>
      </w:r>
      <w:r>
        <w:rPr>
          <w:spacing w:val="-60"/>
        </w:rPr>
        <w:t> </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10</w:t>
      </w:r>
      <w:r>
        <w:rPr>
          <w:rFonts w:ascii="Arial" w:hAnsi="Arial" w:cs="Arial" w:eastAsia="Arial" w:hint="default"/>
          <w:spacing w:val="-11"/>
        </w:rPr>
        <w:t> </w:t>
      </w:r>
      <w:r>
        <w:rPr/>
        <w:t>月担任本公司董事、副总裁、财务负责人。</w:t>
      </w:r>
      <w:r>
        <w:rPr>
          <w:rFonts w:ascii="Arial" w:hAnsi="Arial" w:cs="Arial" w:eastAsia="Arial" w:hint="default"/>
        </w:rPr>
        <w:t>2009</w:t>
      </w:r>
      <w:r>
        <w:rPr>
          <w:rFonts w:ascii="Arial" w:hAnsi="Arial" w:cs="Arial" w:eastAsia="Arial" w:hint="default"/>
          <w:spacing w:val="-10"/>
        </w:rPr>
        <w:t> </w:t>
      </w:r>
      <w:r>
        <w:rPr/>
        <w:t>年</w:t>
      </w:r>
      <w:r>
        <w:rPr>
          <w:spacing w:val="-60"/>
        </w:rPr>
        <w:t> </w:t>
      </w:r>
      <w:r>
        <w:rPr>
          <w:rFonts w:ascii="Arial" w:hAnsi="Arial" w:cs="Arial" w:eastAsia="Arial" w:hint="default"/>
        </w:rPr>
        <w:t>11</w:t>
      </w:r>
      <w:r>
        <w:rPr>
          <w:rFonts w:ascii="Arial" w:hAnsi="Arial" w:cs="Arial" w:eastAsia="Arial" w:hint="default"/>
          <w:spacing w:val="-11"/>
        </w:rPr>
        <w:t> </w:t>
      </w:r>
      <w:r>
        <w:rPr/>
        <w:t>月起担任本公司</w:t>
      </w:r>
      <w:r>
        <w:rPr>
          <w:w w:val="99"/>
        </w:rPr>
        <w:t> </w:t>
      </w:r>
      <w:r>
        <w:rPr/>
        <w:t>副总裁、财务负责人。张健先生拥有丰富的电信行业管理经验。</w:t>
      </w:r>
    </w:p>
    <w:p>
      <w:pPr>
        <w:spacing w:line="240" w:lineRule="auto" w:before="2"/>
        <w:rPr>
          <w:rFonts w:ascii="宋体" w:hAnsi="宋体" w:cs="宋体" w:eastAsia="宋体" w:hint="default"/>
          <w:sz w:val="17"/>
          <w:szCs w:val="17"/>
        </w:rPr>
      </w:pPr>
    </w:p>
    <w:p>
      <w:pPr>
        <w:pStyle w:val="BodyText"/>
        <w:spacing w:line="294" w:lineRule="exact"/>
        <w:ind w:left="145" w:right="91"/>
        <w:jc w:val="left"/>
      </w:pPr>
      <w:r>
        <w:rPr>
          <w:rFonts w:ascii="Arial" w:hAnsi="Arial" w:cs="Arial" w:eastAsia="Arial" w:hint="default"/>
        </w:rPr>
        <w:t>(13)</w:t>
      </w:r>
      <w:r>
        <w:rPr>
          <w:rFonts w:ascii="Arial" w:hAnsi="Arial" w:cs="Arial" w:eastAsia="Arial" w:hint="default"/>
          <w:spacing w:val="-38"/>
        </w:rPr>
        <w:t> </w:t>
      </w:r>
      <w:r>
        <w:rPr/>
        <w:t>张保英：</w:t>
      </w:r>
    </w:p>
    <w:p>
      <w:pPr>
        <w:pStyle w:val="BodyText"/>
        <w:spacing w:line="228" w:lineRule="auto" w:before="3"/>
        <w:ind w:left="567" w:right="204"/>
        <w:jc w:val="left"/>
      </w:pPr>
      <w:r>
        <w:rPr/>
        <w:t>张保英先生于</w:t>
      </w:r>
      <w:r>
        <w:rPr>
          <w:spacing w:val="-57"/>
        </w:rPr>
        <w:t> </w:t>
      </w:r>
      <w:r>
        <w:rPr>
          <w:rFonts w:ascii="Arial" w:hAnsi="Arial" w:cs="Arial" w:eastAsia="Arial" w:hint="default"/>
        </w:rPr>
        <w:t>1989</w:t>
      </w:r>
      <w:r>
        <w:rPr>
          <w:rFonts w:ascii="Arial" w:hAnsi="Arial" w:cs="Arial" w:eastAsia="Arial" w:hint="default"/>
          <w:spacing w:val="-8"/>
        </w:rPr>
        <w:t> </w:t>
      </w:r>
      <w:r>
        <w:rPr/>
        <w:t>年毕业于北京邮电学院管理工程系获工学学士，</w:t>
      </w:r>
      <w:r>
        <w:rPr>
          <w:rFonts w:ascii="Arial" w:hAnsi="Arial" w:cs="Arial" w:eastAsia="Arial" w:hint="default"/>
        </w:rPr>
        <w:t>2002</w:t>
      </w:r>
      <w:r>
        <w:rPr>
          <w:rFonts w:ascii="Arial" w:hAnsi="Arial" w:cs="Arial" w:eastAsia="Arial" w:hint="default"/>
          <w:spacing w:val="-8"/>
        </w:rPr>
        <w:t> </w:t>
      </w:r>
      <w:r>
        <w:rPr/>
        <w:t>年获挪威商学院管</w:t>
      </w:r>
      <w:r>
        <w:rPr>
          <w:w w:val="99"/>
        </w:rPr>
        <w:t> </w:t>
      </w:r>
      <w:r>
        <w:rPr/>
        <w:t>理硕士学位。曾在邮电部经营财务司，中国华信邮电经济开发中心工作。</w:t>
      </w:r>
      <w:r>
        <w:rPr>
          <w:rFonts w:ascii="Arial" w:hAnsi="Arial" w:cs="Arial" w:eastAsia="Arial" w:hint="default"/>
        </w:rPr>
        <w:t>1999</w:t>
      </w:r>
      <w:r>
        <w:rPr>
          <w:rFonts w:ascii="Arial" w:hAnsi="Arial" w:cs="Arial" w:eastAsia="Arial" w:hint="default"/>
          <w:spacing w:val="-22"/>
        </w:rPr>
        <w:t> </w:t>
      </w:r>
      <w:r>
        <w:rPr/>
        <w:t>年</w:t>
      </w:r>
      <w:r>
        <w:rPr>
          <w:spacing w:val="-71"/>
        </w:rPr>
        <w:t> </w:t>
      </w:r>
      <w:r>
        <w:rPr>
          <w:rFonts w:ascii="Arial" w:hAnsi="Arial" w:cs="Arial" w:eastAsia="Arial" w:hint="default"/>
        </w:rPr>
        <w:t>5</w:t>
      </w:r>
      <w:r>
        <w:rPr>
          <w:rFonts w:ascii="Arial" w:hAnsi="Arial" w:cs="Arial" w:eastAsia="Arial" w:hint="default"/>
          <w:spacing w:val="-22"/>
        </w:rPr>
        <w:t> </w:t>
      </w:r>
      <w:r>
        <w:rPr/>
        <w:t>月加入联</w:t>
      </w:r>
      <w:r>
        <w:rPr>
          <w:w w:val="99"/>
        </w:rPr>
        <w:t> </w:t>
      </w:r>
      <w:r>
        <w:rPr/>
        <w:t>通集团，先后担任财务部资金处处长，中国联通（香港）集团财务部副总经理，联通红筹公</w:t>
      </w:r>
      <w:r>
        <w:rPr>
          <w:w w:val="99"/>
        </w:rPr>
        <w:t> </w:t>
      </w:r>
      <w:r>
        <w:rPr/>
        <w:t>司财务部副总经理，董事会办公室副主任。</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月起任本公司董事会秘书。张保英先</w:t>
      </w:r>
      <w:r>
        <w:rPr>
          <w:w w:val="99"/>
        </w:rPr>
        <w:t> </w:t>
      </w:r>
      <w:r>
        <w:rPr/>
        <w:t>生有对电信行业丰富的财务管理、资金管理及资本运作的经验。</w:t>
      </w:r>
    </w:p>
    <w:p>
      <w:pPr>
        <w:spacing w:after="0" w:line="228" w:lineRule="auto"/>
        <w:jc w:val="left"/>
        <w:sectPr>
          <w:pgSz w:w="11900" w:h="16840"/>
          <w:pgMar w:header="927" w:footer="752" w:top="1160" w:bottom="940" w:left="1340" w:right="900"/>
        </w:sectPr>
      </w:pPr>
    </w:p>
    <w:p>
      <w:pPr>
        <w:spacing w:line="240" w:lineRule="auto" w:before="11"/>
        <w:rPr>
          <w:rFonts w:ascii="宋体" w:hAnsi="宋体" w:cs="宋体" w:eastAsia="宋体" w:hint="default"/>
          <w:sz w:val="21"/>
          <w:szCs w:val="21"/>
        </w:rPr>
      </w:pPr>
    </w:p>
    <w:p>
      <w:pPr>
        <w:pStyle w:val="BodyText"/>
        <w:spacing w:line="240" w:lineRule="auto" w:before="31"/>
        <w:ind w:left="145" w:right="0"/>
        <w:jc w:val="left"/>
      </w:pPr>
      <w:r>
        <w:rPr/>
        <w:t>（二）在股东单位任职情况</w:t>
      </w:r>
    </w:p>
    <w:p>
      <w:pPr>
        <w:spacing w:line="240" w:lineRule="auto" w:before="1"/>
        <w:rPr>
          <w:rFonts w:ascii="宋体" w:hAnsi="宋体" w:cs="宋体" w:eastAsia="宋体" w:hint="default"/>
          <w:sz w:val="20"/>
          <w:szCs w:val="20"/>
        </w:rPr>
      </w:pPr>
    </w:p>
    <w:tbl>
      <w:tblPr>
        <w:tblW w:w="0" w:type="auto"/>
        <w:jc w:val="left"/>
        <w:tblInd w:w="788" w:type="dxa"/>
        <w:tblLayout w:type="fixed"/>
        <w:tblCellMar>
          <w:top w:w="0" w:type="dxa"/>
          <w:left w:w="0" w:type="dxa"/>
          <w:bottom w:w="0" w:type="dxa"/>
          <w:right w:w="0" w:type="dxa"/>
        </w:tblCellMar>
        <w:tblLook w:val="01E0"/>
      </w:tblPr>
      <w:tblGrid>
        <w:gridCol w:w="888"/>
        <w:gridCol w:w="1823"/>
        <w:gridCol w:w="2062"/>
        <w:gridCol w:w="1572"/>
        <w:gridCol w:w="1325"/>
        <w:gridCol w:w="932"/>
      </w:tblGrid>
      <w:tr>
        <w:trPr>
          <w:trHeight w:val="529"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3"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04" w:right="0"/>
              <w:jc w:val="left"/>
              <w:rPr>
                <w:rFonts w:ascii="宋体" w:hAnsi="宋体" w:cs="宋体" w:eastAsia="宋体" w:hint="default"/>
                <w:sz w:val="20"/>
                <w:szCs w:val="20"/>
              </w:rPr>
            </w:pPr>
            <w:r>
              <w:rPr>
                <w:rFonts w:ascii="宋体" w:hAnsi="宋体" w:cs="宋体" w:eastAsia="宋体" w:hint="default"/>
                <w:sz w:val="20"/>
                <w:szCs w:val="20"/>
              </w:rPr>
              <w:t>股东单位名称</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25"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80" w:right="0"/>
              <w:jc w:val="left"/>
              <w:rPr>
                <w:rFonts w:ascii="宋体" w:hAnsi="宋体" w:cs="宋体" w:eastAsia="宋体" w:hint="default"/>
                <w:sz w:val="20"/>
                <w:szCs w:val="20"/>
              </w:rPr>
            </w:pPr>
            <w:r>
              <w:rPr>
                <w:rFonts w:ascii="宋体" w:hAnsi="宋体" w:cs="宋体" w:eastAsia="宋体" w:hint="default"/>
                <w:sz w:val="20"/>
                <w:szCs w:val="20"/>
              </w:rPr>
              <w:t>任期起始日期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0" w:right="0"/>
              <w:jc w:val="left"/>
              <w:rPr>
                <w:rFonts w:ascii="宋体" w:hAnsi="宋体" w:cs="宋体" w:eastAsia="宋体" w:hint="default"/>
                <w:sz w:val="20"/>
                <w:szCs w:val="20"/>
              </w:rPr>
            </w:pPr>
            <w:r>
              <w:rPr>
                <w:rFonts w:ascii="宋体" w:hAnsi="宋体" w:cs="宋体" w:eastAsia="宋体" w:hint="default"/>
                <w:sz w:val="20"/>
                <w:szCs w:val="20"/>
              </w:rPr>
              <w:t>任期终止日期</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7" w:right="0"/>
              <w:jc w:val="left"/>
              <w:rPr>
                <w:rFonts w:ascii="宋体" w:hAnsi="宋体" w:cs="宋体" w:eastAsia="宋体" w:hint="default"/>
                <w:sz w:val="20"/>
                <w:szCs w:val="20"/>
              </w:rPr>
            </w:pPr>
            <w:r>
              <w:rPr>
                <w:rFonts w:ascii="宋体" w:hAnsi="宋体" w:cs="宋体" w:eastAsia="宋体" w:hint="default"/>
                <w:sz w:val="20"/>
                <w:szCs w:val="20"/>
              </w:rPr>
              <w:t>是否领取</w:t>
            </w:r>
          </w:p>
          <w:p>
            <w:pPr>
              <w:pStyle w:val="TableParagraph"/>
              <w:spacing w:line="260" w:lineRule="exact"/>
              <w:ind w:left="57" w:right="0"/>
              <w:jc w:val="left"/>
              <w:rPr>
                <w:rFonts w:ascii="宋体" w:hAnsi="宋体" w:cs="宋体" w:eastAsia="宋体" w:hint="default"/>
                <w:sz w:val="20"/>
                <w:szCs w:val="20"/>
              </w:rPr>
            </w:pPr>
            <w:r>
              <w:rPr>
                <w:rFonts w:ascii="宋体" w:hAnsi="宋体" w:cs="宋体" w:eastAsia="宋体" w:hint="default"/>
                <w:sz w:val="20"/>
                <w:szCs w:val="20"/>
              </w:rPr>
              <w:t>报酬津贴</w:t>
            </w:r>
          </w:p>
        </w:tc>
      </w:tr>
      <w:tr>
        <w:trPr>
          <w:trHeight w:val="328"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1"/>
              <w:jc w:val="center"/>
              <w:rPr>
                <w:rFonts w:ascii="宋体" w:hAnsi="宋体" w:cs="宋体" w:eastAsia="宋体" w:hint="default"/>
                <w:sz w:val="20"/>
                <w:szCs w:val="20"/>
              </w:rPr>
            </w:pPr>
            <w:r>
              <w:rPr>
                <w:rFonts w:ascii="宋体" w:hAnsi="宋体" w:cs="宋体" w:eastAsia="宋体" w:hint="default"/>
                <w:sz w:val="20"/>
                <w:szCs w:val="20"/>
              </w:rPr>
              <w:t>常小兵</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6"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1"/>
              <w:jc w:val="center"/>
              <w:rPr>
                <w:rFonts w:ascii="宋体" w:hAnsi="宋体" w:cs="宋体" w:eastAsia="宋体" w:hint="default"/>
                <w:sz w:val="20"/>
                <w:szCs w:val="20"/>
              </w:rPr>
            </w:pPr>
            <w:r>
              <w:rPr>
                <w:rFonts w:ascii="宋体" w:hAnsi="宋体" w:cs="宋体" w:eastAsia="宋体" w:hint="default"/>
                <w:sz w:val="20"/>
                <w:szCs w:val="20"/>
              </w:rPr>
              <w:t>陆益民</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副董事长、总经理</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8"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61"/>
              <w:ind w:left="101" w:right="0"/>
              <w:jc w:val="left"/>
              <w:rPr>
                <w:rFonts w:ascii="宋体" w:hAnsi="宋体" w:cs="宋体" w:eastAsia="宋体" w:hint="default"/>
                <w:sz w:val="20"/>
                <w:szCs w:val="20"/>
              </w:rPr>
            </w:pPr>
            <w:r>
              <w:rPr>
                <w:rFonts w:ascii="宋体" w:hAnsi="宋体" w:cs="宋体" w:eastAsia="宋体" w:hint="default"/>
                <w:sz w:val="20"/>
                <w:szCs w:val="20"/>
              </w:rPr>
              <w:t>佟吉禄</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总会计师</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2001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4</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6" w:hRule="exact"/>
        </w:trPr>
        <w:tc>
          <w:tcPr>
            <w:tcW w:w="888" w:type="dxa"/>
            <w:vMerge/>
            <w:tcBorders>
              <w:left w:val="single" w:sz="4" w:space="0" w:color="000000"/>
              <w:bottom w:val="single" w:sz="4" w:space="0" w:color="000000"/>
              <w:right w:val="single" w:sz="4" w:space="0" w:color="000000"/>
            </w:tcBorders>
          </w:tcPr>
          <w:p>
            <w:pP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董事、副总经理</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2001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8"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李福申</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6" w:hRule="exact"/>
        </w:trPr>
        <w:tc>
          <w:tcPr>
            <w:tcW w:w="888" w:type="dxa"/>
            <w:vMerge/>
            <w:tcBorders>
              <w:left w:val="single" w:sz="4" w:space="0" w:color="000000"/>
              <w:right w:val="single" w:sz="4" w:space="0" w:color="000000"/>
            </w:tcBorders>
          </w:tcPr>
          <w:p>
            <w:pP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总会计师</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4</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8" w:hRule="exact"/>
        </w:trPr>
        <w:tc>
          <w:tcPr>
            <w:tcW w:w="888" w:type="dxa"/>
            <w:vMerge/>
            <w:tcBorders>
              <w:left w:val="single" w:sz="4" w:space="0" w:color="000000"/>
              <w:bottom w:val="single" w:sz="4" w:space="0" w:color="000000"/>
              <w:right w:val="single" w:sz="4" w:space="0" w:color="000000"/>
            </w:tcBorders>
          </w:tcPr>
          <w:p>
            <w:pP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6"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1"/>
              <w:jc w:val="center"/>
              <w:rPr>
                <w:rFonts w:ascii="宋体" w:hAnsi="宋体" w:cs="宋体" w:eastAsia="宋体" w:hint="default"/>
                <w:sz w:val="20"/>
                <w:szCs w:val="20"/>
              </w:rPr>
            </w:pPr>
            <w:r>
              <w:rPr>
                <w:rFonts w:ascii="宋体" w:hAnsi="宋体" w:cs="宋体" w:eastAsia="宋体" w:hint="default"/>
                <w:sz w:val="20"/>
                <w:szCs w:val="20"/>
              </w:rPr>
              <w:t>李建国</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工会主席</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8"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61"/>
              <w:ind w:left="101" w:right="0"/>
              <w:jc w:val="left"/>
              <w:rPr>
                <w:rFonts w:ascii="宋体" w:hAnsi="宋体" w:cs="宋体" w:eastAsia="宋体" w:hint="default"/>
                <w:sz w:val="20"/>
                <w:szCs w:val="20"/>
              </w:rPr>
            </w:pPr>
            <w:r>
              <w:rPr>
                <w:rFonts w:ascii="宋体" w:hAnsi="宋体" w:cs="宋体" w:eastAsia="宋体" w:hint="default"/>
                <w:sz w:val="20"/>
                <w:szCs w:val="20"/>
              </w:rPr>
              <w:t>姚琼</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工会副主席</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6" w:hRule="exact"/>
        </w:trPr>
        <w:tc>
          <w:tcPr>
            <w:tcW w:w="888" w:type="dxa"/>
            <w:vMerge/>
            <w:tcBorders>
              <w:left w:val="single" w:sz="4" w:space="0" w:color="000000"/>
              <w:bottom w:val="single" w:sz="4" w:space="0" w:color="000000"/>
              <w:right w:val="single" w:sz="4" w:space="0" w:color="000000"/>
            </w:tcBorders>
          </w:tcPr>
          <w:p>
            <w:pP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工会资深经理</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8"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1"/>
              <w:jc w:val="center"/>
              <w:rPr>
                <w:rFonts w:ascii="宋体" w:hAnsi="宋体" w:cs="宋体" w:eastAsia="宋体" w:hint="default"/>
                <w:sz w:val="20"/>
                <w:szCs w:val="20"/>
              </w:rPr>
            </w:pPr>
            <w:r>
              <w:rPr>
                <w:rFonts w:ascii="宋体" w:hAnsi="宋体" w:cs="宋体" w:eastAsia="宋体" w:hint="default"/>
                <w:sz w:val="20"/>
                <w:szCs w:val="20"/>
              </w:rPr>
              <w:t>韦海波</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0" w:right="0"/>
              <w:jc w:val="left"/>
              <w:rPr>
                <w:rFonts w:ascii="宋体" w:hAnsi="宋体" w:cs="宋体" w:eastAsia="宋体" w:hint="default"/>
                <w:sz w:val="20"/>
                <w:szCs w:val="20"/>
              </w:rPr>
            </w:pPr>
            <w:r>
              <w:rPr>
                <w:rFonts w:ascii="宋体" w:hAnsi="宋体" w:cs="宋体" w:eastAsia="宋体" w:hint="default"/>
                <w:sz w:val="20"/>
                <w:szCs w:val="20"/>
              </w:rPr>
              <w:t>审计部经理</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bl>
    <w:p>
      <w:pPr>
        <w:spacing w:line="240" w:lineRule="auto" w:before="2"/>
        <w:rPr>
          <w:rFonts w:ascii="宋体" w:hAnsi="宋体" w:cs="宋体" w:eastAsia="宋体" w:hint="default"/>
          <w:sz w:val="14"/>
          <w:szCs w:val="14"/>
        </w:rPr>
      </w:pPr>
    </w:p>
    <w:p>
      <w:pPr>
        <w:pStyle w:val="BodyText"/>
        <w:spacing w:line="240" w:lineRule="auto" w:before="31"/>
        <w:ind w:left="793" w:right="0"/>
        <w:jc w:val="left"/>
      </w:pPr>
      <w:r>
        <w:rPr/>
        <w:t>在其他单位任职情况</w:t>
      </w:r>
    </w:p>
    <w:p>
      <w:pPr>
        <w:spacing w:line="240" w:lineRule="auto" w:before="11"/>
        <w:rPr>
          <w:rFonts w:ascii="宋体" w:hAnsi="宋体" w:cs="宋体" w:eastAsia="宋体" w:hint="default"/>
          <w:sz w:val="21"/>
          <w:szCs w:val="21"/>
        </w:rPr>
      </w:pPr>
    </w:p>
    <w:tbl>
      <w:tblPr>
        <w:tblW w:w="0" w:type="auto"/>
        <w:jc w:val="left"/>
        <w:tblInd w:w="786" w:type="dxa"/>
        <w:tblLayout w:type="fixed"/>
        <w:tblCellMar>
          <w:top w:w="0" w:type="dxa"/>
          <w:left w:w="0" w:type="dxa"/>
          <w:bottom w:w="0" w:type="dxa"/>
          <w:right w:w="0" w:type="dxa"/>
        </w:tblCellMar>
        <w:tblLook w:val="01E0"/>
      </w:tblPr>
      <w:tblGrid>
        <w:gridCol w:w="898"/>
        <w:gridCol w:w="1822"/>
        <w:gridCol w:w="2108"/>
        <w:gridCol w:w="1526"/>
        <w:gridCol w:w="1307"/>
        <w:gridCol w:w="959"/>
      </w:tblGrid>
      <w:tr>
        <w:trPr>
          <w:trHeight w:val="534" w:hRule="exact"/>
        </w:trPr>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02" w:right="0"/>
              <w:jc w:val="left"/>
              <w:rPr>
                <w:rFonts w:ascii="宋体" w:hAnsi="宋体" w:cs="宋体" w:eastAsia="宋体" w:hint="default"/>
                <w:sz w:val="20"/>
                <w:szCs w:val="20"/>
              </w:rPr>
            </w:pPr>
            <w:r>
              <w:rPr>
                <w:rFonts w:ascii="宋体" w:hAnsi="宋体" w:cs="宋体" w:eastAsia="宋体" w:hint="default"/>
                <w:sz w:val="20"/>
                <w:szCs w:val="20"/>
              </w:rPr>
              <w:t>其他单位名称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45"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54" w:right="0"/>
              <w:jc w:val="left"/>
              <w:rPr>
                <w:rFonts w:ascii="宋体" w:hAnsi="宋体" w:cs="宋体" w:eastAsia="宋体" w:hint="default"/>
                <w:sz w:val="20"/>
                <w:szCs w:val="20"/>
              </w:rPr>
            </w:pPr>
            <w:r>
              <w:rPr>
                <w:rFonts w:ascii="宋体" w:hAnsi="宋体" w:cs="宋体" w:eastAsia="宋体" w:hint="default"/>
                <w:sz w:val="20"/>
                <w:szCs w:val="20"/>
              </w:rPr>
              <w:t>任期起始日期</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0" w:right="0"/>
              <w:jc w:val="left"/>
              <w:rPr>
                <w:rFonts w:ascii="宋体" w:hAnsi="宋体" w:cs="宋体" w:eastAsia="宋体" w:hint="default"/>
                <w:sz w:val="20"/>
                <w:szCs w:val="20"/>
              </w:rPr>
            </w:pPr>
            <w:r>
              <w:rPr>
                <w:rFonts w:ascii="宋体" w:hAnsi="宋体" w:cs="宋体" w:eastAsia="宋体" w:hint="default"/>
                <w:sz w:val="20"/>
                <w:szCs w:val="20"/>
              </w:rPr>
              <w:t>任期终止日期</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7" w:right="0"/>
              <w:jc w:val="left"/>
              <w:rPr>
                <w:rFonts w:ascii="宋体" w:hAnsi="宋体" w:cs="宋体" w:eastAsia="宋体" w:hint="default"/>
                <w:sz w:val="20"/>
                <w:szCs w:val="20"/>
              </w:rPr>
            </w:pPr>
            <w:r>
              <w:rPr>
                <w:rFonts w:ascii="宋体" w:hAnsi="宋体" w:cs="宋体" w:eastAsia="宋体" w:hint="default"/>
                <w:sz w:val="20"/>
                <w:szCs w:val="20"/>
              </w:rPr>
              <w:t>是否领取</w:t>
            </w:r>
          </w:p>
          <w:p>
            <w:pPr>
              <w:pStyle w:val="TableParagraph"/>
              <w:spacing w:line="260" w:lineRule="exact"/>
              <w:ind w:left="57" w:right="0"/>
              <w:jc w:val="left"/>
              <w:rPr>
                <w:rFonts w:ascii="宋体" w:hAnsi="宋体" w:cs="宋体" w:eastAsia="宋体" w:hint="default"/>
                <w:sz w:val="20"/>
                <w:szCs w:val="20"/>
              </w:rPr>
            </w:pPr>
            <w:r>
              <w:rPr>
                <w:rFonts w:ascii="宋体" w:hAnsi="宋体" w:cs="宋体" w:eastAsia="宋体" w:hint="default"/>
                <w:sz w:val="20"/>
                <w:szCs w:val="20"/>
              </w:rPr>
              <w:t>报酬津贴</w:t>
            </w:r>
          </w:p>
        </w:tc>
      </w:tr>
      <w:tr>
        <w:trPr>
          <w:trHeight w:val="534" w:hRule="exact"/>
        </w:trPr>
        <w:tc>
          <w:tcPr>
            <w:tcW w:w="89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常小兵</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5" w:right="0"/>
              <w:jc w:val="left"/>
              <w:rPr>
                <w:rFonts w:ascii="宋体" w:hAnsi="宋体" w:cs="宋体" w:eastAsia="宋体" w:hint="default"/>
                <w:sz w:val="20"/>
                <w:szCs w:val="20"/>
              </w:rPr>
            </w:pPr>
            <w:r>
              <w:rPr>
                <w:rFonts w:ascii="宋体" w:hAnsi="宋体" w:cs="宋体" w:eastAsia="宋体" w:hint="default"/>
                <w:spacing w:val="-6"/>
                <w:sz w:val="20"/>
                <w:szCs w:val="20"/>
              </w:rPr>
              <w:t>执行董事、董事长兼首</w:t>
            </w:r>
          </w:p>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席执行官</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5"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6"/>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32" w:hRule="exact"/>
        </w:trPr>
        <w:tc>
          <w:tcPr>
            <w:tcW w:w="898" w:type="dxa"/>
            <w:vMerge/>
            <w:tcBorders>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6"/>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1" w:hRule="exact"/>
        </w:trPr>
        <w:tc>
          <w:tcPr>
            <w:tcW w:w="8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陆益民</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vMerge w:val="restart"/>
            <w:tcBorders>
              <w:top w:val="single" w:sz="6" w:space="0" w:color="000000"/>
              <w:left w:val="single" w:sz="6" w:space="0" w:color="000000"/>
              <w:right w:val="single" w:sz="6" w:space="0" w:color="000000"/>
            </w:tcBorders>
          </w:tcPr>
          <w:p>
            <w:pPr>
              <w:pStyle w:val="TableParagraph"/>
              <w:spacing w:line="240" w:lineRule="auto" w:before="162"/>
              <w:ind w:right="26"/>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32" w:hRule="exact"/>
        </w:trPr>
        <w:tc>
          <w:tcPr>
            <w:tcW w:w="898" w:type="dxa"/>
            <w:vMerge/>
            <w:tcBorders>
              <w:left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总裁</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vMerge/>
            <w:tcBorders>
              <w:left w:val="single" w:sz="6" w:space="0" w:color="000000"/>
              <w:bottom w:val="single" w:sz="6" w:space="0" w:color="000000"/>
              <w:right w:val="single" w:sz="6" w:space="0" w:color="000000"/>
            </w:tcBorders>
          </w:tcPr>
          <w:p>
            <w:pPr/>
          </w:p>
        </w:tc>
      </w:tr>
      <w:tr>
        <w:trPr>
          <w:trHeight w:val="332" w:hRule="exact"/>
        </w:trPr>
        <w:tc>
          <w:tcPr>
            <w:tcW w:w="898" w:type="dxa"/>
            <w:vMerge/>
            <w:tcBorders>
              <w:left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vMerge w:val="restart"/>
            <w:tcBorders>
              <w:top w:val="single" w:sz="6" w:space="0" w:color="000000"/>
              <w:left w:val="single" w:sz="6" w:space="0" w:color="000000"/>
              <w:right w:val="single" w:sz="6" w:space="0" w:color="000000"/>
            </w:tcBorders>
          </w:tcPr>
          <w:p>
            <w:pPr>
              <w:pStyle w:val="TableParagraph"/>
              <w:spacing w:line="240" w:lineRule="auto" w:before="163"/>
              <w:ind w:right="26"/>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1" w:hRule="exact"/>
        </w:trPr>
        <w:tc>
          <w:tcPr>
            <w:tcW w:w="898" w:type="dxa"/>
            <w:vMerge/>
            <w:tcBorders>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总裁</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vMerge/>
            <w:tcBorders>
              <w:left w:val="single" w:sz="6" w:space="0" w:color="000000"/>
              <w:bottom w:val="single" w:sz="6" w:space="0" w:color="000000"/>
              <w:right w:val="single" w:sz="6" w:space="0" w:color="000000"/>
            </w:tcBorders>
          </w:tcPr>
          <w:p>
            <w:pPr/>
          </w:p>
        </w:tc>
      </w:tr>
      <w:tr>
        <w:trPr>
          <w:trHeight w:val="332" w:hRule="exact"/>
        </w:trPr>
        <w:tc>
          <w:tcPr>
            <w:tcW w:w="8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佟吉禄</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32" w:hRule="exact"/>
        </w:trPr>
        <w:tc>
          <w:tcPr>
            <w:tcW w:w="898" w:type="dxa"/>
            <w:vMerge/>
            <w:tcBorders>
              <w:left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首席财务官</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2"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959" w:type="dxa"/>
            <w:vMerge/>
            <w:tcBorders>
              <w:left w:val="single" w:sz="6" w:space="0" w:color="000000"/>
              <w:right w:val="single" w:sz="6" w:space="0" w:color="000000"/>
            </w:tcBorders>
          </w:tcPr>
          <w:p>
            <w:pPr/>
          </w:p>
        </w:tc>
      </w:tr>
      <w:tr>
        <w:trPr>
          <w:trHeight w:val="331" w:hRule="exact"/>
        </w:trPr>
        <w:tc>
          <w:tcPr>
            <w:tcW w:w="898" w:type="dxa"/>
            <w:vMerge/>
            <w:tcBorders>
              <w:left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vMerge/>
            <w:tcBorders>
              <w:left w:val="single" w:sz="6" w:space="0" w:color="000000"/>
              <w:bottom w:val="single" w:sz="6" w:space="0" w:color="000000"/>
              <w:right w:val="single" w:sz="6" w:space="0" w:color="000000"/>
            </w:tcBorders>
          </w:tcPr>
          <w:p>
            <w:pPr/>
          </w:p>
        </w:tc>
      </w:tr>
      <w:tr>
        <w:trPr>
          <w:trHeight w:val="332" w:hRule="exact"/>
        </w:trPr>
        <w:tc>
          <w:tcPr>
            <w:tcW w:w="898" w:type="dxa"/>
            <w:vMerge/>
            <w:tcBorders>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董事、高级副总裁</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 w:right="0"/>
              <w:jc w:val="left"/>
              <w:rPr>
                <w:rFonts w:ascii="宋体" w:hAnsi="宋体" w:cs="宋体" w:eastAsia="宋体" w:hint="default"/>
                <w:sz w:val="20"/>
                <w:szCs w:val="20"/>
              </w:rPr>
            </w:pPr>
            <w:r>
              <w:rPr>
                <w:rFonts w:ascii="Arial" w:hAnsi="Arial" w:cs="Arial" w:eastAsia="Arial" w:hint="default"/>
                <w:sz w:val="20"/>
                <w:szCs w:val="20"/>
              </w:rPr>
              <w:t>2003</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6"/>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2" w:hRule="exact"/>
        </w:trPr>
        <w:tc>
          <w:tcPr>
            <w:tcW w:w="8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李福申</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2"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959" w:type="dxa"/>
            <w:vMerge w:val="restart"/>
            <w:tcBorders>
              <w:top w:val="single" w:sz="6" w:space="0" w:color="000000"/>
              <w:left w:val="single" w:sz="6" w:space="0" w:color="000000"/>
              <w:right w:val="single" w:sz="6" w:space="0" w:color="000000"/>
            </w:tcBorders>
          </w:tcPr>
          <w:p>
            <w:pPr>
              <w:pStyle w:val="TableParagraph"/>
              <w:spacing w:line="240" w:lineRule="auto" w:before="163"/>
              <w:ind w:right="26"/>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31" w:hRule="exact"/>
        </w:trPr>
        <w:tc>
          <w:tcPr>
            <w:tcW w:w="898" w:type="dxa"/>
            <w:vMerge/>
            <w:tcBorders>
              <w:left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执行董事、首席财务官</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vMerge/>
            <w:tcBorders>
              <w:left w:val="single" w:sz="6" w:space="0" w:color="000000"/>
              <w:bottom w:val="single" w:sz="6" w:space="0" w:color="000000"/>
              <w:right w:val="single" w:sz="6" w:space="0" w:color="000000"/>
            </w:tcBorders>
          </w:tcPr>
          <w:p>
            <w:pPr/>
          </w:p>
        </w:tc>
      </w:tr>
      <w:tr>
        <w:trPr>
          <w:trHeight w:val="332" w:hRule="exact"/>
        </w:trPr>
        <w:tc>
          <w:tcPr>
            <w:tcW w:w="898" w:type="dxa"/>
            <w:vMerge/>
            <w:tcBorders>
              <w:left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vMerge w:val="restart"/>
            <w:tcBorders>
              <w:top w:val="single" w:sz="6" w:space="0" w:color="000000"/>
              <w:left w:val="single" w:sz="6" w:space="0" w:color="000000"/>
              <w:right w:val="single" w:sz="6" w:space="0" w:color="000000"/>
            </w:tcBorders>
          </w:tcPr>
          <w:p>
            <w:pPr>
              <w:pStyle w:val="TableParagraph"/>
              <w:spacing w:line="240" w:lineRule="auto" w:before="163"/>
              <w:ind w:right="26"/>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2" w:hRule="exact"/>
        </w:trPr>
        <w:tc>
          <w:tcPr>
            <w:tcW w:w="898" w:type="dxa"/>
            <w:vMerge/>
            <w:tcBorders>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vMerge/>
            <w:tcBorders>
              <w:left w:val="single" w:sz="6" w:space="0" w:color="000000"/>
              <w:bottom w:val="single" w:sz="6" w:space="0" w:color="000000"/>
              <w:right w:val="single" w:sz="6" w:space="0" w:color="000000"/>
            </w:tcBorders>
          </w:tcPr>
          <w:p>
            <w:pPr/>
          </w:p>
        </w:tc>
      </w:tr>
      <w:tr>
        <w:trPr>
          <w:trHeight w:val="331" w:hRule="exact"/>
        </w:trPr>
        <w:tc>
          <w:tcPr>
            <w:tcW w:w="898" w:type="dxa"/>
            <w:vMerge w:val="restart"/>
            <w:tcBorders>
              <w:top w:val="single" w:sz="6" w:space="0" w:color="000000"/>
              <w:left w:val="single" w:sz="6" w:space="0" w:color="000000"/>
              <w:right w:val="single" w:sz="6" w:space="0" w:color="000000"/>
            </w:tcBorders>
          </w:tcPr>
          <w:p>
            <w:pPr>
              <w:pStyle w:val="TableParagraph"/>
              <w:spacing w:line="240" w:lineRule="auto" w:before="162"/>
              <w:ind w:left="100" w:right="0"/>
              <w:jc w:val="left"/>
              <w:rPr>
                <w:rFonts w:ascii="宋体" w:hAnsi="宋体" w:cs="宋体" w:eastAsia="宋体" w:hint="default"/>
                <w:sz w:val="20"/>
                <w:szCs w:val="20"/>
              </w:rPr>
            </w:pPr>
            <w:r>
              <w:rPr>
                <w:rFonts w:ascii="宋体" w:hAnsi="宋体" w:cs="宋体" w:eastAsia="宋体" w:hint="default"/>
                <w:sz w:val="20"/>
                <w:szCs w:val="20"/>
              </w:rPr>
              <w:t>李建国</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5"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6"/>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32" w:hRule="exact"/>
        </w:trPr>
        <w:tc>
          <w:tcPr>
            <w:tcW w:w="898" w:type="dxa"/>
            <w:vMerge/>
            <w:tcBorders>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6"/>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78"/>
              <w:jc w:val="center"/>
              <w:rPr>
                <w:rFonts w:ascii="宋体" w:hAnsi="宋体" w:cs="宋体" w:eastAsia="宋体" w:hint="default"/>
                <w:sz w:val="20"/>
                <w:szCs w:val="20"/>
              </w:rPr>
            </w:pPr>
            <w:r>
              <w:rPr>
                <w:rFonts w:ascii="宋体" w:hAnsi="宋体" w:cs="宋体" w:eastAsia="宋体" w:hint="default"/>
                <w:sz w:val="20"/>
                <w:szCs w:val="20"/>
              </w:rPr>
              <w:t>韦海波</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 w:right="0"/>
              <w:jc w:val="left"/>
              <w:rPr>
                <w:rFonts w:ascii="宋体" w:hAnsi="宋体" w:cs="宋体" w:eastAsia="宋体" w:hint="default"/>
                <w:sz w:val="20"/>
                <w:szCs w:val="20"/>
              </w:rPr>
            </w:pPr>
            <w:r>
              <w:rPr>
                <w:rFonts w:ascii="宋体" w:hAnsi="宋体" w:cs="宋体" w:eastAsia="宋体" w:hint="default"/>
                <w:sz w:val="20"/>
                <w:szCs w:val="20"/>
              </w:rPr>
              <w:t>联通运营公司天津分</w:t>
            </w:r>
          </w:p>
          <w:p>
            <w:pPr>
              <w:pStyle w:val="TableParagraph"/>
              <w:spacing w:line="261" w:lineRule="exact"/>
              <w:ind w:left="45" w:right="0"/>
              <w:jc w:val="left"/>
              <w:rPr>
                <w:rFonts w:ascii="宋体" w:hAnsi="宋体" w:cs="宋体" w:eastAsia="宋体" w:hint="default"/>
                <w:sz w:val="20"/>
                <w:szCs w:val="20"/>
              </w:rPr>
            </w:pPr>
            <w:r>
              <w:rPr>
                <w:rFonts w:ascii="宋体" w:hAnsi="宋体" w:cs="宋体" w:eastAsia="宋体" w:hint="default"/>
                <w:sz w:val="20"/>
                <w:szCs w:val="20"/>
              </w:rPr>
              <w:t>公司总经理</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5"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6"/>
              <w:jc w:val="center"/>
              <w:rPr>
                <w:rFonts w:ascii="宋体" w:hAnsi="宋体" w:cs="宋体" w:eastAsia="宋体" w:hint="default"/>
                <w:sz w:val="20"/>
                <w:szCs w:val="20"/>
              </w:rPr>
            </w:pPr>
            <w:r>
              <w:rPr>
                <w:rFonts w:ascii="宋体" w:hAnsi="宋体" w:cs="宋体" w:eastAsia="宋体" w:hint="default"/>
                <w:w w:val="100"/>
                <w:sz w:val="20"/>
                <w:szCs w:val="20"/>
              </w:rPr>
              <w:t>是</w:t>
            </w:r>
          </w:p>
        </w:tc>
      </w:tr>
    </w:tbl>
    <w:p>
      <w:pPr>
        <w:spacing w:after="0" w:line="240" w:lineRule="auto"/>
        <w:jc w:val="center"/>
        <w:rPr>
          <w:rFonts w:ascii="宋体" w:hAnsi="宋体" w:cs="宋体" w:eastAsia="宋体" w:hint="default"/>
          <w:sz w:val="20"/>
          <w:szCs w:val="20"/>
        </w:rPr>
        <w:sectPr>
          <w:pgSz w:w="11900" w:h="16840"/>
          <w:pgMar w:header="927" w:footer="752" w:top="1160" w:bottom="940" w:left="134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786" w:type="dxa"/>
        <w:tblLayout w:type="fixed"/>
        <w:tblCellMar>
          <w:top w:w="0" w:type="dxa"/>
          <w:left w:w="0" w:type="dxa"/>
          <w:bottom w:w="0" w:type="dxa"/>
          <w:right w:w="0" w:type="dxa"/>
        </w:tblCellMar>
        <w:tblLook w:val="01E0"/>
      </w:tblPr>
      <w:tblGrid>
        <w:gridCol w:w="895"/>
        <w:gridCol w:w="1922"/>
        <w:gridCol w:w="1991"/>
        <w:gridCol w:w="1530"/>
        <w:gridCol w:w="1306"/>
        <w:gridCol w:w="960"/>
      </w:tblGrid>
      <w:tr>
        <w:trPr>
          <w:trHeight w:val="331" w:hRule="exact"/>
        </w:trPr>
        <w:tc>
          <w:tcPr>
            <w:tcW w:w="8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刘</w:t>
            </w:r>
            <w:r>
              <w:rPr>
                <w:rFonts w:ascii="宋体" w:hAnsi="宋体" w:cs="宋体" w:eastAsia="宋体" w:hint="default"/>
                <w:spacing w:val="-45"/>
                <w:sz w:val="20"/>
                <w:szCs w:val="20"/>
              </w:rPr>
              <w:t> </w:t>
            </w:r>
            <w:r>
              <w:rPr>
                <w:rFonts w:ascii="宋体" w:hAnsi="宋体" w:cs="宋体" w:eastAsia="宋体" w:hint="default"/>
                <w:sz w:val="20"/>
                <w:szCs w:val="20"/>
              </w:rPr>
              <w:t>彩</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中国通信学会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副理事长</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99" w:right="0"/>
              <w:jc w:val="left"/>
              <w:rPr>
                <w:rFonts w:ascii="宋体" w:hAnsi="宋体" w:cs="宋体" w:eastAsia="宋体" w:hint="default"/>
                <w:sz w:val="20"/>
                <w:szCs w:val="20"/>
              </w:rPr>
            </w:pPr>
            <w:r>
              <w:rPr>
                <w:rFonts w:ascii="Arial" w:hAnsi="Arial" w:cs="Arial" w:eastAsia="Arial" w:hint="default"/>
                <w:sz w:val="20"/>
                <w:szCs w:val="20"/>
              </w:rPr>
              <w:t>2000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7</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京信通信系统控股</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Arial" w:hAnsi="Arial" w:cs="Arial" w:eastAsia="Arial" w:hint="default"/>
                <w:sz w:val="20"/>
                <w:szCs w:val="20"/>
              </w:rPr>
              <w:t>2003</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7</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8"/>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32" w:hRule="exact"/>
        </w:trPr>
        <w:tc>
          <w:tcPr>
            <w:tcW w:w="895" w:type="dxa"/>
            <w:vMerge/>
            <w:tcBorders>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中国通信杂志社</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法人代表、执行董事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4</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100" w:right="0"/>
              <w:jc w:val="left"/>
              <w:rPr>
                <w:rFonts w:ascii="宋体" w:hAnsi="宋体" w:cs="宋体" w:eastAsia="宋体" w:hint="default"/>
                <w:sz w:val="20"/>
                <w:szCs w:val="20"/>
              </w:rPr>
            </w:pPr>
            <w:r>
              <w:rPr>
                <w:rFonts w:ascii="宋体" w:hAnsi="宋体" w:cs="宋体" w:eastAsia="宋体" w:hint="default"/>
                <w:sz w:val="20"/>
                <w:szCs w:val="20"/>
              </w:rPr>
              <w:t>赵纯均</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99" w:right="0"/>
              <w:jc w:val="left"/>
              <w:rPr>
                <w:rFonts w:ascii="宋体" w:hAnsi="宋体" w:cs="宋体" w:eastAsia="宋体" w:hint="default"/>
                <w:sz w:val="20"/>
                <w:szCs w:val="20"/>
              </w:rPr>
            </w:pPr>
            <w:r>
              <w:rPr>
                <w:rFonts w:ascii="宋体" w:hAnsi="宋体" w:cs="宋体" w:eastAsia="宋体" w:hint="default"/>
                <w:sz w:val="20"/>
                <w:szCs w:val="20"/>
              </w:rPr>
              <w:t>全国</w:t>
            </w:r>
            <w:r>
              <w:rPr>
                <w:rFonts w:ascii="宋体" w:hAnsi="宋体" w:cs="宋体" w:eastAsia="宋体" w:hint="default"/>
                <w:spacing w:val="-51"/>
                <w:sz w:val="20"/>
                <w:szCs w:val="20"/>
              </w:rPr>
              <w:t> </w:t>
            </w:r>
            <w:r>
              <w:rPr>
                <w:rFonts w:ascii="Arial" w:hAnsi="Arial" w:cs="Arial" w:eastAsia="Arial" w:hint="default"/>
                <w:sz w:val="20"/>
                <w:szCs w:val="20"/>
              </w:rPr>
              <w:t>MBA</w:t>
            </w:r>
            <w:r>
              <w:rPr>
                <w:rFonts w:ascii="Arial" w:hAnsi="Arial" w:cs="Arial" w:eastAsia="Arial" w:hint="default"/>
                <w:spacing w:val="-8"/>
                <w:sz w:val="20"/>
                <w:szCs w:val="20"/>
              </w:rPr>
              <w:t> </w:t>
            </w:r>
            <w:r>
              <w:rPr>
                <w:rFonts w:ascii="宋体" w:hAnsi="宋体" w:cs="宋体" w:eastAsia="宋体" w:hint="default"/>
                <w:sz w:val="20"/>
                <w:szCs w:val="20"/>
              </w:rPr>
              <w:t>教育指导</w:t>
            </w:r>
          </w:p>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sz w:val="20"/>
                <w:szCs w:val="20"/>
              </w:rPr>
              <w:t>委员会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副主任</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Arial" w:hAnsi="Arial" w:cs="Arial" w:eastAsia="Arial" w:hint="default"/>
                <w:sz w:val="20"/>
                <w:szCs w:val="20"/>
              </w:rPr>
              <w:t>1994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3"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z w:val="20"/>
                <w:szCs w:val="20"/>
              </w:rPr>
              <w:t>教育部社科委管理</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学部</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学部召集人</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中国管理现代化研</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究会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宋体" w:hAnsi="宋体" w:cs="宋体" w:eastAsia="宋体" w:hint="default"/>
                <w:sz w:val="20"/>
                <w:szCs w:val="20"/>
              </w:rPr>
              <w:t>法人代表</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Arial" w:hAnsi="Arial" w:cs="Arial" w:eastAsia="Arial" w:hint="default"/>
                <w:sz w:val="20"/>
                <w:szCs w:val="20"/>
              </w:rPr>
              <w:t>2005</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2"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中国企业研究会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副会长</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9" w:right="0"/>
              <w:jc w:val="left"/>
              <w:rPr>
                <w:rFonts w:ascii="宋体" w:hAnsi="宋体" w:cs="宋体" w:eastAsia="宋体" w:hint="default"/>
                <w:sz w:val="20"/>
                <w:szCs w:val="20"/>
              </w:rPr>
            </w:pPr>
            <w:r>
              <w:rPr>
                <w:rFonts w:ascii="Arial" w:hAnsi="Arial" w:cs="Arial" w:eastAsia="Arial" w:hint="default"/>
                <w:sz w:val="20"/>
                <w:szCs w:val="20"/>
              </w:rPr>
              <w:t>2000</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中国工业经济联合</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w w:val="100"/>
                <w:sz w:val="20"/>
                <w:szCs w:val="20"/>
              </w:rPr>
              <w:t>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高级副会长</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Arial" w:hAnsi="Arial" w:cs="Arial" w:eastAsia="Arial" w:hint="default"/>
                <w:sz w:val="20"/>
                <w:szCs w:val="20"/>
              </w:rPr>
              <w:t>2005</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1"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中国企业联合会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常务理事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99"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中国通信服务股份</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Arial" w:hAnsi="Arial" w:cs="Arial" w:eastAsia="Arial" w:hint="default"/>
                <w:sz w:val="20"/>
                <w:szCs w:val="20"/>
              </w:rPr>
              <w:t>2005</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8"/>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4" w:hRule="exact"/>
        </w:trPr>
        <w:tc>
          <w:tcPr>
            <w:tcW w:w="895" w:type="dxa"/>
            <w:vMerge/>
            <w:tcBorders>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东方电气股份有限</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8"/>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32" w:hRule="exact"/>
        </w:trPr>
        <w:tc>
          <w:tcPr>
            <w:tcW w:w="89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张英海</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北京通信信息协会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理事长</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99"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3" w:hRule="exact"/>
        </w:trPr>
        <w:tc>
          <w:tcPr>
            <w:tcW w:w="895" w:type="dxa"/>
            <w:vMerge/>
            <w:tcBorders>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z w:val="20"/>
                <w:szCs w:val="20"/>
              </w:rPr>
              <w:t>北京梅泰诺通信技</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术股份公司</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9"/>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32" w:hRule="exact"/>
        </w:trPr>
        <w:tc>
          <w:tcPr>
            <w:tcW w:w="8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夏大慰</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中国工业经济学会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副会长</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9" w:right="0"/>
              <w:jc w:val="left"/>
              <w:rPr>
                <w:rFonts w:ascii="宋体" w:hAnsi="宋体" w:cs="宋体" w:eastAsia="宋体" w:hint="default"/>
                <w:sz w:val="20"/>
                <w:szCs w:val="20"/>
              </w:rPr>
            </w:pPr>
            <w:r>
              <w:rPr>
                <w:rFonts w:ascii="Arial" w:hAnsi="Arial" w:cs="Arial" w:eastAsia="Arial" w:hint="default"/>
                <w:sz w:val="20"/>
                <w:szCs w:val="20"/>
              </w:rPr>
              <w:t>1998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9" w:right="0"/>
              <w:jc w:val="left"/>
              <w:rPr>
                <w:rFonts w:ascii="宋体" w:hAnsi="宋体" w:cs="宋体" w:eastAsia="宋体" w:hint="default"/>
                <w:sz w:val="20"/>
                <w:szCs w:val="20"/>
              </w:rPr>
            </w:pPr>
            <w:r>
              <w:rPr>
                <w:rFonts w:ascii="宋体" w:hAnsi="宋体" w:cs="宋体" w:eastAsia="宋体" w:hint="default"/>
                <w:sz w:val="20"/>
                <w:szCs w:val="20"/>
              </w:rPr>
              <w:t>财政部会计准则委</w:t>
            </w:r>
          </w:p>
          <w:p>
            <w:pPr>
              <w:pStyle w:val="TableParagraph"/>
              <w:spacing w:line="261" w:lineRule="exact"/>
              <w:ind w:left="99" w:right="0"/>
              <w:jc w:val="left"/>
              <w:rPr>
                <w:rFonts w:ascii="宋体" w:hAnsi="宋体" w:cs="宋体" w:eastAsia="宋体" w:hint="default"/>
                <w:sz w:val="20"/>
                <w:szCs w:val="20"/>
              </w:rPr>
            </w:pPr>
            <w:r>
              <w:rPr>
                <w:rFonts w:ascii="宋体" w:hAnsi="宋体" w:cs="宋体" w:eastAsia="宋体" w:hint="default"/>
                <w:sz w:val="20"/>
                <w:szCs w:val="20"/>
              </w:rPr>
              <w:t>员会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咨询专家</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Arial" w:hAnsi="Arial" w:cs="Arial" w:eastAsia="Arial" w:hint="default"/>
                <w:sz w:val="20"/>
                <w:szCs w:val="20"/>
              </w:rPr>
              <w:t>2002</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z w:val="20"/>
                <w:szCs w:val="20"/>
              </w:rPr>
              <w:t>财政部企业内部控</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制标准委员会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委员</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1"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香港中文大学</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名誉教授</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99"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2"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复旦大学管理学院</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兼职教授</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9" w:right="0"/>
              <w:jc w:val="left"/>
              <w:rPr>
                <w:rFonts w:ascii="宋体" w:hAnsi="宋体" w:cs="宋体" w:eastAsia="宋体" w:hint="default"/>
                <w:sz w:val="20"/>
                <w:szCs w:val="20"/>
              </w:rPr>
            </w:pPr>
            <w:r>
              <w:rPr>
                <w:rFonts w:ascii="Arial" w:hAnsi="Arial" w:cs="Arial" w:eastAsia="Arial" w:hint="default"/>
                <w:sz w:val="20"/>
                <w:szCs w:val="20"/>
              </w:rPr>
              <w:t>2003</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9" w:right="0"/>
              <w:jc w:val="left"/>
              <w:rPr>
                <w:rFonts w:ascii="宋体" w:hAnsi="宋体" w:cs="宋体" w:eastAsia="宋体" w:hint="default"/>
                <w:sz w:val="20"/>
                <w:szCs w:val="20"/>
              </w:rPr>
            </w:pPr>
            <w:r>
              <w:rPr>
                <w:rFonts w:ascii="宋体" w:hAnsi="宋体" w:cs="宋体" w:eastAsia="宋体" w:hint="default"/>
                <w:sz w:val="20"/>
                <w:szCs w:val="20"/>
              </w:rPr>
              <w:t>上海证券交易所上</w:t>
            </w:r>
          </w:p>
          <w:p>
            <w:pPr>
              <w:pStyle w:val="TableParagraph"/>
              <w:spacing w:line="261" w:lineRule="exact"/>
              <w:ind w:left="99" w:right="0"/>
              <w:jc w:val="left"/>
              <w:rPr>
                <w:rFonts w:ascii="宋体" w:hAnsi="宋体" w:cs="宋体" w:eastAsia="宋体" w:hint="default"/>
                <w:sz w:val="20"/>
                <w:szCs w:val="20"/>
              </w:rPr>
            </w:pPr>
            <w:r>
              <w:rPr>
                <w:rFonts w:ascii="宋体" w:hAnsi="宋体" w:cs="宋体" w:eastAsia="宋体" w:hint="default"/>
                <w:sz w:val="20"/>
                <w:szCs w:val="20"/>
              </w:rPr>
              <w:t>市公司专家委员会</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委员</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Arial" w:hAnsi="Arial" w:cs="Arial" w:eastAsia="Arial" w:hint="default"/>
                <w:sz w:val="20"/>
                <w:szCs w:val="20"/>
              </w:rPr>
              <w:t>2001</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8"/>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3"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z w:val="20"/>
                <w:szCs w:val="20"/>
              </w:rPr>
              <w:t>联华超市股份有限</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8"/>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793" w:hRule="exact"/>
        </w:trPr>
        <w:tc>
          <w:tcPr>
            <w:tcW w:w="895" w:type="dxa"/>
            <w:vMerge/>
            <w:tcBorders>
              <w:left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上海锦江国际酒店</w:t>
            </w:r>
          </w:p>
          <w:p>
            <w:pPr>
              <w:pStyle w:val="TableParagraph"/>
              <w:spacing w:line="260" w:lineRule="exact" w:before="24"/>
              <w:ind w:left="99" w:right="18"/>
              <w:jc w:val="left"/>
              <w:rPr>
                <w:rFonts w:ascii="宋体" w:hAnsi="宋体" w:cs="宋体" w:eastAsia="宋体" w:hint="default"/>
                <w:sz w:val="20"/>
                <w:szCs w:val="20"/>
              </w:rPr>
            </w:pPr>
            <w:r>
              <w:rPr>
                <w:rFonts w:ascii="宋体" w:hAnsi="宋体" w:cs="宋体" w:eastAsia="宋体" w:hint="default"/>
                <w:spacing w:val="-2"/>
                <w:sz w:val="20"/>
                <w:szCs w:val="20"/>
              </w:rPr>
              <w:t>（集团）股份有限公</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司</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8"/>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5" w:hRule="exact"/>
        </w:trPr>
        <w:tc>
          <w:tcPr>
            <w:tcW w:w="895" w:type="dxa"/>
            <w:vMerge/>
            <w:tcBorders>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上海电力股份有限</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8"/>
              <w:jc w:val="center"/>
              <w:rPr>
                <w:rFonts w:ascii="宋体" w:hAnsi="宋体" w:cs="宋体" w:eastAsia="宋体" w:hint="default"/>
                <w:sz w:val="20"/>
                <w:szCs w:val="20"/>
              </w:rPr>
            </w:pPr>
            <w:r>
              <w:rPr>
                <w:rFonts w:ascii="宋体" w:hAnsi="宋体" w:cs="宋体" w:eastAsia="宋体" w:hint="default"/>
                <w:w w:val="100"/>
                <w:sz w:val="20"/>
                <w:szCs w:val="20"/>
              </w:rPr>
              <w:t>是</w:t>
            </w:r>
          </w:p>
        </w:tc>
      </w:tr>
    </w:tbl>
    <w:p>
      <w:pPr>
        <w:spacing w:after="0" w:line="240" w:lineRule="auto"/>
        <w:jc w:val="center"/>
        <w:rPr>
          <w:rFonts w:ascii="宋体" w:hAnsi="宋体" w:cs="宋体" w:eastAsia="宋体" w:hint="default"/>
          <w:sz w:val="20"/>
          <w:szCs w:val="20"/>
        </w:rPr>
        <w:sectPr>
          <w:pgSz w:w="11900" w:h="16840"/>
          <w:pgMar w:header="927" w:footer="752" w:top="1160" w:bottom="940" w:left="1340" w:right="980"/>
        </w:sectPr>
      </w:pPr>
    </w:p>
    <w:p>
      <w:pPr>
        <w:spacing w:line="240" w:lineRule="auto" w:before="10"/>
        <w:rPr>
          <w:rFonts w:ascii="Times New Roman" w:hAnsi="Times New Roman" w:cs="Times New Roman" w:eastAsia="Times New Roman" w:hint="default"/>
          <w:sz w:val="24"/>
          <w:szCs w:val="24"/>
        </w:rPr>
      </w:pPr>
    </w:p>
    <w:p>
      <w:pPr>
        <w:pStyle w:val="BodyText"/>
        <w:spacing w:line="240" w:lineRule="auto" w:before="31"/>
        <w:ind w:left="145" w:right="0"/>
        <w:jc w:val="left"/>
      </w:pPr>
      <w:r>
        <w:rPr/>
        <w:t>（三）董事、监事、高级管理人员报酬情况</w:t>
      </w:r>
    </w:p>
    <w:p>
      <w:pPr>
        <w:spacing w:line="240" w:lineRule="auto" w:before="12"/>
        <w:rPr>
          <w:rFonts w:ascii="宋体" w:hAnsi="宋体" w:cs="宋体" w:eastAsia="宋体" w:hint="default"/>
          <w:sz w:val="21"/>
          <w:szCs w:val="21"/>
        </w:rPr>
      </w:pPr>
    </w:p>
    <w:tbl>
      <w:tblPr>
        <w:tblW w:w="0" w:type="auto"/>
        <w:jc w:val="left"/>
        <w:tblInd w:w="795" w:type="dxa"/>
        <w:tblLayout w:type="fixed"/>
        <w:tblCellMar>
          <w:top w:w="0" w:type="dxa"/>
          <w:left w:w="0" w:type="dxa"/>
          <w:bottom w:w="0" w:type="dxa"/>
          <w:right w:w="0" w:type="dxa"/>
        </w:tblCellMar>
        <w:tblLook w:val="01E0"/>
      </w:tblPr>
      <w:tblGrid>
        <w:gridCol w:w="2347"/>
        <w:gridCol w:w="6067"/>
      </w:tblGrid>
      <w:tr>
        <w:trPr>
          <w:trHeight w:val="930"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60" w:lineRule="exact"/>
              <w:ind w:left="99" w:right="98"/>
              <w:jc w:val="left"/>
              <w:rPr>
                <w:rFonts w:ascii="宋体" w:hAnsi="宋体" w:cs="宋体" w:eastAsia="宋体" w:hint="default"/>
                <w:sz w:val="20"/>
                <w:szCs w:val="20"/>
              </w:rPr>
            </w:pPr>
            <w:r>
              <w:rPr>
                <w:rFonts w:ascii="宋体" w:hAnsi="宋体" w:cs="宋体" w:eastAsia="宋体" w:hint="default"/>
                <w:spacing w:val="-7"/>
                <w:sz w:val="20"/>
                <w:szCs w:val="20"/>
              </w:rPr>
              <w:t>董事、监事、高级管理人</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员报酬的决策程序</w:t>
            </w:r>
          </w:p>
        </w:tc>
        <w:tc>
          <w:tcPr>
            <w:tcW w:w="60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62"/>
              <w:ind w:left="100" w:right="149"/>
              <w:jc w:val="both"/>
              <w:rPr>
                <w:rFonts w:ascii="宋体" w:hAnsi="宋体" w:cs="宋体" w:eastAsia="宋体" w:hint="default"/>
                <w:sz w:val="20"/>
                <w:szCs w:val="20"/>
              </w:rPr>
            </w:pPr>
            <w:r>
              <w:rPr>
                <w:rFonts w:ascii="宋体" w:hAnsi="宋体" w:cs="宋体" w:eastAsia="宋体" w:hint="default"/>
                <w:spacing w:val="-1"/>
                <w:sz w:val="20"/>
                <w:szCs w:val="20"/>
              </w:rPr>
              <w:t>董事和监事的报酬，由董事会、监事会分别拟订方案，提交股东大</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1"/>
                <w:sz w:val="20"/>
                <w:szCs w:val="20"/>
              </w:rPr>
              <w:t>会审议。高级管理人员的报酬，由董事会制定薪酬标准并组织考核</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确定。</w:t>
            </w:r>
          </w:p>
        </w:tc>
      </w:tr>
      <w:tr>
        <w:trPr>
          <w:trHeight w:val="560"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6"/>
              <w:ind w:left="99" w:right="98"/>
              <w:jc w:val="left"/>
              <w:rPr>
                <w:rFonts w:ascii="宋体" w:hAnsi="宋体" w:cs="宋体" w:eastAsia="宋体" w:hint="default"/>
                <w:sz w:val="20"/>
                <w:szCs w:val="20"/>
              </w:rPr>
            </w:pPr>
            <w:r>
              <w:rPr>
                <w:rFonts w:ascii="宋体" w:hAnsi="宋体" w:cs="宋体" w:eastAsia="宋体" w:hint="default"/>
                <w:spacing w:val="-7"/>
                <w:sz w:val="20"/>
                <w:szCs w:val="20"/>
              </w:rPr>
              <w:t>董事、监事、高级管理人</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员报酬确定依据</w:t>
            </w:r>
          </w:p>
        </w:tc>
        <w:tc>
          <w:tcPr>
            <w:tcW w:w="6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宋体" w:hAnsi="宋体" w:cs="宋体" w:eastAsia="宋体" w:hint="default"/>
                <w:sz w:val="20"/>
                <w:szCs w:val="20"/>
              </w:rPr>
            </w:pPr>
            <w:r>
              <w:rPr>
                <w:rFonts w:ascii="宋体" w:hAnsi="宋体" w:cs="宋体" w:eastAsia="宋体" w:hint="default"/>
                <w:sz w:val="20"/>
                <w:szCs w:val="20"/>
              </w:rPr>
              <w:t>高级管理人员的报酬，由董事会制定薪酬标准并组织考核确定。</w:t>
            </w:r>
          </w:p>
        </w:tc>
      </w:tr>
      <w:tr>
        <w:trPr>
          <w:trHeight w:val="616"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99" w:right="98"/>
              <w:jc w:val="left"/>
              <w:rPr>
                <w:rFonts w:ascii="宋体" w:hAnsi="宋体" w:cs="宋体" w:eastAsia="宋体" w:hint="default"/>
                <w:sz w:val="20"/>
                <w:szCs w:val="20"/>
              </w:rPr>
            </w:pPr>
            <w:r>
              <w:rPr>
                <w:rFonts w:ascii="宋体" w:hAnsi="宋体" w:cs="宋体" w:eastAsia="宋体" w:hint="default"/>
                <w:spacing w:val="-7"/>
                <w:sz w:val="20"/>
                <w:szCs w:val="20"/>
              </w:rPr>
              <w:t>董事、监事和高级管理人</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员报酬的实际支付情况</w:t>
            </w:r>
          </w:p>
        </w:tc>
        <w:tc>
          <w:tcPr>
            <w:tcW w:w="6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100" w:right="0"/>
              <w:jc w:val="left"/>
              <w:rPr>
                <w:rFonts w:ascii="宋体" w:hAnsi="宋体" w:cs="宋体" w:eastAsia="宋体" w:hint="default"/>
                <w:sz w:val="20"/>
                <w:szCs w:val="20"/>
              </w:rPr>
            </w:pPr>
            <w:r>
              <w:rPr>
                <w:rFonts w:ascii="宋体" w:hAnsi="宋体" w:cs="宋体" w:eastAsia="宋体" w:hint="default"/>
                <w:sz w:val="20"/>
                <w:szCs w:val="20"/>
              </w:rPr>
              <w:t>考核后支付。</w:t>
            </w:r>
          </w:p>
        </w:tc>
      </w:tr>
    </w:tbl>
    <w:p>
      <w:pPr>
        <w:spacing w:line="240" w:lineRule="auto" w:before="2"/>
        <w:rPr>
          <w:rFonts w:ascii="宋体" w:hAnsi="宋体" w:cs="宋体" w:eastAsia="宋体" w:hint="default"/>
          <w:sz w:val="14"/>
          <w:szCs w:val="14"/>
        </w:rPr>
      </w:pPr>
    </w:p>
    <w:p>
      <w:pPr>
        <w:pStyle w:val="BodyText"/>
        <w:spacing w:line="240" w:lineRule="auto" w:before="31"/>
        <w:ind w:left="145" w:right="0"/>
        <w:jc w:val="left"/>
      </w:pPr>
      <w:r>
        <w:rPr/>
        <w:t>（四）公司董事、监事、高级管理人员变动情况</w:t>
      </w:r>
    </w:p>
    <w:p>
      <w:pPr>
        <w:spacing w:line="240" w:lineRule="auto" w:before="11"/>
        <w:rPr>
          <w:rFonts w:ascii="宋体" w:hAnsi="宋体" w:cs="宋体" w:eastAsia="宋体" w:hint="default"/>
          <w:sz w:val="21"/>
          <w:szCs w:val="21"/>
        </w:rPr>
      </w:pPr>
    </w:p>
    <w:tbl>
      <w:tblPr>
        <w:tblW w:w="0" w:type="auto"/>
        <w:jc w:val="left"/>
        <w:tblInd w:w="795" w:type="dxa"/>
        <w:tblLayout w:type="fixed"/>
        <w:tblCellMar>
          <w:top w:w="0" w:type="dxa"/>
          <w:left w:w="0" w:type="dxa"/>
          <w:bottom w:w="0" w:type="dxa"/>
          <w:right w:w="0" w:type="dxa"/>
        </w:tblCellMar>
        <w:tblLook w:val="01E0"/>
      </w:tblPr>
      <w:tblGrid>
        <w:gridCol w:w="1116"/>
        <w:gridCol w:w="1268"/>
        <w:gridCol w:w="980"/>
        <w:gridCol w:w="5068"/>
      </w:tblGrid>
      <w:tr>
        <w:trPr>
          <w:trHeight w:val="332"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59"/>
              <w:jc w:val="center"/>
              <w:rPr>
                <w:rFonts w:ascii="宋体" w:hAnsi="宋体" w:cs="宋体" w:eastAsia="宋体" w:hint="default"/>
                <w:sz w:val="20"/>
                <w:szCs w:val="20"/>
              </w:rPr>
            </w:pPr>
            <w:r>
              <w:rPr>
                <w:rFonts w:ascii="宋体" w:hAnsi="宋体" w:cs="宋体" w:eastAsia="宋体" w:hint="default"/>
                <w:sz w:val="20"/>
                <w:szCs w:val="20"/>
              </w:rPr>
              <w:t>担任的职务</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3"/>
              <w:jc w:val="center"/>
              <w:rPr>
                <w:rFonts w:ascii="宋体" w:hAnsi="宋体" w:cs="宋体" w:eastAsia="宋体" w:hint="default"/>
                <w:sz w:val="20"/>
                <w:szCs w:val="20"/>
              </w:rPr>
            </w:pPr>
            <w:r>
              <w:rPr>
                <w:rFonts w:ascii="宋体" w:hAnsi="宋体" w:cs="宋体" w:eastAsia="宋体" w:hint="default"/>
                <w:sz w:val="20"/>
                <w:szCs w:val="20"/>
              </w:rPr>
              <w:t>变动情形</w:t>
            </w:r>
          </w:p>
        </w:tc>
        <w:tc>
          <w:tcPr>
            <w:tcW w:w="50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变动原因</w:t>
            </w:r>
          </w:p>
        </w:tc>
      </w:tr>
      <w:tr>
        <w:trPr>
          <w:trHeight w:val="332"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左迅生</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董事</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离任</w:t>
            </w:r>
          </w:p>
        </w:tc>
        <w:tc>
          <w:tcPr>
            <w:tcW w:w="50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因年龄原因，已退休，不再担任。</w:t>
            </w:r>
          </w:p>
        </w:tc>
      </w:tr>
      <w:tr>
        <w:trPr>
          <w:trHeight w:val="331"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sz w:val="20"/>
                <w:szCs w:val="20"/>
              </w:rPr>
              <w:t>李福申</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 w:right="0"/>
              <w:jc w:val="center"/>
              <w:rPr>
                <w:rFonts w:ascii="宋体" w:hAnsi="宋体" w:cs="宋体" w:eastAsia="宋体" w:hint="default"/>
                <w:sz w:val="20"/>
                <w:szCs w:val="20"/>
              </w:rPr>
            </w:pPr>
            <w:r>
              <w:rPr>
                <w:rFonts w:ascii="宋体" w:hAnsi="宋体" w:cs="宋体" w:eastAsia="宋体" w:hint="default"/>
                <w:sz w:val="20"/>
                <w:szCs w:val="20"/>
              </w:rPr>
              <w:t>董事</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 w:right="0"/>
              <w:jc w:val="center"/>
              <w:rPr>
                <w:rFonts w:ascii="宋体" w:hAnsi="宋体" w:cs="宋体" w:eastAsia="宋体" w:hint="default"/>
                <w:sz w:val="20"/>
                <w:szCs w:val="20"/>
              </w:rPr>
            </w:pPr>
            <w:r>
              <w:rPr>
                <w:rFonts w:ascii="宋体" w:hAnsi="宋体" w:cs="宋体" w:eastAsia="宋体" w:hint="default"/>
                <w:sz w:val="20"/>
                <w:szCs w:val="20"/>
              </w:rPr>
              <w:t>聘任</w:t>
            </w:r>
          </w:p>
        </w:tc>
        <w:tc>
          <w:tcPr>
            <w:tcW w:w="50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99" w:right="0"/>
              <w:jc w:val="left"/>
              <w:rPr>
                <w:rFonts w:ascii="宋体" w:hAnsi="宋体" w:cs="宋体" w:eastAsia="宋体" w:hint="default"/>
                <w:sz w:val="20"/>
                <w:szCs w:val="20"/>
              </w:rPr>
            </w:pPr>
            <w:r>
              <w:rPr>
                <w:rFonts w:ascii="宋体" w:hAnsi="宋体" w:cs="宋体" w:eastAsia="宋体" w:hint="default"/>
                <w:w w:val="100"/>
                <w:sz w:val="20"/>
                <w:szCs w:val="20"/>
              </w:rPr>
              <w:t>经本公司</w:t>
            </w:r>
            <w:r>
              <w:rPr>
                <w:rFonts w:ascii="宋体" w:hAnsi="宋体" w:cs="宋体" w:eastAsia="宋体" w:hint="default"/>
                <w:spacing w:val="-56"/>
                <w:sz w:val="20"/>
                <w:szCs w:val="20"/>
              </w:rPr>
              <w:t> </w:t>
            </w:r>
            <w:r>
              <w:rPr>
                <w:rFonts w:ascii="Arial" w:hAnsi="Arial" w:cs="Arial" w:eastAsia="Arial" w:hint="default"/>
                <w:w w:val="100"/>
                <w:sz w:val="20"/>
                <w:szCs w:val="20"/>
              </w:rPr>
              <w:t>20</w:t>
            </w:r>
            <w:r>
              <w:rPr>
                <w:rFonts w:ascii="Arial" w:hAnsi="Arial" w:cs="Arial" w:eastAsia="Arial" w:hint="default"/>
                <w:spacing w:val="-2"/>
                <w:w w:val="100"/>
                <w:sz w:val="20"/>
                <w:szCs w:val="20"/>
              </w:rPr>
              <w:t>1</w:t>
            </w:r>
            <w:r>
              <w:rPr>
                <w:rFonts w:ascii="Arial" w:hAnsi="Arial" w:cs="Arial" w:eastAsia="Arial" w:hint="default"/>
                <w:w w:val="100"/>
                <w:sz w:val="20"/>
                <w:szCs w:val="20"/>
              </w:rPr>
              <w:t>1</w:t>
            </w:r>
            <w:r>
              <w:rPr>
                <w:rFonts w:ascii="Arial" w:hAnsi="Arial" w:cs="Arial" w:eastAsia="Arial" w:hint="default"/>
                <w:spacing w:val="-10"/>
                <w:sz w:val="20"/>
                <w:szCs w:val="20"/>
              </w:rPr>
              <w:t> </w:t>
            </w:r>
            <w:r>
              <w:rPr>
                <w:rFonts w:ascii="宋体" w:hAnsi="宋体" w:cs="宋体" w:eastAsia="宋体" w:hint="default"/>
                <w:w w:val="100"/>
                <w:sz w:val="20"/>
                <w:szCs w:val="20"/>
              </w:rPr>
              <w:t>年</w:t>
            </w:r>
            <w:r>
              <w:rPr>
                <w:rFonts w:ascii="宋体" w:hAnsi="宋体" w:cs="宋体" w:eastAsia="宋体" w:hint="default"/>
                <w:spacing w:val="-55"/>
                <w:sz w:val="20"/>
                <w:szCs w:val="20"/>
              </w:rPr>
              <w:t> </w:t>
            </w:r>
            <w:r>
              <w:rPr>
                <w:rFonts w:ascii="Arial" w:hAnsi="Arial" w:cs="Arial" w:eastAsia="Arial" w:hint="default"/>
                <w:w w:val="100"/>
                <w:sz w:val="20"/>
                <w:szCs w:val="20"/>
              </w:rPr>
              <w:t>5</w:t>
            </w:r>
            <w:r>
              <w:rPr>
                <w:rFonts w:ascii="Arial" w:hAnsi="Arial" w:cs="Arial" w:eastAsia="Arial" w:hint="default"/>
                <w:spacing w:val="-10"/>
                <w:sz w:val="20"/>
                <w:szCs w:val="20"/>
              </w:rPr>
              <w:t> </w:t>
            </w:r>
            <w:r>
              <w:rPr>
                <w:rFonts w:ascii="宋体" w:hAnsi="宋体" w:cs="宋体" w:eastAsia="宋体" w:hint="default"/>
                <w:w w:val="100"/>
                <w:sz w:val="20"/>
                <w:szCs w:val="20"/>
              </w:rPr>
              <w:t>月</w:t>
            </w:r>
            <w:r>
              <w:rPr>
                <w:rFonts w:ascii="宋体" w:hAnsi="宋体" w:cs="宋体" w:eastAsia="宋体" w:hint="default"/>
                <w:spacing w:val="-56"/>
                <w:sz w:val="20"/>
                <w:szCs w:val="20"/>
              </w:rPr>
              <w:t> </w:t>
            </w:r>
            <w:r>
              <w:rPr>
                <w:rFonts w:ascii="Arial" w:hAnsi="Arial" w:cs="Arial" w:eastAsia="Arial" w:hint="default"/>
                <w:w w:val="100"/>
                <w:sz w:val="20"/>
                <w:szCs w:val="20"/>
              </w:rPr>
              <w:t>24</w:t>
            </w:r>
            <w:r>
              <w:rPr>
                <w:rFonts w:ascii="Arial" w:hAnsi="Arial" w:cs="Arial" w:eastAsia="Arial" w:hint="default"/>
                <w:spacing w:val="-11"/>
                <w:sz w:val="20"/>
                <w:szCs w:val="20"/>
              </w:rPr>
              <w:t> </w:t>
            </w:r>
            <w:r>
              <w:rPr>
                <w:rFonts w:ascii="宋体" w:hAnsi="宋体" w:cs="宋体" w:eastAsia="宋体" w:hint="default"/>
                <w:w w:val="100"/>
                <w:sz w:val="20"/>
                <w:szCs w:val="20"/>
              </w:rPr>
              <w:t>日股东</w:t>
            </w:r>
            <w:r>
              <w:rPr>
                <w:rFonts w:ascii="宋体" w:hAnsi="宋体" w:cs="宋体" w:eastAsia="宋体" w:hint="default"/>
                <w:spacing w:val="-2"/>
                <w:w w:val="100"/>
                <w:sz w:val="20"/>
                <w:szCs w:val="20"/>
              </w:rPr>
              <w:t>大</w:t>
            </w:r>
            <w:r>
              <w:rPr>
                <w:rFonts w:ascii="宋体" w:hAnsi="宋体" w:cs="宋体" w:eastAsia="宋体" w:hint="default"/>
                <w:w w:val="100"/>
                <w:sz w:val="20"/>
                <w:szCs w:val="20"/>
              </w:rPr>
              <w:t>会</w:t>
            </w:r>
            <w:r>
              <w:rPr>
                <w:rFonts w:ascii="宋体" w:hAnsi="宋体" w:cs="宋体" w:eastAsia="宋体" w:hint="default"/>
                <w:spacing w:val="-2"/>
                <w:w w:val="100"/>
                <w:sz w:val="20"/>
                <w:szCs w:val="20"/>
              </w:rPr>
              <w:t>批</w:t>
            </w:r>
            <w:r>
              <w:rPr>
                <w:rFonts w:ascii="宋体" w:hAnsi="宋体" w:cs="宋体" w:eastAsia="宋体" w:hint="default"/>
                <w:w w:val="100"/>
                <w:sz w:val="20"/>
                <w:szCs w:val="20"/>
              </w:rPr>
              <w:t>准</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任</w:t>
            </w:r>
            <w:r>
              <w:rPr>
                <w:rFonts w:ascii="宋体" w:hAnsi="宋体" w:cs="宋体" w:eastAsia="宋体" w:hint="default"/>
                <w:w w:val="100"/>
                <w:sz w:val="20"/>
                <w:szCs w:val="20"/>
              </w:rPr>
              <w:t>公司</w:t>
            </w:r>
            <w:r>
              <w:rPr>
                <w:rFonts w:ascii="宋体" w:hAnsi="宋体" w:cs="宋体" w:eastAsia="宋体" w:hint="default"/>
                <w:spacing w:val="-2"/>
                <w:w w:val="100"/>
                <w:sz w:val="20"/>
                <w:szCs w:val="20"/>
              </w:rPr>
              <w:t>董事。</w:t>
            </w:r>
            <w:r>
              <w:rPr>
                <w:rFonts w:ascii="宋体" w:hAnsi="宋体" w:cs="宋体" w:eastAsia="宋体" w:hint="default"/>
                <w:w w:val="100"/>
                <w:sz w:val="20"/>
                <w:szCs w:val="20"/>
              </w:rPr>
            </w:r>
          </w:p>
        </w:tc>
      </w:tr>
      <w:tr>
        <w:trPr>
          <w:trHeight w:val="332"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唐富馨</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监事</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离任</w:t>
            </w:r>
          </w:p>
        </w:tc>
        <w:tc>
          <w:tcPr>
            <w:tcW w:w="50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因工作职务变动原因，不再担任。</w:t>
            </w:r>
          </w:p>
        </w:tc>
      </w:tr>
      <w:tr>
        <w:trPr>
          <w:trHeight w:val="332"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韦海波</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监事</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聘任</w:t>
            </w:r>
          </w:p>
        </w:tc>
        <w:tc>
          <w:tcPr>
            <w:tcW w:w="50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9" w:right="0"/>
              <w:jc w:val="left"/>
              <w:rPr>
                <w:rFonts w:ascii="宋体" w:hAnsi="宋体" w:cs="宋体" w:eastAsia="宋体" w:hint="default"/>
                <w:sz w:val="20"/>
                <w:szCs w:val="20"/>
              </w:rPr>
            </w:pPr>
            <w:r>
              <w:rPr>
                <w:rFonts w:ascii="宋体" w:hAnsi="宋体" w:cs="宋体" w:eastAsia="宋体" w:hint="default"/>
                <w:w w:val="100"/>
                <w:sz w:val="20"/>
                <w:szCs w:val="20"/>
              </w:rPr>
              <w:t>经本公司</w:t>
            </w:r>
            <w:r>
              <w:rPr>
                <w:rFonts w:ascii="宋体" w:hAnsi="宋体" w:cs="宋体" w:eastAsia="宋体" w:hint="default"/>
                <w:spacing w:val="-56"/>
                <w:sz w:val="20"/>
                <w:szCs w:val="20"/>
              </w:rPr>
              <w:t> </w:t>
            </w:r>
            <w:r>
              <w:rPr>
                <w:rFonts w:ascii="Arial" w:hAnsi="Arial" w:cs="Arial" w:eastAsia="Arial" w:hint="default"/>
                <w:w w:val="100"/>
                <w:sz w:val="20"/>
                <w:szCs w:val="20"/>
              </w:rPr>
              <w:t>20</w:t>
            </w:r>
            <w:r>
              <w:rPr>
                <w:rFonts w:ascii="Arial" w:hAnsi="Arial" w:cs="Arial" w:eastAsia="Arial" w:hint="default"/>
                <w:spacing w:val="-2"/>
                <w:w w:val="100"/>
                <w:sz w:val="20"/>
                <w:szCs w:val="20"/>
              </w:rPr>
              <w:t>1</w:t>
            </w:r>
            <w:r>
              <w:rPr>
                <w:rFonts w:ascii="Arial" w:hAnsi="Arial" w:cs="Arial" w:eastAsia="Arial" w:hint="default"/>
                <w:w w:val="100"/>
                <w:sz w:val="20"/>
                <w:szCs w:val="20"/>
              </w:rPr>
              <w:t>1</w:t>
            </w:r>
            <w:r>
              <w:rPr>
                <w:rFonts w:ascii="Arial" w:hAnsi="Arial" w:cs="Arial" w:eastAsia="Arial" w:hint="default"/>
                <w:spacing w:val="-10"/>
                <w:sz w:val="20"/>
                <w:szCs w:val="20"/>
              </w:rPr>
              <w:t> </w:t>
            </w:r>
            <w:r>
              <w:rPr>
                <w:rFonts w:ascii="宋体" w:hAnsi="宋体" w:cs="宋体" w:eastAsia="宋体" w:hint="default"/>
                <w:w w:val="100"/>
                <w:sz w:val="20"/>
                <w:szCs w:val="20"/>
              </w:rPr>
              <w:t>年</w:t>
            </w:r>
            <w:r>
              <w:rPr>
                <w:rFonts w:ascii="宋体" w:hAnsi="宋体" w:cs="宋体" w:eastAsia="宋体" w:hint="default"/>
                <w:spacing w:val="-55"/>
                <w:sz w:val="20"/>
                <w:szCs w:val="20"/>
              </w:rPr>
              <w:t> </w:t>
            </w:r>
            <w:r>
              <w:rPr>
                <w:rFonts w:ascii="Arial" w:hAnsi="Arial" w:cs="Arial" w:eastAsia="Arial" w:hint="default"/>
                <w:w w:val="100"/>
                <w:sz w:val="20"/>
                <w:szCs w:val="20"/>
              </w:rPr>
              <w:t>5</w:t>
            </w:r>
            <w:r>
              <w:rPr>
                <w:rFonts w:ascii="Arial" w:hAnsi="Arial" w:cs="Arial" w:eastAsia="Arial" w:hint="default"/>
                <w:spacing w:val="-10"/>
                <w:sz w:val="20"/>
                <w:szCs w:val="20"/>
              </w:rPr>
              <w:t> </w:t>
            </w:r>
            <w:r>
              <w:rPr>
                <w:rFonts w:ascii="宋体" w:hAnsi="宋体" w:cs="宋体" w:eastAsia="宋体" w:hint="default"/>
                <w:w w:val="100"/>
                <w:sz w:val="20"/>
                <w:szCs w:val="20"/>
              </w:rPr>
              <w:t>月</w:t>
            </w:r>
            <w:r>
              <w:rPr>
                <w:rFonts w:ascii="宋体" w:hAnsi="宋体" w:cs="宋体" w:eastAsia="宋体" w:hint="default"/>
                <w:spacing w:val="-56"/>
                <w:sz w:val="20"/>
                <w:szCs w:val="20"/>
              </w:rPr>
              <w:t> </w:t>
            </w:r>
            <w:r>
              <w:rPr>
                <w:rFonts w:ascii="Arial" w:hAnsi="Arial" w:cs="Arial" w:eastAsia="Arial" w:hint="default"/>
                <w:w w:val="100"/>
                <w:sz w:val="20"/>
                <w:szCs w:val="20"/>
              </w:rPr>
              <w:t>24</w:t>
            </w:r>
            <w:r>
              <w:rPr>
                <w:rFonts w:ascii="Arial" w:hAnsi="Arial" w:cs="Arial" w:eastAsia="Arial" w:hint="default"/>
                <w:spacing w:val="-11"/>
                <w:sz w:val="20"/>
                <w:szCs w:val="20"/>
              </w:rPr>
              <w:t> </w:t>
            </w:r>
            <w:r>
              <w:rPr>
                <w:rFonts w:ascii="宋体" w:hAnsi="宋体" w:cs="宋体" w:eastAsia="宋体" w:hint="default"/>
                <w:w w:val="100"/>
                <w:sz w:val="20"/>
                <w:szCs w:val="20"/>
              </w:rPr>
              <w:t>日股东</w:t>
            </w:r>
            <w:r>
              <w:rPr>
                <w:rFonts w:ascii="宋体" w:hAnsi="宋体" w:cs="宋体" w:eastAsia="宋体" w:hint="default"/>
                <w:spacing w:val="-2"/>
                <w:w w:val="100"/>
                <w:sz w:val="20"/>
                <w:szCs w:val="20"/>
              </w:rPr>
              <w:t>大</w:t>
            </w:r>
            <w:r>
              <w:rPr>
                <w:rFonts w:ascii="宋体" w:hAnsi="宋体" w:cs="宋体" w:eastAsia="宋体" w:hint="default"/>
                <w:w w:val="100"/>
                <w:sz w:val="20"/>
                <w:szCs w:val="20"/>
              </w:rPr>
              <w:t>会</w:t>
            </w:r>
            <w:r>
              <w:rPr>
                <w:rFonts w:ascii="宋体" w:hAnsi="宋体" w:cs="宋体" w:eastAsia="宋体" w:hint="default"/>
                <w:spacing w:val="-2"/>
                <w:w w:val="100"/>
                <w:sz w:val="20"/>
                <w:szCs w:val="20"/>
              </w:rPr>
              <w:t>批</w:t>
            </w:r>
            <w:r>
              <w:rPr>
                <w:rFonts w:ascii="宋体" w:hAnsi="宋体" w:cs="宋体" w:eastAsia="宋体" w:hint="default"/>
                <w:w w:val="100"/>
                <w:sz w:val="20"/>
                <w:szCs w:val="20"/>
              </w:rPr>
              <w:t>准</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任</w:t>
            </w:r>
            <w:r>
              <w:rPr>
                <w:rFonts w:ascii="宋体" w:hAnsi="宋体" w:cs="宋体" w:eastAsia="宋体" w:hint="default"/>
                <w:w w:val="100"/>
                <w:sz w:val="20"/>
                <w:szCs w:val="20"/>
              </w:rPr>
              <w:t>公司</w:t>
            </w:r>
            <w:r>
              <w:rPr>
                <w:rFonts w:ascii="宋体" w:hAnsi="宋体" w:cs="宋体" w:eastAsia="宋体" w:hint="default"/>
                <w:spacing w:val="-2"/>
                <w:w w:val="100"/>
                <w:sz w:val="20"/>
                <w:szCs w:val="20"/>
              </w:rPr>
              <w:t>监事。</w:t>
            </w:r>
            <w:r>
              <w:rPr>
                <w:rFonts w:ascii="宋体" w:hAnsi="宋体" w:cs="宋体" w:eastAsia="宋体" w:hint="default"/>
                <w:w w:val="100"/>
                <w:sz w:val="20"/>
                <w:szCs w:val="20"/>
              </w:rPr>
            </w:r>
          </w:p>
        </w:tc>
      </w:tr>
    </w:tbl>
    <w:p>
      <w:pPr>
        <w:spacing w:line="240" w:lineRule="auto" w:before="2"/>
        <w:rPr>
          <w:rFonts w:ascii="宋体" w:hAnsi="宋体" w:cs="宋体" w:eastAsia="宋体" w:hint="default"/>
          <w:sz w:val="14"/>
          <w:szCs w:val="14"/>
        </w:rPr>
      </w:pPr>
    </w:p>
    <w:p>
      <w:pPr>
        <w:pStyle w:val="BodyText"/>
        <w:spacing w:line="240" w:lineRule="auto" w:before="31"/>
        <w:ind w:left="145" w:right="0"/>
        <w:jc w:val="left"/>
      </w:pPr>
      <w:r>
        <w:rPr/>
        <w:t>（五）公司员工情况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795" w:type="dxa"/>
        <w:tblLayout w:type="fixed"/>
        <w:tblCellMar>
          <w:top w:w="0" w:type="dxa"/>
          <w:left w:w="0" w:type="dxa"/>
          <w:bottom w:w="0" w:type="dxa"/>
          <w:right w:w="0" w:type="dxa"/>
        </w:tblCellMar>
        <w:tblLook w:val="01E0"/>
      </w:tblPr>
      <w:tblGrid>
        <w:gridCol w:w="3600"/>
        <w:gridCol w:w="4832"/>
      </w:tblGrid>
      <w:tr>
        <w:trPr>
          <w:trHeight w:val="332"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在职员工总数</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71"/>
              <w:jc w:val="right"/>
              <w:rPr>
                <w:rFonts w:ascii="宋体" w:hAnsi="宋体" w:cs="宋体" w:eastAsia="宋体" w:hint="default"/>
                <w:sz w:val="22"/>
                <w:szCs w:val="22"/>
              </w:rPr>
            </w:pPr>
            <w:r>
              <w:rPr>
                <w:rFonts w:ascii="宋体" w:hAnsi="宋体" w:cs="宋体" w:eastAsia="宋体" w:hint="default"/>
                <w:sz w:val="22"/>
                <w:szCs w:val="22"/>
              </w:rPr>
              <w:t>截止报告期末，本公司在职员工为</w:t>
            </w:r>
            <w:r>
              <w:rPr>
                <w:rFonts w:ascii="宋体" w:hAnsi="宋体" w:cs="宋体" w:eastAsia="宋体" w:hint="default"/>
                <w:spacing w:val="-57"/>
                <w:sz w:val="22"/>
                <w:szCs w:val="22"/>
              </w:rPr>
              <w:t> </w:t>
            </w:r>
            <w:r>
              <w:rPr>
                <w:rFonts w:ascii="Arial" w:hAnsi="Arial" w:cs="Arial" w:eastAsia="Arial" w:hint="default"/>
                <w:sz w:val="22"/>
                <w:szCs w:val="22"/>
              </w:rPr>
              <w:t>215,954</w:t>
            </w:r>
            <w:r>
              <w:rPr>
                <w:rFonts w:ascii="Arial" w:hAnsi="Arial" w:cs="Arial" w:eastAsia="Arial" w:hint="default"/>
                <w:spacing w:val="-9"/>
                <w:sz w:val="22"/>
                <w:szCs w:val="22"/>
              </w:rPr>
              <w:t> </w:t>
            </w:r>
            <w:r>
              <w:rPr>
                <w:rFonts w:ascii="宋体" w:hAnsi="宋体" w:cs="宋体" w:eastAsia="宋体" w:hint="default"/>
                <w:sz w:val="22"/>
                <w:szCs w:val="22"/>
              </w:rPr>
              <w:t>人。</w:t>
            </w:r>
          </w:p>
        </w:tc>
      </w:tr>
      <w:tr>
        <w:trPr>
          <w:trHeight w:val="586"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9" w:right="0"/>
              <w:jc w:val="left"/>
              <w:rPr>
                <w:rFonts w:ascii="宋体" w:hAnsi="宋体" w:cs="宋体" w:eastAsia="宋体" w:hint="default"/>
                <w:sz w:val="22"/>
                <w:szCs w:val="22"/>
              </w:rPr>
            </w:pPr>
            <w:r>
              <w:rPr>
                <w:rFonts w:ascii="宋体" w:hAnsi="宋体" w:cs="宋体" w:eastAsia="宋体" w:hint="default"/>
                <w:sz w:val="22"/>
                <w:szCs w:val="22"/>
              </w:rPr>
              <w:t>公司需承担费用的离退休职工人数</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截止报告期末，本公司需承担费用的离退休职工</w:t>
            </w:r>
          </w:p>
          <w:p>
            <w:pPr>
              <w:pStyle w:val="TableParagraph"/>
              <w:spacing w:line="302" w:lineRule="exact"/>
              <w:ind w:left="100" w:right="0"/>
              <w:jc w:val="left"/>
              <w:rPr>
                <w:rFonts w:ascii="宋体" w:hAnsi="宋体" w:cs="宋体" w:eastAsia="宋体" w:hint="default"/>
                <w:sz w:val="22"/>
                <w:szCs w:val="22"/>
              </w:rPr>
            </w:pPr>
            <w:r>
              <w:rPr>
                <w:rFonts w:ascii="宋体" w:hAnsi="宋体" w:cs="宋体" w:eastAsia="宋体" w:hint="default"/>
                <w:sz w:val="22"/>
                <w:szCs w:val="22"/>
              </w:rPr>
              <w:t>为</w:t>
            </w:r>
            <w:r>
              <w:rPr>
                <w:rFonts w:ascii="宋体" w:hAnsi="宋体" w:cs="宋体" w:eastAsia="宋体" w:hint="default"/>
                <w:spacing w:val="-56"/>
                <w:sz w:val="22"/>
                <w:szCs w:val="22"/>
              </w:rPr>
              <w:t> </w:t>
            </w:r>
            <w:r>
              <w:rPr>
                <w:rFonts w:ascii="Arial" w:hAnsi="Arial" w:cs="Arial" w:eastAsia="Arial" w:hint="default"/>
                <w:sz w:val="22"/>
                <w:szCs w:val="22"/>
              </w:rPr>
              <w:t>2,650</w:t>
            </w:r>
            <w:r>
              <w:rPr>
                <w:rFonts w:ascii="Arial" w:hAnsi="Arial" w:cs="Arial" w:eastAsia="Arial" w:hint="default"/>
                <w:spacing w:val="-7"/>
                <w:sz w:val="22"/>
                <w:szCs w:val="22"/>
              </w:rPr>
              <w:t> </w:t>
            </w:r>
            <w:r>
              <w:rPr>
                <w:rFonts w:ascii="宋体" w:hAnsi="宋体" w:cs="宋体" w:eastAsia="宋体" w:hint="default"/>
                <w:sz w:val="22"/>
                <w:szCs w:val="22"/>
              </w:rPr>
              <w:t>人</w:t>
            </w:r>
          </w:p>
        </w:tc>
      </w:tr>
      <w:tr>
        <w:trPr>
          <w:trHeight w:val="332" w:hRule="exact"/>
        </w:trPr>
        <w:tc>
          <w:tcPr>
            <w:tcW w:w="84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 w:right="1"/>
              <w:jc w:val="center"/>
              <w:rPr>
                <w:rFonts w:ascii="宋体" w:hAnsi="宋体" w:cs="宋体" w:eastAsia="宋体" w:hint="default"/>
                <w:sz w:val="22"/>
                <w:szCs w:val="22"/>
              </w:rPr>
            </w:pPr>
            <w:r>
              <w:rPr>
                <w:rFonts w:ascii="宋体" w:hAnsi="宋体" w:cs="宋体" w:eastAsia="宋体" w:hint="default"/>
                <w:sz w:val="22"/>
                <w:szCs w:val="22"/>
              </w:rPr>
              <w:t>专业构成</w:t>
            </w:r>
          </w:p>
        </w:tc>
      </w:tr>
      <w:tr>
        <w:trPr>
          <w:trHeight w:val="331"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131" w:right="0"/>
              <w:jc w:val="left"/>
              <w:rPr>
                <w:rFonts w:ascii="宋体" w:hAnsi="宋体" w:cs="宋体" w:eastAsia="宋体" w:hint="default"/>
                <w:sz w:val="22"/>
                <w:szCs w:val="22"/>
              </w:rPr>
            </w:pPr>
            <w:r>
              <w:rPr>
                <w:rFonts w:ascii="宋体" w:hAnsi="宋体" w:cs="宋体" w:eastAsia="宋体" w:hint="default"/>
                <w:sz w:val="22"/>
                <w:szCs w:val="22"/>
              </w:rPr>
              <w:t>专业构成类别</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2"/>
                <w:szCs w:val="22"/>
              </w:rPr>
            </w:pPr>
            <w:r>
              <w:rPr>
                <w:rFonts w:ascii="宋体" w:hAnsi="宋体" w:cs="宋体" w:eastAsia="宋体" w:hint="default"/>
                <w:sz w:val="22"/>
                <w:szCs w:val="22"/>
              </w:rPr>
              <w:t>专业构成人数</w:t>
            </w:r>
          </w:p>
        </w:tc>
      </w:tr>
      <w:tr>
        <w:trPr>
          <w:trHeight w:val="332"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销售与服务人员</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w:hAnsi="Arial" w:cs="Arial" w:eastAsia="Arial" w:hint="default"/>
                <w:sz w:val="22"/>
                <w:szCs w:val="22"/>
              </w:rPr>
            </w:pPr>
            <w:r>
              <w:rPr>
                <w:rFonts w:ascii="Arial"/>
                <w:w w:val="95"/>
                <w:sz w:val="22"/>
              </w:rPr>
              <w:t>63,135</w:t>
            </w:r>
            <w:r>
              <w:rPr>
                <w:rFonts w:ascii="Arial"/>
                <w:sz w:val="22"/>
              </w:rPr>
            </w:r>
          </w:p>
        </w:tc>
      </w:tr>
      <w:tr>
        <w:trPr>
          <w:trHeight w:val="332"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产品与市场人员</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Arial" w:hAnsi="Arial" w:cs="Arial" w:eastAsia="Arial" w:hint="default"/>
                <w:sz w:val="22"/>
                <w:szCs w:val="22"/>
              </w:rPr>
            </w:pPr>
            <w:r>
              <w:rPr>
                <w:rFonts w:ascii="Arial"/>
                <w:w w:val="95"/>
                <w:sz w:val="22"/>
              </w:rPr>
              <w:t>18,073</w:t>
            </w:r>
            <w:r>
              <w:rPr>
                <w:rFonts w:ascii="Arial"/>
                <w:sz w:val="22"/>
              </w:rPr>
            </w:r>
          </w:p>
        </w:tc>
      </w:tr>
      <w:tr>
        <w:trPr>
          <w:trHeight w:val="331"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99" w:right="0"/>
              <w:jc w:val="left"/>
              <w:rPr>
                <w:rFonts w:ascii="宋体" w:hAnsi="宋体" w:cs="宋体" w:eastAsia="宋体" w:hint="default"/>
                <w:sz w:val="22"/>
                <w:szCs w:val="22"/>
              </w:rPr>
            </w:pPr>
            <w:r>
              <w:rPr>
                <w:rFonts w:ascii="宋体" w:hAnsi="宋体" w:cs="宋体" w:eastAsia="宋体" w:hint="default"/>
                <w:sz w:val="22"/>
                <w:szCs w:val="22"/>
              </w:rPr>
              <w:t>建设与维护人员</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Arial" w:hAnsi="Arial" w:cs="Arial" w:eastAsia="Arial" w:hint="default"/>
                <w:sz w:val="22"/>
                <w:szCs w:val="22"/>
              </w:rPr>
            </w:pPr>
            <w:r>
              <w:rPr>
                <w:rFonts w:ascii="Arial"/>
                <w:w w:val="95"/>
                <w:sz w:val="22"/>
              </w:rPr>
              <w:t>79,835</w:t>
            </w:r>
            <w:r>
              <w:rPr>
                <w:rFonts w:ascii="Arial"/>
                <w:sz w:val="22"/>
              </w:rPr>
            </w:r>
          </w:p>
        </w:tc>
      </w:tr>
      <w:tr>
        <w:trPr>
          <w:trHeight w:val="332"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支撑人员</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w:hAnsi="Arial" w:cs="Arial" w:eastAsia="Arial" w:hint="default"/>
                <w:sz w:val="22"/>
                <w:szCs w:val="22"/>
              </w:rPr>
            </w:pPr>
            <w:r>
              <w:rPr>
                <w:rFonts w:ascii="Arial"/>
                <w:w w:val="95"/>
                <w:sz w:val="22"/>
              </w:rPr>
              <w:t>26,675</w:t>
            </w:r>
            <w:r>
              <w:rPr>
                <w:rFonts w:ascii="Arial"/>
                <w:sz w:val="22"/>
              </w:rPr>
            </w:r>
          </w:p>
        </w:tc>
      </w:tr>
      <w:tr>
        <w:trPr>
          <w:trHeight w:val="332"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管理人员</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Arial" w:hAnsi="Arial" w:cs="Arial" w:eastAsia="Arial" w:hint="default"/>
                <w:sz w:val="22"/>
                <w:szCs w:val="22"/>
              </w:rPr>
            </w:pPr>
            <w:r>
              <w:rPr>
                <w:rFonts w:ascii="Arial"/>
                <w:w w:val="95"/>
                <w:sz w:val="22"/>
              </w:rPr>
              <w:t>23,380</w:t>
            </w:r>
            <w:r>
              <w:rPr>
                <w:rFonts w:ascii="Arial"/>
                <w:sz w:val="22"/>
              </w:rPr>
            </w:r>
          </w:p>
        </w:tc>
      </w:tr>
      <w:tr>
        <w:trPr>
          <w:trHeight w:val="331"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99"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Arial" w:hAnsi="Arial" w:cs="Arial" w:eastAsia="Arial" w:hint="default"/>
                <w:sz w:val="22"/>
                <w:szCs w:val="22"/>
              </w:rPr>
            </w:pPr>
            <w:r>
              <w:rPr>
                <w:rFonts w:ascii="Arial"/>
                <w:w w:val="95"/>
                <w:sz w:val="22"/>
              </w:rPr>
              <w:t>4,856</w:t>
            </w:r>
            <w:r>
              <w:rPr>
                <w:rFonts w:ascii="Arial"/>
                <w:sz w:val="22"/>
              </w:rPr>
            </w:r>
          </w:p>
        </w:tc>
      </w:tr>
      <w:tr>
        <w:trPr>
          <w:trHeight w:val="332" w:hRule="exact"/>
        </w:trPr>
        <w:tc>
          <w:tcPr>
            <w:tcW w:w="84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 w:right="1"/>
              <w:jc w:val="center"/>
              <w:rPr>
                <w:rFonts w:ascii="宋体" w:hAnsi="宋体" w:cs="宋体" w:eastAsia="宋体" w:hint="default"/>
                <w:sz w:val="22"/>
                <w:szCs w:val="22"/>
              </w:rPr>
            </w:pPr>
            <w:r>
              <w:rPr>
                <w:rFonts w:ascii="宋体" w:hAnsi="宋体" w:cs="宋体" w:eastAsia="宋体" w:hint="default"/>
                <w:sz w:val="22"/>
                <w:szCs w:val="22"/>
              </w:rPr>
              <w:t>教育程度</w:t>
            </w:r>
          </w:p>
        </w:tc>
      </w:tr>
      <w:tr>
        <w:trPr>
          <w:trHeight w:val="332"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131" w:right="0"/>
              <w:jc w:val="left"/>
              <w:rPr>
                <w:rFonts w:ascii="宋体" w:hAnsi="宋体" w:cs="宋体" w:eastAsia="宋体" w:hint="default"/>
                <w:sz w:val="22"/>
                <w:szCs w:val="22"/>
              </w:rPr>
            </w:pPr>
            <w:r>
              <w:rPr>
                <w:rFonts w:ascii="宋体" w:hAnsi="宋体" w:cs="宋体" w:eastAsia="宋体" w:hint="default"/>
                <w:sz w:val="22"/>
                <w:szCs w:val="22"/>
              </w:rPr>
              <w:t>教育程度类别</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2"/>
                <w:szCs w:val="22"/>
              </w:rPr>
            </w:pPr>
            <w:r>
              <w:rPr>
                <w:rFonts w:ascii="宋体" w:hAnsi="宋体" w:cs="宋体" w:eastAsia="宋体" w:hint="default"/>
                <w:sz w:val="22"/>
                <w:szCs w:val="22"/>
              </w:rPr>
              <w:t>数量（人）</w:t>
            </w:r>
          </w:p>
        </w:tc>
      </w:tr>
      <w:tr>
        <w:trPr>
          <w:trHeight w:val="331"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99" w:right="0"/>
              <w:jc w:val="left"/>
              <w:rPr>
                <w:rFonts w:ascii="宋体" w:hAnsi="宋体" w:cs="宋体" w:eastAsia="宋体" w:hint="default"/>
                <w:sz w:val="22"/>
                <w:szCs w:val="22"/>
              </w:rPr>
            </w:pPr>
            <w:r>
              <w:rPr>
                <w:rFonts w:ascii="宋体" w:hAnsi="宋体" w:cs="宋体" w:eastAsia="宋体" w:hint="default"/>
                <w:sz w:val="22"/>
                <w:szCs w:val="22"/>
              </w:rPr>
              <w:t>硕士以上</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Arial" w:hAnsi="Arial" w:cs="Arial" w:eastAsia="Arial" w:hint="default"/>
                <w:sz w:val="22"/>
                <w:szCs w:val="22"/>
              </w:rPr>
            </w:pPr>
            <w:r>
              <w:rPr>
                <w:rFonts w:ascii="Arial"/>
                <w:w w:val="95"/>
                <w:sz w:val="22"/>
              </w:rPr>
              <w:t>9,068</w:t>
            </w:r>
            <w:r>
              <w:rPr>
                <w:rFonts w:ascii="Arial"/>
                <w:sz w:val="22"/>
              </w:rPr>
            </w:r>
          </w:p>
        </w:tc>
      </w:tr>
      <w:tr>
        <w:trPr>
          <w:trHeight w:val="332"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大学本科</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w:hAnsi="Arial" w:cs="Arial" w:eastAsia="Arial" w:hint="default"/>
                <w:sz w:val="22"/>
                <w:szCs w:val="22"/>
              </w:rPr>
            </w:pPr>
            <w:r>
              <w:rPr>
                <w:rFonts w:ascii="Arial"/>
                <w:w w:val="95"/>
                <w:sz w:val="22"/>
              </w:rPr>
              <w:t>88,413</w:t>
            </w:r>
            <w:r>
              <w:rPr>
                <w:rFonts w:ascii="Arial"/>
                <w:sz w:val="22"/>
              </w:rPr>
            </w:r>
          </w:p>
        </w:tc>
      </w:tr>
      <w:tr>
        <w:trPr>
          <w:trHeight w:val="332"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大学专科</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Arial" w:hAnsi="Arial" w:cs="Arial" w:eastAsia="Arial" w:hint="default"/>
                <w:sz w:val="22"/>
                <w:szCs w:val="22"/>
              </w:rPr>
            </w:pPr>
            <w:r>
              <w:rPr>
                <w:rFonts w:ascii="Arial"/>
                <w:w w:val="95"/>
                <w:sz w:val="22"/>
              </w:rPr>
              <w:t>58,460</w:t>
            </w:r>
            <w:r>
              <w:rPr>
                <w:rFonts w:ascii="Arial"/>
                <w:sz w:val="22"/>
              </w:rPr>
            </w:r>
          </w:p>
        </w:tc>
      </w:tr>
      <w:tr>
        <w:trPr>
          <w:trHeight w:val="332" w:hRule="exact"/>
        </w:trPr>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99" w:right="0"/>
              <w:jc w:val="left"/>
              <w:rPr>
                <w:rFonts w:ascii="宋体" w:hAnsi="宋体" w:cs="宋体" w:eastAsia="宋体" w:hint="default"/>
                <w:sz w:val="22"/>
                <w:szCs w:val="22"/>
              </w:rPr>
            </w:pPr>
            <w:r>
              <w:rPr>
                <w:rFonts w:ascii="宋体" w:hAnsi="宋体" w:cs="宋体" w:eastAsia="宋体" w:hint="default"/>
                <w:sz w:val="22"/>
                <w:szCs w:val="22"/>
              </w:rPr>
              <w:t>大专以下</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Arial" w:hAnsi="Arial" w:cs="Arial" w:eastAsia="Arial" w:hint="default"/>
                <w:sz w:val="22"/>
                <w:szCs w:val="22"/>
              </w:rPr>
            </w:pPr>
            <w:r>
              <w:rPr>
                <w:rFonts w:ascii="Arial"/>
                <w:w w:val="95"/>
                <w:sz w:val="22"/>
              </w:rPr>
              <w:t>60,013</w:t>
            </w:r>
            <w:r>
              <w:rPr>
                <w:rFonts w:ascii="Arial"/>
                <w:sz w:val="22"/>
              </w:rPr>
            </w:r>
          </w:p>
        </w:tc>
      </w:tr>
    </w:tbl>
    <w:p>
      <w:pPr>
        <w:spacing w:after="0" w:line="240" w:lineRule="auto"/>
        <w:jc w:val="right"/>
        <w:rPr>
          <w:rFonts w:ascii="Arial" w:hAnsi="Arial" w:cs="Arial" w:eastAsia="Arial" w:hint="default"/>
          <w:sz w:val="22"/>
          <w:szCs w:val="22"/>
        </w:rPr>
        <w:sectPr>
          <w:pgSz w:w="11900" w:h="16840"/>
          <w:pgMar w:header="927" w:footer="752" w:top="1160" w:bottom="940" w:left="134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31"/>
        <w:ind w:left="165" w:right="97"/>
        <w:jc w:val="left"/>
      </w:pPr>
      <w:r>
        <w:rPr/>
        <w:t>六、公司治理结构</w:t>
      </w:r>
    </w:p>
    <w:p>
      <w:pPr>
        <w:spacing w:line="240" w:lineRule="auto" w:before="1"/>
        <w:rPr>
          <w:rFonts w:ascii="宋体" w:hAnsi="宋体" w:cs="宋体" w:eastAsia="宋体" w:hint="default"/>
          <w:sz w:val="19"/>
          <w:szCs w:val="19"/>
        </w:rPr>
      </w:pPr>
    </w:p>
    <w:p>
      <w:pPr>
        <w:pStyle w:val="BodyText"/>
        <w:spacing w:line="240" w:lineRule="auto"/>
        <w:ind w:left="103" w:right="97"/>
        <w:jc w:val="left"/>
      </w:pPr>
      <w:r>
        <w:rPr/>
        <w:t>（一）公司治理的情况</w:t>
      </w:r>
    </w:p>
    <w:p>
      <w:pPr>
        <w:spacing w:line="240" w:lineRule="auto" w:before="5"/>
        <w:rPr>
          <w:rFonts w:ascii="宋体" w:hAnsi="宋体" w:cs="宋体" w:eastAsia="宋体" w:hint="default"/>
          <w:sz w:val="19"/>
          <w:szCs w:val="19"/>
        </w:rPr>
      </w:pPr>
    </w:p>
    <w:p>
      <w:pPr>
        <w:pStyle w:val="BodyText"/>
        <w:spacing w:line="237" w:lineRule="auto"/>
        <w:ind w:left="777" w:right="319"/>
        <w:jc w:val="both"/>
      </w:pPr>
      <w:r>
        <w:rPr/>
        <w:t>报告期内，本公司严格按照《公司法》、《证券法》、《上市公司治理准则》、中国证监</w:t>
      </w:r>
      <w:r>
        <w:rPr>
          <w:w w:val="99"/>
        </w:rPr>
        <w:t> </w:t>
      </w:r>
      <w:r>
        <w:rPr/>
        <w:t>会等监管部门的有关规定以及上海证券交易所《股票上市规则》等法律法规要求开展公司</w:t>
      </w:r>
      <w:r>
        <w:rPr>
          <w:w w:val="99"/>
        </w:rPr>
        <w:t> </w:t>
      </w:r>
      <w:r>
        <w:rPr/>
        <w:t>治理工作，不断完善公司法人治理结构和公司各项内部管理制度，建立严格有效的内部控</w:t>
      </w:r>
      <w:r>
        <w:rPr>
          <w:w w:val="99"/>
        </w:rPr>
        <w:t> </w:t>
      </w:r>
      <w:r>
        <w:rPr/>
        <w:t>制和风险控制体系，加强信息披露工作，规范公司运作。</w:t>
      </w:r>
    </w:p>
    <w:p>
      <w:pPr>
        <w:spacing w:line="240" w:lineRule="auto" w:before="8"/>
        <w:rPr>
          <w:rFonts w:ascii="宋体" w:hAnsi="宋体" w:cs="宋体" w:eastAsia="宋体" w:hint="default"/>
          <w:sz w:val="19"/>
          <w:szCs w:val="19"/>
        </w:rPr>
      </w:pPr>
    </w:p>
    <w:p>
      <w:pPr>
        <w:pStyle w:val="BodyText"/>
        <w:spacing w:line="235" w:lineRule="auto"/>
        <w:ind w:left="777" w:right="97"/>
        <w:jc w:val="left"/>
      </w:pPr>
      <w:r>
        <w:rPr/>
        <w:t>本公司已经先后制定了规范公司运作的《公司章程》、《董事会议事规则》、《股东大会</w:t>
      </w:r>
      <w:r>
        <w:rPr>
          <w:w w:val="99"/>
        </w:rPr>
        <w:t> </w:t>
      </w:r>
      <w:r>
        <w:rPr/>
        <w:t>议事规则》、《监事会议事规则》、《投资者关系管理办法》、《董事会专门委员会工作</w:t>
      </w:r>
      <w:r>
        <w:rPr>
          <w:w w:val="99"/>
        </w:rPr>
        <w:t> </w:t>
      </w:r>
      <w:r>
        <w:rPr/>
        <w:t>细则》、《独立董事工作细则》、《公司信息披露事务管理实施办法》、《董事会秘书工</w:t>
      </w:r>
      <w:r>
        <w:rPr>
          <w:w w:val="99"/>
        </w:rPr>
        <w:t> </w:t>
      </w:r>
      <w:r>
        <w:rPr/>
        <w:t>作细则》、《公司内幕信息知情人登记制度》等。报告期内本公司严格按照《公司章程》</w:t>
      </w:r>
      <w:r>
        <w:rPr>
          <w:w w:val="99"/>
        </w:rPr>
        <w:t> </w:t>
      </w:r>
      <w:r>
        <w:rPr/>
        <w:t>及本公司“三会议事规则”的规定程序召集、召开股东大会、董事会和监事会，同时公司</w:t>
      </w:r>
      <w:r>
        <w:rPr>
          <w:w w:val="99"/>
        </w:rPr>
        <w:t> </w:t>
      </w:r>
      <w:r>
        <w:rPr>
          <w:w w:val="95"/>
        </w:rPr>
        <w:t>还依据《董事会专门委员会工作细则》及《独立董事工作细则》的要求，召开独立董事会、</w:t>
      </w:r>
      <w:r>
        <w:rPr>
          <w:spacing w:val="11"/>
          <w:w w:val="95"/>
        </w:rPr>
        <w:t> </w:t>
      </w:r>
      <w:r>
        <w:rPr>
          <w:spacing w:val="11"/>
          <w:w w:val="95"/>
        </w:rPr>
      </w:r>
      <w:r>
        <w:rPr/>
        <w:t>审计委员会会议以及薪酬与考核委员会会议，审议公司重大事项等。截至</w:t>
      </w:r>
      <w:r>
        <w:rPr>
          <w:spacing w:val="-63"/>
        </w:rPr>
        <w:t> </w:t>
      </w:r>
      <w:r>
        <w:rPr>
          <w:rFonts w:ascii="Arial" w:hAnsi="Arial" w:cs="Arial" w:eastAsia="Arial" w:hint="default"/>
        </w:rPr>
        <w:t>2011</w:t>
      </w:r>
      <w:r>
        <w:rPr>
          <w:rFonts w:ascii="Arial" w:hAnsi="Arial" w:cs="Arial" w:eastAsia="Arial" w:hint="default"/>
          <w:spacing w:val="-14"/>
        </w:rPr>
        <w:t> </w:t>
      </w:r>
      <w:r>
        <w:rPr/>
        <w:t>年</w:t>
      </w:r>
      <w:r>
        <w:rPr>
          <w:spacing w:val="-63"/>
        </w:rPr>
        <w:t> </w:t>
      </w:r>
      <w:r>
        <w:rPr>
          <w:rFonts w:ascii="Arial" w:hAnsi="Arial" w:cs="Arial" w:eastAsia="Arial" w:hint="default"/>
        </w:rPr>
        <w:t>12</w:t>
      </w:r>
      <w:r>
        <w:rPr>
          <w:rFonts w:ascii="Arial" w:hAnsi="Arial" w:cs="Arial" w:eastAsia="Arial" w:hint="default"/>
          <w:spacing w:val="-14"/>
        </w:rPr>
        <w:t> </w:t>
      </w:r>
      <w:r>
        <w:rPr/>
        <w:t>月</w:t>
      </w:r>
      <w:r>
        <w:rPr>
          <w:spacing w:val="-63"/>
        </w:rPr>
        <w:t> </w:t>
      </w:r>
      <w:r>
        <w:rPr>
          <w:rFonts w:ascii="Arial" w:hAnsi="Arial" w:cs="Arial" w:eastAsia="Arial" w:hint="default"/>
        </w:rPr>
        <w:t>31</w:t>
      </w:r>
      <w:r>
        <w:rPr>
          <w:rFonts w:ascii="Arial" w:hAnsi="Arial" w:cs="Arial" w:eastAsia="Arial" w:hint="default"/>
          <w:w w:val="99"/>
        </w:rPr>
        <w:t> </w:t>
      </w:r>
      <w:r>
        <w:rPr/>
        <w:t>日止，本公司治理情况与中国证监会发布的《上市公司治理准则》的要求基本符合。主要</w:t>
      </w:r>
      <w:r>
        <w:rPr>
          <w:w w:val="99"/>
        </w:rPr>
        <w:t> </w:t>
      </w:r>
      <w:r>
        <w:rPr/>
        <w:t>表现：</w:t>
      </w:r>
    </w:p>
    <w:p>
      <w:pPr>
        <w:spacing w:line="240" w:lineRule="auto" w:before="4"/>
        <w:rPr>
          <w:rFonts w:ascii="宋体" w:hAnsi="宋体" w:cs="宋体" w:eastAsia="宋体" w:hint="default"/>
          <w:sz w:val="21"/>
          <w:szCs w:val="21"/>
        </w:rPr>
      </w:pPr>
    </w:p>
    <w:p>
      <w:pPr>
        <w:pStyle w:val="BodyText"/>
        <w:spacing w:line="286" w:lineRule="exact"/>
        <w:ind w:left="1128" w:right="97" w:hanging="333"/>
        <w:jc w:val="left"/>
      </w:pPr>
      <w:r>
        <w:rPr>
          <w:rFonts w:ascii="Arial" w:hAnsi="Arial" w:cs="Arial" w:eastAsia="Arial" w:hint="default"/>
          <w:spacing w:val="-4"/>
        </w:rPr>
        <w:t>1</w:t>
      </w:r>
      <w:r>
        <w:rPr>
          <w:spacing w:val="-4"/>
        </w:rPr>
        <w:t>、股东与股东大会：报告期内，本公司召开了一次年度股东大会。本公司股东大会的召集、</w:t>
      </w:r>
      <w:r>
        <w:rPr>
          <w:spacing w:val="-96"/>
        </w:rPr>
        <w:t> </w:t>
      </w:r>
      <w:r>
        <w:rPr>
          <w:spacing w:val="-96"/>
        </w:rPr>
      </w:r>
      <w:r>
        <w:rPr>
          <w:spacing w:val="-4"/>
        </w:rPr>
        <w:t>召开、表决等相关程序均严格按照有关法律法规和本公司《股东大会议事规则》的规定。</w:t>
      </w:r>
      <w:r>
        <w:rPr>
          <w:w w:val="99"/>
        </w:rPr>
        <w:t> </w:t>
      </w:r>
      <w:r>
        <w:rPr/>
        <w:t>本公司确保全体股东，特别是中小股东享有平等地位，确保所有股东能够按其持有的股</w:t>
      </w:r>
      <w:r>
        <w:rPr>
          <w:w w:val="99"/>
        </w:rPr>
        <w:t> </w:t>
      </w:r>
      <w:r>
        <w:rPr/>
        <w:t>份享有并充分行使自己的权利。</w:t>
      </w:r>
    </w:p>
    <w:p>
      <w:pPr>
        <w:spacing w:line="240" w:lineRule="auto" w:before="9"/>
        <w:rPr>
          <w:rFonts w:ascii="宋体" w:hAnsi="宋体" w:cs="宋体" w:eastAsia="宋体" w:hint="default"/>
          <w:sz w:val="17"/>
          <w:szCs w:val="17"/>
        </w:rPr>
      </w:pPr>
    </w:p>
    <w:p>
      <w:pPr>
        <w:pStyle w:val="BodyText"/>
        <w:spacing w:line="232" w:lineRule="auto"/>
        <w:ind w:left="1128" w:right="133" w:hanging="333"/>
        <w:jc w:val="left"/>
      </w:pPr>
      <w:r>
        <w:rPr>
          <w:rFonts w:ascii="Arial" w:hAnsi="Arial" w:cs="Arial" w:eastAsia="Arial" w:hint="default"/>
        </w:rPr>
        <w:t>2</w:t>
      </w:r>
      <w:r>
        <w:rPr/>
        <w:t>、董事与董事会：本公司一贯重视董事会建设，努力提高董事会的运作效率。董事会以本</w:t>
      </w:r>
      <w:r>
        <w:rPr>
          <w:w w:val="99"/>
        </w:rPr>
        <w:t> </w:t>
      </w:r>
      <w:r>
        <w:rPr/>
        <w:t>公司及股东的最佳利益为原则，负责审议及批准本公司重大事项，包括经营策略、重大</w:t>
      </w:r>
      <w:r>
        <w:rPr>
          <w:w w:val="99"/>
        </w:rPr>
        <w:t> </w:t>
      </w:r>
      <w:r>
        <w:rPr/>
        <w:t>投资等。董事会的主要职能还包括审批公司定期对外公布的业绩及运营情况等。报告期</w:t>
      </w:r>
      <w:r>
        <w:rPr>
          <w:w w:val="99"/>
        </w:rPr>
        <w:t> </w:t>
      </w:r>
      <w:r>
        <w:rPr/>
        <w:t>内本公司召开了五次董事会，讨论及审议了包括</w:t>
      </w:r>
      <w:r>
        <w:rPr>
          <w:spacing w:val="-57"/>
        </w:rPr>
        <w:t> </w:t>
      </w:r>
      <w:r>
        <w:rPr>
          <w:rFonts w:ascii="Arial" w:hAnsi="Arial" w:cs="Arial" w:eastAsia="Arial" w:hint="default"/>
        </w:rPr>
        <w:t>2010</w:t>
      </w:r>
      <w:r>
        <w:rPr>
          <w:rFonts w:ascii="Arial" w:hAnsi="Arial" w:cs="Arial" w:eastAsia="Arial" w:hint="default"/>
          <w:spacing w:val="-8"/>
        </w:rPr>
        <w:t> </w:t>
      </w:r>
      <w:r>
        <w:rPr/>
        <w:t>年年度报告、</w:t>
      </w:r>
      <w:r>
        <w:rPr>
          <w:rFonts w:ascii="Arial" w:hAnsi="Arial" w:cs="Arial" w:eastAsia="Arial" w:hint="default"/>
        </w:rPr>
        <w:t>2011</w:t>
      </w:r>
      <w:r>
        <w:rPr>
          <w:rFonts w:ascii="Arial" w:hAnsi="Arial" w:cs="Arial" w:eastAsia="Arial" w:hint="default"/>
          <w:spacing w:val="-8"/>
        </w:rPr>
        <w:t> </w:t>
      </w:r>
      <w:r>
        <w:rPr/>
        <w:t>年中期报告、</w:t>
      </w:r>
      <w:r>
        <w:rPr>
          <w:w w:val="99"/>
        </w:rPr>
        <w:t> </w:t>
      </w:r>
      <w:r>
        <w:rPr>
          <w:rFonts w:ascii="Arial" w:hAnsi="Arial" w:cs="Arial" w:eastAsia="Arial" w:hint="default"/>
        </w:rPr>
        <w:t>2011</w:t>
      </w:r>
      <w:r>
        <w:rPr>
          <w:rFonts w:ascii="Arial" w:hAnsi="Arial" w:cs="Arial" w:eastAsia="Arial" w:hint="default"/>
          <w:spacing w:val="-7"/>
        </w:rPr>
        <w:t> </w:t>
      </w:r>
      <w:r>
        <w:rPr/>
        <w:t>年第一季度报告和第三季度报告、内控工作报告、社会责任报告等重要事项。本</w:t>
      </w:r>
      <w:r>
        <w:rPr>
          <w:w w:val="99"/>
        </w:rPr>
        <w:t> </w:t>
      </w:r>
      <w:r>
        <w:rPr/>
        <w:t>公司董事会的召集、召开、表决等相关程序均严格按照有关法律法规和本公司《董事会</w:t>
      </w:r>
      <w:r>
        <w:rPr>
          <w:w w:val="99"/>
        </w:rPr>
        <w:t> </w:t>
      </w:r>
      <w:r>
        <w:rPr/>
        <w:t>议事规则》的规定。本公司董事会职责清晰，本公司各位董事均投入了足够的时间处理</w:t>
      </w:r>
      <w:r>
        <w:rPr>
          <w:w w:val="99"/>
        </w:rPr>
        <w:t> </w:t>
      </w:r>
      <w:r>
        <w:rPr/>
        <w:t>本公司事务，且均按时出席董事会。作为本公司的董事均了解其作为董事的权利、义务</w:t>
      </w:r>
      <w:r>
        <w:rPr>
          <w:w w:val="99"/>
        </w:rPr>
        <w:t> </w:t>
      </w:r>
      <w:r>
        <w:rPr/>
        <w:t>和责任，均能履行诚信和勤勉尽职的职责，认真审阅董事会和股东大会的各项议案，并</w:t>
      </w:r>
      <w:r>
        <w:rPr>
          <w:w w:val="99"/>
        </w:rPr>
        <w:t> </w:t>
      </w:r>
      <w:r>
        <w:rPr/>
        <w:t>提出有益的建议，其决策亦符合股东利益和公司长远发展。</w:t>
      </w:r>
    </w:p>
    <w:p>
      <w:pPr>
        <w:spacing w:line="240" w:lineRule="auto" w:before="7"/>
        <w:rPr>
          <w:rFonts w:ascii="宋体" w:hAnsi="宋体" w:cs="宋体" w:eastAsia="宋体" w:hint="default"/>
          <w:sz w:val="21"/>
          <w:szCs w:val="21"/>
        </w:rPr>
      </w:pPr>
    </w:p>
    <w:p>
      <w:pPr>
        <w:pStyle w:val="BodyText"/>
        <w:spacing w:line="284" w:lineRule="exact"/>
        <w:ind w:left="1128" w:right="236"/>
        <w:jc w:val="left"/>
      </w:pPr>
      <w:r>
        <w:rPr/>
        <w:t>报告期内，本公司荣获《每日经济新闻》主办评选的</w:t>
      </w:r>
      <w:r>
        <w:rPr>
          <w:spacing w:val="-57"/>
        </w:rPr>
        <w:t> </w:t>
      </w:r>
      <w:r>
        <w:rPr>
          <w:rFonts w:ascii="Arial" w:hAnsi="Arial" w:cs="Arial" w:eastAsia="Arial" w:hint="default"/>
        </w:rPr>
        <w:t>2011</w:t>
      </w:r>
      <w:r>
        <w:rPr>
          <w:rFonts w:ascii="Arial" w:hAnsi="Arial" w:cs="Arial" w:eastAsia="Arial" w:hint="default"/>
          <w:spacing w:val="-8"/>
        </w:rPr>
        <w:t> </w:t>
      </w:r>
      <w:r>
        <w:rPr/>
        <w:t>年度最具社会责任的上市公</w:t>
      </w:r>
      <w:r>
        <w:rPr>
          <w:w w:val="99"/>
        </w:rPr>
        <w:t> </w:t>
      </w:r>
      <w:r>
        <w:rPr/>
        <w:t>司。</w:t>
      </w:r>
    </w:p>
    <w:p>
      <w:pPr>
        <w:spacing w:line="240" w:lineRule="auto" w:before="10"/>
        <w:rPr>
          <w:rFonts w:ascii="宋体" w:hAnsi="宋体" w:cs="宋体" w:eastAsia="宋体" w:hint="default"/>
          <w:sz w:val="17"/>
          <w:szCs w:val="17"/>
        </w:rPr>
      </w:pPr>
    </w:p>
    <w:p>
      <w:pPr>
        <w:pStyle w:val="BodyText"/>
        <w:spacing w:line="232" w:lineRule="auto"/>
        <w:ind w:left="1128" w:right="179" w:hanging="333"/>
        <w:jc w:val="both"/>
      </w:pPr>
      <w:r>
        <w:rPr>
          <w:rFonts w:ascii="Arial" w:hAnsi="Arial" w:cs="Arial" w:eastAsia="Arial" w:hint="default"/>
        </w:rPr>
        <w:t>3</w:t>
      </w:r>
      <w:r>
        <w:rPr/>
        <w:t>、关于监事与监事会：报告期内，本公司监事会共召开四次监事会会议。监事会的召集、</w:t>
      </w:r>
      <w:r>
        <w:rPr>
          <w:w w:val="99"/>
        </w:rPr>
        <w:t> </w:t>
      </w:r>
      <w:r>
        <w:rPr/>
        <w:t>召开程序符合公司《监事会议事规则》的规定。本公司监事能够认真履行自己的职责，</w:t>
      </w:r>
      <w:r>
        <w:rPr>
          <w:w w:val="99"/>
        </w:rPr>
        <w:t> </w:t>
      </w:r>
      <w:r>
        <w:rPr>
          <w:w w:val="95"/>
        </w:rPr>
        <w:t>从股东利益出发，对本公司重大事项、财务以及本公司董事、高级管理人员履职的合法</w:t>
      </w:r>
      <w:r>
        <w:rPr>
          <w:spacing w:val="-51"/>
          <w:w w:val="95"/>
        </w:rPr>
        <w:t> </w:t>
      </w:r>
      <w:r>
        <w:rPr>
          <w:spacing w:val="-51"/>
          <w:w w:val="95"/>
        </w:rPr>
      </w:r>
      <w:r>
        <w:rPr/>
        <w:t>合规性进行监督。</w:t>
      </w:r>
    </w:p>
    <w:p>
      <w:pPr>
        <w:spacing w:after="0" w:line="232" w:lineRule="auto"/>
        <w:jc w:val="both"/>
        <w:sectPr>
          <w:pgSz w:w="11900" w:h="16840"/>
          <w:pgMar w:header="927" w:footer="752" w:top="1160" w:bottom="940" w:left="1320" w:right="900"/>
        </w:sectPr>
      </w:pPr>
    </w:p>
    <w:p>
      <w:pPr>
        <w:spacing w:line="240" w:lineRule="auto" w:before="11"/>
        <w:rPr>
          <w:rFonts w:ascii="宋体" w:hAnsi="宋体" w:cs="宋体" w:eastAsia="宋体" w:hint="default"/>
          <w:sz w:val="21"/>
          <w:szCs w:val="21"/>
        </w:rPr>
      </w:pPr>
    </w:p>
    <w:p>
      <w:pPr>
        <w:pStyle w:val="BodyText"/>
        <w:spacing w:line="232" w:lineRule="auto" w:before="39"/>
        <w:ind w:left="1108" w:right="179" w:hanging="333"/>
        <w:jc w:val="both"/>
      </w:pPr>
      <w:r>
        <w:rPr>
          <w:rFonts w:ascii="Arial" w:hAnsi="Arial" w:cs="Arial" w:eastAsia="Arial" w:hint="default"/>
        </w:rPr>
        <w:t>4</w:t>
      </w:r>
      <w:r>
        <w:rPr/>
        <w:t>、控股股东与上市公司的关系：本公司控股股东严格规范自己行为，依法行使股东权利，</w:t>
      </w:r>
      <w:r>
        <w:rPr>
          <w:w w:val="99"/>
        </w:rPr>
        <w:t> </w:t>
      </w:r>
      <w:r>
        <w:rPr>
          <w:w w:val="95"/>
        </w:rPr>
        <w:t>承担义务。本公司与控股股东在资产、业务、机构、财务、人员等方面严格分开，本公</w:t>
      </w:r>
      <w:r>
        <w:rPr>
          <w:spacing w:val="-51"/>
          <w:w w:val="95"/>
        </w:rPr>
        <w:t> </w:t>
      </w:r>
      <w:r>
        <w:rPr>
          <w:spacing w:val="-51"/>
          <w:w w:val="95"/>
        </w:rPr>
      </w:r>
      <w:r>
        <w:rPr>
          <w:w w:val="95"/>
        </w:rPr>
        <w:t>司董事会、监事会和内部机构均独立运作。未发现控股股东非经营性占用公司资金和资</w:t>
      </w:r>
      <w:r>
        <w:rPr>
          <w:spacing w:val="-47"/>
          <w:w w:val="95"/>
        </w:rPr>
        <w:t> </w:t>
      </w:r>
      <w:r>
        <w:rPr>
          <w:spacing w:val="-47"/>
          <w:w w:val="95"/>
        </w:rPr>
      </w:r>
      <w:r>
        <w:rPr/>
        <w:t>产的情况。</w:t>
      </w:r>
    </w:p>
    <w:p>
      <w:pPr>
        <w:spacing w:line="240" w:lineRule="auto" w:before="8"/>
        <w:rPr>
          <w:rFonts w:ascii="宋体" w:hAnsi="宋体" w:cs="宋体" w:eastAsia="宋体" w:hint="default"/>
          <w:sz w:val="19"/>
          <w:szCs w:val="19"/>
        </w:rPr>
      </w:pPr>
    </w:p>
    <w:p>
      <w:pPr>
        <w:pStyle w:val="BodyText"/>
        <w:spacing w:line="235" w:lineRule="auto"/>
        <w:ind w:left="1108" w:right="188" w:hanging="333"/>
        <w:jc w:val="both"/>
      </w:pPr>
      <w:r>
        <w:rPr>
          <w:rFonts w:ascii="Arial" w:hAnsi="Arial" w:cs="Arial" w:eastAsia="Arial" w:hint="default"/>
          <w:spacing w:val="-1"/>
        </w:rPr>
        <w:t>5</w:t>
      </w:r>
      <w:r>
        <w:rPr>
          <w:spacing w:val="-1"/>
        </w:rPr>
        <w:t>、关于独立董事：本公司各位独立董事均不在公司担任除董事外的其它职务，并与本公司</w:t>
      </w:r>
      <w:r>
        <w:rPr>
          <w:spacing w:val="-108"/>
        </w:rPr>
        <w:t> </w:t>
      </w:r>
      <w:r>
        <w:rPr>
          <w:spacing w:val="-108"/>
        </w:rPr>
      </w:r>
      <w:r>
        <w:rPr>
          <w:w w:val="95"/>
        </w:rPr>
        <w:t>及其主要股东不存在可能妨碍其进行独立客观判断的关系。独立董事均了解对本公司及</w:t>
      </w:r>
      <w:r>
        <w:rPr>
          <w:spacing w:val="-48"/>
          <w:w w:val="95"/>
        </w:rPr>
        <w:t> </w:t>
      </w:r>
      <w:r>
        <w:rPr>
          <w:spacing w:val="-48"/>
          <w:w w:val="95"/>
        </w:rPr>
      </w:r>
      <w:r>
        <w:rPr/>
        <w:t>全体股东负有诚信与勤勉尽职义务。并按照相关法律法规、公司章程及本制度的要求，</w:t>
      </w:r>
      <w:r>
        <w:rPr>
          <w:w w:val="99"/>
        </w:rPr>
        <w:t> </w:t>
      </w:r>
      <w:r>
        <w:rPr>
          <w:w w:val="95"/>
        </w:rPr>
        <w:t>认真履行职责，维护公司整体利益，尤其关注中小股东的合法权益不受损害。本公司一</w:t>
      </w:r>
      <w:r>
        <w:rPr>
          <w:spacing w:val="-51"/>
          <w:w w:val="95"/>
        </w:rPr>
        <w:t> </w:t>
      </w:r>
      <w:r>
        <w:rPr>
          <w:spacing w:val="-51"/>
          <w:w w:val="95"/>
        </w:rPr>
      </w:r>
      <w:r>
        <w:rPr>
          <w:w w:val="95"/>
        </w:rPr>
        <w:t>贯重视发挥独立董事的作用，独立董事们也以他们独立的立场、专业的视角、丰富的经</w:t>
      </w:r>
      <w:r>
        <w:rPr>
          <w:spacing w:val="-51"/>
          <w:w w:val="95"/>
        </w:rPr>
        <w:t> </w:t>
      </w:r>
      <w:r>
        <w:rPr>
          <w:spacing w:val="-51"/>
          <w:w w:val="95"/>
        </w:rPr>
      </w:r>
      <w:r>
        <w:rPr>
          <w:w w:val="95"/>
        </w:rPr>
        <w:t>验为公司出谋划策，提高了董事会决策的科学性。报告期内，本公司各位独立董事亲自</w:t>
      </w:r>
      <w:r>
        <w:rPr>
          <w:spacing w:val="-51"/>
          <w:w w:val="95"/>
        </w:rPr>
        <w:t> </w:t>
      </w:r>
      <w:r>
        <w:rPr>
          <w:spacing w:val="-51"/>
          <w:w w:val="95"/>
        </w:rPr>
      </w:r>
      <w:r>
        <w:rPr/>
        <w:t>参加历次独立董事会议，并发表独立意见。</w:t>
      </w:r>
    </w:p>
    <w:p>
      <w:pPr>
        <w:spacing w:line="240" w:lineRule="auto" w:before="5"/>
        <w:rPr>
          <w:rFonts w:ascii="宋体" w:hAnsi="宋体" w:cs="宋体" w:eastAsia="宋体" w:hint="default"/>
          <w:sz w:val="21"/>
          <w:szCs w:val="21"/>
        </w:rPr>
      </w:pPr>
    </w:p>
    <w:p>
      <w:pPr>
        <w:pStyle w:val="BodyText"/>
        <w:spacing w:line="286" w:lineRule="exact"/>
        <w:ind w:left="1108" w:right="214" w:hanging="333"/>
        <w:jc w:val="both"/>
      </w:pPr>
      <w:r>
        <w:rPr>
          <w:rFonts w:ascii="Arial" w:hAnsi="Arial" w:cs="Arial" w:eastAsia="Arial" w:hint="default"/>
          <w:spacing w:val="-1"/>
        </w:rPr>
        <w:t>6</w:t>
      </w:r>
      <w:r>
        <w:rPr>
          <w:spacing w:val="-1"/>
        </w:rPr>
        <w:t>、关于审计委员会：本公司审计委员会能有效执行其任务，使董事会能更好监察本公司的</w:t>
      </w:r>
      <w:r>
        <w:rPr>
          <w:spacing w:val="-108"/>
        </w:rPr>
        <w:t> </w:t>
      </w:r>
      <w:r>
        <w:rPr>
          <w:spacing w:val="-108"/>
        </w:rPr>
      </w:r>
      <w:r>
        <w:rPr>
          <w:spacing w:val="-1"/>
        </w:rPr>
        <w:t>财务管理状况，监管本公司与财务报告相关的内部控制体系，保障本公司财务报表的完</w:t>
      </w:r>
      <w:r>
        <w:rPr>
          <w:w w:val="99"/>
        </w:rPr>
        <w:t> </w:t>
      </w:r>
      <w:r>
        <w:rPr/>
        <w:t>整及真实性。</w:t>
      </w:r>
    </w:p>
    <w:p>
      <w:pPr>
        <w:spacing w:line="240" w:lineRule="auto" w:before="9"/>
        <w:rPr>
          <w:rFonts w:ascii="宋体" w:hAnsi="宋体" w:cs="宋体" w:eastAsia="宋体" w:hint="default"/>
          <w:sz w:val="17"/>
          <w:szCs w:val="17"/>
        </w:rPr>
      </w:pPr>
    </w:p>
    <w:p>
      <w:pPr>
        <w:pStyle w:val="BodyText"/>
        <w:spacing w:line="232" w:lineRule="auto"/>
        <w:ind w:left="1108" w:right="91" w:hanging="333"/>
        <w:jc w:val="left"/>
      </w:pPr>
      <w:r>
        <w:rPr>
          <w:rFonts w:ascii="Arial" w:hAnsi="Arial" w:cs="Arial" w:eastAsia="Arial" w:hint="default"/>
        </w:rPr>
        <w:t>7</w:t>
      </w:r>
      <w:r>
        <w:rPr/>
        <w:t>、良好互动的投资者关系：本公司十分注重与投资者的沟通与互动，设有专人负责与普通</w:t>
      </w:r>
      <w:r>
        <w:rPr>
          <w:w w:val="99"/>
        </w:rPr>
        <w:t> </w:t>
      </w:r>
      <w:r>
        <w:rPr/>
        <w:t>投资者的沟通、联系。包括接听电话、回复来信等；管理层和投资者关系管理人员经常</w:t>
      </w:r>
      <w:r>
        <w:rPr>
          <w:w w:val="99"/>
        </w:rPr>
        <w:t> </w:t>
      </w:r>
      <w:r>
        <w:rPr>
          <w:spacing w:val="-4"/>
        </w:rPr>
        <w:t>参加证券机构组织的投资者见面会，回答投资者的提问。如有必要还会主动走访投资者，</w:t>
      </w:r>
      <w:r>
        <w:rPr>
          <w:w w:val="99"/>
        </w:rPr>
        <w:t> </w:t>
      </w:r>
      <w:r>
        <w:rPr/>
        <w:t>比如</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月到</w:t>
      </w:r>
      <w:r>
        <w:rPr>
          <w:spacing w:val="-56"/>
        </w:rPr>
        <w:t> </w:t>
      </w:r>
      <w:r>
        <w:rPr>
          <w:rFonts w:ascii="Arial" w:hAnsi="Arial" w:cs="Arial" w:eastAsia="Arial" w:hint="default"/>
        </w:rPr>
        <w:t>6</w:t>
      </w:r>
      <w:r>
        <w:rPr>
          <w:rFonts w:ascii="Arial" w:hAnsi="Arial" w:cs="Arial" w:eastAsia="Arial" w:hint="default"/>
          <w:spacing w:val="-7"/>
        </w:rPr>
        <w:t> </w:t>
      </w:r>
      <w:r>
        <w:rPr/>
        <w:t>月期间，本公司董事会秘书先后在深圳、上海和北京走访了十几</w:t>
      </w:r>
      <w:r>
        <w:rPr>
          <w:w w:val="99"/>
        </w:rPr>
        <w:t> </w:t>
      </w:r>
      <w:r>
        <w:rPr/>
        <w:t>家投资机构，介绍公司发展情况。普通投资者也能方便地与本公司进行沟通、联系以及</w:t>
      </w:r>
      <w:r>
        <w:rPr>
          <w:w w:val="99"/>
        </w:rPr>
        <w:t> </w:t>
      </w:r>
      <w:r>
        <w:rPr/>
        <w:t>反映有关情况。本公司每年年报、半年报披露后立即召开业绩推介会，公司管理层与投</w:t>
      </w:r>
      <w:r>
        <w:rPr>
          <w:w w:val="99"/>
        </w:rPr>
        <w:t> </w:t>
      </w:r>
      <w:r>
        <w:rPr/>
        <w:t>资者见面，介绍公司经营情况、回答投资者关心的问题等。</w:t>
      </w:r>
    </w:p>
    <w:p>
      <w:pPr>
        <w:spacing w:line="240" w:lineRule="auto" w:before="4"/>
        <w:rPr>
          <w:rFonts w:ascii="宋体" w:hAnsi="宋体" w:cs="宋体" w:eastAsia="宋体" w:hint="default"/>
          <w:sz w:val="21"/>
          <w:szCs w:val="21"/>
        </w:rPr>
      </w:pPr>
    </w:p>
    <w:p>
      <w:pPr>
        <w:pStyle w:val="BodyText"/>
        <w:spacing w:line="286" w:lineRule="exact"/>
        <w:ind w:left="1108" w:right="210"/>
        <w:jc w:val="left"/>
      </w:pPr>
      <w:r>
        <w:rPr>
          <w:spacing w:val="-1"/>
        </w:rPr>
        <w:t>报告期内，本公司组织投资者参加本公司在杭州召开的行业应用产品展示会。丰富多彩</w:t>
      </w:r>
      <w:r>
        <w:rPr>
          <w:spacing w:val="-100"/>
        </w:rPr>
        <w:t> </w:t>
      </w:r>
      <w:r>
        <w:rPr>
          <w:spacing w:val="-100"/>
        </w:rPr>
      </w:r>
      <w:r>
        <w:rPr/>
        <w:t>并且实用的行业应用增加了投资者对本公司的了解，增强了投资者的信心。</w:t>
      </w:r>
    </w:p>
    <w:p>
      <w:pPr>
        <w:spacing w:line="240" w:lineRule="auto" w:before="6"/>
        <w:rPr>
          <w:rFonts w:ascii="宋体" w:hAnsi="宋体" w:cs="宋体" w:eastAsia="宋体" w:hint="default"/>
          <w:sz w:val="19"/>
          <w:szCs w:val="19"/>
        </w:rPr>
      </w:pPr>
    </w:p>
    <w:p>
      <w:pPr>
        <w:pStyle w:val="BodyText"/>
        <w:spacing w:line="284" w:lineRule="exact"/>
        <w:ind w:left="1107" w:right="207"/>
        <w:jc w:val="left"/>
      </w:pPr>
      <w:r>
        <w:rPr/>
        <w:t>报告期内，本公司还组织投资者参加中国联通举办的“</w:t>
      </w:r>
      <w:r>
        <w:rPr>
          <w:rFonts w:ascii="Arial" w:hAnsi="Arial" w:cs="Arial" w:eastAsia="Arial" w:hint="default"/>
        </w:rPr>
        <w:t>2011</w:t>
      </w:r>
      <w:r>
        <w:rPr>
          <w:rFonts w:ascii="Arial" w:hAnsi="Arial" w:cs="Arial" w:eastAsia="Arial" w:hint="default"/>
          <w:spacing w:val="-8"/>
        </w:rPr>
        <w:t> </w:t>
      </w:r>
      <w:r>
        <w:rPr/>
        <w:t>中国联通</w:t>
      </w:r>
      <w:r>
        <w:rPr>
          <w:spacing w:val="-57"/>
        </w:rPr>
        <w:t> </w:t>
      </w:r>
      <w:r>
        <w:rPr>
          <w:rFonts w:ascii="Arial" w:hAnsi="Arial" w:cs="Arial" w:eastAsia="Arial" w:hint="default"/>
        </w:rPr>
        <w:t>WCDMA</w:t>
      </w:r>
      <w:r>
        <w:rPr>
          <w:rFonts w:ascii="Arial" w:hAnsi="Arial" w:cs="Arial" w:eastAsia="Arial" w:hint="default"/>
          <w:spacing w:val="-7"/>
        </w:rPr>
        <w:t> </w:t>
      </w:r>
      <w:r>
        <w:rPr/>
        <w:t>终端产</w:t>
      </w:r>
      <w:r>
        <w:rPr>
          <w:w w:val="99"/>
        </w:rPr>
        <w:t> </w:t>
      </w:r>
      <w:r>
        <w:rPr/>
        <w:t>业链高峰论坛”，力图使投资者更加全面的了解中国联通的产业链现状和全貌。</w:t>
      </w:r>
    </w:p>
    <w:p>
      <w:pPr>
        <w:spacing w:line="240" w:lineRule="auto" w:before="3"/>
        <w:rPr>
          <w:rFonts w:ascii="宋体" w:hAnsi="宋体" w:cs="宋体" w:eastAsia="宋体" w:hint="default"/>
          <w:sz w:val="17"/>
          <w:szCs w:val="17"/>
        </w:rPr>
      </w:pPr>
    </w:p>
    <w:p>
      <w:pPr>
        <w:pStyle w:val="BodyText"/>
        <w:spacing w:line="295" w:lineRule="exact"/>
        <w:ind w:left="1107" w:right="91"/>
        <w:jc w:val="left"/>
        <w:rPr>
          <w:rFonts w:ascii="Arial" w:hAnsi="Arial" w:cs="Arial" w:eastAsia="Arial" w:hint="default"/>
        </w:rPr>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月，本公司获得全球权威的投资者关系评奖机构</w:t>
      </w:r>
      <w:r>
        <w:rPr>
          <w:spacing w:val="-56"/>
        </w:rPr>
        <w:t> </w:t>
      </w:r>
      <w:r>
        <w:rPr>
          <w:rFonts w:ascii="Arial" w:hAnsi="Arial" w:cs="Arial" w:eastAsia="Arial" w:hint="default"/>
        </w:rPr>
        <w:t>IR</w:t>
      </w:r>
      <w:r>
        <w:rPr>
          <w:rFonts w:ascii="Arial" w:hAnsi="Arial" w:cs="Arial" w:eastAsia="Arial" w:hint="default"/>
          <w:spacing w:val="-3"/>
        </w:rPr>
        <w:t> </w:t>
      </w:r>
      <w:r>
        <w:rPr>
          <w:rFonts w:ascii="Arial" w:hAnsi="Arial" w:cs="Arial" w:eastAsia="Arial" w:hint="default"/>
        </w:rPr>
        <w:t>Global</w:t>
      </w:r>
      <w:r>
        <w:rPr>
          <w:rFonts w:ascii="Arial" w:hAnsi="Arial" w:cs="Arial" w:eastAsia="Arial" w:hint="default"/>
          <w:spacing w:val="-2"/>
        </w:rPr>
        <w:t> </w:t>
      </w:r>
      <w:r>
        <w:rPr>
          <w:rFonts w:ascii="Arial" w:hAnsi="Arial" w:cs="Arial" w:eastAsia="Arial" w:hint="default"/>
        </w:rPr>
        <w:t>Rankings</w:t>
      </w:r>
      <w:r>
        <w:rPr>
          <w:rFonts w:ascii="Arial" w:hAnsi="Arial" w:cs="Arial" w:eastAsia="Arial" w:hint="default"/>
          <w:spacing w:val="-2"/>
        </w:rPr>
        <w:t> </w:t>
      </w:r>
      <w:r>
        <w:rPr>
          <w:rFonts w:ascii="Arial" w:hAnsi="Arial" w:cs="Arial" w:eastAsia="Arial" w:hint="default"/>
        </w:rPr>
        <w:t>(IRGR)</w:t>
      </w:r>
    </w:p>
    <w:p>
      <w:pPr>
        <w:pStyle w:val="BodyText"/>
        <w:spacing w:line="279" w:lineRule="exact"/>
        <w:ind w:left="1108" w:right="91"/>
        <w:jc w:val="left"/>
      </w:pPr>
      <w:r>
        <w:rPr/>
        <w:t>评选的“最佳投资者关系进步公司”奖。</w:t>
      </w:r>
    </w:p>
    <w:p>
      <w:pPr>
        <w:spacing w:line="240" w:lineRule="auto" w:before="3"/>
        <w:rPr>
          <w:rFonts w:ascii="宋体" w:hAnsi="宋体" w:cs="宋体" w:eastAsia="宋体" w:hint="default"/>
          <w:sz w:val="21"/>
          <w:szCs w:val="21"/>
        </w:rPr>
      </w:pPr>
    </w:p>
    <w:p>
      <w:pPr>
        <w:pStyle w:val="BodyText"/>
        <w:spacing w:line="286" w:lineRule="exact"/>
        <w:ind w:left="1108" w:right="207"/>
        <w:jc w:val="left"/>
      </w:pPr>
      <w:r>
        <w:rPr/>
        <w:t>本公司董事会秘书在</w:t>
      </w:r>
      <w:r>
        <w:rPr>
          <w:spacing w:val="-54"/>
        </w:rPr>
        <w:t> </w:t>
      </w:r>
      <w:r>
        <w:rPr>
          <w:rFonts w:ascii="Arial" w:hAnsi="Arial" w:cs="Arial" w:eastAsia="Arial" w:hint="default"/>
        </w:rPr>
        <w:t>2010</w:t>
      </w:r>
      <w:r>
        <w:rPr>
          <w:rFonts w:ascii="Arial" w:hAnsi="Arial" w:cs="Arial" w:eastAsia="Arial" w:hint="default"/>
          <w:spacing w:val="-5"/>
        </w:rPr>
        <w:t> </w:t>
      </w:r>
      <w:r>
        <w:rPr>
          <w:spacing w:val="-6"/>
        </w:rPr>
        <w:t>年、</w:t>
      </w:r>
      <w:r>
        <w:rPr>
          <w:rFonts w:ascii="Arial" w:hAnsi="Arial" w:cs="Arial" w:eastAsia="Arial" w:hint="default"/>
          <w:spacing w:val="-6"/>
        </w:rPr>
        <w:t>2011</w:t>
      </w:r>
      <w:r>
        <w:rPr>
          <w:rFonts w:ascii="Arial" w:hAnsi="Arial" w:cs="Arial" w:eastAsia="Arial" w:hint="default"/>
          <w:spacing w:val="-5"/>
        </w:rPr>
        <w:t> </w:t>
      </w:r>
      <w:r>
        <w:rPr>
          <w:spacing w:val="-4"/>
        </w:rPr>
        <w:t>年连续两年被《新财富》杂志评为金牌董秘。</w:t>
      </w:r>
      <w:r>
        <w:rPr>
          <w:rFonts w:ascii="Arial" w:hAnsi="Arial" w:cs="Arial" w:eastAsia="Arial" w:hint="default"/>
          <w:spacing w:val="-4"/>
        </w:rPr>
        <w:t>2011</w:t>
      </w:r>
      <w:r>
        <w:rPr>
          <w:rFonts w:ascii="Arial" w:hAnsi="Arial" w:cs="Arial" w:eastAsia="Arial" w:hint="default"/>
          <w:w w:val="99"/>
        </w:rPr>
        <w:t> </w:t>
      </w:r>
      <w:r>
        <w:rPr/>
        <w:t>年亦被《上海证券报》评为金字董秘。</w:t>
      </w:r>
    </w:p>
    <w:p>
      <w:pPr>
        <w:spacing w:after="0" w:line="286" w:lineRule="exact"/>
        <w:jc w:val="left"/>
        <w:sectPr>
          <w:pgSz w:w="11900" w:h="16840"/>
          <w:pgMar w:header="927" w:footer="752" w:top="1160" w:bottom="940" w:left="1340" w:right="900"/>
        </w:sectPr>
      </w:pPr>
    </w:p>
    <w:p>
      <w:pPr>
        <w:spacing w:line="240" w:lineRule="auto" w:before="11"/>
        <w:rPr>
          <w:rFonts w:ascii="宋体" w:hAnsi="宋体" w:cs="宋体" w:eastAsia="宋体" w:hint="default"/>
          <w:sz w:val="21"/>
          <w:szCs w:val="21"/>
        </w:rPr>
      </w:pPr>
    </w:p>
    <w:p>
      <w:pPr>
        <w:pStyle w:val="BodyText"/>
        <w:spacing w:line="235" w:lineRule="auto" w:before="37"/>
        <w:ind w:left="1108" w:right="108" w:hanging="333"/>
        <w:jc w:val="both"/>
      </w:pPr>
      <w:r>
        <w:rPr>
          <w:rFonts w:ascii="Arial" w:hAnsi="Arial" w:cs="Arial" w:eastAsia="Arial" w:hint="default"/>
          <w:spacing w:val="-1"/>
        </w:rPr>
        <w:t>8</w:t>
      </w:r>
      <w:r>
        <w:rPr>
          <w:spacing w:val="-1"/>
        </w:rPr>
        <w:t>、公开、公平、公正的信息披露：为使投资者能够更加及时、清晰的了解本公司业务及运</w:t>
      </w:r>
      <w:r>
        <w:rPr>
          <w:w w:val="99"/>
        </w:rPr>
        <w:t> </w:t>
      </w:r>
      <w:r>
        <w:rPr>
          <w:w w:val="95"/>
        </w:rPr>
        <w:t>营进展，本公司在严格按照法律法规要求履行法定信息披露义务的同时，加强主动信息</w:t>
      </w:r>
      <w:r>
        <w:rPr>
          <w:spacing w:val="-48"/>
          <w:w w:val="95"/>
        </w:rPr>
        <w:t> </w:t>
      </w:r>
      <w:r>
        <w:rPr>
          <w:spacing w:val="-48"/>
          <w:w w:val="95"/>
        </w:rPr>
      </w:r>
      <w:r>
        <w:rPr>
          <w:w w:val="95"/>
        </w:rPr>
        <w:t>披露。本公司自上市以来，尽管并无相关规定或条例要求，但本公司一直按月向市场公</w:t>
      </w:r>
      <w:r>
        <w:rPr>
          <w:spacing w:val="-51"/>
          <w:w w:val="95"/>
        </w:rPr>
        <w:t> </w:t>
      </w:r>
      <w:r>
        <w:rPr>
          <w:spacing w:val="-51"/>
          <w:w w:val="95"/>
        </w:rPr>
      </w:r>
      <w:r>
        <w:rPr/>
        <w:t>布月度生产经营数据信息，满足投资者对公司经营情况的及时了解。本公司每年年报、</w:t>
      </w:r>
      <w:r>
        <w:rPr>
          <w:w w:val="99"/>
        </w:rPr>
        <w:t> </w:t>
      </w:r>
      <w:r>
        <w:rPr>
          <w:w w:val="95"/>
        </w:rPr>
        <w:t>半年报披露后立即召开业绩推介会。为保证信息披露的公平性，本公司会将业绩推介会</w:t>
      </w:r>
      <w:r>
        <w:rPr>
          <w:spacing w:val="-49"/>
          <w:w w:val="95"/>
        </w:rPr>
        <w:t> </w:t>
      </w:r>
      <w:r>
        <w:rPr>
          <w:spacing w:val="-49"/>
          <w:w w:val="95"/>
        </w:rPr>
      </w:r>
      <w:r>
        <w:rPr>
          <w:w w:val="95"/>
        </w:rPr>
        <w:t>的材料在本公司网站上同步刊登，确保所有投资者享有平等地机会获取相关信息。公司</w:t>
      </w:r>
      <w:r>
        <w:rPr>
          <w:spacing w:val="-48"/>
          <w:w w:val="95"/>
        </w:rPr>
        <w:t> </w:t>
      </w:r>
      <w:r>
        <w:rPr>
          <w:spacing w:val="-48"/>
          <w:w w:val="95"/>
        </w:rPr>
      </w:r>
      <w:r>
        <w:rPr>
          <w:w w:val="95"/>
        </w:rPr>
        <w:t>还及时更新、维护、完善公司网站的网页，确保投资者能及时了解公司情况。本公司设</w:t>
      </w:r>
      <w:r>
        <w:rPr>
          <w:spacing w:val="-48"/>
          <w:w w:val="95"/>
        </w:rPr>
        <w:t> </w:t>
      </w:r>
      <w:r>
        <w:rPr>
          <w:spacing w:val="-48"/>
          <w:w w:val="95"/>
        </w:rPr>
      </w:r>
      <w:r>
        <w:rPr/>
        <w:t>有统一符合规定的信息披露渠道，其中包括报纸和公司的网站</w:t>
      </w:r>
    </w:p>
    <w:p>
      <w:pPr>
        <w:pStyle w:val="BodyText"/>
        <w:spacing w:line="286" w:lineRule="exact" w:before="26"/>
        <w:ind w:left="1108" w:right="140"/>
        <w:jc w:val="left"/>
      </w:pPr>
      <w:r>
        <w:rPr>
          <w:rFonts w:ascii="Arial" w:hAnsi="Arial" w:cs="Arial" w:eastAsia="Arial" w:hint="default"/>
        </w:rPr>
        <w:t>(www.chinaunicom-a.com)</w:t>
      </w:r>
      <w:r>
        <w:rPr/>
        <w:t>，设有专门的投资者关系信息栏目，能保证信息公平、及时</w:t>
      </w:r>
      <w:r>
        <w:rPr>
          <w:w w:val="99"/>
        </w:rPr>
        <w:t> </w:t>
      </w:r>
      <w:r>
        <w:rPr/>
        <w:t>披露。</w:t>
      </w:r>
    </w:p>
    <w:p>
      <w:pPr>
        <w:spacing w:line="240" w:lineRule="auto" w:before="1"/>
        <w:rPr>
          <w:rFonts w:ascii="宋体" w:hAnsi="宋体" w:cs="宋体" w:eastAsia="宋体" w:hint="default"/>
          <w:sz w:val="17"/>
          <w:szCs w:val="17"/>
        </w:rPr>
      </w:pPr>
    </w:p>
    <w:p>
      <w:pPr>
        <w:pStyle w:val="BodyText"/>
        <w:spacing w:line="240" w:lineRule="auto"/>
        <w:ind w:left="1108" w:right="0"/>
        <w:jc w:val="left"/>
      </w:pPr>
      <w:r>
        <w:rPr/>
        <w:t>报告期内，本公司获得上海证券交易所评选的“信息披露提名奖”。</w:t>
      </w:r>
    </w:p>
    <w:p>
      <w:pPr>
        <w:spacing w:line="240" w:lineRule="auto" w:before="6"/>
        <w:rPr>
          <w:rFonts w:ascii="宋体" w:hAnsi="宋体" w:cs="宋体" w:eastAsia="宋体" w:hint="default"/>
          <w:sz w:val="17"/>
          <w:szCs w:val="17"/>
        </w:rPr>
      </w:pPr>
    </w:p>
    <w:p>
      <w:pPr>
        <w:pStyle w:val="BodyText"/>
        <w:spacing w:line="240" w:lineRule="auto"/>
        <w:ind w:left="145" w:right="0"/>
        <w:jc w:val="left"/>
      </w:pPr>
      <w:r>
        <w:rPr/>
        <w:t>（二）董事履行职责情况</w:t>
      </w:r>
    </w:p>
    <w:p>
      <w:pPr>
        <w:spacing w:line="240" w:lineRule="auto" w:before="1"/>
        <w:rPr>
          <w:rFonts w:ascii="宋体" w:hAnsi="宋体" w:cs="宋体" w:eastAsia="宋体" w:hint="default"/>
          <w:sz w:val="19"/>
          <w:szCs w:val="19"/>
        </w:rPr>
      </w:pPr>
    </w:p>
    <w:p>
      <w:pPr>
        <w:pStyle w:val="BodyText"/>
        <w:spacing w:line="240" w:lineRule="auto"/>
        <w:ind w:left="281" w:right="0"/>
        <w:jc w:val="left"/>
      </w:pPr>
      <w:r>
        <w:rPr>
          <w:rFonts w:ascii="Arial" w:hAnsi="Arial" w:cs="Arial" w:eastAsia="Arial" w:hint="default"/>
        </w:rPr>
        <w:t>1</w:t>
      </w:r>
      <w:r>
        <w:rPr/>
        <w:t>、董事参加董事会的出席情况</w:t>
      </w:r>
    </w:p>
    <w:p>
      <w:pPr>
        <w:spacing w:line="240" w:lineRule="auto" w:before="10"/>
        <w:rPr>
          <w:rFonts w:ascii="宋体" w:hAnsi="宋体" w:cs="宋体" w:eastAsia="宋体" w:hint="default"/>
          <w:sz w:val="20"/>
          <w:szCs w:val="20"/>
        </w:rPr>
      </w:pPr>
    </w:p>
    <w:tbl>
      <w:tblPr>
        <w:tblW w:w="0" w:type="auto"/>
        <w:jc w:val="left"/>
        <w:tblInd w:w="634" w:type="dxa"/>
        <w:tblLayout w:type="fixed"/>
        <w:tblCellMar>
          <w:top w:w="0" w:type="dxa"/>
          <w:left w:w="0" w:type="dxa"/>
          <w:bottom w:w="0" w:type="dxa"/>
          <w:right w:w="0" w:type="dxa"/>
        </w:tblCellMar>
        <w:tblLook w:val="01E0"/>
      </w:tblPr>
      <w:tblGrid>
        <w:gridCol w:w="1505"/>
        <w:gridCol w:w="846"/>
        <w:gridCol w:w="1158"/>
        <w:gridCol w:w="990"/>
        <w:gridCol w:w="943"/>
        <w:gridCol w:w="954"/>
        <w:gridCol w:w="689"/>
        <w:gridCol w:w="1528"/>
      </w:tblGrid>
      <w:tr>
        <w:trPr>
          <w:trHeight w:val="793"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sz w:val="20"/>
                <w:szCs w:val="20"/>
              </w:rPr>
              <w:t>董事姓名</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14" w:right="114"/>
              <w:jc w:val="left"/>
              <w:rPr>
                <w:rFonts w:ascii="宋体" w:hAnsi="宋体" w:cs="宋体" w:eastAsia="宋体" w:hint="default"/>
                <w:sz w:val="20"/>
                <w:szCs w:val="20"/>
              </w:rPr>
            </w:pPr>
            <w:r>
              <w:rPr>
                <w:rFonts w:ascii="宋体" w:hAnsi="宋体" w:cs="宋体" w:eastAsia="宋体" w:hint="default"/>
                <w:sz w:val="20"/>
                <w:szCs w:val="20"/>
              </w:rPr>
              <w:t>是否独</w:t>
            </w:r>
            <w:r>
              <w:rPr>
                <w:rFonts w:ascii="宋体" w:hAnsi="宋体" w:cs="宋体" w:eastAsia="宋体" w:hint="default"/>
                <w:w w:val="100"/>
                <w:sz w:val="20"/>
                <w:szCs w:val="20"/>
              </w:rPr>
              <w:t> </w:t>
            </w:r>
            <w:r>
              <w:rPr>
                <w:rFonts w:ascii="宋体" w:hAnsi="宋体" w:cs="宋体" w:eastAsia="宋体" w:hint="default"/>
                <w:sz w:val="20"/>
                <w:szCs w:val="20"/>
              </w:rPr>
              <w:t>立董事</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56" w:right="84"/>
              <w:jc w:val="left"/>
              <w:rPr>
                <w:rFonts w:ascii="宋体" w:hAnsi="宋体" w:cs="宋体" w:eastAsia="宋体" w:hint="default"/>
                <w:sz w:val="20"/>
                <w:szCs w:val="20"/>
              </w:rPr>
            </w:pPr>
            <w:r>
              <w:rPr>
                <w:rFonts w:ascii="宋体" w:hAnsi="宋体" w:cs="宋体" w:eastAsia="宋体" w:hint="default"/>
                <w:sz w:val="20"/>
                <w:szCs w:val="20"/>
              </w:rPr>
              <w:t>本年应参加</w:t>
            </w:r>
            <w:r>
              <w:rPr>
                <w:rFonts w:ascii="宋体" w:hAnsi="宋体" w:cs="宋体" w:eastAsia="宋体" w:hint="default"/>
                <w:w w:val="100"/>
                <w:sz w:val="20"/>
                <w:szCs w:val="20"/>
              </w:rPr>
              <w:t> </w:t>
            </w:r>
            <w:r>
              <w:rPr>
                <w:rFonts w:ascii="宋体" w:hAnsi="宋体" w:cs="宋体" w:eastAsia="宋体" w:hint="default"/>
                <w:sz w:val="20"/>
                <w:szCs w:val="20"/>
              </w:rPr>
              <w:t>董事会次数</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85" w:right="186"/>
              <w:jc w:val="left"/>
              <w:rPr>
                <w:rFonts w:ascii="宋体" w:hAnsi="宋体" w:cs="宋体" w:eastAsia="宋体" w:hint="default"/>
                <w:sz w:val="20"/>
                <w:szCs w:val="20"/>
              </w:rPr>
            </w:pPr>
            <w:r>
              <w:rPr>
                <w:rFonts w:ascii="宋体" w:hAnsi="宋体" w:cs="宋体" w:eastAsia="宋体" w:hint="default"/>
                <w:sz w:val="20"/>
                <w:szCs w:val="20"/>
              </w:rPr>
              <w:t>亲自出</w:t>
            </w:r>
            <w:r>
              <w:rPr>
                <w:rFonts w:ascii="宋体" w:hAnsi="宋体" w:cs="宋体" w:eastAsia="宋体" w:hint="default"/>
                <w:w w:val="100"/>
                <w:sz w:val="20"/>
                <w:szCs w:val="20"/>
              </w:rPr>
              <w:t> </w:t>
            </w:r>
            <w:r>
              <w:rPr>
                <w:rFonts w:ascii="宋体" w:hAnsi="宋体" w:cs="宋体" w:eastAsia="宋体" w:hint="default"/>
                <w:sz w:val="20"/>
                <w:szCs w:val="20"/>
              </w:rPr>
              <w:t>席次数</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63" w:right="0"/>
              <w:jc w:val="left"/>
              <w:rPr>
                <w:rFonts w:ascii="宋体" w:hAnsi="宋体" w:cs="宋体" w:eastAsia="宋体" w:hint="default"/>
                <w:sz w:val="20"/>
                <w:szCs w:val="20"/>
              </w:rPr>
            </w:pPr>
            <w:r>
              <w:rPr>
                <w:rFonts w:ascii="宋体" w:hAnsi="宋体" w:cs="宋体" w:eastAsia="宋体" w:hint="default"/>
                <w:sz w:val="20"/>
                <w:szCs w:val="20"/>
              </w:rPr>
              <w:t>以通讯</w:t>
            </w:r>
          </w:p>
          <w:p>
            <w:pPr>
              <w:pStyle w:val="TableParagraph"/>
              <w:spacing w:line="260" w:lineRule="exact" w:before="25"/>
              <w:ind w:left="163" w:right="162"/>
              <w:jc w:val="left"/>
              <w:rPr>
                <w:rFonts w:ascii="宋体" w:hAnsi="宋体" w:cs="宋体" w:eastAsia="宋体" w:hint="default"/>
                <w:sz w:val="20"/>
                <w:szCs w:val="20"/>
              </w:rPr>
            </w:pPr>
            <w:r>
              <w:rPr>
                <w:rFonts w:ascii="宋体" w:hAnsi="宋体" w:cs="宋体" w:eastAsia="宋体" w:hint="default"/>
                <w:sz w:val="20"/>
                <w:szCs w:val="20"/>
              </w:rPr>
              <w:t>方式参</w:t>
            </w:r>
            <w:r>
              <w:rPr>
                <w:rFonts w:ascii="宋体" w:hAnsi="宋体" w:cs="宋体" w:eastAsia="宋体" w:hint="default"/>
                <w:w w:val="100"/>
                <w:sz w:val="20"/>
                <w:szCs w:val="20"/>
              </w:rPr>
              <w:t> </w:t>
            </w:r>
            <w:r>
              <w:rPr>
                <w:rFonts w:ascii="宋体" w:hAnsi="宋体" w:cs="宋体" w:eastAsia="宋体" w:hint="default"/>
                <w:sz w:val="20"/>
                <w:szCs w:val="20"/>
              </w:rPr>
              <w:t>加次数</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69" w:right="167"/>
              <w:jc w:val="left"/>
              <w:rPr>
                <w:rFonts w:ascii="宋体" w:hAnsi="宋体" w:cs="宋体" w:eastAsia="宋体" w:hint="default"/>
                <w:sz w:val="20"/>
                <w:szCs w:val="20"/>
              </w:rPr>
            </w:pPr>
            <w:r>
              <w:rPr>
                <w:rFonts w:ascii="宋体" w:hAnsi="宋体" w:cs="宋体" w:eastAsia="宋体" w:hint="default"/>
                <w:sz w:val="20"/>
                <w:szCs w:val="20"/>
              </w:rPr>
              <w:t>委托出</w:t>
            </w:r>
            <w:r>
              <w:rPr>
                <w:rFonts w:ascii="宋体" w:hAnsi="宋体" w:cs="宋体" w:eastAsia="宋体" w:hint="default"/>
                <w:w w:val="100"/>
                <w:sz w:val="20"/>
                <w:szCs w:val="20"/>
              </w:rPr>
              <w:t> </w:t>
            </w:r>
            <w:r>
              <w:rPr>
                <w:rFonts w:ascii="宋体" w:hAnsi="宋体" w:cs="宋体" w:eastAsia="宋体" w:hint="default"/>
                <w:sz w:val="20"/>
                <w:szCs w:val="20"/>
              </w:rPr>
              <w:t>席次数</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35" w:right="136"/>
              <w:jc w:val="left"/>
              <w:rPr>
                <w:rFonts w:ascii="宋体" w:hAnsi="宋体" w:cs="宋体" w:eastAsia="宋体" w:hint="default"/>
                <w:sz w:val="20"/>
                <w:szCs w:val="20"/>
              </w:rPr>
            </w:pPr>
            <w:r>
              <w:rPr>
                <w:rFonts w:ascii="宋体" w:hAnsi="宋体" w:cs="宋体" w:eastAsia="宋体" w:hint="default"/>
                <w:sz w:val="20"/>
                <w:szCs w:val="20"/>
              </w:rPr>
              <w:t>缺席</w:t>
            </w:r>
            <w:r>
              <w:rPr>
                <w:rFonts w:ascii="宋体" w:hAnsi="宋体" w:cs="宋体" w:eastAsia="宋体" w:hint="default"/>
                <w:w w:val="100"/>
                <w:sz w:val="20"/>
                <w:szCs w:val="20"/>
              </w:rPr>
              <w:t> </w:t>
            </w:r>
            <w:r>
              <w:rPr>
                <w:rFonts w:ascii="宋体" w:hAnsi="宋体" w:cs="宋体" w:eastAsia="宋体" w:hint="default"/>
                <w:sz w:val="20"/>
                <w:szCs w:val="20"/>
              </w:rPr>
              <w:t>次数</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71" w:right="40" w:hanging="101"/>
              <w:jc w:val="left"/>
              <w:rPr>
                <w:rFonts w:ascii="宋体" w:hAnsi="宋体" w:cs="宋体" w:eastAsia="宋体" w:hint="default"/>
                <w:sz w:val="20"/>
                <w:szCs w:val="20"/>
              </w:rPr>
            </w:pPr>
            <w:r>
              <w:rPr>
                <w:rFonts w:ascii="宋体" w:hAnsi="宋体" w:cs="宋体" w:eastAsia="宋体" w:hint="default"/>
                <w:sz w:val="20"/>
                <w:szCs w:val="20"/>
              </w:rPr>
              <w:t>是否连续两次未</w:t>
            </w:r>
            <w:r>
              <w:rPr>
                <w:rFonts w:ascii="宋体" w:hAnsi="宋体" w:cs="宋体" w:eastAsia="宋体" w:hint="default"/>
                <w:w w:val="100"/>
                <w:sz w:val="20"/>
                <w:szCs w:val="20"/>
              </w:rPr>
              <w:t> </w:t>
            </w:r>
            <w:r>
              <w:rPr>
                <w:rFonts w:ascii="宋体" w:hAnsi="宋体" w:cs="宋体" w:eastAsia="宋体" w:hint="default"/>
                <w:sz w:val="20"/>
                <w:szCs w:val="20"/>
              </w:rPr>
              <w:t>亲自参加会议</w:t>
            </w:r>
          </w:p>
        </w:tc>
      </w:tr>
      <w:tr>
        <w:trPr>
          <w:trHeight w:val="33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常小兵</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4</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1</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655"/>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1"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陆益民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20"/>
                <w:szCs w:val="20"/>
              </w:rPr>
            </w:pPr>
            <w:r>
              <w:rPr>
                <w:rFonts w:ascii="Arial"/>
                <w:w w:val="100"/>
                <w:sz w:val="20"/>
              </w:rPr>
              <w:t>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20"/>
                <w:szCs w:val="20"/>
              </w:rPr>
            </w:pPr>
            <w:r>
              <w:rPr>
                <w:rFonts w:ascii="Arial"/>
                <w:w w:val="100"/>
                <w:sz w:val="20"/>
              </w:rPr>
              <w:t>4</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20"/>
                <w:szCs w:val="20"/>
              </w:rPr>
            </w:pPr>
            <w:r>
              <w:rPr>
                <w:rFonts w:ascii="Arial"/>
                <w:w w:val="100"/>
                <w:sz w:val="20"/>
              </w:rPr>
              <w:t>1</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20"/>
                <w:szCs w:val="20"/>
              </w:rPr>
            </w:pPr>
            <w:r>
              <w:rPr>
                <w:rFonts w:ascii="Arial"/>
                <w:w w:val="100"/>
                <w:sz w:val="20"/>
              </w:rPr>
              <w:t>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20"/>
                <w:szCs w:val="20"/>
              </w:rPr>
            </w:pPr>
            <w:r>
              <w:rPr>
                <w:rFonts w:ascii="Arial"/>
                <w:w w:val="100"/>
                <w:sz w:val="20"/>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655"/>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9" w:right="0"/>
              <w:jc w:val="left"/>
              <w:rPr>
                <w:rFonts w:ascii="宋体" w:hAnsi="宋体" w:cs="宋体" w:eastAsia="宋体" w:hint="default"/>
                <w:sz w:val="20"/>
                <w:szCs w:val="20"/>
              </w:rPr>
            </w:pPr>
            <w:r>
              <w:rPr>
                <w:rFonts w:ascii="宋体" w:hAnsi="宋体" w:cs="宋体" w:eastAsia="宋体" w:hint="default"/>
                <w:sz w:val="20"/>
                <w:szCs w:val="20"/>
              </w:rPr>
              <w:t>左迅生（注</w:t>
            </w:r>
            <w:r>
              <w:rPr>
                <w:rFonts w:ascii="宋体" w:hAnsi="宋体" w:cs="宋体" w:eastAsia="宋体" w:hint="default"/>
                <w:spacing w:val="-52"/>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2</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2</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Arial" w:hAnsi="Arial" w:cs="Arial" w:eastAsia="Arial" w:hint="default"/>
                <w:sz w:val="20"/>
                <w:szCs w:val="20"/>
              </w:rPr>
            </w:pPr>
            <w:r>
              <w:rPr>
                <w:rFonts w:ascii="Arial"/>
                <w:w w:val="100"/>
                <w:sz w:val="20"/>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55"/>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佟吉禄</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5</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1</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655"/>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1"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99" w:right="0"/>
              <w:jc w:val="left"/>
              <w:rPr>
                <w:rFonts w:ascii="宋体" w:hAnsi="宋体" w:cs="宋体" w:eastAsia="宋体" w:hint="default"/>
                <w:sz w:val="20"/>
                <w:szCs w:val="20"/>
              </w:rPr>
            </w:pPr>
            <w:r>
              <w:rPr>
                <w:rFonts w:ascii="宋体" w:hAnsi="宋体" w:cs="宋体" w:eastAsia="宋体" w:hint="default"/>
                <w:sz w:val="20"/>
                <w:szCs w:val="20"/>
              </w:rPr>
              <w:t>李福申（注</w:t>
            </w:r>
            <w:r>
              <w:rPr>
                <w:rFonts w:ascii="宋体" w:hAnsi="宋体" w:cs="宋体" w:eastAsia="宋体" w:hint="default"/>
                <w:spacing w:val="-52"/>
                <w:sz w:val="20"/>
                <w:szCs w:val="20"/>
              </w:rPr>
              <w:t> </w:t>
            </w:r>
            <w:r>
              <w:rPr>
                <w:rFonts w:ascii="Arial" w:hAnsi="Arial" w:cs="Arial" w:eastAsia="Arial" w:hint="default"/>
                <w:sz w:val="20"/>
                <w:szCs w:val="20"/>
              </w:rPr>
              <w:t>2</w:t>
            </w:r>
            <w:r>
              <w:rPr>
                <w:rFonts w:ascii="宋体" w:hAnsi="宋体" w:cs="宋体" w:eastAsia="宋体" w:hint="default"/>
                <w:sz w:val="20"/>
                <w:szCs w:val="20"/>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20"/>
                <w:szCs w:val="20"/>
              </w:rPr>
            </w:pPr>
            <w:r>
              <w:rPr>
                <w:rFonts w:ascii="Arial"/>
                <w:w w:val="100"/>
                <w:sz w:val="20"/>
              </w:rPr>
              <w:t>2</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20"/>
                <w:szCs w:val="20"/>
              </w:rPr>
            </w:pPr>
            <w:r>
              <w:rPr>
                <w:rFonts w:ascii="Arial"/>
                <w:w w:val="100"/>
                <w:sz w:val="20"/>
              </w:rPr>
              <w:t>2</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Arial" w:hAnsi="Arial" w:cs="Arial" w:eastAsia="Arial" w:hint="default"/>
                <w:sz w:val="20"/>
                <w:szCs w:val="20"/>
              </w:rPr>
            </w:pPr>
            <w:r>
              <w:rPr>
                <w:rFonts w:ascii="Arial"/>
                <w:w w:val="100"/>
                <w:sz w:val="20"/>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20"/>
                <w:szCs w:val="20"/>
              </w:rPr>
            </w:pPr>
            <w:r>
              <w:rPr>
                <w:rFonts w:ascii="Arial"/>
                <w:w w:val="100"/>
                <w:sz w:val="20"/>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20"/>
                <w:szCs w:val="20"/>
              </w:rPr>
            </w:pPr>
            <w:r>
              <w:rPr>
                <w:rFonts w:ascii="Arial"/>
                <w:w w:val="100"/>
                <w:sz w:val="20"/>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655"/>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刘彩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5</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1</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55"/>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赵纯均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5</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1</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655"/>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1"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张英海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20"/>
                <w:szCs w:val="20"/>
              </w:rPr>
            </w:pPr>
            <w:r>
              <w:rPr>
                <w:rFonts w:ascii="Arial"/>
                <w:w w:val="100"/>
                <w:sz w:val="20"/>
              </w:rPr>
              <w:t>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20"/>
                <w:szCs w:val="20"/>
              </w:rPr>
            </w:pPr>
            <w:r>
              <w:rPr>
                <w:rFonts w:ascii="Arial"/>
                <w:w w:val="100"/>
                <w:sz w:val="20"/>
              </w:rPr>
              <w:t>5</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20"/>
                <w:szCs w:val="20"/>
              </w:rPr>
            </w:pPr>
            <w:r>
              <w:rPr>
                <w:rFonts w:ascii="Arial"/>
                <w:w w:val="100"/>
                <w:sz w:val="20"/>
              </w:rPr>
              <w:t>1</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20"/>
                <w:szCs w:val="20"/>
              </w:rPr>
            </w:pPr>
            <w:r>
              <w:rPr>
                <w:rFonts w:ascii="Arial"/>
                <w:w w:val="100"/>
                <w:sz w:val="20"/>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20"/>
                <w:szCs w:val="20"/>
              </w:rPr>
            </w:pPr>
            <w:r>
              <w:rPr>
                <w:rFonts w:ascii="Arial"/>
                <w:w w:val="100"/>
                <w:sz w:val="20"/>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655"/>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夏大慰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Arial" w:hAnsi="Arial" w:cs="Arial" w:eastAsia="Arial" w:hint="default"/>
                <w:sz w:val="20"/>
                <w:szCs w:val="20"/>
              </w:rPr>
            </w:pPr>
            <w:r>
              <w:rPr>
                <w:rFonts w:ascii="Arial"/>
                <w:w w:val="100"/>
                <w:sz w:val="20"/>
              </w:rPr>
              <w:t>5</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1</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55"/>
              <w:jc w:val="right"/>
              <w:rPr>
                <w:rFonts w:ascii="宋体" w:hAnsi="宋体" w:cs="宋体" w:eastAsia="宋体" w:hint="default"/>
                <w:sz w:val="20"/>
                <w:szCs w:val="20"/>
              </w:rPr>
            </w:pPr>
            <w:r>
              <w:rPr>
                <w:rFonts w:ascii="宋体" w:hAnsi="宋体" w:cs="宋体" w:eastAsia="宋体" w:hint="default"/>
                <w:w w:val="100"/>
                <w:sz w:val="20"/>
                <w:szCs w:val="20"/>
              </w:rPr>
              <w:t>否</w:t>
            </w:r>
          </w:p>
        </w:tc>
      </w:tr>
    </w:tbl>
    <w:p>
      <w:pPr>
        <w:spacing w:line="240" w:lineRule="auto" w:before="2"/>
        <w:rPr>
          <w:rFonts w:ascii="宋体" w:hAnsi="宋体" w:cs="宋体" w:eastAsia="宋体" w:hint="default"/>
          <w:sz w:val="14"/>
          <w:szCs w:val="14"/>
        </w:rPr>
      </w:pPr>
    </w:p>
    <w:p>
      <w:pPr>
        <w:pStyle w:val="BodyText"/>
        <w:spacing w:line="286" w:lineRule="exact" w:before="60"/>
        <w:ind w:left="1271" w:right="123" w:hanging="630"/>
        <w:jc w:val="left"/>
      </w:pPr>
      <w:r>
        <w:rPr/>
        <w:t>注</w:t>
      </w:r>
      <w:r>
        <w:rPr>
          <w:spacing w:val="-62"/>
        </w:rPr>
        <w:t> </w:t>
      </w:r>
      <w:r>
        <w:rPr>
          <w:rFonts w:ascii="Arial" w:hAnsi="Arial" w:cs="Arial" w:eastAsia="Arial" w:hint="default"/>
        </w:rPr>
        <w:t>1</w:t>
      </w:r>
      <w:r>
        <w:rPr/>
        <w:t>：本公司董事左迅生先生因已届退休年龄，于</w:t>
      </w:r>
      <w:r>
        <w:rPr>
          <w:spacing w:val="-62"/>
        </w:rPr>
        <w:t> </w:t>
      </w:r>
      <w:r>
        <w:rPr>
          <w:rFonts w:ascii="Arial" w:hAnsi="Arial" w:cs="Arial" w:eastAsia="Arial" w:hint="default"/>
        </w:rPr>
        <w:t>2011</w:t>
      </w:r>
      <w:r>
        <w:rPr>
          <w:rFonts w:ascii="Arial" w:hAnsi="Arial" w:cs="Arial" w:eastAsia="Arial" w:hint="default"/>
          <w:spacing w:val="-13"/>
        </w:rPr>
        <w:t> </w:t>
      </w:r>
      <w:r>
        <w:rPr/>
        <w:t>年</w:t>
      </w:r>
      <w:r>
        <w:rPr>
          <w:spacing w:val="-62"/>
        </w:rPr>
        <w:t> </w:t>
      </w:r>
      <w:r>
        <w:rPr>
          <w:rFonts w:ascii="Arial" w:hAnsi="Arial" w:cs="Arial" w:eastAsia="Arial" w:hint="default"/>
        </w:rPr>
        <w:t>3</w:t>
      </w:r>
      <w:r>
        <w:rPr>
          <w:rFonts w:ascii="Arial" w:hAnsi="Arial" w:cs="Arial" w:eastAsia="Arial" w:hint="default"/>
          <w:spacing w:val="-13"/>
        </w:rPr>
        <w:t> </w:t>
      </w:r>
      <w:r>
        <w:rPr/>
        <w:t>月</w:t>
      </w:r>
      <w:r>
        <w:rPr>
          <w:spacing w:val="-62"/>
        </w:rPr>
        <w:t> </w:t>
      </w:r>
      <w:r>
        <w:rPr>
          <w:rFonts w:ascii="Arial" w:hAnsi="Arial" w:cs="Arial" w:eastAsia="Arial" w:hint="default"/>
        </w:rPr>
        <w:t>29</w:t>
      </w:r>
      <w:r>
        <w:rPr>
          <w:rFonts w:ascii="Arial" w:hAnsi="Arial" w:cs="Arial" w:eastAsia="Arial" w:hint="default"/>
          <w:spacing w:val="-13"/>
        </w:rPr>
        <w:t> </w:t>
      </w:r>
      <w:r>
        <w:rPr/>
        <w:t>日参加公司第三届董事会</w:t>
      </w:r>
      <w:r>
        <w:rPr>
          <w:w w:val="99"/>
        </w:rPr>
        <w:t> </w:t>
      </w:r>
      <w:r>
        <w:rPr/>
        <w:t>第八次会议后即辞去本公司董事职务。</w:t>
      </w:r>
    </w:p>
    <w:p>
      <w:pPr>
        <w:spacing w:line="240" w:lineRule="auto" w:before="2"/>
        <w:rPr>
          <w:rFonts w:ascii="宋体" w:hAnsi="宋体" w:cs="宋体" w:eastAsia="宋体" w:hint="default"/>
          <w:sz w:val="17"/>
          <w:szCs w:val="17"/>
        </w:rPr>
      </w:pPr>
    </w:p>
    <w:p>
      <w:pPr>
        <w:pStyle w:val="BodyText"/>
        <w:spacing w:line="294" w:lineRule="exact"/>
        <w:ind w:left="641" w:right="0"/>
        <w:jc w:val="left"/>
      </w:pPr>
      <w:r>
        <w:rPr/>
        <w:t>注</w:t>
      </w:r>
      <w:r>
        <w:rPr>
          <w:spacing w:val="-56"/>
        </w:rPr>
        <w:t> </w:t>
      </w:r>
      <w:r>
        <w:rPr>
          <w:rFonts w:ascii="Arial" w:hAnsi="Arial" w:cs="Arial" w:eastAsia="Arial" w:hint="default"/>
        </w:rPr>
        <w:t>2</w:t>
      </w:r>
      <w:r>
        <w:rPr/>
        <w:t>：李福申先生于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24</w:t>
      </w:r>
      <w:r>
        <w:rPr>
          <w:rFonts w:ascii="Arial" w:hAnsi="Arial" w:cs="Arial" w:eastAsia="Arial" w:hint="default"/>
          <w:spacing w:val="-7"/>
        </w:rPr>
        <w:t> </w:t>
      </w:r>
      <w:r>
        <w:rPr/>
        <w:t>日经本公司</w:t>
      </w:r>
      <w:r>
        <w:rPr>
          <w:spacing w:val="-56"/>
        </w:rPr>
        <w:t> </w:t>
      </w:r>
      <w:r>
        <w:rPr>
          <w:rFonts w:ascii="Arial" w:hAnsi="Arial" w:cs="Arial" w:eastAsia="Arial" w:hint="default"/>
        </w:rPr>
        <w:t>2010</w:t>
      </w:r>
      <w:r>
        <w:rPr>
          <w:rFonts w:ascii="Arial" w:hAnsi="Arial" w:cs="Arial" w:eastAsia="Arial" w:hint="default"/>
          <w:spacing w:val="-7"/>
        </w:rPr>
        <w:t> </w:t>
      </w:r>
      <w:r>
        <w:rPr/>
        <w:t>年度股东大会批准成为本公司董事，</w:t>
      </w:r>
    </w:p>
    <w:p>
      <w:pPr>
        <w:pStyle w:val="BodyText"/>
        <w:spacing w:line="294" w:lineRule="exact"/>
        <w:ind w:left="1271" w:right="0"/>
        <w:jc w:val="left"/>
      </w:pPr>
      <w:r>
        <w:rPr/>
        <w:t>故其本年应参加董事会次数为</w:t>
      </w:r>
      <w:r>
        <w:rPr>
          <w:spacing w:val="-56"/>
        </w:rPr>
        <w:t> </w:t>
      </w:r>
      <w:r>
        <w:rPr>
          <w:rFonts w:ascii="Arial" w:hAnsi="Arial" w:cs="Arial" w:eastAsia="Arial" w:hint="default"/>
        </w:rPr>
        <w:t>2</w:t>
      </w:r>
      <w:r>
        <w:rPr>
          <w:rFonts w:ascii="Arial" w:hAnsi="Arial" w:cs="Arial" w:eastAsia="Arial" w:hint="default"/>
          <w:spacing w:val="-7"/>
        </w:rPr>
        <w:t> </w:t>
      </w:r>
      <w:r>
        <w:rPr/>
        <w:t>次。</w:t>
      </w:r>
    </w:p>
    <w:p>
      <w:pPr>
        <w:spacing w:line="240" w:lineRule="auto" w:before="10"/>
        <w:rPr>
          <w:rFonts w:ascii="宋体" w:hAnsi="宋体" w:cs="宋体" w:eastAsia="宋体" w:hint="default"/>
          <w:sz w:val="20"/>
          <w:szCs w:val="20"/>
        </w:rPr>
      </w:pPr>
    </w:p>
    <w:tbl>
      <w:tblPr>
        <w:tblW w:w="0" w:type="auto"/>
        <w:jc w:val="left"/>
        <w:tblInd w:w="634" w:type="dxa"/>
        <w:tblLayout w:type="fixed"/>
        <w:tblCellMar>
          <w:top w:w="0" w:type="dxa"/>
          <w:left w:w="0" w:type="dxa"/>
          <w:bottom w:w="0" w:type="dxa"/>
          <w:right w:w="0" w:type="dxa"/>
        </w:tblCellMar>
        <w:tblLook w:val="01E0"/>
      </w:tblPr>
      <w:tblGrid>
        <w:gridCol w:w="4649"/>
        <w:gridCol w:w="3928"/>
      </w:tblGrid>
      <w:tr>
        <w:trPr>
          <w:trHeight w:val="332"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年内召开董事会会议次数</w:t>
            </w:r>
          </w:p>
        </w:tc>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9"/>
                <w:sz w:val="22"/>
              </w:rPr>
              <w:t>5</w:t>
            </w:r>
            <w:r>
              <w:rPr>
                <w:rFonts w:ascii="Arial"/>
                <w:sz w:val="22"/>
              </w:rPr>
            </w:r>
          </w:p>
        </w:tc>
      </w:tr>
      <w:tr>
        <w:trPr>
          <w:trHeight w:val="331"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99" w:right="0"/>
              <w:jc w:val="left"/>
              <w:rPr>
                <w:rFonts w:ascii="宋体" w:hAnsi="宋体" w:cs="宋体" w:eastAsia="宋体" w:hint="default"/>
                <w:sz w:val="22"/>
                <w:szCs w:val="22"/>
              </w:rPr>
            </w:pPr>
            <w:r>
              <w:rPr>
                <w:rFonts w:ascii="宋体" w:hAnsi="宋体" w:cs="宋体" w:eastAsia="宋体" w:hint="default"/>
                <w:sz w:val="22"/>
                <w:szCs w:val="22"/>
              </w:rPr>
              <w:t>其中：现场会议次数</w:t>
            </w:r>
          </w:p>
        </w:tc>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9"/>
                <w:sz w:val="22"/>
              </w:rPr>
              <w:t>4</w:t>
            </w:r>
            <w:r>
              <w:rPr>
                <w:rFonts w:ascii="Arial"/>
                <w:sz w:val="22"/>
              </w:rPr>
            </w:r>
          </w:p>
        </w:tc>
      </w:tr>
      <w:tr>
        <w:trPr>
          <w:trHeight w:val="332"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通讯方式召开会议次数</w:t>
            </w:r>
          </w:p>
        </w:tc>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9"/>
                <w:sz w:val="22"/>
              </w:rPr>
              <w:t>1</w:t>
            </w:r>
            <w:r>
              <w:rPr>
                <w:rFonts w:ascii="Arial"/>
                <w:sz w:val="22"/>
              </w:rPr>
            </w:r>
          </w:p>
        </w:tc>
      </w:tr>
      <w:tr>
        <w:trPr>
          <w:trHeight w:val="332"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现场结合通讯方式召开会议次数</w:t>
            </w:r>
          </w:p>
        </w:tc>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w w:val="100"/>
                <w:sz w:val="20"/>
              </w:rPr>
              <w:t>-</w:t>
            </w:r>
          </w:p>
        </w:tc>
      </w:tr>
    </w:tbl>
    <w:p>
      <w:pPr>
        <w:spacing w:after="0" w:line="240" w:lineRule="auto"/>
        <w:jc w:val="right"/>
        <w:rPr>
          <w:rFonts w:ascii="Arial" w:hAnsi="Arial" w:cs="Arial" w:eastAsia="Arial" w:hint="default"/>
          <w:sz w:val="20"/>
          <w:szCs w:val="20"/>
        </w:rPr>
        <w:sectPr>
          <w:pgSz w:w="11900" w:h="16840"/>
          <w:pgMar w:header="927" w:footer="752" w:top="1160" w:bottom="940" w:left="134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1"/>
        <w:ind w:left="145" w:right="0"/>
        <w:jc w:val="left"/>
      </w:pPr>
      <w:r>
        <w:rPr>
          <w:rFonts w:ascii="Arial" w:hAnsi="Arial" w:cs="Arial" w:eastAsia="Arial" w:hint="default"/>
        </w:rPr>
        <w:t>2</w:t>
      </w:r>
      <w:r>
        <w:rPr/>
        <w:t>、独立董事对公司有关事项提出异议的情况</w:t>
      </w:r>
    </w:p>
    <w:p>
      <w:pPr>
        <w:spacing w:line="240" w:lineRule="auto" w:before="8"/>
        <w:rPr>
          <w:rFonts w:ascii="宋体" w:hAnsi="宋体" w:cs="宋体" w:eastAsia="宋体" w:hint="default"/>
          <w:sz w:val="20"/>
          <w:szCs w:val="20"/>
        </w:rPr>
      </w:pPr>
    </w:p>
    <w:tbl>
      <w:tblPr>
        <w:tblW w:w="0" w:type="auto"/>
        <w:jc w:val="left"/>
        <w:tblInd w:w="454" w:type="dxa"/>
        <w:tblLayout w:type="fixed"/>
        <w:tblCellMar>
          <w:top w:w="0" w:type="dxa"/>
          <w:left w:w="0" w:type="dxa"/>
          <w:bottom w:w="0" w:type="dxa"/>
          <w:right w:w="0" w:type="dxa"/>
        </w:tblCellMar>
        <w:tblLook w:val="01E0"/>
      </w:tblPr>
      <w:tblGrid>
        <w:gridCol w:w="2082"/>
        <w:gridCol w:w="2356"/>
        <w:gridCol w:w="2275"/>
        <w:gridCol w:w="2065"/>
      </w:tblGrid>
      <w:tr>
        <w:trPr>
          <w:trHeight w:val="586" w:hRule="exact"/>
        </w:trPr>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373" w:right="0"/>
              <w:jc w:val="left"/>
              <w:rPr>
                <w:rFonts w:ascii="宋体" w:hAnsi="宋体" w:cs="宋体" w:eastAsia="宋体" w:hint="default"/>
                <w:sz w:val="22"/>
                <w:szCs w:val="22"/>
              </w:rPr>
            </w:pPr>
            <w:r>
              <w:rPr>
                <w:rFonts w:ascii="宋体" w:hAnsi="宋体" w:cs="宋体" w:eastAsia="宋体" w:hint="default"/>
                <w:sz w:val="22"/>
                <w:szCs w:val="22"/>
              </w:rPr>
              <w:t>独立董事姓名</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独立董事提出异议的</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重大事项内容</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2"/>
                <w:szCs w:val="22"/>
              </w:rPr>
            </w:pPr>
            <w:r>
              <w:rPr>
                <w:rFonts w:ascii="宋体" w:hAnsi="宋体" w:cs="宋体" w:eastAsia="宋体" w:hint="default"/>
                <w:sz w:val="22"/>
                <w:szCs w:val="22"/>
              </w:rPr>
              <w:t>异议的内容</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22"/>
                <w:szCs w:val="22"/>
              </w:rPr>
            </w:pPr>
            <w:r>
              <w:rPr>
                <w:rFonts w:ascii="宋体" w:hAnsi="宋体" w:cs="宋体" w:eastAsia="宋体" w:hint="default"/>
                <w:sz w:val="22"/>
                <w:szCs w:val="22"/>
              </w:rPr>
              <w:t>备注</w:t>
            </w:r>
          </w:p>
        </w:tc>
      </w:tr>
      <w:tr>
        <w:trPr>
          <w:trHeight w:val="332" w:hRule="exact"/>
        </w:trPr>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刘彩</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
              <w:jc w:val="center"/>
              <w:rPr>
                <w:rFonts w:ascii="宋体" w:hAnsi="宋体" w:cs="宋体" w:eastAsia="宋体" w:hint="default"/>
                <w:sz w:val="22"/>
                <w:szCs w:val="22"/>
              </w:rPr>
            </w:pPr>
            <w:r>
              <w:rPr>
                <w:rFonts w:ascii="宋体" w:hAnsi="宋体" w:cs="宋体" w:eastAsia="宋体" w:hint="default"/>
                <w:sz w:val="22"/>
                <w:szCs w:val="22"/>
              </w:rPr>
              <w:t>不适用</w:t>
            </w:r>
          </w:p>
        </w:tc>
      </w:tr>
      <w:tr>
        <w:trPr>
          <w:trHeight w:val="332" w:hRule="exact"/>
        </w:trPr>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赵纯均</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
              <w:jc w:val="center"/>
              <w:rPr>
                <w:rFonts w:ascii="宋体" w:hAnsi="宋体" w:cs="宋体" w:eastAsia="宋体" w:hint="default"/>
                <w:sz w:val="22"/>
                <w:szCs w:val="22"/>
              </w:rPr>
            </w:pPr>
            <w:r>
              <w:rPr>
                <w:rFonts w:ascii="宋体" w:hAnsi="宋体" w:cs="宋体" w:eastAsia="宋体" w:hint="default"/>
                <w:sz w:val="22"/>
                <w:szCs w:val="22"/>
              </w:rPr>
              <w:t>不适用</w:t>
            </w:r>
          </w:p>
        </w:tc>
      </w:tr>
      <w:tr>
        <w:trPr>
          <w:trHeight w:val="331" w:hRule="exact"/>
        </w:trPr>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99" w:right="0"/>
              <w:jc w:val="left"/>
              <w:rPr>
                <w:rFonts w:ascii="宋体" w:hAnsi="宋体" w:cs="宋体" w:eastAsia="宋体" w:hint="default"/>
                <w:sz w:val="22"/>
                <w:szCs w:val="22"/>
              </w:rPr>
            </w:pPr>
            <w:r>
              <w:rPr>
                <w:rFonts w:ascii="宋体" w:hAnsi="宋体" w:cs="宋体" w:eastAsia="宋体" w:hint="default"/>
                <w:sz w:val="22"/>
                <w:szCs w:val="22"/>
              </w:rPr>
              <w:t>张英海</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2"/>
                <w:szCs w:val="22"/>
              </w:rPr>
            </w:pPr>
            <w:r>
              <w:rPr>
                <w:rFonts w:ascii="宋体" w:hAnsi="宋体" w:cs="宋体" w:eastAsia="宋体" w:hint="default"/>
                <w:sz w:val="22"/>
                <w:szCs w:val="22"/>
              </w:rPr>
              <w:t>不适用</w:t>
            </w:r>
          </w:p>
        </w:tc>
      </w:tr>
      <w:tr>
        <w:trPr>
          <w:trHeight w:val="334" w:hRule="exact"/>
        </w:trPr>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9" w:right="0"/>
              <w:jc w:val="left"/>
              <w:rPr>
                <w:rFonts w:ascii="宋体" w:hAnsi="宋体" w:cs="宋体" w:eastAsia="宋体" w:hint="default"/>
                <w:sz w:val="22"/>
                <w:szCs w:val="22"/>
              </w:rPr>
            </w:pPr>
            <w:r>
              <w:rPr>
                <w:rFonts w:ascii="宋体" w:hAnsi="宋体" w:cs="宋体" w:eastAsia="宋体" w:hint="default"/>
                <w:sz w:val="22"/>
                <w:szCs w:val="22"/>
              </w:rPr>
              <w:t>夏大慰</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
              <w:jc w:val="center"/>
              <w:rPr>
                <w:rFonts w:ascii="宋体" w:hAnsi="宋体" w:cs="宋体" w:eastAsia="宋体" w:hint="default"/>
                <w:sz w:val="22"/>
                <w:szCs w:val="22"/>
              </w:rPr>
            </w:pPr>
            <w:r>
              <w:rPr>
                <w:rFonts w:ascii="宋体" w:hAnsi="宋体" w:cs="宋体" w:eastAsia="宋体" w:hint="default"/>
                <w:sz w:val="22"/>
                <w:szCs w:val="22"/>
              </w:rPr>
              <w:t>不适用</w:t>
            </w:r>
          </w:p>
        </w:tc>
      </w:tr>
    </w:tbl>
    <w:p>
      <w:pPr>
        <w:spacing w:line="240" w:lineRule="auto" w:before="1"/>
        <w:rPr>
          <w:rFonts w:ascii="宋体" w:hAnsi="宋体" w:cs="宋体" w:eastAsia="宋体" w:hint="default"/>
          <w:sz w:val="14"/>
          <w:szCs w:val="14"/>
        </w:rPr>
      </w:pPr>
    </w:p>
    <w:p>
      <w:pPr>
        <w:pStyle w:val="BodyText"/>
        <w:spacing w:line="240" w:lineRule="auto" w:before="31"/>
        <w:ind w:left="461" w:right="0"/>
        <w:jc w:val="left"/>
      </w:pPr>
      <w:r>
        <w:rPr/>
        <w:t>报告期内，本公司独立董事未对公司本年度的董事会议案和其他非董事会议案事项提出异议。</w:t>
      </w:r>
    </w:p>
    <w:p>
      <w:pPr>
        <w:spacing w:line="240" w:lineRule="auto" w:before="2"/>
        <w:rPr>
          <w:rFonts w:ascii="宋体" w:hAnsi="宋体" w:cs="宋体" w:eastAsia="宋体" w:hint="default"/>
          <w:sz w:val="19"/>
          <w:szCs w:val="19"/>
        </w:rPr>
      </w:pPr>
    </w:p>
    <w:p>
      <w:pPr>
        <w:pStyle w:val="BodyText"/>
        <w:spacing w:line="424" w:lineRule="auto"/>
        <w:ind w:left="461" w:right="2272" w:hanging="316"/>
        <w:jc w:val="left"/>
      </w:pPr>
      <w:r>
        <w:rPr>
          <w:rFonts w:ascii="Arial" w:hAnsi="Arial" w:cs="Arial" w:eastAsia="Arial" w:hint="default"/>
        </w:rPr>
        <w:t>3</w:t>
      </w:r>
      <w:r>
        <w:rPr/>
        <w:t>、独立董事相关工作制度的建立健全情况、主要内容及独立董事履职情况</w:t>
      </w:r>
      <w:r>
        <w:rPr>
          <w:w w:val="99"/>
        </w:rPr>
        <w:t> </w:t>
      </w:r>
      <w:r>
        <w:rPr/>
        <w:t>本公司制定了《独立董事工作细则》，独立董事职责主要为：</w:t>
      </w:r>
    </w:p>
    <w:p>
      <w:pPr>
        <w:pStyle w:val="BodyText"/>
        <w:spacing w:line="286" w:lineRule="exact" w:before="108"/>
        <w:ind w:left="847" w:right="164" w:hanging="370"/>
        <w:jc w:val="left"/>
      </w:pPr>
      <w:r>
        <w:rPr>
          <w:rFonts w:ascii="Arial" w:hAnsi="Arial" w:cs="Arial" w:eastAsia="Arial" w:hint="default"/>
        </w:rPr>
        <w:t>3.1</w:t>
      </w:r>
      <w:r>
        <w:rPr>
          <w:rFonts w:ascii="Arial" w:hAnsi="Arial" w:cs="Arial" w:eastAsia="Arial" w:hint="default"/>
          <w:spacing w:val="-8"/>
        </w:rPr>
        <w:t> </w:t>
      </w:r>
      <w:r>
        <w:rPr/>
        <w:t>为了充分发挥独立董事的作用，独立董事除具有公司法和其他相关法律、法规赋予董事的</w:t>
      </w:r>
      <w:r>
        <w:rPr>
          <w:w w:val="99"/>
        </w:rPr>
        <w:t> </w:t>
      </w:r>
      <w:r>
        <w:rPr/>
        <w:t>职权外，本公司还赋予独立董事以下特别职权：</w:t>
      </w:r>
    </w:p>
    <w:p>
      <w:pPr>
        <w:spacing w:line="240" w:lineRule="auto" w:before="3"/>
        <w:rPr>
          <w:rFonts w:ascii="宋体" w:hAnsi="宋体" w:cs="宋体" w:eastAsia="宋体" w:hint="default"/>
          <w:sz w:val="19"/>
          <w:szCs w:val="19"/>
        </w:rPr>
      </w:pPr>
    </w:p>
    <w:p>
      <w:pPr>
        <w:pStyle w:val="BodyText"/>
        <w:spacing w:line="286" w:lineRule="exact"/>
        <w:ind w:left="1433" w:right="229" w:hanging="586"/>
        <w:jc w:val="left"/>
      </w:pPr>
      <w:r>
        <w:rPr>
          <w:rFonts w:ascii="Arial" w:hAnsi="Arial" w:cs="Arial" w:eastAsia="Arial" w:hint="default"/>
        </w:rPr>
        <w:t>3.1.1</w:t>
      </w:r>
      <w:r>
        <w:rPr>
          <w:rFonts w:ascii="Arial" w:hAnsi="Arial" w:cs="Arial" w:eastAsia="Arial" w:hint="default"/>
          <w:spacing w:val="33"/>
        </w:rPr>
        <w:t> </w:t>
      </w:r>
      <w:r>
        <w:rPr/>
        <w:t>对于本公司拟与关联人达成的总额高于证券监管部门规定标准或证券监管部门特别</w:t>
      </w:r>
      <w:r>
        <w:rPr>
          <w:w w:val="99"/>
        </w:rPr>
        <w:t> </w:t>
      </w:r>
      <w:r>
        <w:rPr/>
        <w:t>要求的重大及特别的关联交易，应由独立董事认可后，提交董事会讨论；</w:t>
      </w:r>
    </w:p>
    <w:p>
      <w:pPr>
        <w:spacing w:line="240" w:lineRule="auto" w:before="4"/>
        <w:rPr>
          <w:rFonts w:ascii="宋体" w:hAnsi="宋体" w:cs="宋体" w:eastAsia="宋体" w:hint="default"/>
          <w:sz w:val="19"/>
          <w:szCs w:val="19"/>
        </w:rPr>
      </w:pPr>
    </w:p>
    <w:p>
      <w:pPr>
        <w:pStyle w:val="BodyText"/>
        <w:spacing w:line="286" w:lineRule="exact"/>
        <w:ind w:left="1433" w:right="227"/>
        <w:jc w:val="left"/>
      </w:pPr>
      <w:r>
        <w:rPr/>
        <w:t>独立董事作出判断前，可以聘请中介机构出具独立财务顾问报告，作为其判断的依</w:t>
      </w:r>
      <w:r>
        <w:rPr>
          <w:w w:val="99"/>
        </w:rPr>
        <w:t> </w:t>
      </w:r>
      <w:r>
        <w:rPr/>
        <w:t>据。</w:t>
      </w:r>
    </w:p>
    <w:p>
      <w:pPr>
        <w:spacing w:line="240" w:lineRule="auto" w:before="1"/>
        <w:rPr>
          <w:rFonts w:ascii="宋体" w:hAnsi="宋体" w:cs="宋体" w:eastAsia="宋体" w:hint="default"/>
          <w:sz w:val="17"/>
          <w:szCs w:val="17"/>
        </w:rPr>
      </w:pPr>
    </w:p>
    <w:p>
      <w:pPr>
        <w:pStyle w:val="BodyText"/>
        <w:spacing w:line="240" w:lineRule="auto"/>
        <w:ind w:left="847" w:right="0"/>
        <w:jc w:val="left"/>
      </w:pPr>
      <w:r>
        <w:rPr>
          <w:rFonts w:ascii="Arial" w:hAnsi="Arial" w:cs="Arial" w:eastAsia="Arial" w:hint="default"/>
        </w:rPr>
        <w:t>3.1.2</w:t>
      </w:r>
      <w:r>
        <w:rPr>
          <w:rFonts w:ascii="Arial" w:hAnsi="Arial" w:cs="Arial" w:eastAsia="Arial" w:hint="default"/>
          <w:spacing w:val="-9"/>
        </w:rPr>
        <w:t> </w:t>
      </w:r>
      <w:r>
        <w:rPr/>
        <w:t>向董事会提议聘用或解聘会计师事务所；</w:t>
      </w:r>
    </w:p>
    <w:p>
      <w:pPr>
        <w:spacing w:line="240" w:lineRule="auto" w:before="13"/>
        <w:rPr>
          <w:rFonts w:ascii="宋体" w:hAnsi="宋体" w:cs="宋体" w:eastAsia="宋体" w:hint="default"/>
          <w:sz w:val="17"/>
          <w:szCs w:val="17"/>
        </w:rPr>
      </w:pPr>
    </w:p>
    <w:p>
      <w:pPr>
        <w:pStyle w:val="BodyText"/>
        <w:spacing w:line="240" w:lineRule="auto"/>
        <w:ind w:left="847" w:right="0"/>
        <w:jc w:val="left"/>
      </w:pPr>
      <w:r>
        <w:rPr>
          <w:rFonts w:ascii="Arial" w:hAnsi="Arial" w:cs="Arial" w:eastAsia="Arial" w:hint="default"/>
        </w:rPr>
        <w:t>3.1.3</w:t>
      </w:r>
      <w:r>
        <w:rPr>
          <w:rFonts w:ascii="Arial" w:hAnsi="Arial" w:cs="Arial" w:eastAsia="Arial" w:hint="default"/>
          <w:spacing w:val="-8"/>
        </w:rPr>
        <w:t> </w:t>
      </w:r>
      <w:r>
        <w:rPr/>
        <w:t>向董事会提请召开临时股东大会；</w:t>
      </w:r>
    </w:p>
    <w:p>
      <w:pPr>
        <w:spacing w:line="240" w:lineRule="auto" w:before="12"/>
        <w:rPr>
          <w:rFonts w:ascii="宋体" w:hAnsi="宋体" w:cs="宋体" w:eastAsia="宋体" w:hint="default"/>
          <w:sz w:val="17"/>
          <w:szCs w:val="17"/>
        </w:rPr>
      </w:pPr>
    </w:p>
    <w:p>
      <w:pPr>
        <w:pStyle w:val="BodyText"/>
        <w:spacing w:line="240" w:lineRule="auto"/>
        <w:ind w:left="847" w:right="0"/>
        <w:jc w:val="left"/>
      </w:pPr>
      <w:r>
        <w:rPr>
          <w:rFonts w:ascii="Arial" w:hAnsi="Arial" w:cs="Arial" w:eastAsia="Arial" w:hint="default"/>
        </w:rPr>
        <w:t>3.1.4</w:t>
      </w:r>
      <w:r>
        <w:rPr>
          <w:rFonts w:ascii="Arial" w:hAnsi="Arial" w:cs="Arial" w:eastAsia="Arial" w:hint="default"/>
          <w:spacing w:val="-9"/>
        </w:rPr>
        <w:t> </w:t>
      </w:r>
      <w:r>
        <w:rPr/>
        <w:t>提议召开董事会；</w:t>
      </w:r>
    </w:p>
    <w:p>
      <w:pPr>
        <w:spacing w:line="240" w:lineRule="auto" w:before="2"/>
        <w:rPr>
          <w:rFonts w:ascii="宋体" w:hAnsi="宋体" w:cs="宋体" w:eastAsia="宋体" w:hint="default"/>
          <w:sz w:val="20"/>
          <w:szCs w:val="20"/>
        </w:rPr>
      </w:pPr>
    </w:p>
    <w:p>
      <w:pPr>
        <w:pStyle w:val="BodyText"/>
        <w:spacing w:line="286" w:lineRule="exact"/>
        <w:ind w:left="1391" w:right="145" w:hanging="544"/>
        <w:jc w:val="left"/>
      </w:pPr>
      <w:r>
        <w:rPr>
          <w:rFonts w:ascii="Arial" w:hAnsi="Arial" w:cs="Arial" w:eastAsia="Arial" w:hint="default"/>
          <w:w w:val="99"/>
        </w:rPr>
        <w:t>3.1.5</w:t>
      </w:r>
      <w:r>
        <w:rPr>
          <w:rFonts w:ascii="Arial" w:hAnsi="Arial" w:cs="Arial" w:eastAsia="Arial" w:hint="default"/>
          <w:spacing w:val="24"/>
          <w:w w:val="99"/>
        </w:rPr>
        <w:t> </w:t>
      </w:r>
      <w:r>
        <w:rPr>
          <w:spacing w:val="-3"/>
          <w:w w:val="99"/>
        </w:rPr>
        <w:t>经独立董事占多数的专门委员会同意或经独立董事会议同意，独立董事可独立聘请相</w:t>
      </w:r>
      <w:r>
        <w:rPr>
          <w:spacing w:val="-106"/>
          <w:w w:val="99"/>
        </w:rPr>
        <w:t> </w:t>
      </w:r>
      <w:r>
        <w:rPr>
          <w:spacing w:val="-106"/>
          <w:w w:val="99"/>
        </w:rPr>
      </w:r>
      <w:r>
        <w:rPr/>
        <w:t>应的外部审计机构或咨询机构；</w:t>
      </w:r>
    </w:p>
    <w:p>
      <w:pPr>
        <w:spacing w:line="240" w:lineRule="auto" w:before="1"/>
        <w:rPr>
          <w:rFonts w:ascii="宋体" w:hAnsi="宋体" w:cs="宋体" w:eastAsia="宋体" w:hint="default"/>
          <w:sz w:val="17"/>
          <w:szCs w:val="17"/>
        </w:rPr>
      </w:pPr>
    </w:p>
    <w:p>
      <w:pPr>
        <w:pStyle w:val="BodyText"/>
        <w:spacing w:line="240" w:lineRule="auto"/>
        <w:ind w:left="847" w:right="0"/>
        <w:jc w:val="left"/>
      </w:pPr>
      <w:r>
        <w:rPr>
          <w:rFonts w:ascii="Arial" w:hAnsi="Arial" w:cs="Arial" w:eastAsia="Arial" w:hint="default"/>
        </w:rPr>
        <w:t>3.1.6</w:t>
      </w:r>
      <w:r>
        <w:rPr>
          <w:rFonts w:ascii="Arial" w:hAnsi="Arial" w:cs="Arial" w:eastAsia="Arial" w:hint="default"/>
          <w:spacing w:val="-9"/>
        </w:rPr>
        <w:t> </w:t>
      </w:r>
      <w:r>
        <w:rPr/>
        <w:t>可以在股东大会召开前公开向股东征集投票权。</w:t>
      </w:r>
    </w:p>
    <w:p>
      <w:pPr>
        <w:spacing w:line="240" w:lineRule="auto" w:before="13"/>
        <w:rPr>
          <w:rFonts w:ascii="宋体" w:hAnsi="宋体" w:cs="宋体" w:eastAsia="宋体" w:hint="default"/>
          <w:sz w:val="17"/>
          <w:szCs w:val="17"/>
        </w:rPr>
      </w:pPr>
    </w:p>
    <w:p>
      <w:pPr>
        <w:pStyle w:val="BodyText"/>
        <w:spacing w:line="240" w:lineRule="auto"/>
        <w:ind w:left="847" w:right="0"/>
        <w:jc w:val="left"/>
      </w:pPr>
      <w:r>
        <w:rPr>
          <w:rFonts w:ascii="Arial" w:hAnsi="Arial" w:cs="Arial" w:eastAsia="Arial" w:hint="default"/>
        </w:rPr>
        <w:t>3.1.7</w:t>
      </w:r>
      <w:r>
        <w:rPr>
          <w:rFonts w:ascii="Arial" w:hAnsi="Arial" w:cs="Arial" w:eastAsia="Arial" w:hint="default"/>
          <w:spacing w:val="-8"/>
        </w:rPr>
        <w:t> </w:t>
      </w:r>
      <w:r>
        <w:rPr/>
        <w:t>独立董事有关年报工作的职责：</w:t>
      </w:r>
    </w:p>
    <w:p>
      <w:pPr>
        <w:spacing w:line="240" w:lineRule="auto" w:before="0"/>
        <w:rPr>
          <w:rFonts w:ascii="宋体" w:hAnsi="宋体" w:cs="宋体" w:eastAsia="宋体" w:hint="default"/>
          <w:sz w:val="20"/>
          <w:szCs w:val="20"/>
        </w:rPr>
      </w:pPr>
    </w:p>
    <w:p>
      <w:pPr>
        <w:pStyle w:val="BodyText"/>
        <w:spacing w:line="286" w:lineRule="exact"/>
        <w:ind w:left="2153" w:right="218" w:hanging="776"/>
        <w:jc w:val="left"/>
      </w:pPr>
      <w:r>
        <w:rPr>
          <w:rFonts w:ascii="Arial" w:hAnsi="Arial" w:cs="Arial" w:eastAsia="Arial" w:hint="default"/>
        </w:rPr>
        <w:t>3.1.7.1</w:t>
      </w:r>
      <w:r>
        <w:rPr>
          <w:rFonts w:ascii="Arial" w:hAnsi="Arial" w:cs="Arial" w:eastAsia="Arial" w:hint="default"/>
          <w:spacing w:val="-9"/>
        </w:rPr>
        <w:t> </w:t>
      </w:r>
      <w:r>
        <w:rPr/>
        <w:t>独立董事应在本公司年报的编制和披露过程中，切实履行责任和义务，勤勉</w:t>
      </w:r>
      <w:r>
        <w:rPr>
          <w:w w:val="99"/>
        </w:rPr>
        <w:t> </w:t>
      </w:r>
      <w:r>
        <w:rPr/>
        <w:t>尽责。</w:t>
      </w:r>
    </w:p>
    <w:p>
      <w:pPr>
        <w:spacing w:after="0" w:line="286" w:lineRule="exact"/>
        <w:jc w:val="left"/>
        <w:sectPr>
          <w:pgSz w:w="11900" w:h="16840"/>
          <w:pgMar w:header="927" w:footer="752" w:top="1160" w:bottom="940" w:left="1340" w:right="960"/>
        </w:sectPr>
      </w:pPr>
    </w:p>
    <w:p>
      <w:pPr>
        <w:spacing w:line="240" w:lineRule="auto" w:before="11"/>
        <w:rPr>
          <w:rFonts w:ascii="宋体" w:hAnsi="宋体" w:cs="宋体" w:eastAsia="宋体" w:hint="default"/>
          <w:sz w:val="21"/>
          <w:szCs w:val="21"/>
        </w:rPr>
      </w:pPr>
    </w:p>
    <w:p>
      <w:pPr>
        <w:pStyle w:val="BodyText"/>
        <w:spacing w:line="286" w:lineRule="exact" w:before="60"/>
        <w:ind w:left="2153" w:right="383" w:hanging="776"/>
        <w:jc w:val="both"/>
      </w:pPr>
      <w:r>
        <w:rPr>
          <w:rFonts w:ascii="Arial" w:hAnsi="Arial" w:cs="Arial" w:eastAsia="Arial" w:hint="default"/>
        </w:rPr>
        <w:t>3.1.7.2</w:t>
      </w:r>
      <w:r>
        <w:rPr>
          <w:rFonts w:ascii="Arial" w:hAnsi="Arial" w:cs="Arial" w:eastAsia="Arial" w:hint="default"/>
          <w:spacing w:val="-8"/>
        </w:rPr>
        <w:t> </w:t>
      </w:r>
      <w:r>
        <w:rPr/>
        <w:t>本公司管理层应向每位独立董事全面汇报公司本年度的生产经营情况和重大</w:t>
      </w:r>
      <w:r>
        <w:rPr>
          <w:w w:val="99"/>
        </w:rPr>
        <w:t> </w:t>
      </w:r>
      <w:r>
        <w:rPr/>
        <w:t>事项的进展情况，同时，本公司应安排每位独立董事对公司进行实地考察。</w:t>
      </w:r>
      <w:r>
        <w:rPr>
          <w:w w:val="99"/>
        </w:rPr>
        <w:t> </w:t>
      </w:r>
      <w:r>
        <w:rPr/>
        <w:t>该等事项应有书面记录，必要的文件应有当事人签字。</w:t>
      </w:r>
    </w:p>
    <w:p>
      <w:pPr>
        <w:spacing w:line="240" w:lineRule="auto" w:before="3"/>
        <w:rPr>
          <w:rFonts w:ascii="宋体" w:hAnsi="宋体" w:cs="宋体" w:eastAsia="宋体" w:hint="default"/>
          <w:sz w:val="19"/>
          <w:szCs w:val="19"/>
        </w:rPr>
      </w:pPr>
    </w:p>
    <w:p>
      <w:pPr>
        <w:pStyle w:val="BodyText"/>
        <w:spacing w:line="286" w:lineRule="exact"/>
        <w:ind w:left="2153" w:right="383" w:hanging="776"/>
        <w:jc w:val="both"/>
      </w:pPr>
      <w:r>
        <w:rPr>
          <w:rFonts w:ascii="Arial" w:hAnsi="Arial" w:cs="Arial" w:eastAsia="Arial" w:hint="default"/>
        </w:rPr>
        <w:t>3.1.7.3</w:t>
      </w:r>
      <w:r>
        <w:rPr>
          <w:rFonts w:ascii="Arial" w:hAnsi="Arial" w:cs="Arial" w:eastAsia="Arial" w:hint="default"/>
          <w:spacing w:val="-8"/>
        </w:rPr>
        <w:t> </w:t>
      </w:r>
      <w:r>
        <w:rPr/>
        <w:t>为本公司提供年报审计的注册会计师（以下简称“年审注册会计师”）进场</w:t>
      </w:r>
      <w:r>
        <w:rPr>
          <w:w w:val="99"/>
        </w:rPr>
        <w:t> </w:t>
      </w:r>
      <w:r>
        <w:rPr/>
        <w:t>审计前向独立董事汇报审计计划并提交书面文件，以便独立董事及时提出意</w:t>
      </w:r>
      <w:r>
        <w:rPr>
          <w:w w:val="99"/>
        </w:rPr>
        <w:t> </w:t>
      </w:r>
      <w:r>
        <w:rPr/>
        <w:t>见。</w:t>
      </w:r>
    </w:p>
    <w:p>
      <w:pPr>
        <w:spacing w:line="240" w:lineRule="auto" w:before="3"/>
        <w:rPr>
          <w:rFonts w:ascii="宋体" w:hAnsi="宋体" w:cs="宋体" w:eastAsia="宋体" w:hint="default"/>
          <w:sz w:val="19"/>
          <w:szCs w:val="19"/>
        </w:rPr>
      </w:pPr>
    </w:p>
    <w:p>
      <w:pPr>
        <w:pStyle w:val="BodyText"/>
        <w:spacing w:line="286" w:lineRule="exact"/>
        <w:ind w:left="2153" w:right="383" w:hanging="776"/>
        <w:jc w:val="both"/>
      </w:pPr>
      <w:r>
        <w:rPr>
          <w:rFonts w:ascii="Arial" w:hAnsi="Arial" w:cs="Arial" w:eastAsia="Arial" w:hint="default"/>
        </w:rPr>
        <w:t>3.1.7.4</w:t>
      </w:r>
      <w:r>
        <w:rPr>
          <w:rFonts w:ascii="Arial" w:hAnsi="Arial" w:cs="Arial" w:eastAsia="Arial" w:hint="default"/>
          <w:spacing w:val="-8"/>
        </w:rPr>
        <w:t> </w:t>
      </w:r>
      <w:r>
        <w:rPr/>
        <w:t>在年审注册会计师出具初步审计意见后和召开董事会会议审议年报前，至少</w:t>
      </w:r>
      <w:r>
        <w:rPr>
          <w:w w:val="99"/>
        </w:rPr>
        <w:t> </w:t>
      </w:r>
      <w:r>
        <w:rPr/>
        <w:t>安排一次独立董事会议，与年审注册会计师沟通审计过程中发现的问题，独</w:t>
      </w:r>
      <w:r>
        <w:rPr>
          <w:w w:val="99"/>
        </w:rPr>
        <w:t> </w:t>
      </w:r>
      <w:r>
        <w:rPr/>
        <w:t>立董事应履行其职责。会议应有书面记录及当事人签字。</w:t>
      </w:r>
    </w:p>
    <w:p>
      <w:pPr>
        <w:spacing w:line="240" w:lineRule="auto" w:before="1"/>
        <w:rPr>
          <w:rFonts w:ascii="宋体" w:hAnsi="宋体" w:cs="宋体" w:eastAsia="宋体" w:hint="default"/>
          <w:sz w:val="17"/>
          <w:szCs w:val="17"/>
        </w:rPr>
      </w:pPr>
    </w:p>
    <w:p>
      <w:pPr>
        <w:pStyle w:val="BodyText"/>
        <w:spacing w:line="240" w:lineRule="auto"/>
        <w:ind w:left="477" w:right="0"/>
        <w:jc w:val="left"/>
      </w:pPr>
      <w:r>
        <w:rPr>
          <w:rFonts w:ascii="Arial" w:hAnsi="Arial" w:cs="Arial" w:eastAsia="Arial" w:hint="default"/>
        </w:rPr>
        <w:t>3.2</w:t>
      </w:r>
      <w:r>
        <w:rPr>
          <w:rFonts w:ascii="Arial" w:hAnsi="Arial" w:cs="Arial" w:eastAsia="Arial" w:hint="default"/>
          <w:spacing w:val="-8"/>
        </w:rPr>
        <w:t> </w:t>
      </w:r>
      <w:r>
        <w:rPr/>
        <w:t>独立董事行使上述职权应当取得全体独立董事的二分之一以上同意。</w:t>
      </w:r>
    </w:p>
    <w:p>
      <w:pPr>
        <w:spacing w:line="240" w:lineRule="auto" w:before="13"/>
        <w:rPr>
          <w:rFonts w:ascii="宋体" w:hAnsi="宋体" w:cs="宋体" w:eastAsia="宋体" w:hint="default"/>
          <w:sz w:val="17"/>
          <w:szCs w:val="17"/>
        </w:rPr>
      </w:pPr>
    </w:p>
    <w:p>
      <w:pPr>
        <w:pStyle w:val="BodyText"/>
        <w:spacing w:line="240" w:lineRule="auto"/>
        <w:ind w:left="477" w:right="0"/>
        <w:jc w:val="left"/>
      </w:pPr>
      <w:r>
        <w:rPr>
          <w:rFonts w:ascii="Arial" w:hAnsi="Arial" w:cs="Arial" w:eastAsia="Arial" w:hint="default"/>
        </w:rPr>
        <w:t>3.3</w:t>
      </w:r>
      <w:r>
        <w:rPr>
          <w:rFonts w:ascii="Arial" w:hAnsi="Arial" w:cs="Arial" w:eastAsia="Arial" w:hint="default"/>
          <w:spacing w:val="-8"/>
        </w:rPr>
        <w:t> </w:t>
      </w:r>
      <w:r>
        <w:rPr/>
        <w:t>如上述提议未被采纳或上述职权不能正常行使，本公司应将有关情况予以披露。</w:t>
      </w:r>
    </w:p>
    <w:p>
      <w:pPr>
        <w:spacing w:line="240" w:lineRule="auto" w:before="12"/>
        <w:rPr>
          <w:rFonts w:ascii="宋体" w:hAnsi="宋体" w:cs="宋体" w:eastAsia="宋体" w:hint="default"/>
          <w:sz w:val="17"/>
          <w:szCs w:val="17"/>
        </w:rPr>
      </w:pPr>
    </w:p>
    <w:p>
      <w:pPr>
        <w:pStyle w:val="BodyText"/>
        <w:spacing w:line="240" w:lineRule="auto"/>
        <w:ind w:left="477" w:right="0"/>
        <w:jc w:val="left"/>
      </w:pPr>
      <w:r>
        <w:rPr>
          <w:rFonts w:ascii="Arial" w:hAnsi="Arial" w:cs="Arial" w:eastAsia="Arial" w:hint="default"/>
        </w:rPr>
        <w:t>3.4</w:t>
      </w:r>
      <w:r>
        <w:rPr>
          <w:rFonts w:ascii="Arial" w:hAnsi="Arial" w:cs="Arial" w:eastAsia="Arial" w:hint="default"/>
          <w:spacing w:val="-8"/>
        </w:rPr>
        <w:t> </w:t>
      </w:r>
      <w:r>
        <w:rPr/>
        <w:t>在本公司董事会下设的专门委员会中，独立董事应当占委员会成员二分之一以上的比例。</w:t>
      </w:r>
    </w:p>
    <w:p>
      <w:pPr>
        <w:spacing w:line="240" w:lineRule="auto" w:before="7"/>
        <w:rPr>
          <w:rFonts w:ascii="宋体" w:hAnsi="宋体" w:cs="宋体" w:eastAsia="宋体" w:hint="default"/>
          <w:sz w:val="18"/>
          <w:szCs w:val="18"/>
        </w:rPr>
      </w:pPr>
    </w:p>
    <w:p>
      <w:pPr>
        <w:pStyle w:val="BodyText"/>
        <w:spacing w:line="232" w:lineRule="auto"/>
        <w:ind w:left="847" w:right="353"/>
        <w:jc w:val="left"/>
      </w:pPr>
      <w:r>
        <w:rPr/>
        <w:t>报告期内，本公司共召开了四次独立董事会议。独立董事对候选董事、对外担保、</w:t>
      </w:r>
      <w:r>
        <w:rPr>
          <w:rFonts w:ascii="Arial" w:hAnsi="Arial" w:cs="Arial" w:eastAsia="Arial" w:hint="default"/>
        </w:rPr>
        <w:t>2010</w:t>
      </w:r>
      <w:r>
        <w:rPr>
          <w:rFonts w:ascii="Arial" w:hAnsi="Arial" w:cs="Arial" w:eastAsia="Arial" w:hint="default"/>
          <w:w w:val="99"/>
        </w:rPr>
        <w:t> </w:t>
      </w:r>
      <w:r>
        <w:rPr/>
        <w:t>年会计政策调整等事项发表了独立意见，很好地履行作为独立董事的职责。独立董事在</w:t>
      </w:r>
      <w:r>
        <w:rPr>
          <w:w w:val="99"/>
        </w:rPr>
        <w:t> </w:t>
      </w:r>
      <w:r>
        <w:rPr>
          <w:rFonts w:ascii="Arial" w:hAnsi="Arial" w:cs="Arial" w:eastAsia="Arial" w:hint="default"/>
        </w:rPr>
        <w:t>2011 </w:t>
      </w:r>
      <w:r>
        <w:rPr/>
        <w:t>年半年度报告、</w:t>
      </w:r>
      <w:r>
        <w:rPr>
          <w:rFonts w:ascii="Arial" w:hAnsi="Arial" w:cs="Arial" w:eastAsia="Arial" w:hint="default"/>
        </w:rPr>
        <w:t>2011</w:t>
      </w:r>
      <w:r>
        <w:rPr>
          <w:rFonts w:ascii="Arial" w:hAnsi="Arial" w:cs="Arial" w:eastAsia="Arial" w:hint="default"/>
          <w:spacing w:val="-17"/>
        </w:rPr>
        <w:t> </w:t>
      </w:r>
      <w:r>
        <w:rPr/>
        <w:t>年度财务报告及内部控制报告披露前听取了本公司有关内控、</w:t>
      </w:r>
      <w:r>
        <w:rPr>
          <w:w w:val="99"/>
        </w:rPr>
        <w:t> </w:t>
      </w:r>
      <w:r>
        <w:rPr/>
        <w:t>内审总体情况及相关工作计划和结果等方面的汇报，并听取了年审注册会计师有关半年度</w:t>
      </w:r>
      <w:r>
        <w:rPr>
          <w:w w:val="99"/>
        </w:rPr>
        <w:t> </w:t>
      </w:r>
      <w:r>
        <w:rPr/>
        <w:t>报告审阅、年度财务报告及年度内部控制审计计划及发现的汇报，还听取了本公司财务部</w:t>
      </w:r>
      <w:r>
        <w:rPr>
          <w:w w:val="99"/>
        </w:rPr>
        <w:t> </w:t>
      </w:r>
      <w:r>
        <w:rPr/>
        <w:t>代表公司做出的关于年审注册会计师工作发现及管理建议书的反馈或改进方面的汇报。</w:t>
      </w:r>
    </w:p>
    <w:p>
      <w:pPr>
        <w:spacing w:line="240" w:lineRule="auto" w:before="2"/>
        <w:rPr>
          <w:rFonts w:ascii="宋体" w:hAnsi="宋体" w:cs="宋体" w:eastAsia="宋体" w:hint="default"/>
          <w:sz w:val="19"/>
          <w:szCs w:val="19"/>
        </w:rPr>
      </w:pPr>
    </w:p>
    <w:p>
      <w:pPr>
        <w:pStyle w:val="BodyText"/>
        <w:spacing w:line="240" w:lineRule="auto"/>
        <w:ind w:left="145" w:right="0"/>
        <w:jc w:val="left"/>
      </w:pPr>
      <w:r>
        <w:rPr/>
        <w:t>（三）公司相对于控股股东在业务、人员、资产、机构、财务等方面的独立完整情况</w:t>
      </w:r>
    </w:p>
    <w:p>
      <w:pPr>
        <w:spacing w:line="240" w:lineRule="auto" w:before="12"/>
        <w:rPr>
          <w:rFonts w:ascii="宋体" w:hAnsi="宋体" w:cs="宋体" w:eastAsia="宋体" w:hint="default"/>
          <w:sz w:val="21"/>
          <w:szCs w:val="21"/>
        </w:rPr>
      </w:pPr>
    </w:p>
    <w:tbl>
      <w:tblPr>
        <w:tblW w:w="0" w:type="auto"/>
        <w:jc w:val="left"/>
        <w:tblInd w:w="814" w:type="dxa"/>
        <w:tblLayout w:type="fixed"/>
        <w:tblCellMar>
          <w:top w:w="0" w:type="dxa"/>
          <w:left w:w="0" w:type="dxa"/>
          <w:bottom w:w="0" w:type="dxa"/>
          <w:right w:w="0" w:type="dxa"/>
        </w:tblCellMar>
        <w:tblLook w:val="01E0"/>
      </w:tblPr>
      <w:tblGrid>
        <w:gridCol w:w="2368"/>
        <w:gridCol w:w="1502"/>
        <w:gridCol w:w="4994"/>
      </w:tblGrid>
      <w:tr>
        <w:trPr>
          <w:trHeight w:val="332" w:hRule="exact"/>
        </w:trPr>
        <w:tc>
          <w:tcPr>
            <w:tcW w:w="236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2"/>
              <w:jc w:val="center"/>
              <w:rPr>
                <w:rFonts w:ascii="宋体" w:hAnsi="宋体" w:cs="宋体" w:eastAsia="宋体" w:hint="default"/>
                <w:sz w:val="22"/>
                <w:szCs w:val="22"/>
              </w:rPr>
            </w:pPr>
            <w:r>
              <w:rPr>
                <w:rFonts w:ascii="宋体" w:hAnsi="宋体" w:cs="宋体" w:eastAsia="宋体" w:hint="default"/>
                <w:sz w:val="22"/>
                <w:szCs w:val="22"/>
              </w:rPr>
              <w:t>是否独立完整</w:t>
            </w:r>
          </w:p>
        </w:tc>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
              <w:jc w:val="center"/>
              <w:rPr>
                <w:rFonts w:ascii="宋体" w:hAnsi="宋体" w:cs="宋体" w:eastAsia="宋体" w:hint="default"/>
                <w:sz w:val="22"/>
                <w:szCs w:val="22"/>
              </w:rPr>
            </w:pPr>
            <w:r>
              <w:rPr>
                <w:rFonts w:ascii="宋体" w:hAnsi="宋体" w:cs="宋体" w:eastAsia="宋体" w:hint="default"/>
                <w:sz w:val="22"/>
                <w:szCs w:val="22"/>
              </w:rPr>
              <w:t>情况说明</w:t>
            </w:r>
          </w:p>
        </w:tc>
      </w:tr>
      <w:tr>
        <w:trPr>
          <w:trHeight w:val="1156"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54" w:right="0"/>
              <w:jc w:val="left"/>
              <w:rPr>
                <w:rFonts w:ascii="宋体" w:hAnsi="宋体" w:cs="宋体" w:eastAsia="宋体" w:hint="default"/>
                <w:sz w:val="22"/>
                <w:szCs w:val="22"/>
              </w:rPr>
            </w:pPr>
            <w:r>
              <w:rPr>
                <w:rFonts w:ascii="宋体" w:hAnsi="宋体" w:cs="宋体" w:eastAsia="宋体" w:hint="default"/>
                <w:sz w:val="22"/>
                <w:szCs w:val="22"/>
              </w:rPr>
              <w:t>业务方面独立完整情况</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99" w:right="0"/>
              <w:jc w:val="both"/>
              <w:rPr>
                <w:rFonts w:ascii="Arial" w:hAnsi="Arial" w:cs="Arial" w:eastAsia="Arial" w:hint="default"/>
                <w:sz w:val="22"/>
                <w:szCs w:val="22"/>
              </w:rPr>
            </w:pPr>
            <w:r>
              <w:rPr>
                <w:rFonts w:ascii="宋体" w:hAnsi="宋体" w:cs="宋体" w:eastAsia="宋体" w:hint="default"/>
                <w:sz w:val="22"/>
                <w:szCs w:val="22"/>
              </w:rPr>
              <w:t>由于本公司的经营范围仅限于通过中国联通</w:t>
            </w:r>
            <w:r>
              <w:rPr>
                <w:rFonts w:ascii="宋体" w:hAnsi="宋体" w:cs="宋体" w:eastAsia="宋体" w:hint="default"/>
                <w:spacing w:val="-58"/>
                <w:sz w:val="22"/>
                <w:szCs w:val="22"/>
              </w:rPr>
              <w:t> </w:t>
            </w:r>
            <w:r>
              <w:rPr>
                <w:rFonts w:ascii="Arial" w:hAnsi="Arial" w:cs="Arial" w:eastAsia="Arial" w:hint="default"/>
                <w:sz w:val="22"/>
                <w:szCs w:val="22"/>
              </w:rPr>
              <w:t>BVI</w:t>
            </w:r>
          </w:p>
          <w:p>
            <w:pPr>
              <w:pStyle w:val="TableParagraph"/>
              <w:spacing w:line="230" w:lineRule="auto" w:before="1"/>
              <w:ind w:left="99" w:right="98"/>
              <w:jc w:val="both"/>
              <w:rPr>
                <w:rFonts w:ascii="宋体" w:hAnsi="宋体" w:cs="宋体" w:eastAsia="宋体" w:hint="default"/>
                <w:sz w:val="22"/>
                <w:szCs w:val="22"/>
              </w:rPr>
            </w:pPr>
            <w:r>
              <w:rPr>
                <w:rFonts w:ascii="宋体" w:hAnsi="宋体" w:cs="宋体" w:eastAsia="宋体" w:hint="default"/>
                <w:spacing w:val="-4"/>
                <w:sz w:val="22"/>
                <w:szCs w:val="22"/>
              </w:rPr>
              <w:t>有限公司（以下简称“联通</w:t>
            </w:r>
            <w:r>
              <w:rPr>
                <w:rFonts w:ascii="宋体" w:hAnsi="宋体" w:cs="宋体" w:eastAsia="宋体" w:hint="default"/>
                <w:spacing w:val="-54"/>
                <w:sz w:val="22"/>
                <w:szCs w:val="22"/>
              </w:rPr>
              <w:t> </w:t>
            </w:r>
            <w:r>
              <w:rPr>
                <w:rFonts w:ascii="Arial" w:hAnsi="Arial" w:cs="Arial" w:eastAsia="Arial" w:hint="default"/>
                <w:sz w:val="22"/>
                <w:szCs w:val="22"/>
              </w:rPr>
              <w:t>BVI</w:t>
            </w:r>
            <w:r>
              <w:rPr>
                <w:rFonts w:ascii="Arial" w:hAnsi="Arial" w:cs="Arial" w:eastAsia="Arial" w:hint="default"/>
                <w:spacing w:val="-5"/>
                <w:sz w:val="22"/>
                <w:szCs w:val="22"/>
              </w:rPr>
              <w:t> </w:t>
            </w:r>
            <w:r>
              <w:rPr>
                <w:rFonts w:ascii="宋体" w:hAnsi="宋体" w:cs="宋体" w:eastAsia="宋体" w:hint="default"/>
                <w:spacing w:val="-6"/>
                <w:sz w:val="22"/>
                <w:szCs w:val="22"/>
              </w:rPr>
              <w:t>公司”）持有联通</w:t>
            </w:r>
            <w:r>
              <w:rPr>
                <w:rFonts w:ascii="宋体" w:hAnsi="宋体" w:cs="宋体" w:eastAsia="宋体" w:hint="default"/>
                <w:w w:val="99"/>
                <w:sz w:val="22"/>
                <w:szCs w:val="22"/>
              </w:rPr>
              <w:t> </w:t>
            </w:r>
            <w:r>
              <w:rPr>
                <w:rFonts w:ascii="宋体" w:hAnsi="宋体" w:cs="宋体" w:eastAsia="宋体" w:hint="default"/>
                <w:spacing w:val="-3"/>
                <w:sz w:val="22"/>
                <w:szCs w:val="22"/>
              </w:rPr>
              <w:t>红筹公司的股权，而不直接经营任何其它业务，因</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此业务界面完全独立于控股股东。</w:t>
            </w:r>
          </w:p>
        </w:tc>
      </w:tr>
      <w:tr>
        <w:trPr>
          <w:trHeight w:val="976"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4" w:right="0"/>
              <w:jc w:val="left"/>
              <w:rPr>
                <w:rFonts w:ascii="宋体" w:hAnsi="宋体" w:cs="宋体" w:eastAsia="宋体" w:hint="default"/>
                <w:sz w:val="22"/>
                <w:szCs w:val="22"/>
              </w:rPr>
            </w:pPr>
            <w:r>
              <w:rPr>
                <w:rFonts w:ascii="宋体" w:hAnsi="宋体" w:cs="宋体" w:eastAsia="宋体" w:hint="default"/>
                <w:sz w:val="22"/>
                <w:szCs w:val="22"/>
              </w:rPr>
              <w:t>人员方面独立完整情况</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5"/>
              <w:ind w:left="99" w:right="38"/>
              <w:jc w:val="both"/>
              <w:rPr>
                <w:rFonts w:ascii="宋体" w:hAnsi="宋体" w:cs="宋体" w:eastAsia="宋体" w:hint="default"/>
                <w:sz w:val="22"/>
                <w:szCs w:val="22"/>
              </w:rPr>
            </w:pPr>
            <w:r>
              <w:rPr>
                <w:rFonts w:ascii="宋体" w:hAnsi="宋体" w:cs="宋体" w:eastAsia="宋体" w:hint="default"/>
                <w:sz w:val="22"/>
                <w:szCs w:val="22"/>
              </w:rPr>
              <w:t>除公司总裁由联通集团总裁兼任外，公司副总裁、</w:t>
            </w:r>
            <w:r>
              <w:rPr>
                <w:rFonts w:ascii="宋体" w:hAnsi="宋体" w:cs="宋体" w:eastAsia="宋体" w:hint="default"/>
                <w:w w:val="99"/>
                <w:sz w:val="22"/>
                <w:szCs w:val="22"/>
              </w:rPr>
              <w:t> </w:t>
            </w:r>
            <w:r>
              <w:rPr>
                <w:rFonts w:ascii="宋体" w:hAnsi="宋体" w:cs="宋体" w:eastAsia="宋体" w:hint="default"/>
                <w:spacing w:val="-3"/>
                <w:sz w:val="22"/>
                <w:szCs w:val="22"/>
              </w:rPr>
              <w:t>财务负责人、董事会秘书及所属其它工作人员均独</w:t>
            </w:r>
            <w:r>
              <w:rPr>
                <w:rFonts w:ascii="宋体" w:hAnsi="宋体" w:cs="宋体" w:eastAsia="宋体" w:hint="default"/>
                <w:w w:val="99"/>
                <w:sz w:val="22"/>
                <w:szCs w:val="22"/>
              </w:rPr>
              <w:t> </w:t>
            </w:r>
            <w:r>
              <w:rPr>
                <w:rFonts w:ascii="宋体" w:hAnsi="宋体" w:cs="宋体" w:eastAsia="宋体" w:hint="default"/>
                <w:sz w:val="22"/>
                <w:szCs w:val="22"/>
              </w:rPr>
              <w:t>立配置。</w:t>
            </w:r>
          </w:p>
        </w:tc>
      </w:tr>
      <w:tr>
        <w:trPr>
          <w:trHeight w:val="416"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4" w:right="0"/>
              <w:jc w:val="left"/>
              <w:rPr>
                <w:rFonts w:ascii="宋体" w:hAnsi="宋体" w:cs="宋体" w:eastAsia="宋体" w:hint="default"/>
                <w:sz w:val="22"/>
                <w:szCs w:val="22"/>
              </w:rPr>
            </w:pPr>
            <w:r>
              <w:rPr>
                <w:rFonts w:ascii="宋体" w:hAnsi="宋体" w:cs="宋体" w:eastAsia="宋体" w:hint="default"/>
                <w:sz w:val="22"/>
                <w:szCs w:val="22"/>
              </w:rPr>
              <w:t>资产方面独立完整情况</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8" w:right="0"/>
              <w:jc w:val="center"/>
              <w:rPr>
                <w:rFonts w:ascii="宋体" w:hAnsi="宋体" w:cs="宋体" w:eastAsia="宋体" w:hint="default"/>
                <w:sz w:val="22"/>
                <w:szCs w:val="22"/>
              </w:rPr>
            </w:pPr>
            <w:r>
              <w:rPr>
                <w:rFonts w:ascii="宋体" w:hAnsi="宋体" w:cs="宋体" w:eastAsia="宋体" w:hint="default"/>
                <w:sz w:val="22"/>
                <w:szCs w:val="22"/>
              </w:rPr>
              <w:t>本公司所拥有的资产具有完整的所有权和管理权。</w:t>
            </w:r>
          </w:p>
        </w:tc>
      </w:tr>
      <w:tr>
        <w:trPr>
          <w:trHeight w:val="1272"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3"/>
              <w:ind w:left="54" w:right="0"/>
              <w:jc w:val="left"/>
              <w:rPr>
                <w:rFonts w:ascii="宋体" w:hAnsi="宋体" w:cs="宋体" w:eastAsia="宋体" w:hint="default"/>
                <w:sz w:val="22"/>
                <w:szCs w:val="22"/>
              </w:rPr>
            </w:pPr>
            <w:r>
              <w:rPr>
                <w:rFonts w:ascii="宋体" w:hAnsi="宋体" w:cs="宋体" w:eastAsia="宋体" w:hint="default"/>
                <w:sz w:val="22"/>
                <w:szCs w:val="22"/>
              </w:rPr>
              <w:t>机构方面独立完整情况</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3"/>
              <w:ind w:right="2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5"/>
              <w:ind w:left="99" w:right="99"/>
              <w:jc w:val="left"/>
              <w:rPr>
                <w:rFonts w:ascii="宋体" w:hAnsi="宋体" w:cs="宋体" w:eastAsia="宋体" w:hint="default"/>
                <w:sz w:val="22"/>
                <w:szCs w:val="22"/>
              </w:rPr>
            </w:pPr>
            <w:r>
              <w:rPr>
                <w:rFonts w:ascii="宋体" w:hAnsi="宋体" w:cs="宋体" w:eastAsia="宋体" w:hint="default"/>
                <w:sz w:val="22"/>
                <w:szCs w:val="22"/>
              </w:rPr>
              <w:t>本公司严格根据上市公司规范运作要求设立职能</w:t>
            </w:r>
            <w:r>
              <w:rPr>
                <w:rFonts w:ascii="宋体" w:hAnsi="宋体" w:cs="宋体" w:eastAsia="宋体" w:hint="default"/>
                <w:w w:val="99"/>
                <w:sz w:val="22"/>
                <w:szCs w:val="22"/>
              </w:rPr>
              <w:t> </w:t>
            </w:r>
            <w:r>
              <w:rPr>
                <w:rFonts w:ascii="宋体" w:hAnsi="宋体" w:cs="宋体" w:eastAsia="宋体" w:hint="default"/>
                <w:sz w:val="22"/>
                <w:szCs w:val="22"/>
              </w:rPr>
              <w:t>部门，依照独立运作原则制定各部门规章职责制</w:t>
            </w:r>
            <w:r>
              <w:rPr>
                <w:rFonts w:ascii="宋体" w:hAnsi="宋体" w:cs="宋体" w:eastAsia="宋体" w:hint="default"/>
                <w:w w:val="99"/>
                <w:sz w:val="22"/>
                <w:szCs w:val="22"/>
              </w:rPr>
              <w:t> </w:t>
            </w:r>
            <w:r>
              <w:rPr>
                <w:rFonts w:ascii="宋体" w:hAnsi="宋体" w:cs="宋体" w:eastAsia="宋体" w:hint="default"/>
                <w:spacing w:val="-3"/>
                <w:sz w:val="22"/>
                <w:szCs w:val="22"/>
              </w:rPr>
              <w:t>度。本公司有自己的办公场所，组织机构独立于控</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股股东，不存在混合经营，合署办公的情况。</w:t>
            </w:r>
          </w:p>
        </w:tc>
      </w:tr>
      <w:tr>
        <w:trPr>
          <w:trHeight w:val="679"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4" w:right="0"/>
              <w:jc w:val="left"/>
              <w:rPr>
                <w:rFonts w:ascii="宋体" w:hAnsi="宋体" w:cs="宋体" w:eastAsia="宋体" w:hint="default"/>
                <w:sz w:val="22"/>
                <w:szCs w:val="22"/>
              </w:rPr>
            </w:pPr>
            <w:r>
              <w:rPr>
                <w:rFonts w:ascii="宋体" w:hAnsi="宋体" w:cs="宋体" w:eastAsia="宋体" w:hint="default"/>
                <w:sz w:val="22"/>
                <w:szCs w:val="22"/>
              </w:rPr>
              <w:t>财务方面独立完整情况</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38"/>
              <w:ind w:left="99" w:right="101"/>
              <w:jc w:val="left"/>
              <w:rPr>
                <w:rFonts w:ascii="宋体" w:hAnsi="宋体" w:cs="宋体" w:eastAsia="宋体" w:hint="default"/>
                <w:sz w:val="22"/>
                <w:szCs w:val="22"/>
              </w:rPr>
            </w:pPr>
            <w:r>
              <w:rPr>
                <w:rFonts w:ascii="宋体" w:hAnsi="宋体" w:cs="宋体" w:eastAsia="宋体" w:hint="default"/>
                <w:spacing w:val="-3"/>
                <w:sz w:val="22"/>
                <w:szCs w:val="22"/>
              </w:rPr>
              <w:t>本公司已设立独立的财务部门，严格按照相关法规</w:t>
            </w:r>
            <w:r>
              <w:rPr>
                <w:rFonts w:ascii="宋体" w:hAnsi="宋体" w:cs="宋体" w:eastAsia="宋体" w:hint="default"/>
                <w:w w:val="99"/>
                <w:sz w:val="22"/>
                <w:szCs w:val="22"/>
              </w:rPr>
              <w:t> </w:t>
            </w:r>
            <w:r>
              <w:rPr>
                <w:rFonts w:ascii="宋体" w:hAnsi="宋体" w:cs="宋体" w:eastAsia="宋体" w:hint="default"/>
                <w:sz w:val="22"/>
                <w:szCs w:val="22"/>
              </w:rPr>
              <w:t>要求独立进行会计核算和财务管理。</w:t>
            </w:r>
          </w:p>
        </w:tc>
      </w:tr>
    </w:tbl>
    <w:p>
      <w:pPr>
        <w:spacing w:after="0" w:line="286" w:lineRule="exact"/>
        <w:jc w:val="left"/>
        <w:rPr>
          <w:rFonts w:ascii="宋体" w:hAnsi="宋体" w:cs="宋体" w:eastAsia="宋体" w:hint="default"/>
          <w:sz w:val="22"/>
          <w:szCs w:val="22"/>
        </w:rPr>
        <w:sectPr>
          <w:pgSz w:w="11900" w:h="16840"/>
          <w:pgMar w:header="927" w:footer="752" w:top="1160" w:bottom="940" w:left="1340" w:right="760"/>
        </w:sectPr>
      </w:pPr>
    </w:p>
    <w:p>
      <w:pPr>
        <w:spacing w:line="240" w:lineRule="auto" w:before="11"/>
        <w:rPr>
          <w:rFonts w:ascii="宋体" w:hAnsi="宋体" w:cs="宋体" w:eastAsia="宋体" w:hint="default"/>
          <w:sz w:val="21"/>
          <w:szCs w:val="21"/>
        </w:rPr>
      </w:pPr>
    </w:p>
    <w:p>
      <w:pPr>
        <w:pStyle w:val="BodyText"/>
        <w:spacing w:line="240" w:lineRule="auto" w:before="31"/>
        <w:ind w:left="145" w:right="0"/>
        <w:jc w:val="left"/>
      </w:pPr>
      <w:r>
        <w:rPr/>
        <w:t>（四）公司内部控制制度的建立健全情况</w:t>
      </w:r>
    </w:p>
    <w:p>
      <w:pPr>
        <w:spacing w:line="240" w:lineRule="auto" w:before="12"/>
        <w:rPr>
          <w:rFonts w:ascii="宋体" w:hAnsi="宋体" w:cs="宋体" w:eastAsia="宋体" w:hint="default"/>
          <w:sz w:val="21"/>
          <w:szCs w:val="21"/>
        </w:rPr>
      </w:pPr>
    </w:p>
    <w:tbl>
      <w:tblPr>
        <w:tblW w:w="0" w:type="auto"/>
        <w:jc w:val="left"/>
        <w:tblInd w:w="814" w:type="dxa"/>
        <w:tblLayout w:type="fixed"/>
        <w:tblCellMar>
          <w:top w:w="0" w:type="dxa"/>
          <w:left w:w="0" w:type="dxa"/>
          <w:bottom w:w="0" w:type="dxa"/>
          <w:right w:w="0" w:type="dxa"/>
        </w:tblCellMar>
        <w:tblLook w:val="01E0"/>
      </w:tblPr>
      <w:tblGrid>
        <w:gridCol w:w="1709"/>
        <w:gridCol w:w="7156"/>
      </w:tblGrid>
      <w:tr>
        <w:trPr>
          <w:trHeight w:val="344" w:hRule="exact"/>
        </w:trPr>
        <w:tc>
          <w:tcPr>
            <w:tcW w:w="1709" w:type="dxa"/>
            <w:tcBorders>
              <w:top w:val="single" w:sz="6" w:space="0" w:color="000000"/>
              <w:left w:val="single" w:sz="6" w:space="0" w:color="000000"/>
              <w:bottom w:val="nil" w:sz="6" w:space="0" w:color="auto"/>
              <w:right w:val="single" w:sz="6" w:space="0" w:color="000000"/>
            </w:tcBorders>
          </w:tcPr>
          <w:p>
            <w:pPr/>
          </w:p>
        </w:tc>
        <w:tc>
          <w:tcPr>
            <w:tcW w:w="7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中国联通根据《公司法》、《证券法》、《上市公司内部控制指引》及《企业内</w:t>
            </w:r>
          </w:p>
        </w:tc>
      </w:tr>
      <w:tr>
        <w:trPr>
          <w:trHeight w:val="895"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60" w:lineRule="exact"/>
              <w:ind w:left="99" w:right="192"/>
              <w:jc w:val="left"/>
              <w:rPr>
                <w:rFonts w:ascii="宋体" w:hAnsi="宋体" w:cs="宋体" w:eastAsia="宋体" w:hint="default"/>
                <w:sz w:val="20"/>
                <w:szCs w:val="20"/>
              </w:rPr>
            </w:pPr>
            <w:r>
              <w:rPr>
                <w:rFonts w:ascii="宋体" w:hAnsi="宋体" w:cs="宋体" w:eastAsia="宋体" w:hint="default"/>
                <w:sz w:val="20"/>
                <w:szCs w:val="20"/>
              </w:rPr>
              <w:t>内部控制建设的</w:t>
            </w:r>
            <w:r>
              <w:rPr>
                <w:rFonts w:ascii="宋体" w:hAnsi="宋体" w:cs="宋体" w:eastAsia="宋体" w:hint="default"/>
                <w:w w:val="100"/>
                <w:sz w:val="20"/>
                <w:szCs w:val="20"/>
              </w:rPr>
              <w:t> </w:t>
            </w:r>
            <w:r>
              <w:rPr>
                <w:rFonts w:ascii="宋体" w:hAnsi="宋体" w:cs="宋体" w:eastAsia="宋体" w:hint="default"/>
                <w:sz w:val="20"/>
                <w:szCs w:val="20"/>
              </w:rPr>
              <w:t>总体方案</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9" w:right="-1" w:hanging="1"/>
              <w:jc w:val="left"/>
              <w:rPr>
                <w:rFonts w:ascii="宋体" w:hAnsi="宋体" w:cs="宋体" w:eastAsia="宋体" w:hint="default"/>
                <w:sz w:val="20"/>
                <w:szCs w:val="20"/>
              </w:rPr>
            </w:pPr>
            <w:r>
              <w:rPr>
                <w:rFonts w:ascii="宋体" w:hAnsi="宋体" w:cs="宋体" w:eastAsia="宋体" w:hint="default"/>
                <w:spacing w:val="-6"/>
                <w:sz w:val="20"/>
                <w:szCs w:val="20"/>
              </w:rPr>
              <w:t>部控制基本规范》等法律法规要求，已经设立由董事会、内控与风险管理委员会、</w:t>
            </w:r>
          </w:p>
          <w:p>
            <w:pPr>
              <w:pStyle w:val="TableParagraph"/>
              <w:spacing w:line="273" w:lineRule="auto" w:before="37"/>
              <w:ind w:left="99" w:right="98"/>
              <w:jc w:val="left"/>
              <w:rPr>
                <w:rFonts w:ascii="宋体" w:hAnsi="宋体" w:cs="宋体" w:eastAsia="宋体" w:hint="default"/>
                <w:sz w:val="20"/>
                <w:szCs w:val="20"/>
              </w:rPr>
            </w:pPr>
            <w:r>
              <w:rPr>
                <w:rFonts w:ascii="宋体" w:hAnsi="宋体" w:cs="宋体" w:eastAsia="宋体" w:hint="default"/>
                <w:spacing w:val="-3"/>
                <w:sz w:val="20"/>
                <w:szCs w:val="20"/>
              </w:rPr>
              <w:t>综合管理和专业管理相结合，涵盖全公司范围的内控管理组织体系。公司将在内</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3"/>
                <w:sz w:val="20"/>
                <w:szCs w:val="20"/>
              </w:rPr>
              <w:t>控与风险管理办公室的领导下持续开展内控规范更新优化工作，进一步完善内控</w:t>
            </w:r>
          </w:p>
        </w:tc>
      </w:tr>
      <w:tr>
        <w:trPr>
          <w:trHeight w:val="383" w:hRule="exact"/>
        </w:trPr>
        <w:tc>
          <w:tcPr>
            <w:tcW w:w="1709" w:type="dxa"/>
            <w:tcBorders>
              <w:top w:val="nil" w:sz="6" w:space="0" w:color="auto"/>
              <w:left w:val="single" w:sz="6" w:space="0" w:color="000000"/>
              <w:bottom w:val="single" w:sz="6" w:space="0" w:color="000000"/>
              <w:right w:val="single" w:sz="6" w:space="0" w:color="000000"/>
            </w:tcBorders>
          </w:tcPr>
          <w:p>
            <w:pPr/>
          </w:p>
        </w:tc>
        <w:tc>
          <w:tcPr>
            <w:tcW w:w="7156" w:type="dxa"/>
            <w:tcBorders>
              <w:top w:val="nil" w:sz="6" w:space="0" w:color="auto"/>
              <w:left w:val="single" w:sz="6" w:space="0" w:color="000000"/>
              <w:bottom w:val="single" w:sz="6" w:space="0" w:color="000000"/>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z w:val="20"/>
                <w:szCs w:val="20"/>
              </w:rPr>
              <w:t>机制。</w:t>
            </w:r>
          </w:p>
        </w:tc>
      </w:tr>
      <w:tr>
        <w:trPr>
          <w:trHeight w:val="352" w:hRule="exact"/>
        </w:trPr>
        <w:tc>
          <w:tcPr>
            <w:tcW w:w="1709" w:type="dxa"/>
            <w:tcBorders>
              <w:top w:val="single" w:sz="6" w:space="0" w:color="000000"/>
              <w:left w:val="single" w:sz="6" w:space="0" w:color="000000"/>
              <w:bottom w:val="nil" w:sz="6" w:space="0" w:color="auto"/>
              <w:right w:val="single" w:sz="6" w:space="0" w:color="000000"/>
            </w:tcBorders>
          </w:tcPr>
          <w:p>
            <w:pPr/>
          </w:p>
        </w:tc>
        <w:tc>
          <w:tcPr>
            <w:tcW w:w="7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6"/>
                <w:sz w:val="20"/>
                <w:szCs w:val="20"/>
              </w:rPr>
              <w:t> </w:t>
            </w:r>
            <w:r>
              <w:rPr>
                <w:rFonts w:ascii="宋体" w:hAnsi="宋体" w:cs="宋体" w:eastAsia="宋体" w:hint="default"/>
                <w:sz w:val="20"/>
                <w:szCs w:val="20"/>
              </w:rPr>
              <w:t>年度，中国联通内控与风险管理办公室组织各专业组，重点梳理公司相关</w:t>
            </w:r>
          </w:p>
        </w:tc>
      </w:tr>
      <w:tr>
        <w:trPr>
          <w:trHeight w:val="293"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业务流程，查找公司管理中存在的薄弱环节，收集整理《中国联通内部控制规范</w:t>
            </w:r>
          </w:p>
        </w:tc>
      </w:tr>
      <w:tr>
        <w:trPr>
          <w:trHeight w:val="303"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99"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2010</w:t>
            </w:r>
            <w:r>
              <w:rPr>
                <w:rFonts w:ascii="Arial" w:hAnsi="Arial" w:cs="Arial" w:eastAsia="Arial" w:hint="default"/>
                <w:spacing w:val="-16"/>
                <w:sz w:val="20"/>
                <w:szCs w:val="20"/>
              </w:rPr>
              <w:t> </w:t>
            </w:r>
            <w:r>
              <w:rPr>
                <w:rFonts w:ascii="宋体" w:hAnsi="宋体" w:cs="宋体" w:eastAsia="宋体" w:hint="default"/>
                <w:sz w:val="20"/>
                <w:szCs w:val="20"/>
              </w:rPr>
              <w:t>版）》风险控制矩阵中未涵盖的风险点，组织开展内控规范更新优化及</w:t>
            </w:r>
          </w:p>
        </w:tc>
      </w:tr>
      <w:tr>
        <w:trPr>
          <w:trHeight w:val="323"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40" w:lineRule="auto" w:before="41"/>
              <w:ind w:left="99" w:right="0"/>
              <w:jc w:val="left"/>
              <w:rPr>
                <w:rFonts w:ascii="宋体" w:hAnsi="宋体" w:cs="宋体" w:eastAsia="宋体" w:hint="default"/>
                <w:sz w:val="20"/>
                <w:szCs w:val="20"/>
              </w:rPr>
            </w:pPr>
            <w:r>
              <w:rPr>
                <w:rFonts w:ascii="宋体" w:hAnsi="宋体" w:cs="宋体" w:eastAsia="宋体" w:hint="default"/>
                <w:sz w:val="20"/>
                <w:szCs w:val="20"/>
              </w:rPr>
              <w:t>内部控制制度建</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8" w:lineRule="exact"/>
              <w:ind w:left="99" w:right="0"/>
              <w:jc w:val="left"/>
              <w:rPr>
                <w:rFonts w:ascii="宋体" w:hAnsi="宋体" w:cs="宋体" w:eastAsia="宋体" w:hint="default"/>
                <w:sz w:val="20"/>
                <w:szCs w:val="20"/>
              </w:rPr>
            </w:pPr>
            <w:r>
              <w:rPr>
                <w:rFonts w:ascii="宋体" w:hAnsi="宋体" w:cs="宋体" w:eastAsia="宋体" w:hint="default"/>
                <w:spacing w:val="-7"/>
                <w:sz w:val="20"/>
                <w:szCs w:val="20"/>
              </w:rPr>
              <w:t>调整与更新工作。在 </w:t>
            </w:r>
            <w:r>
              <w:rPr>
                <w:rFonts w:ascii="Arial" w:hAnsi="Arial" w:cs="Arial" w:eastAsia="Arial" w:hint="default"/>
                <w:sz w:val="20"/>
                <w:szCs w:val="20"/>
              </w:rPr>
              <w:t>2010</w:t>
            </w:r>
            <w:r>
              <w:rPr>
                <w:rFonts w:ascii="Arial" w:hAnsi="Arial" w:cs="Arial" w:eastAsia="Arial" w:hint="default"/>
                <w:spacing w:val="-29"/>
                <w:sz w:val="20"/>
                <w:szCs w:val="20"/>
              </w:rPr>
              <w:t> </w:t>
            </w:r>
            <w:r>
              <w:rPr>
                <w:rFonts w:ascii="宋体" w:hAnsi="宋体" w:cs="宋体" w:eastAsia="宋体" w:hint="default"/>
                <w:spacing w:val="-3"/>
                <w:sz w:val="20"/>
                <w:szCs w:val="20"/>
              </w:rPr>
              <w:t>年内控规范的基础上，对综合集中结算系统出账分发、</w:t>
            </w:r>
          </w:p>
        </w:tc>
      </w:tr>
      <w:tr>
        <w:trPr>
          <w:trHeight w:val="269"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99" w:right="0"/>
              <w:jc w:val="left"/>
              <w:rPr>
                <w:rFonts w:ascii="宋体" w:hAnsi="宋体" w:cs="宋体" w:eastAsia="宋体" w:hint="default"/>
                <w:sz w:val="20"/>
                <w:szCs w:val="20"/>
              </w:rPr>
            </w:pPr>
            <w:r>
              <w:rPr>
                <w:rFonts w:ascii="宋体" w:hAnsi="宋体" w:cs="宋体" w:eastAsia="宋体" w:hint="default"/>
                <w:sz w:val="20"/>
                <w:szCs w:val="20"/>
              </w:rPr>
              <w:t>立健全的工作计</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99" w:right="0"/>
              <w:jc w:val="left"/>
              <w:rPr>
                <w:rFonts w:ascii="宋体" w:hAnsi="宋体" w:cs="宋体" w:eastAsia="宋体" w:hint="default"/>
                <w:sz w:val="20"/>
                <w:szCs w:val="20"/>
              </w:rPr>
            </w:pPr>
            <w:r>
              <w:rPr>
                <w:rFonts w:ascii="宋体" w:hAnsi="宋体" w:cs="宋体" w:eastAsia="宋体" w:hint="default"/>
                <w:w w:val="100"/>
                <w:sz w:val="20"/>
                <w:szCs w:val="20"/>
              </w:rPr>
              <w:t>国际国</w:t>
            </w:r>
            <w:r>
              <w:rPr>
                <w:rFonts w:ascii="宋体" w:hAnsi="宋体" w:cs="宋体" w:eastAsia="宋体" w:hint="default"/>
                <w:spacing w:val="-2"/>
                <w:w w:val="100"/>
                <w:sz w:val="20"/>
                <w:szCs w:val="20"/>
              </w:rPr>
              <w:t>内</w:t>
            </w:r>
            <w:r>
              <w:rPr>
                <w:rFonts w:ascii="宋体" w:hAnsi="宋体" w:cs="宋体" w:eastAsia="宋体" w:hint="default"/>
                <w:w w:val="100"/>
                <w:sz w:val="20"/>
                <w:szCs w:val="20"/>
              </w:rPr>
              <w:t>异</w:t>
            </w:r>
            <w:r>
              <w:rPr>
                <w:rFonts w:ascii="宋体" w:hAnsi="宋体" w:cs="宋体" w:eastAsia="宋体" w:hint="default"/>
                <w:spacing w:val="-2"/>
                <w:w w:val="100"/>
                <w:sz w:val="20"/>
                <w:szCs w:val="20"/>
              </w:rPr>
              <w:t>常</w:t>
            </w:r>
            <w:r>
              <w:rPr>
                <w:rFonts w:ascii="宋体" w:hAnsi="宋体" w:cs="宋体" w:eastAsia="宋体" w:hint="default"/>
                <w:w w:val="100"/>
                <w:sz w:val="20"/>
                <w:szCs w:val="20"/>
              </w:rPr>
              <w:t>流量监</w:t>
            </w:r>
            <w:r>
              <w:rPr>
                <w:rFonts w:ascii="宋体" w:hAnsi="宋体" w:cs="宋体" w:eastAsia="宋体" w:hint="default"/>
                <w:spacing w:val="-2"/>
                <w:w w:val="100"/>
                <w:sz w:val="20"/>
                <w:szCs w:val="20"/>
              </w:rPr>
              <w:t>控</w:t>
            </w:r>
            <w:r>
              <w:rPr>
                <w:rFonts w:ascii="宋体" w:hAnsi="宋体" w:cs="宋体" w:eastAsia="宋体" w:hint="default"/>
                <w:w w:val="100"/>
                <w:sz w:val="20"/>
                <w:szCs w:val="20"/>
              </w:rPr>
              <w:t>等</w:t>
            </w:r>
            <w:r>
              <w:rPr>
                <w:rFonts w:ascii="宋体" w:hAnsi="宋体" w:cs="宋体" w:eastAsia="宋体" w:hint="default"/>
                <w:spacing w:val="-2"/>
                <w:w w:val="100"/>
                <w:sz w:val="20"/>
                <w:szCs w:val="20"/>
              </w:rPr>
              <w:t>业</w:t>
            </w:r>
            <w:r>
              <w:rPr>
                <w:rFonts w:ascii="宋体" w:hAnsi="宋体" w:cs="宋体" w:eastAsia="宋体" w:hint="default"/>
                <w:w w:val="100"/>
                <w:sz w:val="20"/>
                <w:szCs w:val="20"/>
              </w:rPr>
              <w:t>务环节</w:t>
            </w:r>
            <w:r>
              <w:rPr>
                <w:rFonts w:ascii="宋体" w:hAnsi="宋体" w:cs="宋体" w:eastAsia="宋体" w:hint="default"/>
                <w:spacing w:val="-2"/>
                <w:w w:val="100"/>
                <w:sz w:val="20"/>
                <w:szCs w:val="20"/>
              </w:rPr>
              <w:t>进</w:t>
            </w:r>
            <w:r>
              <w:rPr>
                <w:rFonts w:ascii="宋体" w:hAnsi="宋体" w:cs="宋体" w:eastAsia="宋体" w:hint="default"/>
                <w:w w:val="100"/>
                <w:sz w:val="20"/>
                <w:szCs w:val="20"/>
              </w:rPr>
              <w:t>行</w:t>
            </w:r>
            <w:r>
              <w:rPr>
                <w:rFonts w:ascii="宋体" w:hAnsi="宋体" w:cs="宋体" w:eastAsia="宋体" w:hint="default"/>
                <w:spacing w:val="-2"/>
                <w:w w:val="100"/>
                <w:sz w:val="20"/>
                <w:szCs w:val="20"/>
              </w:rPr>
              <w:t>了</w:t>
            </w:r>
            <w:r>
              <w:rPr>
                <w:rFonts w:ascii="宋体" w:hAnsi="宋体" w:cs="宋体" w:eastAsia="宋体" w:hint="default"/>
                <w:w w:val="100"/>
                <w:sz w:val="20"/>
                <w:szCs w:val="20"/>
              </w:rPr>
              <w:t>风险评估</w:t>
            </w:r>
            <w:r>
              <w:rPr>
                <w:rFonts w:ascii="宋体" w:hAnsi="宋体" w:cs="宋体" w:eastAsia="宋体" w:hint="default"/>
                <w:spacing w:val="-82"/>
                <w:w w:val="100"/>
                <w:sz w:val="20"/>
                <w:szCs w:val="20"/>
              </w:rPr>
              <w:t>，</w:t>
            </w:r>
            <w:r>
              <w:rPr>
                <w:rFonts w:ascii="宋体" w:hAnsi="宋体" w:cs="宋体" w:eastAsia="宋体" w:hint="default"/>
                <w:spacing w:val="-2"/>
                <w:w w:val="100"/>
                <w:sz w:val="20"/>
                <w:szCs w:val="20"/>
              </w:rPr>
              <w:t>增</w:t>
            </w:r>
            <w:r>
              <w:rPr>
                <w:rFonts w:ascii="宋体" w:hAnsi="宋体" w:cs="宋体" w:eastAsia="宋体" w:hint="default"/>
                <w:w w:val="100"/>
                <w:sz w:val="20"/>
                <w:szCs w:val="20"/>
              </w:rPr>
              <w:t>加了相</w:t>
            </w:r>
            <w:r>
              <w:rPr>
                <w:rFonts w:ascii="宋体" w:hAnsi="宋体" w:cs="宋体" w:eastAsia="宋体" w:hint="default"/>
                <w:spacing w:val="-2"/>
                <w:w w:val="100"/>
                <w:sz w:val="20"/>
                <w:szCs w:val="20"/>
              </w:rPr>
              <w:t>关</w:t>
            </w:r>
            <w:r>
              <w:rPr>
                <w:rFonts w:ascii="宋体" w:hAnsi="宋体" w:cs="宋体" w:eastAsia="宋体" w:hint="default"/>
                <w:w w:val="100"/>
                <w:sz w:val="20"/>
                <w:szCs w:val="20"/>
              </w:rPr>
              <w:t>内</w:t>
            </w:r>
            <w:r>
              <w:rPr>
                <w:rFonts w:ascii="宋体" w:hAnsi="宋体" w:cs="宋体" w:eastAsia="宋体" w:hint="default"/>
                <w:spacing w:val="-2"/>
                <w:w w:val="100"/>
                <w:sz w:val="20"/>
                <w:szCs w:val="20"/>
              </w:rPr>
              <w:t>控</w:t>
            </w:r>
            <w:r>
              <w:rPr>
                <w:rFonts w:ascii="宋体" w:hAnsi="宋体" w:cs="宋体" w:eastAsia="宋体" w:hint="default"/>
                <w:w w:val="100"/>
                <w:sz w:val="20"/>
                <w:szCs w:val="20"/>
              </w:rPr>
              <w:t>措施</w:t>
            </w:r>
            <w:r>
              <w:rPr>
                <w:rFonts w:ascii="宋体" w:hAnsi="宋体" w:cs="宋体" w:eastAsia="宋体" w:hint="default"/>
                <w:spacing w:val="-81"/>
                <w:w w:val="100"/>
                <w:sz w:val="20"/>
                <w:szCs w:val="20"/>
              </w:rPr>
              <w:t>。</w:t>
            </w:r>
            <w:r>
              <w:rPr>
                <w:rFonts w:ascii="宋体" w:hAnsi="宋体" w:cs="宋体" w:eastAsia="宋体" w:hint="default"/>
                <w:w w:val="100"/>
                <w:sz w:val="20"/>
                <w:szCs w:val="20"/>
              </w:rPr>
              <w:t>同</w:t>
            </w:r>
            <w:r>
              <w:rPr>
                <w:rFonts w:ascii="宋体" w:hAnsi="宋体" w:cs="宋体" w:eastAsia="宋体" w:hint="default"/>
                <w:spacing w:val="-2"/>
                <w:w w:val="100"/>
                <w:sz w:val="20"/>
                <w:szCs w:val="20"/>
              </w:rPr>
              <w:t>时</w:t>
            </w:r>
            <w:r>
              <w:rPr>
                <w:rFonts w:ascii="宋体" w:hAnsi="宋体" w:cs="宋体" w:eastAsia="宋体" w:hint="default"/>
                <w:w w:val="100"/>
                <w:sz w:val="20"/>
                <w:szCs w:val="20"/>
              </w:rPr>
              <w:t>，</w:t>
            </w:r>
          </w:p>
        </w:tc>
      </w:tr>
      <w:tr>
        <w:trPr>
          <w:trHeight w:val="299"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划及其实施情况</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公司通过多种形式的内控培训和宣传，增强全员法律遵循、诚信及内部控制管理</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理念，积极培育良好的内控管理文化。同时，公司亦全面推动内部的信息化建设</w:t>
            </w:r>
          </w:p>
        </w:tc>
      </w:tr>
      <w:tr>
        <w:trPr>
          <w:trHeight w:val="303"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99" w:right="0"/>
              <w:jc w:val="left"/>
              <w:rPr>
                <w:rFonts w:ascii="宋体" w:hAnsi="宋体" w:cs="宋体" w:eastAsia="宋体" w:hint="default"/>
                <w:sz w:val="20"/>
                <w:szCs w:val="20"/>
              </w:rPr>
            </w:pPr>
            <w:r>
              <w:rPr>
                <w:rFonts w:ascii="宋体" w:hAnsi="宋体" w:cs="宋体" w:eastAsia="宋体" w:hint="default"/>
                <w:sz w:val="20"/>
                <w:szCs w:val="20"/>
              </w:rPr>
              <w:t>和控制流程标准化工作，如通过</w:t>
            </w:r>
            <w:r>
              <w:rPr>
                <w:rFonts w:ascii="宋体" w:hAnsi="宋体" w:cs="宋体" w:eastAsia="宋体" w:hint="default"/>
                <w:spacing w:val="-55"/>
                <w:sz w:val="20"/>
                <w:szCs w:val="20"/>
              </w:rPr>
              <w:t> </w:t>
            </w:r>
            <w:r>
              <w:rPr>
                <w:rFonts w:ascii="Arial" w:hAnsi="Arial" w:cs="Arial" w:eastAsia="Arial" w:hint="default"/>
                <w:sz w:val="20"/>
                <w:szCs w:val="20"/>
              </w:rPr>
              <w:t>ERP</w:t>
            </w:r>
            <w:r>
              <w:rPr>
                <w:rFonts w:ascii="Arial" w:hAnsi="Arial" w:cs="Arial" w:eastAsia="Arial" w:hint="default"/>
                <w:spacing w:val="-11"/>
                <w:sz w:val="20"/>
                <w:szCs w:val="20"/>
              </w:rPr>
              <w:t> </w:t>
            </w:r>
            <w:r>
              <w:rPr>
                <w:rFonts w:ascii="宋体" w:hAnsi="宋体" w:cs="宋体" w:eastAsia="宋体" w:hint="default"/>
                <w:sz w:val="20"/>
                <w:szCs w:val="20"/>
              </w:rPr>
              <w:t>上线及总部财务部和各业务部门对现有控</w:t>
            </w:r>
          </w:p>
        </w:tc>
      </w:tr>
      <w:tr>
        <w:trPr>
          <w:trHeight w:val="380" w:hRule="exact"/>
        </w:trPr>
        <w:tc>
          <w:tcPr>
            <w:tcW w:w="1709" w:type="dxa"/>
            <w:tcBorders>
              <w:top w:val="nil" w:sz="6" w:space="0" w:color="auto"/>
              <w:left w:val="single" w:sz="6" w:space="0" w:color="000000"/>
              <w:bottom w:val="single" w:sz="6" w:space="0" w:color="000000"/>
              <w:right w:val="single" w:sz="6" w:space="0" w:color="000000"/>
            </w:tcBorders>
          </w:tcPr>
          <w:p>
            <w:pPr/>
          </w:p>
        </w:tc>
        <w:tc>
          <w:tcPr>
            <w:tcW w:w="7156" w:type="dxa"/>
            <w:tcBorders>
              <w:top w:val="nil" w:sz="6" w:space="0" w:color="auto"/>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z w:val="20"/>
                <w:szCs w:val="20"/>
              </w:rPr>
              <w:t>制流程的优化等工作全面推动公司的内控水平的提升。</w:t>
            </w:r>
          </w:p>
        </w:tc>
      </w:tr>
      <w:tr>
        <w:trPr>
          <w:trHeight w:val="364" w:hRule="exact"/>
        </w:trPr>
        <w:tc>
          <w:tcPr>
            <w:tcW w:w="1709" w:type="dxa"/>
            <w:tcBorders>
              <w:top w:val="single" w:sz="6" w:space="0" w:color="000000"/>
              <w:left w:val="single" w:sz="6" w:space="0" w:color="000000"/>
              <w:bottom w:val="nil" w:sz="6" w:space="0" w:color="auto"/>
              <w:right w:val="single" w:sz="6" w:space="0" w:color="000000"/>
            </w:tcBorders>
          </w:tcPr>
          <w:p>
            <w:pPr/>
          </w:p>
        </w:tc>
        <w:tc>
          <w:tcPr>
            <w:tcW w:w="7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6"/>
              <w:ind w:left="99" w:right="0"/>
              <w:jc w:val="left"/>
              <w:rPr>
                <w:rFonts w:ascii="宋体" w:hAnsi="宋体" w:cs="宋体" w:eastAsia="宋体" w:hint="default"/>
                <w:sz w:val="20"/>
                <w:szCs w:val="20"/>
              </w:rPr>
            </w:pPr>
            <w:r>
              <w:rPr>
                <w:rFonts w:ascii="宋体" w:hAnsi="宋体" w:cs="宋体" w:eastAsia="宋体" w:hint="default"/>
                <w:spacing w:val="-3"/>
                <w:sz w:val="20"/>
                <w:szCs w:val="20"/>
              </w:rPr>
              <w:t>公司设立独立的审计机构，配备专职审计人员，负责内部控制的检查监督及其他</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审计工作。在公司集团总部设立审计部，下设综合管理处、内控审计处、经营审</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计处、工程审计处及信息系统审计处等五个处室；审计机构实行审计派驻制管理</w:t>
            </w:r>
          </w:p>
        </w:tc>
      </w:tr>
      <w:tr>
        <w:trPr>
          <w:trHeight w:val="253"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体制，对所属分、子公司派驻审计分部；审计分部的负责人由集团公司统一考核</w:t>
            </w:r>
          </w:p>
        </w:tc>
      </w:tr>
      <w:tr>
        <w:trPr>
          <w:trHeight w:val="940"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99" w:right="0"/>
              <w:jc w:val="left"/>
              <w:rPr>
                <w:rFonts w:ascii="宋体" w:hAnsi="宋体" w:cs="宋体" w:eastAsia="宋体" w:hint="default"/>
                <w:sz w:val="20"/>
                <w:szCs w:val="20"/>
              </w:rPr>
            </w:pPr>
            <w:r>
              <w:rPr>
                <w:rFonts w:ascii="宋体" w:hAnsi="宋体" w:cs="宋体" w:eastAsia="宋体" w:hint="default"/>
                <w:sz w:val="20"/>
                <w:szCs w:val="20"/>
              </w:rPr>
              <w:t>内部控制检查监</w:t>
            </w:r>
          </w:p>
          <w:p>
            <w:pPr>
              <w:pStyle w:val="TableParagraph"/>
              <w:spacing w:line="260" w:lineRule="exact" w:before="24"/>
              <w:ind w:left="99" w:right="192"/>
              <w:jc w:val="left"/>
              <w:rPr>
                <w:rFonts w:ascii="宋体" w:hAnsi="宋体" w:cs="宋体" w:eastAsia="宋体" w:hint="default"/>
                <w:sz w:val="20"/>
                <w:szCs w:val="20"/>
              </w:rPr>
            </w:pPr>
            <w:r>
              <w:rPr>
                <w:rFonts w:ascii="宋体" w:hAnsi="宋体" w:cs="宋体" w:eastAsia="宋体" w:hint="default"/>
                <w:sz w:val="20"/>
                <w:szCs w:val="20"/>
              </w:rPr>
              <w:t>督部门的设置情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left="99" w:right="0"/>
              <w:jc w:val="left"/>
              <w:rPr>
                <w:rFonts w:ascii="宋体" w:hAnsi="宋体" w:cs="宋体" w:eastAsia="宋体" w:hint="default"/>
                <w:sz w:val="20"/>
                <w:szCs w:val="20"/>
              </w:rPr>
            </w:pPr>
            <w:r>
              <w:rPr>
                <w:rFonts w:ascii="宋体" w:hAnsi="宋体" w:cs="宋体" w:eastAsia="宋体" w:hint="default"/>
                <w:sz w:val="20"/>
                <w:szCs w:val="20"/>
              </w:rPr>
              <w:t>任免。目前，公司审计人员为</w:t>
            </w:r>
            <w:r>
              <w:rPr>
                <w:rFonts w:ascii="宋体" w:hAnsi="宋体" w:cs="宋体" w:eastAsia="宋体" w:hint="default"/>
                <w:spacing w:val="-56"/>
                <w:sz w:val="20"/>
                <w:szCs w:val="20"/>
              </w:rPr>
              <w:t> </w:t>
            </w:r>
            <w:r>
              <w:rPr>
                <w:rFonts w:ascii="Arial" w:hAnsi="Arial" w:cs="Arial" w:eastAsia="Arial" w:hint="default"/>
                <w:sz w:val="20"/>
                <w:szCs w:val="20"/>
              </w:rPr>
              <w:t>635</w:t>
            </w:r>
            <w:r>
              <w:rPr>
                <w:rFonts w:ascii="Arial" w:hAnsi="Arial" w:cs="Arial" w:eastAsia="Arial" w:hint="default"/>
                <w:spacing w:val="-11"/>
                <w:sz w:val="20"/>
                <w:szCs w:val="20"/>
              </w:rPr>
              <w:t> </w:t>
            </w:r>
            <w:r>
              <w:rPr>
                <w:rFonts w:ascii="宋体" w:hAnsi="宋体" w:cs="宋体" w:eastAsia="宋体" w:hint="default"/>
                <w:sz w:val="20"/>
                <w:szCs w:val="20"/>
              </w:rPr>
              <w:t>人，其中：集团审计部</w:t>
            </w:r>
            <w:r>
              <w:rPr>
                <w:rFonts w:ascii="宋体" w:hAnsi="宋体" w:cs="宋体" w:eastAsia="宋体" w:hint="default"/>
                <w:spacing w:val="-56"/>
                <w:sz w:val="20"/>
                <w:szCs w:val="20"/>
              </w:rPr>
              <w:t> </w:t>
            </w:r>
            <w:r>
              <w:rPr>
                <w:rFonts w:ascii="Arial" w:hAnsi="Arial" w:cs="Arial" w:eastAsia="Arial" w:hint="default"/>
                <w:sz w:val="20"/>
                <w:szCs w:val="20"/>
              </w:rPr>
              <w:t>20</w:t>
            </w:r>
            <w:r>
              <w:rPr>
                <w:rFonts w:ascii="Arial" w:hAnsi="Arial" w:cs="Arial" w:eastAsia="Arial" w:hint="default"/>
                <w:spacing w:val="-11"/>
                <w:sz w:val="20"/>
                <w:szCs w:val="20"/>
              </w:rPr>
              <w:t> </w:t>
            </w:r>
            <w:r>
              <w:rPr>
                <w:rFonts w:ascii="宋体" w:hAnsi="宋体" w:cs="宋体" w:eastAsia="宋体" w:hint="default"/>
                <w:sz w:val="20"/>
                <w:szCs w:val="20"/>
              </w:rPr>
              <w:t>人，各分公司及子</w:t>
            </w:r>
          </w:p>
          <w:p>
            <w:pPr>
              <w:pStyle w:val="TableParagraph"/>
              <w:spacing w:line="259" w:lineRule="auto" w:before="21"/>
              <w:ind w:left="99" w:right="98"/>
              <w:jc w:val="left"/>
              <w:rPr>
                <w:rFonts w:ascii="宋体" w:hAnsi="宋体" w:cs="宋体" w:eastAsia="宋体" w:hint="default"/>
                <w:sz w:val="20"/>
                <w:szCs w:val="20"/>
              </w:rPr>
            </w:pPr>
            <w:r>
              <w:rPr>
                <w:rFonts w:ascii="宋体" w:hAnsi="宋体" w:cs="宋体" w:eastAsia="宋体" w:hint="default"/>
                <w:spacing w:val="-1"/>
                <w:w w:val="100"/>
                <w:sz w:val="20"/>
                <w:szCs w:val="20"/>
              </w:rPr>
              <w:t>公司审计分部</w:t>
            </w:r>
            <w:r>
              <w:rPr>
                <w:rFonts w:ascii="宋体" w:hAnsi="宋体" w:cs="宋体" w:eastAsia="宋体" w:hint="default"/>
                <w:spacing w:val="-41"/>
                <w:w w:val="100"/>
                <w:sz w:val="20"/>
                <w:szCs w:val="20"/>
              </w:rPr>
              <w:t> </w:t>
            </w:r>
            <w:r>
              <w:rPr>
                <w:rFonts w:ascii="Arial" w:hAnsi="Arial" w:cs="Arial" w:eastAsia="Arial" w:hint="default"/>
                <w:spacing w:val="-1"/>
                <w:w w:val="100"/>
                <w:sz w:val="20"/>
                <w:szCs w:val="20"/>
              </w:rPr>
              <w:t>615</w:t>
            </w:r>
            <w:r>
              <w:rPr>
                <w:rFonts w:ascii="Arial" w:hAnsi="Arial" w:cs="Arial" w:eastAsia="Arial" w:hint="default"/>
                <w:spacing w:val="5"/>
                <w:w w:val="100"/>
                <w:sz w:val="20"/>
                <w:szCs w:val="20"/>
              </w:rPr>
              <w:t> </w:t>
            </w:r>
            <w:r>
              <w:rPr>
                <w:rFonts w:ascii="宋体" w:hAnsi="宋体" w:cs="宋体" w:eastAsia="宋体" w:hint="default"/>
                <w:spacing w:val="-5"/>
                <w:w w:val="100"/>
                <w:sz w:val="20"/>
                <w:szCs w:val="20"/>
              </w:rPr>
              <w:t>人。集团审计部负责人定期或不定期向公司董事会下设的审计</w:t>
            </w:r>
            <w:r>
              <w:rPr>
                <w:rFonts w:ascii="宋体" w:hAnsi="宋体" w:cs="宋体" w:eastAsia="宋体" w:hint="default"/>
                <w:spacing w:val="-95"/>
                <w:w w:val="100"/>
                <w:sz w:val="20"/>
                <w:szCs w:val="20"/>
              </w:rPr>
              <w:t> </w:t>
            </w:r>
            <w:r>
              <w:rPr>
                <w:rFonts w:ascii="宋体" w:hAnsi="宋体" w:cs="宋体" w:eastAsia="宋体" w:hint="default"/>
                <w:spacing w:val="-95"/>
                <w:w w:val="100"/>
                <w:sz w:val="20"/>
                <w:szCs w:val="20"/>
              </w:rPr>
            </w:r>
            <w:r>
              <w:rPr>
                <w:rFonts w:ascii="宋体" w:hAnsi="宋体" w:cs="宋体" w:eastAsia="宋体" w:hint="default"/>
                <w:spacing w:val="-3"/>
                <w:sz w:val="20"/>
                <w:szCs w:val="20"/>
              </w:rPr>
              <w:t>委员会报告工作，审计委员会审议批准年度审计工作计划并考核审计工作的完成</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情况。集团审计部对派驻审计机构工作质量及效果进行定期考核，对审计分部负</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责人履职情况进行年度考核，从机制上增强了审计工作的相对独立性、权威性和</w:t>
            </w:r>
          </w:p>
        </w:tc>
      </w:tr>
      <w:tr>
        <w:trPr>
          <w:trHeight w:val="403" w:hRule="exact"/>
        </w:trPr>
        <w:tc>
          <w:tcPr>
            <w:tcW w:w="1709" w:type="dxa"/>
            <w:tcBorders>
              <w:top w:val="nil" w:sz="6" w:space="0" w:color="auto"/>
              <w:left w:val="single" w:sz="6" w:space="0" w:color="000000"/>
              <w:bottom w:val="single" w:sz="6" w:space="0" w:color="000000"/>
              <w:right w:val="single" w:sz="6" w:space="0" w:color="000000"/>
            </w:tcBorders>
          </w:tcPr>
          <w:p>
            <w:pPr/>
          </w:p>
        </w:tc>
        <w:tc>
          <w:tcPr>
            <w:tcW w:w="7156" w:type="dxa"/>
            <w:tcBorders>
              <w:top w:val="nil" w:sz="6" w:space="0" w:color="auto"/>
              <w:left w:val="single" w:sz="6" w:space="0" w:color="000000"/>
              <w:bottom w:val="single" w:sz="6" w:space="0" w:color="000000"/>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z w:val="20"/>
                <w:szCs w:val="20"/>
              </w:rPr>
              <w:t>有效性，以促进其更好地围绕经营管理过程的规范有效履行好监督及服务职能。</w:t>
            </w:r>
          </w:p>
        </w:tc>
      </w:tr>
      <w:tr>
        <w:trPr>
          <w:trHeight w:val="291" w:hRule="exact"/>
        </w:trPr>
        <w:tc>
          <w:tcPr>
            <w:tcW w:w="1709" w:type="dxa"/>
            <w:tcBorders>
              <w:top w:val="single" w:sz="6" w:space="0" w:color="000000"/>
              <w:left w:val="single" w:sz="6" w:space="0" w:color="000000"/>
              <w:bottom w:val="nil" w:sz="6" w:space="0" w:color="auto"/>
              <w:right w:val="single" w:sz="6" w:space="0" w:color="000000"/>
            </w:tcBorders>
          </w:tcPr>
          <w:p>
            <w:pPr/>
          </w:p>
        </w:tc>
        <w:tc>
          <w:tcPr>
            <w:tcW w:w="7156" w:type="dxa"/>
            <w:tcBorders>
              <w:top w:val="single" w:sz="6" w:space="0" w:color="000000"/>
              <w:left w:val="single" w:sz="6" w:space="0" w:color="000000"/>
              <w:bottom w:val="nil" w:sz="6" w:space="0" w:color="auto"/>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Arial" w:hAnsi="Arial" w:cs="Arial" w:eastAsia="Arial" w:hint="default"/>
                <w:sz w:val="20"/>
                <w:szCs w:val="20"/>
              </w:rPr>
              <w:t>(1) 2011</w:t>
            </w:r>
            <w:r>
              <w:rPr>
                <w:rFonts w:ascii="Arial" w:hAnsi="Arial" w:cs="Arial" w:eastAsia="Arial" w:hint="default"/>
                <w:spacing w:val="-10"/>
                <w:sz w:val="20"/>
                <w:szCs w:val="20"/>
              </w:rPr>
              <w:t> </w:t>
            </w:r>
            <w:r>
              <w:rPr>
                <w:rFonts w:ascii="宋体" w:hAnsi="宋体" w:cs="宋体" w:eastAsia="宋体" w:hint="default"/>
                <w:sz w:val="20"/>
                <w:szCs w:val="20"/>
              </w:rPr>
              <w:t>年度内控评审开展情况</w:t>
            </w:r>
          </w:p>
        </w:tc>
      </w:tr>
      <w:tr>
        <w:trPr>
          <w:trHeight w:val="293"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围绕合理保证公司经营管理合法合规、资产安全及财务信息真实，提高经营效率</w:t>
            </w:r>
          </w:p>
        </w:tc>
      </w:tr>
      <w:tr>
        <w:trPr>
          <w:trHeight w:val="303"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99" w:right="0"/>
              <w:jc w:val="left"/>
              <w:rPr>
                <w:rFonts w:ascii="宋体" w:hAnsi="宋体" w:cs="宋体" w:eastAsia="宋体" w:hint="default"/>
                <w:sz w:val="20"/>
                <w:szCs w:val="20"/>
              </w:rPr>
            </w:pPr>
            <w:r>
              <w:rPr>
                <w:rFonts w:ascii="宋体" w:hAnsi="宋体" w:cs="宋体" w:eastAsia="宋体" w:hint="default"/>
                <w:sz w:val="20"/>
                <w:szCs w:val="20"/>
              </w:rPr>
              <w:t>和效果，为促进企业实现战略及经营发展目标，</w:t>
            </w:r>
            <w:r>
              <w:rPr>
                <w:rFonts w:ascii="Arial" w:hAnsi="Arial" w:cs="Arial" w:eastAsia="Arial" w:hint="default"/>
                <w:sz w:val="20"/>
                <w:szCs w:val="20"/>
              </w:rPr>
              <w:t>2011</w:t>
            </w:r>
            <w:r>
              <w:rPr>
                <w:rFonts w:ascii="Arial" w:hAnsi="Arial" w:cs="Arial" w:eastAsia="Arial" w:hint="default"/>
                <w:spacing w:val="-16"/>
                <w:sz w:val="20"/>
                <w:szCs w:val="20"/>
              </w:rPr>
              <w:t> </w:t>
            </w:r>
            <w:r>
              <w:rPr>
                <w:rFonts w:ascii="宋体" w:hAnsi="宋体" w:cs="宋体" w:eastAsia="宋体" w:hint="default"/>
                <w:sz w:val="20"/>
                <w:szCs w:val="20"/>
              </w:rPr>
              <w:t>年公司通过持续专题评审</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与配合中期及年度财务报告披露的定期评审相结合的方式，统一组织开展了 </w:t>
            </w:r>
            <w:r>
              <w:rPr>
                <w:rFonts w:ascii="Arial" w:hAnsi="Arial" w:cs="Arial" w:eastAsia="Arial" w:hint="default"/>
                <w:sz w:val="20"/>
                <w:szCs w:val="20"/>
              </w:rPr>
              <w:t>2</w:t>
            </w:r>
            <w:r>
              <w:rPr>
                <w:rFonts w:ascii="Arial" w:hAnsi="Arial" w:cs="Arial" w:eastAsia="Arial" w:hint="default"/>
                <w:spacing w:val="-32"/>
                <w:sz w:val="20"/>
                <w:szCs w:val="20"/>
              </w:rPr>
              <w:t> </w:t>
            </w:r>
            <w:r>
              <w:rPr>
                <w:rFonts w:ascii="宋体" w:hAnsi="宋体" w:cs="宋体" w:eastAsia="宋体" w:hint="default"/>
                <w:sz w:val="20"/>
                <w:szCs w:val="20"/>
              </w:rPr>
              <w:t>次</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8" w:lineRule="exact"/>
              <w:ind w:left="99" w:right="0"/>
              <w:jc w:val="left"/>
              <w:rPr>
                <w:rFonts w:ascii="宋体" w:hAnsi="宋体" w:cs="宋体" w:eastAsia="宋体" w:hint="default"/>
                <w:sz w:val="20"/>
                <w:szCs w:val="20"/>
              </w:rPr>
            </w:pPr>
            <w:r>
              <w:rPr>
                <w:rFonts w:ascii="宋体" w:hAnsi="宋体" w:cs="宋体" w:eastAsia="宋体" w:hint="default"/>
                <w:sz w:val="20"/>
                <w:szCs w:val="20"/>
              </w:rPr>
              <w:t>涉及全国</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9"/>
                <w:sz w:val="20"/>
                <w:szCs w:val="20"/>
              </w:rPr>
              <w:t> </w:t>
            </w:r>
            <w:r>
              <w:rPr>
                <w:rFonts w:ascii="宋体" w:hAnsi="宋体" w:cs="宋体" w:eastAsia="宋体" w:hint="default"/>
                <w:sz w:val="20"/>
                <w:szCs w:val="20"/>
              </w:rPr>
              <w:t>省分公司的交叉内控评审。</w:t>
            </w:r>
          </w:p>
        </w:tc>
      </w:tr>
      <w:tr>
        <w:trPr>
          <w:trHeight w:val="293"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z w:val="20"/>
                <w:szCs w:val="20"/>
              </w:rPr>
              <w:t>内控评审重点围绕确保业务发生源头到财务报告生成全过程重要经营管理行为</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的规范有效，关注了业务经营全过程、代理商及代理费等付现成本管控的效益性</w:t>
            </w:r>
          </w:p>
        </w:tc>
      </w:tr>
      <w:tr>
        <w:trPr>
          <w:trHeight w:val="299"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及规范性，营业资金等重要资金资产的安全完整性，工程建设等资本性支出过程</w:t>
            </w:r>
          </w:p>
        </w:tc>
      </w:tr>
      <w:tr>
        <w:trPr>
          <w:trHeight w:val="319"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left="99" w:right="0"/>
              <w:jc w:val="left"/>
              <w:rPr>
                <w:rFonts w:ascii="宋体" w:hAnsi="宋体" w:cs="宋体" w:eastAsia="宋体" w:hint="default"/>
                <w:sz w:val="20"/>
                <w:szCs w:val="20"/>
              </w:rPr>
            </w:pPr>
            <w:r>
              <w:rPr>
                <w:rFonts w:ascii="宋体" w:hAnsi="宋体" w:cs="宋体" w:eastAsia="宋体" w:hint="default"/>
                <w:sz w:val="20"/>
                <w:szCs w:val="20"/>
              </w:rPr>
              <w:t>内部监督和内部</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严格管控规范性等控制活动的规范有效；关注了信息系统的安全管控及对业务支</w:t>
            </w:r>
          </w:p>
        </w:tc>
      </w:tr>
      <w:tr>
        <w:trPr>
          <w:trHeight w:val="260"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控制自我评价工</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撑的有效性；关注了不相容岗位分离等控制环境的有效性。内控评审通过深入业</w:t>
            </w:r>
          </w:p>
        </w:tc>
      </w:tr>
      <w:tr>
        <w:trPr>
          <w:trHeight w:val="316"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作开展情况</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20"/>
                <w:szCs w:val="20"/>
              </w:rPr>
            </w:pPr>
            <w:r>
              <w:rPr>
                <w:rFonts w:ascii="宋体" w:hAnsi="宋体" w:cs="宋体" w:eastAsia="宋体" w:hint="default"/>
                <w:spacing w:val="-3"/>
                <w:sz w:val="20"/>
                <w:szCs w:val="20"/>
              </w:rPr>
              <w:t>务流程，运用抽查、盘点、重新执行及分析复核等实质性评审的方法，及信息化</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z w:val="20"/>
                <w:szCs w:val="20"/>
              </w:rPr>
              <w:t>审计手段，监督并验证了关键控制的有效执行情况。</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z w:val="20"/>
                <w:szCs w:val="20"/>
              </w:rPr>
              <w:t>对于持续内控评审中发现的有关问题，一对一下达了整改通知，要求举一反三，</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z w:val="20"/>
                <w:szCs w:val="20"/>
              </w:rPr>
              <w:t>深度自查，限期整改，并通过后续审计验证整改及执行效果。</w:t>
            </w:r>
          </w:p>
        </w:tc>
      </w:tr>
      <w:tr>
        <w:trPr>
          <w:trHeight w:val="299"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通过内控评审及督促整改，公司将内部控制要求融入到日常经营管理工作中，将</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关键控制措施责任逐级落实到各级公司的具体责任部门、岗位和责任人，内控有</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效性的评价也纳入年度省级分公司的绩效考核成绩中，从而推动了内控长效机制</w:t>
            </w:r>
          </w:p>
        </w:tc>
      </w:tr>
      <w:tr>
        <w:trPr>
          <w:trHeight w:val="590" w:hRule="exact"/>
        </w:trPr>
        <w:tc>
          <w:tcPr>
            <w:tcW w:w="1709" w:type="dxa"/>
            <w:tcBorders>
              <w:top w:val="nil" w:sz="6" w:space="0" w:color="auto"/>
              <w:left w:val="single" w:sz="6" w:space="0" w:color="000000"/>
              <w:bottom w:val="single" w:sz="6" w:space="0" w:color="000000"/>
              <w:right w:val="single" w:sz="6" w:space="0" w:color="000000"/>
            </w:tcBorders>
          </w:tcPr>
          <w:p>
            <w:pPr/>
          </w:p>
        </w:tc>
        <w:tc>
          <w:tcPr>
            <w:tcW w:w="7156" w:type="dxa"/>
            <w:tcBorders>
              <w:top w:val="nil" w:sz="6" w:space="0" w:color="auto"/>
              <w:left w:val="single" w:sz="6" w:space="0" w:color="000000"/>
              <w:bottom w:val="single" w:sz="6" w:space="0" w:color="000000"/>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z w:val="20"/>
                <w:szCs w:val="20"/>
              </w:rPr>
              <w:t>责任体系的建立。</w:t>
            </w:r>
          </w:p>
        </w:tc>
      </w:tr>
    </w:tbl>
    <w:p>
      <w:pPr>
        <w:spacing w:after="0" w:line="250" w:lineRule="exact"/>
        <w:jc w:val="left"/>
        <w:rPr>
          <w:rFonts w:ascii="宋体" w:hAnsi="宋体" w:cs="宋体" w:eastAsia="宋体" w:hint="default"/>
          <w:sz w:val="20"/>
          <w:szCs w:val="20"/>
        </w:rPr>
        <w:sectPr>
          <w:pgSz w:w="11900" w:h="16840"/>
          <w:pgMar w:header="927" w:footer="752" w:top="1160" w:bottom="940" w:left="1340" w:right="760"/>
        </w:sectPr>
      </w:pPr>
    </w:p>
    <w:p>
      <w:pPr>
        <w:spacing w:line="240" w:lineRule="auto" w:before="1"/>
        <w:rPr>
          <w:rFonts w:ascii="宋体" w:hAnsi="宋体" w:cs="宋体" w:eastAsia="宋体" w:hint="default"/>
          <w:sz w:val="27"/>
          <w:szCs w:val="27"/>
        </w:rPr>
      </w:pPr>
    </w:p>
    <w:tbl>
      <w:tblPr>
        <w:tblW w:w="0" w:type="auto"/>
        <w:jc w:val="left"/>
        <w:tblInd w:w="814" w:type="dxa"/>
        <w:tblLayout w:type="fixed"/>
        <w:tblCellMar>
          <w:top w:w="0" w:type="dxa"/>
          <w:left w:w="0" w:type="dxa"/>
          <w:bottom w:w="0" w:type="dxa"/>
          <w:right w:w="0" w:type="dxa"/>
        </w:tblCellMar>
        <w:tblLook w:val="01E0"/>
      </w:tblPr>
      <w:tblGrid>
        <w:gridCol w:w="1709"/>
        <w:gridCol w:w="7156"/>
      </w:tblGrid>
      <w:tr>
        <w:trPr>
          <w:trHeight w:val="556" w:hRule="exact"/>
        </w:trPr>
        <w:tc>
          <w:tcPr>
            <w:tcW w:w="1709" w:type="dxa"/>
            <w:vMerge w:val="restart"/>
            <w:tcBorders>
              <w:top w:val="single" w:sz="6" w:space="0" w:color="000000"/>
              <w:left w:val="single" w:sz="6" w:space="0" w:color="000000"/>
              <w:right w:val="single" w:sz="6" w:space="0" w:color="000000"/>
            </w:tcBorders>
          </w:tcPr>
          <w:p>
            <w:pPr/>
          </w:p>
        </w:tc>
        <w:tc>
          <w:tcPr>
            <w:tcW w:w="7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 2011</w:t>
            </w:r>
            <w:r>
              <w:rPr>
                <w:rFonts w:ascii="Arial" w:hAnsi="Arial" w:cs="Arial" w:eastAsia="Arial" w:hint="default"/>
                <w:spacing w:val="-9"/>
                <w:sz w:val="20"/>
                <w:szCs w:val="20"/>
              </w:rPr>
              <w:t> </w:t>
            </w:r>
            <w:r>
              <w:rPr>
                <w:rFonts w:ascii="宋体" w:hAnsi="宋体" w:cs="宋体" w:eastAsia="宋体" w:hint="default"/>
                <w:sz w:val="20"/>
                <w:szCs w:val="20"/>
              </w:rPr>
              <w:t>年度内控自我评价开展情况</w:t>
            </w:r>
          </w:p>
        </w:tc>
      </w:tr>
      <w:tr>
        <w:trPr>
          <w:trHeight w:val="298" w:hRule="exact"/>
        </w:trPr>
        <w:tc>
          <w:tcPr>
            <w:tcW w:w="1709" w:type="dxa"/>
            <w:vMerge/>
            <w:tcBorders>
              <w:left w:val="single" w:sz="6" w:space="0" w:color="000000"/>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8" w:lineRule="exact"/>
              <w:ind w:left="99" w:right="0"/>
              <w:jc w:val="left"/>
              <w:rPr>
                <w:rFonts w:ascii="宋体" w:hAnsi="宋体" w:cs="宋体" w:eastAsia="宋体" w:hint="default"/>
                <w:sz w:val="20"/>
                <w:szCs w:val="20"/>
              </w:rPr>
            </w:pPr>
            <w:r>
              <w:rPr>
                <w:rFonts w:ascii="宋体" w:hAnsi="宋体" w:cs="宋体" w:eastAsia="宋体" w:hint="default"/>
                <w:sz w:val="20"/>
                <w:szCs w:val="20"/>
              </w:rPr>
              <w:t>公司根据财政部、审计署、证监会等五部委于</w:t>
            </w:r>
            <w:r>
              <w:rPr>
                <w:rFonts w:ascii="宋体" w:hAnsi="宋体" w:cs="宋体" w:eastAsia="宋体" w:hint="default"/>
                <w:spacing w:val="-59"/>
                <w:sz w:val="20"/>
                <w:szCs w:val="20"/>
              </w:rPr>
              <w:t> </w:t>
            </w:r>
            <w:r>
              <w:rPr>
                <w:rFonts w:ascii="Arial" w:hAnsi="Arial" w:cs="Arial" w:eastAsia="Arial" w:hint="default"/>
                <w:sz w:val="20"/>
                <w:szCs w:val="20"/>
              </w:rPr>
              <w:t>2008</w:t>
            </w:r>
            <w:r>
              <w:rPr>
                <w:rFonts w:ascii="Arial" w:hAnsi="Arial" w:cs="Arial" w:eastAsia="Arial" w:hint="default"/>
                <w:spacing w:val="-14"/>
                <w:sz w:val="20"/>
                <w:szCs w:val="20"/>
              </w:rPr>
              <w:t> </w:t>
            </w:r>
            <w:r>
              <w:rPr>
                <w:rFonts w:ascii="宋体" w:hAnsi="宋体" w:cs="宋体" w:eastAsia="宋体" w:hint="default"/>
                <w:sz w:val="20"/>
                <w:szCs w:val="20"/>
              </w:rPr>
              <w:t>年下发的《企业内部控制基</w:t>
            </w:r>
          </w:p>
        </w:tc>
      </w:tr>
      <w:tr>
        <w:trPr>
          <w:trHeight w:val="299" w:hRule="exact"/>
        </w:trPr>
        <w:tc>
          <w:tcPr>
            <w:tcW w:w="1709" w:type="dxa"/>
            <w:vMerge/>
            <w:tcBorders>
              <w:left w:val="single" w:sz="6" w:space="0" w:color="000000"/>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9" w:lineRule="exact"/>
              <w:ind w:left="99" w:right="0"/>
              <w:jc w:val="left"/>
              <w:rPr>
                <w:rFonts w:ascii="宋体" w:hAnsi="宋体" w:cs="宋体" w:eastAsia="宋体" w:hint="default"/>
                <w:sz w:val="20"/>
                <w:szCs w:val="20"/>
              </w:rPr>
            </w:pPr>
            <w:r>
              <w:rPr>
                <w:rFonts w:ascii="宋体" w:hAnsi="宋体" w:cs="宋体" w:eastAsia="宋体" w:hint="default"/>
                <w:sz w:val="20"/>
                <w:szCs w:val="20"/>
              </w:rPr>
              <w:t>本规范》的规定，参照</w:t>
            </w:r>
            <w:r>
              <w:rPr>
                <w:rFonts w:ascii="宋体" w:hAnsi="宋体" w:cs="宋体" w:eastAsia="宋体" w:hint="default"/>
                <w:spacing w:val="-55"/>
                <w:sz w:val="20"/>
                <w:szCs w:val="20"/>
              </w:rPr>
              <w:t> </w:t>
            </w:r>
            <w:r>
              <w:rPr>
                <w:rFonts w:ascii="Arial" w:hAnsi="Arial" w:cs="Arial" w:eastAsia="Arial" w:hint="default"/>
                <w:sz w:val="20"/>
                <w:szCs w:val="20"/>
              </w:rPr>
              <w:t>COSO</w:t>
            </w:r>
            <w:r>
              <w:rPr>
                <w:rFonts w:ascii="Arial" w:hAnsi="Arial" w:cs="Arial" w:eastAsia="Arial" w:hint="default"/>
                <w:spacing w:val="-11"/>
                <w:sz w:val="20"/>
                <w:szCs w:val="20"/>
              </w:rPr>
              <w:t> </w:t>
            </w:r>
            <w:r>
              <w:rPr>
                <w:rFonts w:ascii="宋体" w:hAnsi="宋体" w:cs="宋体" w:eastAsia="宋体" w:hint="default"/>
                <w:sz w:val="20"/>
                <w:szCs w:val="20"/>
              </w:rPr>
              <w:t>内部控制框架，对围绕生成财务报告各业务环节</w:t>
            </w:r>
          </w:p>
        </w:tc>
      </w:tr>
      <w:tr>
        <w:trPr>
          <w:trHeight w:val="293" w:hRule="exact"/>
        </w:trPr>
        <w:tc>
          <w:tcPr>
            <w:tcW w:w="1709" w:type="dxa"/>
            <w:vMerge/>
            <w:tcBorders>
              <w:left w:val="single" w:sz="6" w:space="0" w:color="000000"/>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及与非财务报告相关的关键控制，从控制环境、风险评估、控制活动、控制监督</w:t>
            </w:r>
          </w:p>
        </w:tc>
      </w:tr>
      <w:tr>
        <w:trPr>
          <w:trHeight w:val="298" w:hRule="exact"/>
        </w:trPr>
        <w:tc>
          <w:tcPr>
            <w:tcW w:w="1709" w:type="dxa"/>
            <w:vMerge/>
            <w:tcBorders>
              <w:left w:val="single" w:sz="6" w:space="0" w:color="000000"/>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及信息系统控制等五方面全面组织内控的有效性评价，完成了内部控制的自我评</w:t>
            </w:r>
          </w:p>
        </w:tc>
      </w:tr>
      <w:tr>
        <w:trPr>
          <w:trHeight w:val="325" w:hRule="exact"/>
        </w:trPr>
        <w:tc>
          <w:tcPr>
            <w:tcW w:w="1709" w:type="dxa"/>
            <w:vMerge/>
            <w:tcBorders>
              <w:left w:val="single" w:sz="6" w:space="0" w:color="000000"/>
              <w:bottom w:val="single" w:sz="6" w:space="0" w:color="000000"/>
              <w:right w:val="single" w:sz="6" w:space="0" w:color="000000"/>
            </w:tcBorders>
          </w:tcPr>
          <w:p>
            <w:pPr/>
          </w:p>
        </w:tc>
        <w:tc>
          <w:tcPr>
            <w:tcW w:w="7156" w:type="dxa"/>
            <w:tcBorders>
              <w:top w:val="nil" w:sz="6" w:space="0" w:color="auto"/>
              <w:left w:val="single" w:sz="6" w:space="0" w:color="000000"/>
              <w:bottom w:val="single" w:sz="6" w:space="0" w:color="000000"/>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z w:val="20"/>
                <w:szCs w:val="20"/>
              </w:rPr>
              <w:t>估报告。</w:t>
            </w:r>
          </w:p>
        </w:tc>
      </w:tr>
      <w:tr>
        <w:trPr>
          <w:trHeight w:val="367" w:hRule="exact"/>
        </w:trPr>
        <w:tc>
          <w:tcPr>
            <w:tcW w:w="1709" w:type="dxa"/>
            <w:tcBorders>
              <w:top w:val="single" w:sz="6" w:space="0" w:color="000000"/>
              <w:left w:val="single" w:sz="6" w:space="0" w:color="000000"/>
              <w:bottom w:val="nil" w:sz="6" w:space="0" w:color="auto"/>
              <w:right w:val="single" w:sz="6" w:space="0" w:color="000000"/>
            </w:tcBorders>
          </w:tcPr>
          <w:p>
            <w:pPr/>
          </w:p>
        </w:tc>
        <w:tc>
          <w:tcPr>
            <w:tcW w:w="7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9"/>
              <w:ind w:left="99" w:right="0"/>
              <w:jc w:val="left"/>
              <w:rPr>
                <w:rFonts w:ascii="宋体" w:hAnsi="宋体" w:cs="宋体" w:eastAsia="宋体" w:hint="default"/>
                <w:sz w:val="20"/>
                <w:szCs w:val="20"/>
              </w:rPr>
            </w:pPr>
            <w:r>
              <w:rPr>
                <w:rFonts w:ascii="宋体" w:hAnsi="宋体" w:cs="宋体" w:eastAsia="宋体" w:hint="default"/>
                <w:sz w:val="20"/>
                <w:szCs w:val="20"/>
              </w:rPr>
              <w:t>公司董事会听取了公司关于内控建设及内控自我评价方面的工作汇报并审查通</w:t>
            </w:r>
          </w:p>
        </w:tc>
      </w:tr>
      <w:tr>
        <w:trPr>
          <w:trHeight w:val="25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99" w:right="0"/>
              <w:jc w:val="left"/>
              <w:rPr>
                <w:rFonts w:ascii="宋体" w:hAnsi="宋体" w:cs="宋体" w:eastAsia="宋体" w:hint="default"/>
                <w:sz w:val="20"/>
                <w:szCs w:val="20"/>
              </w:rPr>
            </w:pPr>
            <w:r>
              <w:rPr>
                <w:rFonts w:ascii="宋体" w:hAnsi="宋体" w:cs="宋体" w:eastAsia="宋体" w:hint="default"/>
                <w:sz w:val="20"/>
                <w:szCs w:val="20"/>
              </w:rPr>
              <w:t>过了公司内部控制的自我评估报告，</w:t>
            </w:r>
            <w:r>
              <w:rPr>
                <w:rFonts w:ascii="Arial" w:hAnsi="Arial" w:cs="Arial" w:eastAsia="Arial" w:hint="default"/>
                <w:sz w:val="20"/>
                <w:szCs w:val="20"/>
              </w:rPr>
              <w:t>2011</w:t>
            </w:r>
            <w:r>
              <w:rPr>
                <w:rFonts w:ascii="Arial" w:hAnsi="Arial" w:cs="Arial" w:eastAsia="Arial" w:hint="default"/>
                <w:spacing w:val="-14"/>
                <w:sz w:val="20"/>
                <w:szCs w:val="20"/>
              </w:rPr>
              <w:t> </w:t>
            </w:r>
            <w:r>
              <w:rPr>
                <w:rFonts w:ascii="宋体" w:hAnsi="宋体" w:cs="宋体" w:eastAsia="宋体" w:hint="default"/>
                <w:sz w:val="20"/>
                <w:szCs w:val="20"/>
              </w:rPr>
              <w:t>年公司还委托普华永道中天会计师事</w:t>
            </w:r>
          </w:p>
        </w:tc>
      </w:tr>
      <w:tr>
        <w:trPr>
          <w:trHeight w:val="935"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198"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董事会对内部控</w:t>
            </w:r>
          </w:p>
          <w:p>
            <w:pPr>
              <w:pStyle w:val="TableParagraph"/>
              <w:spacing w:line="260" w:lineRule="exact" w:before="24"/>
              <w:ind w:left="99" w:right="192"/>
              <w:jc w:val="left"/>
              <w:rPr>
                <w:rFonts w:ascii="宋体" w:hAnsi="宋体" w:cs="宋体" w:eastAsia="宋体" w:hint="default"/>
                <w:sz w:val="20"/>
                <w:szCs w:val="20"/>
              </w:rPr>
            </w:pPr>
            <w:r>
              <w:rPr>
                <w:rFonts w:ascii="宋体" w:hAnsi="宋体" w:cs="宋体" w:eastAsia="宋体" w:hint="default"/>
                <w:sz w:val="20"/>
                <w:szCs w:val="20"/>
              </w:rPr>
              <w:t>制有关工作的安</w:t>
            </w:r>
            <w:r>
              <w:rPr>
                <w:rFonts w:ascii="宋体" w:hAnsi="宋体" w:cs="宋体" w:eastAsia="宋体" w:hint="default"/>
                <w:w w:val="100"/>
                <w:sz w:val="20"/>
                <w:szCs w:val="20"/>
              </w:rPr>
              <w:t> </w:t>
            </w:r>
            <w:r>
              <w:rPr>
                <w:rFonts w:ascii="宋体" w:hAnsi="宋体" w:cs="宋体" w:eastAsia="宋体" w:hint="default"/>
                <w:sz w:val="20"/>
                <w:szCs w:val="20"/>
              </w:rPr>
              <w:t>排</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73" w:lineRule="auto" w:before="28"/>
              <w:ind w:left="99" w:right="98"/>
              <w:jc w:val="both"/>
              <w:rPr>
                <w:rFonts w:ascii="宋体" w:hAnsi="宋体" w:cs="宋体" w:eastAsia="宋体" w:hint="default"/>
                <w:sz w:val="20"/>
                <w:szCs w:val="20"/>
              </w:rPr>
            </w:pPr>
            <w:r>
              <w:rPr>
                <w:rFonts w:ascii="宋体" w:hAnsi="宋体" w:cs="宋体" w:eastAsia="宋体" w:hint="default"/>
                <w:spacing w:val="-3"/>
                <w:sz w:val="20"/>
                <w:szCs w:val="20"/>
              </w:rPr>
              <w:t>务所对公司的内部控制工作的有效性进行了审计并出具了无保留意见的《内部控</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3"/>
                <w:sz w:val="20"/>
                <w:szCs w:val="20"/>
              </w:rPr>
              <w:t>制审计报告》。公司董事会由独立董事和下设的审计委员会定期听取公司内部控</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3"/>
                <w:sz w:val="20"/>
                <w:szCs w:val="20"/>
              </w:rPr>
              <w:t>制制度执行情况和审计中发现的问题的汇报，并提出相关意见，相关部门及下属</w:t>
            </w:r>
          </w:p>
        </w:tc>
      </w:tr>
      <w:tr>
        <w:trPr>
          <w:trHeight w:val="406" w:hRule="exact"/>
        </w:trPr>
        <w:tc>
          <w:tcPr>
            <w:tcW w:w="1709" w:type="dxa"/>
            <w:tcBorders>
              <w:top w:val="nil" w:sz="6" w:space="0" w:color="auto"/>
              <w:left w:val="single" w:sz="6" w:space="0" w:color="000000"/>
              <w:bottom w:val="single" w:sz="6" w:space="0" w:color="000000"/>
              <w:right w:val="single" w:sz="6" w:space="0" w:color="000000"/>
            </w:tcBorders>
          </w:tcPr>
          <w:p>
            <w:pPr/>
          </w:p>
        </w:tc>
        <w:tc>
          <w:tcPr>
            <w:tcW w:w="7156" w:type="dxa"/>
            <w:tcBorders>
              <w:top w:val="nil" w:sz="6" w:space="0" w:color="auto"/>
              <w:left w:val="single" w:sz="6" w:space="0" w:color="000000"/>
              <w:bottom w:val="single" w:sz="6" w:space="0" w:color="000000"/>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z w:val="20"/>
                <w:szCs w:val="20"/>
              </w:rPr>
              <w:t>单位均会针对问题制定改进措施，并予以落实。</w:t>
            </w:r>
          </w:p>
        </w:tc>
      </w:tr>
      <w:tr>
        <w:trPr>
          <w:trHeight w:val="363" w:hRule="exact"/>
        </w:trPr>
        <w:tc>
          <w:tcPr>
            <w:tcW w:w="1709" w:type="dxa"/>
            <w:tcBorders>
              <w:top w:val="single" w:sz="6" w:space="0" w:color="000000"/>
              <w:left w:val="single" w:sz="6" w:space="0" w:color="000000"/>
              <w:bottom w:val="nil" w:sz="6" w:space="0" w:color="auto"/>
              <w:right w:val="single" w:sz="6" w:space="0" w:color="000000"/>
            </w:tcBorders>
          </w:tcPr>
          <w:p>
            <w:pPr/>
          </w:p>
        </w:tc>
        <w:tc>
          <w:tcPr>
            <w:tcW w:w="7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99" w:right="0"/>
              <w:jc w:val="left"/>
              <w:rPr>
                <w:rFonts w:ascii="宋体" w:hAnsi="宋体" w:cs="宋体" w:eastAsia="宋体" w:hint="default"/>
                <w:sz w:val="20"/>
                <w:szCs w:val="20"/>
              </w:rPr>
            </w:pPr>
            <w:r>
              <w:rPr>
                <w:rFonts w:ascii="宋体" w:hAnsi="宋体" w:cs="宋体" w:eastAsia="宋体" w:hint="default"/>
                <w:spacing w:val="-6"/>
                <w:sz w:val="20"/>
                <w:szCs w:val="20"/>
              </w:rPr>
              <w:t>公司按照《会计法》、《企业财务通则》、《企业会计准则》等法律法规的规定，</w:t>
            </w:r>
          </w:p>
        </w:tc>
      </w:tr>
      <w:tr>
        <w:trPr>
          <w:trHeight w:val="299"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spacing w:val="-6"/>
                <w:sz w:val="20"/>
                <w:szCs w:val="20"/>
              </w:rPr>
              <w:t>制定了涵盖会计政策、财务报告制度、关联交易管理、工程财务管理、资金管理、</w:t>
            </w:r>
          </w:p>
        </w:tc>
      </w:tr>
      <w:tr>
        <w:trPr>
          <w:trHeight w:val="303"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99" w:right="0"/>
              <w:jc w:val="left"/>
              <w:rPr>
                <w:rFonts w:ascii="宋体" w:hAnsi="宋体" w:cs="宋体" w:eastAsia="宋体" w:hint="default"/>
                <w:sz w:val="20"/>
                <w:szCs w:val="20"/>
              </w:rPr>
            </w:pPr>
            <w:r>
              <w:rPr>
                <w:rFonts w:ascii="宋体" w:hAnsi="宋体" w:cs="宋体" w:eastAsia="宋体" w:hint="default"/>
                <w:sz w:val="20"/>
                <w:szCs w:val="20"/>
              </w:rPr>
              <w:t>固定资产管理、预算管理、</w:t>
            </w:r>
            <w:r>
              <w:rPr>
                <w:rFonts w:ascii="Arial" w:hAnsi="Arial" w:cs="Arial" w:eastAsia="Arial" w:hint="default"/>
                <w:sz w:val="20"/>
                <w:szCs w:val="20"/>
              </w:rPr>
              <w:t>ERP</w:t>
            </w:r>
            <w:r>
              <w:rPr>
                <w:rFonts w:ascii="Arial" w:hAnsi="Arial" w:cs="Arial" w:eastAsia="Arial" w:hint="default"/>
                <w:spacing w:val="-15"/>
                <w:sz w:val="20"/>
                <w:szCs w:val="20"/>
              </w:rPr>
              <w:t> </w:t>
            </w:r>
            <w:r>
              <w:rPr>
                <w:rFonts w:ascii="宋体" w:hAnsi="宋体" w:cs="宋体" w:eastAsia="宋体" w:hint="default"/>
                <w:sz w:val="20"/>
                <w:szCs w:val="20"/>
              </w:rPr>
              <w:t>核心系统业务规范等财务内部控制制度，建立</w:t>
            </w:r>
          </w:p>
        </w:tc>
      </w:tr>
      <w:tr>
        <w:trPr>
          <w:trHeight w:val="262"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8" w:lineRule="exact"/>
              <w:ind w:left="99" w:right="0"/>
              <w:jc w:val="left"/>
              <w:rPr>
                <w:rFonts w:ascii="宋体" w:hAnsi="宋体" w:cs="宋体" w:eastAsia="宋体" w:hint="default"/>
                <w:sz w:val="20"/>
                <w:szCs w:val="20"/>
              </w:rPr>
            </w:pPr>
            <w:r>
              <w:rPr>
                <w:rFonts w:ascii="宋体" w:hAnsi="宋体" w:cs="宋体" w:eastAsia="宋体" w:hint="default"/>
                <w:sz w:val="20"/>
                <w:szCs w:val="20"/>
              </w:rPr>
              <w:t>了较为完善的财务内控制度体系，并得到有效实施。</w:t>
            </w:r>
            <w:r>
              <w:rPr>
                <w:rFonts w:ascii="Arial" w:hAnsi="Arial" w:cs="Arial" w:eastAsia="Arial" w:hint="default"/>
                <w:sz w:val="20"/>
                <w:szCs w:val="20"/>
              </w:rPr>
              <w:t>2011</w:t>
            </w:r>
            <w:r>
              <w:rPr>
                <w:rFonts w:ascii="Arial" w:hAnsi="Arial" w:cs="Arial" w:eastAsia="Arial" w:hint="default"/>
                <w:spacing w:val="-14"/>
                <w:sz w:val="20"/>
                <w:szCs w:val="20"/>
              </w:rPr>
              <w:t> </w:t>
            </w:r>
            <w:r>
              <w:rPr>
                <w:rFonts w:ascii="宋体" w:hAnsi="宋体" w:cs="宋体" w:eastAsia="宋体" w:hint="default"/>
                <w:sz w:val="20"/>
                <w:szCs w:val="20"/>
              </w:rPr>
              <w:t>年，结合管理要求、</w:t>
            </w:r>
          </w:p>
        </w:tc>
      </w:tr>
      <w:tr>
        <w:trPr>
          <w:trHeight w:val="1229" w:hRule="exact"/>
        </w:trPr>
        <w:tc>
          <w:tcPr>
            <w:tcW w:w="170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99" w:right="0"/>
              <w:jc w:val="both"/>
              <w:rPr>
                <w:rFonts w:ascii="宋体" w:hAnsi="宋体" w:cs="宋体" w:eastAsia="宋体" w:hint="default"/>
                <w:sz w:val="20"/>
                <w:szCs w:val="20"/>
              </w:rPr>
            </w:pPr>
            <w:r>
              <w:rPr>
                <w:rFonts w:ascii="宋体" w:hAnsi="宋体" w:cs="宋体" w:eastAsia="宋体" w:hint="default"/>
                <w:sz w:val="20"/>
                <w:szCs w:val="20"/>
              </w:rPr>
              <w:t>与财务报告相关</w:t>
            </w:r>
          </w:p>
          <w:p>
            <w:pPr>
              <w:pStyle w:val="TableParagraph"/>
              <w:spacing w:line="237" w:lineRule="auto" w:before="1"/>
              <w:ind w:left="99" w:right="192"/>
              <w:jc w:val="both"/>
              <w:rPr>
                <w:rFonts w:ascii="宋体" w:hAnsi="宋体" w:cs="宋体" w:eastAsia="宋体" w:hint="default"/>
                <w:sz w:val="20"/>
                <w:szCs w:val="20"/>
              </w:rPr>
            </w:pPr>
            <w:r>
              <w:rPr>
                <w:rFonts w:ascii="宋体" w:hAnsi="宋体" w:cs="宋体" w:eastAsia="宋体" w:hint="default"/>
                <w:sz w:val="20"/>
                <w:szCs w:val="20"/>
              </w:rPr>
              <w:t>的内部控制制度</w:t>
            </w:r>
            <w:r>
              <w:rPr>
                <w:rFonts w:ascii="宋体" w:hAnsi="宋体" w:cs="宋体" w:eastAsia="宋体" w:hint="default"/>
                <w:w w:val="100"/>
                <w:sz w:val="20"/>
                <w:szCs w:val="20"/>
              </w:rPr>
              <w:t> </w:t>
            </w:r>
            <w:r>
              <w:rPr>
                <w:rFonts w:ascii="宋体" w:hAnsi="宋体" w:cs="宋体" w:eastAsia="宋体" w:hint="default"/>
                <w:sz w:val="20"/>
                <w:szCs w:val="20"/>
              </w:rPr>
              <w:t>的建立和运行情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73" w:lineRule="auto" w:before="19"/>
              <w:ind w:left="99" w:right="98"/>
              <w:jc w:val="both"/>
              <w:rPr>
                <w:rFonts w:ascii="宋体" w:hAnsi="宋体" w:cs="宋体" w:eastAsia="宋体" w:hint="default"/>
                <w:sz w:val="20"/>
                <w:szCs w:val="20"/>
              </w:rPr>
            </w:pPr>
            <w:r>
              <w:rPr>
                <w:rFonts w:ascii="宋体" w:hAnsi="宋体" w:cs="宋体" w:eastAsia="宋体" w:hint="default"/>
                <w:spacing w:val="-3"/>
                <w:sz w:val="20"/>
                <w:szCs w:val="20"/>
              </w:rPr>
              <w:t>部分业务模式变化、新系统上线等情况，继续关注重点风险，更新优化了财务专</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3"/>
                <w:sz w:val="20"/>
                <w:szCs w:val="20"/>
              </w:rPr>
              <w:t>业内部控制规范；继续将财务相关内控规范的控制目标和关键控制措施落实到具</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3"/>
                <w:sz w:val="20"/>
                <w:szCs w:val="20"/>
              </w:rPr>
              <w:t>体岗位和人员，将内控制度融入到日常财务管理和会计核算中，进一步强化内控</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规范的执行力；借助</w:t>
            </w:r>
            <w:r>
              <w:rPr>
                <w:rFonts w:ascii="宋体" w:hAnsi="宋体" w:cs="宋体" w:eastAsia="宋体" w:hint="default"/>
                <w:spacing w:val="-54"/>
                <w:sz w:val="20"/>
                <w:szCs w:val="20"/>
              </w:rPr>
              <w:t> </w:t>
            </w:r>
            <w:r>
              <w:rPr>
                <w:rFonts w:ascii="Arial" w:hAnsi="Arial" w:cs="Arial" w:eastAsia="Arial" w:hint="default"/>
                <w:sz w:val="20"/>
                <w:szCs w:val="20"/>
              </w:rPr>
              <w:t>ERP</w:t>
            </w:r>
            <w:r>
              <w:rPr>
                <w:rFonts w:ascii="Arial" w:hAnsi="Arial" w:cs="Arial" w:eastAsia="Arial" w:hint="default"/>
                <w:spacing w:val="-11"/>
                <w:sz w:val="20"/>
                <w:szCs w:val="20"/>
              </w:rPr>
              <w:t> </w:t>
            </w:r>
            <w:r>
              <w:rPr>
                <w:rFonts w:ascii="宋体" w:hAnsi="宋体" w:cs="宋体" w:eastAsia="宋体" w:hint="default"/>
                <w:sz w:val="20"/>
                <w:szCs w:val="20"/>
              </w:rPr>
              <w:t>系统实施，固化财务内控规范，规范会计业务操作，</w:t>
            </w:r>
          </w:p>
        </w:tc>
      </w:tr>
      <w:tr>
        <w:trPr>
          <w:trHeight w:val="294"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夯实财务基础工作；完善核算与业务系统的无缝衔接，实现数据从业务系统到核</w:t>
            </w:r>
          </w:p>
        </w:tc>
      </w:tr>
      <w:tr>
        <w:trPr>
          <w:trHeight w:val="298" w:hRule="exact"/>
        </w:trPr>
        <w:tc>
          <w:tcPr>
            <w:tcW w:w="1709" w:type="dxa"/>
            <w:tcBorders>
              <w:top w:val="nil" w:sz="6" w:space="0" w:color="auto"/>
              <w:left w:val="single" w:sz="6" w:space="0" w:color="000000"/>
              <w:bottom w:val="nil" w:sz="6" w:space="0" w:color="auto"/>
              <w:right w:val="single" w:sz="6" w:space="0" w:color="000000"/>
            </w:tcBorders>
          </w:tcPr>
          <w:p>
            <w:pPr/>
          </w:p>
        </w:tc>
        <w:tc>
          <w:tcPr>
            <w:tcW w:w="715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99" w:right="0"/>
              <w:jc w:val="left"/>
              <w:rPr>
                <w:rFonts w:ascii="宋体" w:hAnsi="宋体" w:cs="宋体" w:eastAsia="宋体" w:hint="default"/>
                <w:sz w:val="20"/>
                <w:szCs w:val="20"/>
              </w:rPr>
            </w:pPr>
            <w:r>
              <w:rPr>
                <w:rFonts w:ascii="宋体" w:hAnsi="宋体" w:cs="宋体" w:eastAsia="宋体" w:hint="default"/>
                <w:w w:val="100"/>
                <w:sz w:val="20"/>
                <w:szCs w:val="20"/>
              </w:rPr>
              <w:t>算系统</w:t>
            </w:r>
            <w:r>
              <w:rPr>
                <w:rFonts w:ascii="宋体" w:hAnsi="宋体" w:cs="宋体" w:eastAsia="宋体" w:hint="default"/>
                <w:spacing w:val="-2"/>
                <w:w w:val="100"/>
                <w:sz w:val="20"/>
                <w:szCs w:val="20"/>
              </w:rPr>
              <w:t>到</w:t>
            </w:r>
            <w:r>
              <w:rPr>
                <w:rFonts w:ascii="宋体" w:hAnsi="宋体" w:cs="宋体" w:eastAsia="宋体" w:hint="default"/>
                <w:w w:val="100"/>
                <w:sz w:val="20"/>
                <w:szCs w:val="20"/>
              </w:rPr>
              <w:t>财</w:t>
            </w:r>
            <w:r>
              <w:rPr>
                <w:rFonts w:ascii="宋体" w:hAnsi="宋体" w:cs="宋体" w:eastAsia="宋体" w:hint="default"/>
                <w:spacing w:val="-2"/>
                <w:w w:val="100"/>
                <w:sz w:val="20"/>
                <w:szCs w:val="20"/>
              </w:rPr>
              <w:t>务</w:t>
            </w:r>
            <w:r>
              <w:rPr>
                <w:rFonts w:ascii="宋体" w:hAnsi="宋体" w:cs="宋体" w:eastAsia="宋体" w:hint="default"/>
                <w:w w:val="100"/>
                <w:sz w:val="20"/>
                <w:szCs w:val="20"/>
              </w:rPr>
              <w:t>报表系</w:t>
            </w:r>
            <w:r>
              <w:rPr>
                <w:rFonts w:ascii="宋体" w:hAnsi="宋体" w:cs="宋体" w:eastAsia="宋体" w:hint="default"/>
                <w:spacing w:val="-2"/>
                <w:w w:val="100"/>
                <w:sz w:val="20"/>
                <w:szCs w:val="20"/>
              </w:rPr>
              <w:t>统</w:t>
            </w:r>
            <w:r>
              <w:rPr>
                <w:rFonts w:ascii="宋体" w:hAnsi="宋体" w:cs="宋体" w:eastAsia="宋体" w:hint="default"/>
                <w:w w:val="100"/>
                <w:sz w:val="20"/>
                <w:szCs w:val="20"/>
              </w:rPr>
              <w:t>的</w:t>
            </w:r>
            <w:r>
              <w:rPr>
                <w:rFonts w:ascii="宋体" w:hAnsi="宋体" w:cs="宋体" w:eastAsia="宋体" w:hint="default"/>
                <w:spacing w:val="-2"/>
                <w:w w:val="100"/>
                <w:sz w:val="20"/>
                <w:szCs w:val="20"/>
              </w:rPr>
              <w:t>自</w:t>
            </w:r>
            <w:r>
              <w:rPr>
                <w:rFonts w:ascii="宋体" w:hAnsi="宋体" w:cs="宋体" w:eastAsia="宋体" w:hint="default"/>
                <w:w w:val="100"/>
                <w:sz w:val="20"/>
                <w:szCs w:val="20"/>
              </w:rPr>
              <w:t>动导入</w:t>
            </w:r>
            <w:r>
              <w:rPr>
                <w:rFonts w:ascii="宋体" w:hAnsi="宋体" w:cs="宋体" w:eastAsia="宋体" w:hint="default"/>
                <w:spacing w:val="-2"/>
                <w:w w:val="100"/>
                <w:sz w:val="20"/>
                <w:szCs w:val="20"/>
              </w:rPr>
              <w:t>和</w:t>
            </w:r>
            <w:r>
              <w:rPr>
                <w:rFonts w:ascii="宋体" w:hAnsi="宋体" w:cs="宋体" w:eastAsia="宋体" w:hint="default"/>
                <w:w w:val="100"/>
                <w:sz w:val="20"/>
                <w:szCs w:val="20"/>
              </w:rPr>
              <w:t>提</w:t>
            </w:r>
            <w:r>
              <w:rPr>
                <w:rFonts w:ascii="宋体" w:hAnsi="宋体" w:cs="宋体" w:eastAsia="宋体" w:hint="default"/>
                <w:spacing w:val="-2"/>
                <w:w w:val="100"/>
                <w:sz w:val="20"/>
                <w:szCs w:val="20"/>
              </w:rPr>
              <w:t>取</w:t>
            </w:r>
            <w:r>
              <w:rPr>
                <w:rFonts w:ascii="宋体" w:hAnsi="宋体" w:cs="宋体" w:eastAsia="宋体" w:hint="default"/>
                <w:spacing w:val="-81"/>
                <w:w w:val="100"/>
                <w:sz w:val="20"/>
                <w:szCs w:val="20"/>
              </w:rPr>
              <w:t>，</w:t>
            </w:r>
            <w:r>
              <w:rPr>
                <w:rFonts w:ascii="宋体" w:hAnsi="宋体" w:cs="宋体" w:eastAsia="宋体" w:hint="default"/>
                <w:w w:val="100"/>
                <w:sz w:val="20"/>
                <w:szCs w:val="20"/>
              </w:rPr>
              <w:t>提升了</w:t>
            </w:r>
            <w:r>
              <w:rPr>
                <w:rFonts w:ascii="宋体" w:hAnsi="宋体" w:cs="宋体" w:eastAsia="宋体" w:hint="default"/>
                <w:spacing w:val="-2"/>
                <w:w w:val="100"/>
                <w:sz w:val="20"/>
                <w:szCs w:val="20"/>
              </w:rPr>
              <w:t>财务</w:t>
            </w:r>
            <w:r>
              <w:rPr>
                <w:rFonts w:ascii="宋体" w:hAnsi="宋体" w:cs="宋体" w:eastAsia="宋体" w:hint="default"/>
                <w:w w:val="100"/>
                <w:sz w:val="20"/>
                <w:szCs w:val="20"/>
              </w:rPr>
              <w:t>信息质量</w:t>
            </w:r>
            <w:r>
              <w:rPr>
                <w:rFonts w:ascii="宋体" w:hAnsi="宋体" w:cs="宋体" w:eastAsia="宋体" w:hint="default"/>
                <w:spacing w:val="-82"/>
                <w:w w:val="100"/>
                <w:sz w:val="20"/>
                <w:szCs w:val="20"/>
              </w:rPr>
              <w:t>；</w:t>
            </w:r>
            <w:r>
              <w:rPr>
                <w:rFonts w:ascii="宋体" w:hAnsi="宋体" w:cs="宋体" w:eastAsia="宋体" w:hint="default"/>
                <w:spacing w:val="-2"/>
                <w:w w:val="100"/>
                <w:sz w:val="20"/>
                <w:szCs w:val="20"/>
              </w:rPr>
              <w:t>通</w:t>
            </w:r>
            <w:r>
              <w:rPr>
                <w:rFonts w:ascii="宋体" w:hAnsi="宋体" w:cs="宋体" w:eastAsia="宋体" w:hint="default"/>
                <w:w w:val="100"/>
                <w:sz w:val="20"/>
                <w:szCs w:val="20"/>
              </w:rPr>
              <w:t>过财务</w:t>
            </w:r>
            <w:r>
              <w:rPr>
                <w:rFonts w:ascii="宋体" w:hAnsi="宋体" w:cs="宋体" w:eastAsia="宋体" w:hint="default"/>
                <w:spacing w:val="-2"/>
                <w:w w:val="100"/>
                <w:sz w:val="20"/>
                <w:szCs w:val="20"/>
              </w:rPr>
              <w:t>检</w:t>
            </w:r>
            <w:r>
              <w:rPr>
                <w:rFonts w:ascii="宋体" w:hAnsi="宋体" w:cs="宋体" w:eastAsia="宋体" w:hint="default"/>
                <w:w w:val="100"/>
                <w:sz w:val="20"/>
                <w:szCs w:val="20"/>
              </w:rPr>
              <w:t>查、</w:t>
            </w:r>
          </w:p>
        </w:tc>
      </w:tr>
      <w:tr>
        <w:trPr>
          <w:trHeight w:val="402" w:hRule="exact"/>
        </w:trPr>
        <w:tc>
          <w:tcPr>
            <w:tcW w:w="1709" w:type="dxa"/>
            <w:tcBorders>
              <w:top w:val="nil" w:sz="6" w:space="0" w:color="auto"/>
              <w:left w:val="single" w:sz="6" w:space="0" w:color="000000"/>
              <w:bottom w:val="single" w:sz="6" w:space="0" w:color="000000"/>
              <w:right w:val="single" w:sz="6" w:space="0" w:color="000000"/>
            </w:tcBorders>
          </w:tcPr>
          <w:p>
            <w:pPr/>
          </w:p>
        </w:tc>
        <w:tc>
          <w:tcPr>
            <w:tcW w:w="7156" w:type="dxa"/>
            <w:tcBorders>
              <w:top w:val="nil" w:sz="6" w:space="0" w:color="auto"/>
              <w:left w:val="single" w:sz="6" w:space="0" w:color="000000"/>
              <w:bottom w:val="single" w:sz="6" w:space="0" w:color="000000"/>
              <w:right w:val="single" w:sz="6" w:space="0" w:color="000000"/>
            </w:tcBorders>
          </w:tcPr>
          <w:p>
            <w:pPr>
              <w:pStyle w:val="TableParagraph"/>
              <w:spacing w:line="249" w:lineRule="exact"/>
              <w:ind w:left="99" w:right="0"/>
              <w:jc w:val="left"/>
              <w:rPr>
                <w:rFonts w:ascii="宋体" w:hAnsi="宋体" w:cs="宋体" w:eastAsia="宋体" w:hint="default"/>
                <w:sz w:val="20"/>
                <w:szCs w:val="20"/>
              </w:rPr>
            </w:pPr>
            <w:r>
              <w:rPr>
                <w:rFonts w:ascii="宋体" w:hAnsi="宋体" w:cs="宋体" w:eastAsia="宋体" w:hint="default"/>
                <w:sz w:val="20"/>
                <w:szCs w:val="20"/>
              </w:rPr>
              <w:t>内控评审等工作，跟踪并促进各项制度的贯彻落实，有效防范财务风险。</w:t>
            </w:r>
          </w:p>
        </w:tc>
      </w:tr>
      <w:tr>
        <w:trPr>
          <w:trHeight w:val="353" w:hRule="exact"/>
        </w:trPr>
        <w:tc>
          <w:tcPr>
            <w:tcW w:w="170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4"/>
              <w:ind w:left="99" w:right="0"/>
              <w:jc w:val="left"/>
              <w:rPr>
                <w:rFonts w:ascii="宋体" w:hAnsi="宋体" w:cs="宋体" w:eastAsia="宋体" w:hint="default"/>
                <w:sz w:val="20"/>
                <w:szCs w:val="20"/>
              </w:rPr>
            </w:pPr>
            <w:r>
              <w:rPr>
                <w:rFonts w:ascii="宋体" w:hAnsi="宋体" w:cs="宋体" w:eastAsia="宋体" w:hint="default"/>
                <w:sz w:val="20"/>
                <w:szCs w:val="20"/>
              </w:rPr>
              <w:t>内部控制存在的</w:t>
            </w:r>
          </w:p>
        </w:tc>
        <w:tc>
          <w:tcPr>
            <w:tcW w:w="7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
              <w:ind w:left="99"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8"/>
                <w:sz w:val="20"/>
                <w:szCs w:val="20"/>
              </w:rPr>
              <w:t> </w:t>
            </w:r>
            <w:r>
              <w:rPr>
                <w:rFonts w:ascii="Arial" w:hAnsi="Arial" w:cs="Arial" w:eastAsia="Arial" w:hint="default"/>
                <w:sz w:val="20"/>
                <w:szCs w:val="20"/>
              </w:rPr>
              <w:t>2011</w:t>
            </w:r>
            <w:r>
              <w:rPr>
                <w:rFonts w:ascii="Arial" w:hAnsi="Arial" w:cs="Arial" w:eastAsia="Arial" w:hint="default"/>
                <w:spacing w:val="-13"/>
                <w:sz w:val="20"/>
                <w:szCs w:val="20"/>
              </w:rPr>
              <w:t> </w:t>
            </w:r>
            <w:r>
              <w:rPr>
                <w:rFonts w:ascii="宋体" w:hAnsi="宋体" w:cs="宋体" w:eastAsia="宋体" w:hint="default"/>
                <w:sz w:val="20"/>
                <w:szCs w:val="20"/>
              </w:rPr>
              <w:t>年度内控评审中发现个别分公司存在的个别一般内控缺陷，不构成对</w:t>
            </w:r>
          </w:p>
        </w:tc>
      </w:tr>
      <w:tr>
        <w:trPr>
          <w:trHeight w:val="353" w:hRule="exact"/>
        </w:trPr>
        <w:tc>
          <w:tcPr>
            <w:tcW w:w="1709" w:type="dxa"/>
            <w:tcBorders>
              <w:top w:val="nil" w:sz="6" w:space="0" w:color="auto"/>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缺陷及整改情况</w:t>
            </w:r>
          </w:p>
        </w:tc>
        <w:tc>
          <w:tcPr>
            <w:tcW w:w="7156" w:type="dxa"/>
            <w:tcBorders>
              <w:top w:val="nil" w:sz="6" w:space="0" w:color="auto"/>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财务报告的重大影响，也不属于内部控制存在重大缺陷或实质性漏洞。</w:t>
            </w:r>
          </w:p>
        </w:tc>
      </w:tr>
    </w:tbl>
    <w:p>
      <w:pPr>
        <w:spacing w:line="240" w:lineRule="auto" w:before="2"/>
        <w:rPr>
          <w:rFonts w:ascii="宋体" w:hAnsi="宋体" w:cs="宋体" w:eastAsia="宋体" w:hint="default"/>
          <w:sz w:val="14"/>
          <w:szCs w:val="14"/>
        </w:rPr>
      </w:pPr>
    </w:p>
    <w:p>
      <w:pPr>
        <w:pStyle w:val="BodyText"/>
        <w:spacing w:line="240" w:lineRule="auto" w:before="31"/>
        <w:ind w:left="145" w:right="0"/>
        <w:jc w:val="left"/>
      </w:pPr>
      <w:r>
        <w:rPr/>
        <w:t>（五）高级管理人员的考评及激励情况</w:t>
      </w:r>
    </w:p>
    <w:p>
      <w:pPr>
        <w:spacing w:line="240" w:lineRule="auto" w:before="3"/>
        <w:rPr>
          <w:rFonts w:ascii="宋体" w:hAnsi="宋体" w:cs="宋体" w:eastAsia="宋体" w:hint="default"/>
          <w:sz w:val="21"/>
          <w:szCs w:val="21"/>
        </w:rPr>
      </w:pPr>
    </w:p>
    <w:p>
      <w:pPr>
        <w:pStyle w:val="BodyText"/>
        <w:spacing w:line="286" w:lineRule="exact"/>
        <w:ind w:left="757" w:right="0"/>
        <w:jc w:val="left"/>
      </w:pPr>
      <w:r>
        <w:rPr>
          <w:w w:val="95"/>
        </w:rPr>
        <w:t>根据公司高级管理人员绩效考核办法和董事会确定的年度目标，年终通过高管人员的述职、</w:t>
      </w:r>
      <w:r>
        <w:rPr>
          <w:spacing w:val="14"/>
          <w:w w:val="95"/>
        </w:rPr>
        <w:t> </w:t>
      </w:r>
      <w:r>
        <w:rPr>
          <w:spacing w:val="14"/>
          <w:w w:val="95"/>
        </w:rPr>
      </w:r>
      <w:r>
        <w:rPr/>
        <w:t>公司各层面的综合评分，采用经营绩效等综合指标评价考核公司高管人员，并将高管人员</w:t>
      </w:r>
      <w:r>
        <w:rPr>
          <w:w w:val="99"/>
        </w:rPr>
        <w:t> </w:t>
      </w:r>
      <w:r>
        <w:rPr/>
        <w:t>的薪酬与考核业绩挂钩。</w:t>
      </w:r>
    </w:p>
    <w:p>
      <w:pPr>
        <w:spacing w:line="240" w:lineRule="auto" w:before="1"/>
        <w:rPr>
          <w:rFonts w:ascii="宋体" w:hAnsi="宋体" w:cs="宋体" w:eastAsia="宋体" w:hint="default"/>
          <w:sz w:val="17"/>
          <w:szCs w:val="17"/>
        </w:rPr>
      </w:pPr>
    </w:p>
    <w:p>
      <w:pPr>
        <w:pStyle w:val="BodyText"/>
        <w:spacing w:line="240" w:lineRule="auto"/>
        <w:ind w:left="145" w:right="0"/>
        <w:jc w:val="left"/>
      </w:pPr>
      <w:r>
        <w:rPr/>
        <w:t>（六）公司内部控制及社会责任的相关报告</w:t>
      </w:r>
    </w:p>
    <w:p>
      <w:pPr>
        <w:spacing w:line="240" w:lineRule="auto" w:before="2"/>
        <w:rPr>
          <w:rFonts w:ascii="宋体" w:hAnsi="宋体" w:cs="宋体" w:eastAsia="宋体" w:hint="default"/>
          <w:sz w:val="19"/>
          <w:szCs w:val="19"/>
        </w:rPr>
      </w:pPr>
    </w:p>
    <w:p>
      <w:pPr>
        <w:pStyle w:val="BodyText"/>
        <w:spacing w:line="240" w:lineRule="auto"/>
        <w:ind w:left="838" w:right="0"/>
        <w:jc w:val="left"/>
      </w:pPr>
      <w:r>
        <w:rPr/>
        <w:t>本公司下述与内控相关的报告同时披露在</w:t>
      </w:r>
      <w:r>
        <w:rPr>
          <w:spacing w:val="-75"/>
        </w:rPr>
        <w:t> </w:t>
      </w:r>
      <w:hyperlink r:id="rId12">
        <w:r>
          <w:rPr>
            <w:rFonts w:ascii="Arial" w:hAnsi="Arial" w:cs="Arial" w:eastAsia="Arial" w:hint="default"/>
          </w:rPr>
          <w:t>www.sse.com.cn</w:t>
        </w:r>
      </w:hyperlink>
      <w:r>
        <w:rPr>
          <w:rFonts w:ascii="Arial" w:hAnsi="Arial" w:cs="Arial" w:eastAsia="Arial" w:hint="default"/>
          <w:spacing w:val="-27"/>
        </w:rPr>
        <w:t> </w:t>
      </w:r>
      <w:r>
        <w:rPr/>
        <w:t>和</w:t>
      </w:r>
      <w:r>
        <w:rPr>
          <w:spacing w:val="-75"/>
        </w:rPr>
        <w:t> </w:t>
      </w:r>
      <w:hyperlink r:id="rId10">
        <w:r>
          <w:rPr>
            <w:rFonts w:ascii="Arial" w:hAnsi="Arial" w:cs="Arial" w:eastAsia="Arial" w:hint="default"/>
          </w:rPr>
          <w:t>www.chinaunicom-a.com</w:t>
        </w:r>
      </w:hyperlink>
      <w:r>
        <w:rPr>
          <w:rFonts w:ascii="Arial" w:hAnsi="Arial" w:cs="Arial" w:eastAsia="Arial" w:hint="default"/>
          <w:spacing w:val="-26"/>
        </w:rPr>
        <w:t> </w:t>
      </w:r>
      <w:r>
        <w:rPr/>
        <w:t>中。</w:t>
      </w:r>
    </w:p>
    <w:p>
      <w:pPr>
        <w:spacing w:line="240" w:lineRule="auto" w:before="0"/>
        <w:rPr>
          <w:rFonts w:ascii="宋体" w:hAnsi="宋体" w:cs="宋体" w:eastAsia="宋体" w:hint="default"/>
          <w:sz w:val="20"/>
          <w:szCs w:val="20"/>
        </w:rPr>
      </w:pPr>
    </w:p>
    <w:p>
      <w:pPr>
        <w:pStyle w:val="BodyText"/>
        <w:spacing w:line="286" w:lineRule="exact"/>
        <w:ind w:left="1153" w:right="360" w:hanging="360"/>
        <w:jc w:val="left"/>
      </w:pPr>
      <w:r>
        <w:rPr>
          <w:rFonts w:ascii="Arial" w:hAnsi="Arial" w:cs="Arial" w:eastAsia="Arial" w:hint="default"/>
          <w:spacing w:val="-1"/>
          <w:w w:val="99"/>
        </w:rPr>
        <w:t>1</w:t>
      </w:r>
      <w:r>
        <w:rPr>
          <w:spacing w:val="-1"/>
          <w:w w:val="99"/>
        </w:rPr>
        <w:t>、报告期内，公司披露的内部控制的自我评价报告与外部审计机构出具的财务报告内部控</w:t>
      </w:r>
      <w:r>
        <w:rPr>
          <w:w w:val="99"/>
        </w:rPr>
        <w:t> </w:t>
      </w:r>
      <w:r>
        <w:rPr/>
        <w:t>制审计报告意见一致。公司内部控制的自我评价报告如下：</w:t>
      </w:r>
    </w:p>
    <w:p>
      <w:pPr>
        <w:spacing w:after="0" w:line="286" w:lineRule="exact"/>
        <w:jc w:val="left"/>
        <w:sectPr>
          <w:pgSz w:w="11900" w:h="16840"/>
          <w:pgMar w:header="927" w:footer="752" w:top="1160" w:bottom="940" w:left="1340" w:right="7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9061" w:lineRule="exact"/>
        <w:ind w:left="244" w:right="0" w:firstLine="0"/>
        <w:rPr>
          <w:rFonts w:ascii="宋体" w:hAnsi="宋体" w:cs="宋体" w:eastAsia="宋体" w:hint="default"/>
          <w:sz w:val="20"/>
          <w:szCs w:val="20"/>
        </w:rPr>
      </w:pPr>
      <w:r>
        <w:rPr>
          <w:rFonts w:ascii="宋体" w:hAnsi="宋体" w:cs="宋体" w:eastAsia="宋体" w:hint="default"/>
          <w:position w:val="-180"/>
          <w:sz w:val="20"/>
          <w:szCs w:val="20"/>
        </w:rPr>
        <w:pict>
          <v:shape style="width:446.55pt;height:453.1pt;mso-position-horizontal-relative:char;mso-position-vertical-relative:line" type="#_x0000_t202" filled="false" stroked="true" strokeweight=".75pt" strokecolor="#000000">
            <w10:anchorlock/>
            <v:textbox inset="0,0,0,0">
              <w:txbxContent>
                <w:p>
                  <w:pPr>
                    <w:spacing w:before="33"/>
                    <w:ind w:left="2778" w:right="0" w:firstLine="0"/>
                    <w:jc w:val="left"/>
                    <w:rPr>
                      <w:rFonts w:ascii="宋体" w:hAnsi="宋体" w:cs="宋体" w:eastAsia="宋体" w:hint="default"/>
                      <w:sz w:val="24"/>
                      <w:szCs w:val="24"/>
                    </w:rPr>
                  </w:pPr>
                  <w:r>
                    <w:rPr>
                      <w:rFonts w:ascii="宋体" w:hAnsi="宋体" w:cs="宋体" w:eastAsia="宋体" w:hint="default"/>
                      <w:sz w:val="24"/>
                      <w:szCs w:val="24"/>
                    </w:rPr>
                    <w:t>中国联合网络通信股份有限公司</w:t>
                  </w:r>
                </w:p>
                <w:p>
                  <w:pPr>
                    <w:spacing w:before="152"/>
                    <w:ind w:left="2961" w:right="0" w:firstLine="0"/>
                    <w:jc w:val="left"/>
                    <w:rPr>
                      <w:rFonts w:ascii="宋体" w:hAnsi="宋体" w:cs="宋体" w:eastAsia="宋体" w:hint="default"/>
                      <w:sz w:val="24"/>
                      <w:szCs w:val="24"/>
                    </w:rPr>
                  </w:pPr>
                  <w:r>
                    <w:rPr>
                      <w:rFonts w:ascii="Arial" w:hAnsi="Arial" w:cs="Arial" w:eastAsia="Arial" w:hint="default"/>
                      <w:sz w:val="24"/>
                      <w:szCs w:val="24"/>
                    </w:rPr>
                    <w:t>2011</w:t>
                  </w:r>
                  <w:r>
                    <w:rPr>
                      <w:rFonts w:ascii="Arial" w:hAnsi="Arial" w:cs="Arial" w:eastAsia="Arial" w:hint="default"/>
                      <w:spacing w:val="-11"/>
                      <w:sz w:val="24"/>
                      <w:szCs w:val="24"/>
                    </w:rPr>
                    <w:t> </w:t>
                  </w:r>
                  <w:r>
                    <w:rPr>
                      <w:rFonts w:ascii="宋体" w:hAnsi="宋体" w:cs="宋体" w:eastAsia="宋体" w:hint="default"/>
                      <w:sz w:val="24"/>
                      <w:szCs w:val="24"/>
                    </w:rPr>
                    <w:t>年度内部控制评价报告</w:t>
                  </w:r>
                </w:p>
                <w:p>
                  <w:pPr>
                    <w:spacing w:line="240" w:lineRule="auto" w:before="13"/>
                    <w:rPr>
                      <w:rFonts w:ascii="宋体" w:hAnsi="宋体" w:cs="宋体" w:eastAsia="宋体" w:hint="default"/>
                      <w:sz w:val="31"/>
                      <w:szCs w:val="31"/>
                    </w:rPr>
                  </w:pPr>
                </w:p>
                <w:p>
                  <w:pPr>
                    <w:pStyle w:val="BodyText"/>
                    <w:spacing w:line="357" w:lineRule="auto"/>
                    <w:ind w:left="144" w:right="187" w:firstLine="440"/>
                    <w:jc w:val="left"/>
                  </w:pPr>
                  <w:r>
                    <w:rPr/>
                    <w:t>董事会全体成员保证本报告内容真实、准确和完整，没有虚假记载、误导性陈述或者</w:t>
                  </w:r>
                  <w:r>
                    <w:rPr>
                      <w:w w:val="99"/>
                    </w:rPr>
                    <w:t> </w:t>
                  </w:r>
                  <w:r>
                    <w:rPr/>
                    <w:t>重大遗漏。</w:t>
                  </w:r>
                </w:p>
                <w:p>
                  <w:pPr>
                    <w:spacing w:line="240" w:lineRule="auto" w:before="11"/>
                    <w:rPr>
                      <w:rFonts w:ascii="宋体" w:hAnsi="宋体" w:cs="宋体" w:eastAsia="宋体" w:hint="default"/>
                      <w:sz w:val="23"/>
                      <w:szCs w:val="23"/>
                    </w:rPr>
                  </w:pPr>
                </w:p>
                <w:p>
                  <w:pPr>
                    <w:pStyle w:val="BodyText"/>
                    <w:spacing w:line="355" w:lineRule="auto"/>
                    <w:ind w:left="585" w:right="186" w:hanging="441"/>
                    <w:jc w:val="left"/>
                  </w:pPr>
                  <w:r>
                    <w:rPr/>
                    <w:t>中国联合网络通信股份有限公司全体股东：</w:t>
                  </w:r>
                  <w:r>
                    <w:rPr>
                      <w:w w:val="99"/>
                    </w:rPr>
                    <w:t> </w:t>
                  </w:r>
                  <w:r>
                    <w:rPr/>
                    <w:t>中国联合网络通信股份有限公司董事会（以下简称“董事会”）对建立和维护充分的</w:t>
                  </w:r>
                </w:p>
                <w:p>
                  <w:pPr>
                    <w:pStyle w:val="BodyText"/>
                    <w:spacing w:line="355" w:lineRule="auto" w:before="35"/>
                    <w:ind w:left="585" w:right="186" w:hanging="441"/>
                    <w:jc w:val="left"/>
                  </w:pPr>
                  <w:r>
                    <w:rPr/>
                    <w:t>财务报告相关内部控制制度负责。</w:t>
                  </w:r>
                  <w:r>
                    <w:rPr>
                      <w:w w:val="99"/>
                    </w:rPr>
                    <w:t> </w:t>
                  </w:r>
                  <w:r>
                    <w:rPr/>
                    <w:t>财务报告相关内部控制的目标是保证财务报告信息真实完整和可靠、防范重大错报风</w:t>
                  </w:r>
                </w:p>
                <w:p>
                  <w:pPr>
                    <w:pStyle w:val="BodyText"/>
                    <w:spacing w:line="357" w:lineRule="auto" w:before="35"/>
                    <w:ind w:left="585" w:right="186" w:hanging="441"/>
                    <w:jc w:val="left"/>
                  </w:pPr>
                  <w:r>
                    <w:rPr/>
                    <w:t>险。由于内部控制存在固有局限性，因此仅能对上述目标提供合理保证。</w:t>
                  </w:r>
                  <w:r>
                    <w:rPr>
                      <w:w w:val="99"/>
                    </w:rPr>
                    <w:t> </w:t>
                  </w:r>
                  <w:r>
                    <w:rPr/>
                    <w:t>董事会已按照《企业内部控制基本规范》要求对财务报告相关内部控制进行了评价，</w:t>
                  </w:r>
                </w:p>
                <w:p>
                  <w:pPr>
                    <w:pStyle w:val="BodyText"/>
                    <w:spacing w:line="348" w:lineRule="auto" w:before="31"/>
                    <w:ind w:left="585" w:right="186" w:hanging="441"/>
                    <w:jc w:val="left"/>
                  </w:pPr>
                  <w:r>
                    <w:rPr/>
                    <w:t>并认为其在</w:t>
                  </w:r>
                  <w:r>
                    <w:rPr>
                      <w:spacing w:val="-55"/>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日（基准日）有效。</w:t>
                  </w:r>
                  <w:r>
                    <w:rPr>
                      <w:w w:val="99"/>
                    </w:rPr>
                    <w:t> </w:t>
                  </w:r>
                  <w:r>
                    <w:rPr/>
                    <w:t>我公司在内部控制自我评价过程中未发现与非财务报告相关的内部控制缺陷。</w:t>
                  </w:r>
                  <w:r>
                    <w:rPr>
                      <w:w w:val="99"/>
                    </w:rPr>
                    <w:t> </w:t>
                  </w:r>
                  <w:r>
                    <w:rPr/>
                    <w:t>我公司聘请的普华永道中天会计师事务所有限公司已对公司财务报告相关内部控制的</w:t>
                  </w:r>
                </w:p>
                <w:p>
                  <w:pPr>
                    <w:pStyle w:val="BodyText"/>
                    <w:spacing w:line="240" w:lineRule="auto" w:before="40"/>
                    <w:ind w:left="144" w:right="0"/>
                    <w:jc w:val="left"/>
                  </w:pPr>
                  <w:r>
                    <w:rPr/>
                    <w:t>有效性进行了审计，出具了内部控制有效的审计意见。</w:t>
                  </w:r>
                </w:p>
                <w:p>
                  <w:pPr>
                    <w:pStyle w:val="BodyText"/>
                    <w:spacing w:line="800" w:lineRule="atLeast" w:before="7"/>
                    <w:ind w:left="5692" w:right="141" w:firstLine="1539"/>
                    <w:jc w:val="right"/>
                  </w:pPr>
                  <w:r>
                    <w:rPr>
                      <w:w w:val="95"/>
                    </w:rPr>
                    <w:t>董事长：常小兵</w:t>
                  </w:r>
                  <w:r>
                    <w:rPr>
                      <w:w w:val="99"/>
                    </w:rPr>
                    <w:t> </w:t>
                  </w:r>
                  <w:r>
                    <w:rPr>
                      <w:w w:val="95"/>
                    </w:rPr>
                    <w:t>中国联合网络通信股份有限公司</w:t>
                  </w:r>
                  <w:r>
                    <w:rPr/>
                  </w:r>
                </w:p>
                <w:p>
                  <w:pPr>
                    <w:pStyle w:val="BodyText"/>
                    <w:spacing w:line="240" w:lineRule="auto" w:before="140"/>
                    <w:ind w:left="0" w:right="140"/>
                    <w:jc w:val="right"/>
                  </w:pP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22</w:t>
                  </w:r>
                  <w:r>
                    <w:rPr>
                      <w:rFonts w:ascii="Arial" w:hAnsi="Arial" w:cs="Arial" w:eastAsia="Arial" w:hint="default"/>
                      <w:spacing w:val="-7"/>
                    </w:rPr>
                    <w:t> </w:t>
                  </w:r>
                  <w:r>
                    <w:rPr/>
                    <w:t>日</w:t>
                  </w:r>
                </w:p>
              </w:txbxContent>
            </v:textbox>
          </v:shape>
        </w:pict>
      </w:r>
      <w:r>
        <w:rPr>
          <w:rFonts w:ascii="宋体" w:hAnsi="宋体" w:cs="宋体" w:eastAsia="宋体" w:hint="default"/>
          <w:position w:val="-180"/>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1"/>
        <w:ind w:left="793" w:right="0"/>
        <w:jc w:val="left"/>
      </w:pPr>
      <w:r>
        <w:rPr>
          <w:rFonts w:ascii="Arial" w:hAnsi="Arial" w:cs="Arial" w:eastAsia="Arial" w:hint="default"/>
        </w:rPr>
        <w:t>2</w:t>
      </w:r>
      <w:r>
        <w:rPr/>
        <w:t>、公司委聘的外部审计机构出具的财务报告内部控制审计报告如下：</w:t>
      </w:r>
    </w:p>
    <w:p>
      <w:pPr>
        <w:spacing w:after="0" w:line="240" w:lineRule="auto"/>
        <w:jc w:val="left"/>
        <w:sectPr>
          <w:pgSz w:w="11900" w:h="16840"/>
          <w:pgMar w:header="927" w:footer="752" w:top="1160" w:bottom="940" w:left="1340" w:right="980"/>
        </w:sectPr>
      </w:pPr>
    </w:p>
    <w:p>
      <w:pPr>
        <w:spacing w:line="240" w:lineRule="auto" w:before="0"/>
        <w:rPr>
          <w:rFonts w:ascii="宋体" w:hAnsi="宋体" w:cs="宋体" w:eastAsia="宋体" w:hint="default"/>
          <w:sz w:val="20"/>
          <w:szCs w:val="20"/>
        </w:rPr>
      </w:pPr>
      <w:r>
        <w:rPr/>
        <w:pict>
          <v:group style="position:absolute;margin-left:78.044998pt;margin-top:61.305pt;width:466.8pt;height:707.1pt;mso-position-horizontal-relative:page;mso-position-vertical-relative:page;z-index:-823216" coordorigin="1561,1226" coordsize="9336,14142">
            <v:group style="position:absolute;left:1568;top:1234;width:9321;height:14127" coordorigin="1568,1234" coordsize="9321,14127">
              <v:shape style="position:absolute;left:1568;top:1234;width:9321;height:14127" coordorigin="1568,1234" coordsize="9321,14127" path="m10889,1234l1568,1234,1568,15360,10889,15360,10889,1234xe" filled="false" stroked="true" strokeweight=".75pt" strokecolor="#000000">
                <v:path arrowok="t"/>
              </v:shape>
              <v:shape style="position:absolute;left:1720;top:1314;width:9120;height:1396" type="#_x0000_t75" stroked="false">
                <v:imagedata r:id="rId14"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2"/>
        <w:spacing w:line="240" w:lineRule="auto" w:before="26"/>
        <w:ind w:left="3908" w:right="3792"/>
        <w:jc w:val="center"/>
        <w:rPr>
          <w:rFonts w:ascii="黑体" w:hAnsi="黑体" w:cs="黑体" w:eastAsia="黑体" w:hint="default"/>
        </w:rPr>
      </w:pPr>
      <w:r>
        <w:rPr>
          <w:rFonts w:ascii="黑体" w:hAnsi="黑体" w:cs="黑体" w:eastAsia="黑体" w:hint="default"/>
        </w:rPr>
        <w:t>内部控制审计报告</w:t>
      </w:r>
    </w:p>
    <w:p>
      <w:pPr>
        <w:spacing w:line="240" w:lineRule="auto" w:before="0"/>
        <w:rPr>
          <w:rFonts w:ascii="黑体" w:hAnsi="黑体" w:cs="黑体" w:eastAsia="黑体" w:hint="default"/>
          <w:sz w:val="24"/>
          <w:szCs w:val="24"/>
        </w:rPr>
      </w:pPr>
    </w:p>
    <w:p>
      <w:pPr>
        <w:spacing w:line="240" w:lineRule="auto" w:before="10"/>
        <w:rPr>
          <w:rFonts w:ascii="黑体" w:hAnsi="黑体" w:cs="黑体" w:eastAsia="黑体" w:hint="default"/>
          <w:sz w:val="27"/>
          <w:szCs w:val="27"/>
        </w:rPr>
      </w:pPr>
    </w:p>
    <w:p>
      <w:pPr>
        <w:spacing w:before="0"/>
        <w:ind w:left="5541" w:right="91" w:firstLine="0"/>
        <w:jc w:val="left"/>
        <w:rPr>
          <w:rFonts w:ascii="宋体" w:hAnsi="宋体" w:cs="宋体" w:eastAsia="宋体" w:hint="default"/>
          <w:sz w:val="24"/>
          <w:szCs w:val="24"/>
        </w:rPr>
      </w:pPr>
      <w:r>
        <w:rPr>
          <w:rFonts w:ascii="宋体" w:hAnsi="宋体" w:cs="宋体" w:eastAsia="宋体" w:hint="default"/>
          <w:sz w:val="24"/>
          <w:szCs w:val="24"/>
        </w:rPr>
        <w:t>普华永道中天特审字</w:t>
      </w:r>
      <w:r>
        <w:rPr>
          <w:rFonts w:ascii="Georgia" w:hAnsi="Georgia" w:cs="Georgia" w:eastAsia="Georgia" w:hint="default"/>
          <w:sz w:val="24"/>
          <w:szCs w:val="24"/>
        </w:rPr>
        <w:t>(2012)</w:t>
      </w:r>
      <w:r>
        <w:rPr>
          <w:rFonts w:ascii="宋体" w:hAnsi="宋体" w:cs="宋体" w:eastAsia="宋体" w:hint="default"/>
          <w:sz w:val="24"/>
          <w:szCs w:val="24"/>
        </w:rPr>
        <w:t>第</w:t>
      </w:r>
      <w:r>
        <w:rPr>
          <w:rFonts w:ascii="宋体" w:hAnsi="宋体" w:cs="宋体" w:eastAsia="宋体" w:hint="default"/>
          <w:spacing w:val="-62"/>
          <w:sz w:val="24"/>
          <w:szCs w:val="24"/>
        </w:rPr>
        <w:t> </w:t>
      </w:r>
      <w:r>
        <w:rPr>
          <w:rFonts w:ascii="Georgia" w:hAnsi="Georgia" w:cs="Georgia" w:eastAsia="Georgia" w:hint="default"/>
          <w:sz w:val="24"/>
          <w:szCs w:val="24"/>
        </w:rPr>
        <w:t>652 </w:t>
      </w:r>
      <w:r>
        <w:rPr>
          <w:rFonts w:ascii="宋体" w:hAnsi="宋体" w:cs="宋体" w:eastAsia="宋体" w:hint="default"/>
          <w:sz w:val="24"/>
          <w:szCs w:val="24"/>
        </w:rPr>
        <w:t>号</w:t>
      </w:r>
    </w:p>
    <w:p>
      <w:pPr>
        <w:spacing w:line="240" w:lineRule="auto" w:before="7"/>
        <w:rPr>
          <w:rFonts w:ascii="宋体" w:hAnsi="宋体" w:cs="宋体" w:eastAsia="宋体" w:hint="default"/>
          <w:sz w:val="33"/>
          <w:szCs w:val="33"/>
        </w:rPr>
      </w:pPr>
    </w:p>
    <w:p>
      <w:pPr>
        <w:spacing w:before="0"/>
        <w:ind w:left="551" w:right="0" w:firstLine="0"/>
        <w:jc w:val="both"/>
        <w:rPr>
          <w:rFonts w:ascii="宋体" w:hAnsi="宋体" w:cs="宋体" w:eastAsia="宋体" w:hint="default"/>
          <w:sz w:val="24"/>
          <w:szCs w:val="24"/>
        </w:rPr>
      </w:pPr>
      <w:r>
        <w:rPr>
          <w:rFonts w:ascii="宋体" w:hAnsi="宋体" w:cs="宋体" w:eastAsia="宋体" w:hint="default"/>
          <w:sz w:val="24"/>
          <w:szCs w:val="24"/>
        </w:rPr>
        <w:t>中国联合网络通信股份有限公司全体股东:</w:t>
      </w:r>
    </w:p>
    <w:p>
      <w:pPr>
        <w:spacing w:line="240" w:lineRule="auto" w:before="1"/>
        <w:rPr>
          <w:rFonts w:ascii="宋体" w:hAnsi="宋体" w:cs="宋体" w:eastAsia="宋体" w:hint="default"/>
          <w:sz w:val="26"/>
          <w:szCs w:val="26"/>
        </w:rPr>
      </w:pPr>
    </w:p>
    <w:p>
      <w:pPr>
        <w:spacing w:line="310" w:lineRule="exact" w:before="0"/>
        <w:ind w:left="551" w:right="259" w:firstLine="0"/>
        <w:jc w:val="both"/>
        <w:rPr>
          <w:rFonts w:ascii="宋体" w:hAnsi="宋体" w:cs="宋体" w:eastAsia="宋体" w:hint="default"/>
          <w:sz w:val="24"/>
          <w:szCs w:val="24"/>
        </w:rPr>
      </w:pPr>
      <w:r>
        <w:rPr>
          <w:rFonts w:ascii="宋体" w:hAnsi="宋体" w:cs="宋体" w:eastAsia="宋体" w:hint="default"/>
          <w:spacing w:val="-1"/>
          <w:sz w:val="24"/>
          <w:szCs w:val="24"/>
        </w:rPr>
        <w:t>按照《企业内部控制审计指引》及中国注册会计师执业准则的相关要求，我们审计了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中国联合网络通信股份有限公司(以下简称“贵公司”)</w:t>
      </w:r>
      <w:r>
        <w:rPr>
          <w:rFonts w:ascii="宋体" w:hAnsi="宋体" w:cs="宋体" w:eastAsia="宋体" w:hint="default"/>
          <w:spacing w:val="-1"/>
          <w:sz w:val="24"/>
          <w:szCs w:val="24"/>
        </w:rPr>
        <w:t> </w:t>
      </w:r>
      <w:r>
        <w:rPr>
          <w:rFonts w:ascii="Georgia" w:hAnsi="Georgia" w:cs="Georgia" w:eastAsia="Georgia" w:hint="default"/>
          <w:sz w:val="24"/>
          <w:szCs w:val="24"/>
        </w:rPr>
        <w:t>2011</w:t>
      </w:r>
      <w:r>
        <w:rPr>
          <w:rFonts w:ascii="Georgia" w:hAnsi="Georgia" w:cs="Georgia" w:eastAsia="Georgia"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Georgia" w:hAnsi="Georgia" w:cs="Georgia" w:eastAsia="Georgia" w:hint="default"/>
          <w:sz w:val="24"/>
          <w:szCs w:val="24"/>
        </w:rPr>
        <w:t>12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Georgia" w:hAnsi="Georgia" w:cs="Georgia" w:eastAsia="Georgia" w:hint="default"/>
          <w:sz w:val="24"/>
          <w:szCs w:val="24"/>
        </w:rPr>
        <w:t>31</w:t>
      </w:r>
      <w:r>
        <w:rPr>
          <w:rFonts w:ascii="Georgia" w:hAnsi="Georgia" w:cs="Georgia" w:eastAsia="Georgia" w:hint="default"/>
          <w:spacing w:val="1"/>
          <w:sz w:val="24"/>
          <w:szCs w:val="24"/>
        </w:rPr>
        <w:t> </w:t>
      </w:r>
      <w:r>
        <w:rPr>
          <w:rFonts w:ascii="宋体" w:hAnsi="宋体" w:cs="宋体" w:eastAsia="宋体" w:hint="default"/>
          <w:sz w:val="24"/>
          <w:szCs w:val="24"/>
        </w:rPr>
        <w:t>日的财务报 告内部控制的有效性。</w:t>
      </w:r>
    </w:p>
    <w:p>
      <w:pPr>
        <w:spacing w:line="240" w:lineRule="auto" w:before="6"/>
        <w:rPr>
          <w:rFonts w:ascii="宋体" w:hAnsi="宋体" w:cs="宋体" w:eastAsia="宋体" w:hint="default"/>
          <w:sz w:val="21"/>
          <w:szCs w:val="21"/>
        </w:rPr>
      </w:pPr>
    </w:p>
    <w:p>
      <w:pPr>
        <w:spacing w:before="0"/>
        <w:ind w:left="551" w:right="0" w:firstLine="0"/>
        <w:jc w:val="both"/>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64"/>
          <w:sz w:val="24"/>
          <w:szCs w:val="24"/>
        </w:rPr>
        <w:t> </w:t>
      </w:r>
      <w:r>
        <w:rPr>
          <w:rFonts w:ascii="宋体" w:hAnsi="宋体" w:cs="宋体" w:eastAsia="宋体" w:hint="default"/>
          <w:sz w:val="24"/>
          <w:szCs w:val="24"/>
        </w:rPr>
        <w:t>企业对内部控制的责任</w:t>
      </w:r>
    </w:p>
    <w:p>
      <w:pPr>
        <w:spacing w:line="240" w:lineRule="auto" w:before="11"/>
        <w:rPr>
          <w:rFonts w:ascii="宋体" w:hAnsi="宋体" w:cs="宋体" w:eastAsia="宋体" w:hint="default"/>
          <w:sz w:val="23"/>
          <w:szCs w:val="23"/>
        </w:rPr>
      </w:pPr>
    </w:p>
    <w:p>
      <w:pPr>
        <w:spacing w:line="237" w:lineRule="auto" w:before="0"/>
        <w:ind w:left="551" w:right="259" w:firstLine="0"/>
        <w:jc w:val="both"/>
        <w:rPr>
          <w:rFonts w:ascii="宋体" w:hAnsi="宋体" w:cs="宋体" w:eastAsia="宋体" w:hint="default"/>
          <w:sz w:val="24"/>
          <w:szCs w:val="24"/>
        </w:rPr>
      </w:pPr>
      <w:r>
        <w:rPr>
          <w:rFonts w:ascii="宋体" w:hAnsi="宋体" w:cs="宋体" w:eastAsia="宋体" w:hint="default"/>
          <w:spacing w:val="-1"/>
          <w:sz w:val="24"/>
          <w:szCs w:val="24"/>
        </w:rPr>
        <w:t>按照《企业内部控制基本规范》、《企业内部控制应用指引》、《企业内部控制评价</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指引》的规定，建立健全和有效实施内部控制，并评价其有效性是贵公司董事会的责</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任。</w:t>
      </w:r>
    </w:p>
    <w:p>
      <w:pPr>
        <w:spacing w:line="240" w:lineRule="auto" w:before="7"/>
        <w:rPr>
          <w:rFonts w:ascii="宋体" w:hAnsi="宋体" w:cs="宋体" w:eastAsia="宋体" w:hint="default"/>
          <w:sz w:val="23"/>
          <w:szCs w:val="23"/>
        </w:rPr>
      </w:pPr>
    </w:p>
    <w:p>
      <w:pPr>
        <w:spacing w:before="0"/>
        <w:ind w:left="551" w:right="0" w:firstLine="0"/>
        <w:jc w:val="both"/>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64"/>
          <w:sz w:val="24"/>
          <w:szCs w:val="24"/>
        </w:rPr>
        <w:t> </w:t>
      </w:r>
      <w:r>
        <w:rPr>
          <w:rFonts w:ascii="宋体" w:hAnsi="宋体" w:cs="宋体" w:eastAsia="宋体" w:hint="default"/>
          <w:sz w:val="24"/>
          <w:szCs w:val="24"/>
        </w:rPr>
        <w:t>注册会计师的责任</w:t>
      </w:r>
    </w:p>
    <w:p>
      <w:pPr>
        <w:spacing w:line="240" w:lineRule="auto" w:before="1"/>
        <w:rPr>
          <w:rFonts w:ascii="宋体" w:hAnsi="宋体" w:cs="宋体" w:eastAsia="宋体" w:hint="default"/>
          <w:sz w:val="26"/>
          <w:szCs w:val="26"/>
        </w:rPr>
      </w:pPr>
    </w:p>
    <w:p>
      <w:pPr>
        <w:spacing w:line="310" w:lineRule="exact" w:before="0"/>
        <w:ind w:left="551" w:right="449" w:firstLine="0"/>
        <w:jc w:val="left"/>
        <w:rPr>
          <w:rFonts w:ascii="宋体" w:hAnsi="宋体" w:cs="宋体" w:eastAsia="宋体" w:hint="default"/>
          <w:sz w:val="24"/>
          <w:szCs w:val="24"/>
        </w:rPr>
      </w:pPr>
      <w:r>
        <w:rPr>
          <w:rFonts w:ascii="宋体" w:hAnsi="宋体" w:cs="宋体" w:eastAsia="宋体" w:hint="default"/>
          <w:sz w:val="24"/>
          <w:szCs w:val="24"/>
        </w:rPr>
        <w:t>我们的责任是在实施审计工作的基础上，对财务报告内部控制的有效性发表审计意 见，并对注意到的非财务报告内部控制的重大缺陷进行披露。</w:t>
      </w:r>
    </w:p>
    <w:p>
      <w:pPr>
        <w:spacing w:line="240" w:lineRule="auto" w:before="6"/>
        <w:rPr>
          <w:rFonts w:ascii="宋体" w:hAnsi="宋体" w:cs="宋体" w:eastAsia="宋体" w:hint="default"/>
          <w:sz w:val="21"/>
          <w:szCs w:val="21"/>
        </w:rPr>
      </w:pPr>
    </w:p>
    <w:p>
      <w:pPr>
        <w:spacing w:before="0"/>
        <w:ind w:left="551" w:right="0" w:firstLine="0"/>
        <w:jc w:val="both"/>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64"/>
          <w:sz w:val="24"/>
          <w:szCs w:val="24"/>
        </w:rPr>
        <w:t> </w:t>
      </w:r>
      <w:r>
        <w:rPr>
          <w:rFonts w:ascii="宋体" w:hAnsi="宋体" w:cs="宋体" w:eastAsia="宋体" w:hint="default"/>
          <w:sz w:val="24"/>
          <w:szCs w:val="24"/>
        </w:rPr>
        <w:t>内部控制的固有局限性</w:t>
      </w:r>
    </w:p>
    <w:p>
      <w:pPr>
        <w:spacing w:line="240" w:lineRule="auto" w:before="11"/>
        <w:rPr>
          <w:rFonts w:ascii="宋体" w:hAnsi="宋体" w:cs="宋体" w:eastAsia="宋体" w:hint="default"/>
          <w:sz w:val="23"/>
          <w:szCs w:val="23"/>
        </w:rPr>
      </w:pPr>
    </w:p>
    <w:p>
      <w:pPr>
        <w:spacing w:line="237" w:lineRule="auto" w:before="0"/>
        <w:ind w:left="551" w:right="259" w:firstLine="0"/>
        <w:jc w:val="both"/>
        <w:rPr>
          <w:rFonts w:ascii="宋体" w:hAnsi="宋体" w:cs="宋体" w:eastAsia="宋体" w:hint="default"/>
          <w:sz w:val="24"/>
          <w:szCs w:val="24"/>
        </w:rPr>
      </w:pPr>
      <w:r>
        <w:rPr>
          <w:rFonts w:ascii="宋体" w:hAnsi="宋体" w:cs="宋体" w:eastAsia="宋体" w:hint="default"/>
          <w:spacing w:val="-1"/>
          <w:sz w:val="24"/>
          <w:szCs w:val="24"/>
        </w:rPr>
        <w:t>内部控制具有固有局限性，存在不能防止和发现错报的可能性。此外，由于情况的变</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
          <w:sz w:val="24"/>
          <w:szCs w:val="24"/>
        </w:rPr>
        <w:t>化可能导致内部控制变得不恰当，或对控制政策和程序遵循的程度降低，根据内部控</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制审计结果推测未来内部控制的有效性具有一定风险。</w:t>
      </w:r>
    </w:p>
    <w:p>
      <w:pPr>
        <w:spacing w:line="240" w:lineRule="auto" w:before="7"/>
        <w:rPr>
          <w:rFonts w:ascii="宋体" w:hAnsi="宋体" w:cs="宋体" w:eastAsia="宋体" w:hint="default"/>
          <w:sz w:val="23"/>
          <w:szCs w:val="23"/>
        </w:rPr>
      </w:pPr>
    </w:p>
    <w:p>
      <w:pPr>
        <w:spacing w:before="0"/>
        <w:ind w:left="523" w:right="0" w:firstLine="0"/>
        <w:jc w:val="both"/>
        <w:rPr>
          <w:rFonts w:ascii="宋体" w:hAnsi="宋体" w:cs="宋体" w:eastAsia="宋体" w:hint="default"/>
          <w:sz w:val="24"/>
          <w:szCs w:val="24"/>
        </w:rPr>
      </w:pPr>
      <w:r>
        <w:rPr>
          <w:rFonts w:ascii="宋体" w:hAnsi="宋体" w:cs="宋体" w:eastAsia="宋体" w:hint="default"/>
          <w:sz w:val="24"/>
          <w:szCs w:val="24"/>
        </w:rPr>
        <w:t>四、</w:t>
      </w:r>
      <w:r>
        <w:rPr>
          <w:rFonts w:ascii="宋体" w:hAnsi="宋体" w:cs="宋体" w:eastAsia="宋体" w:hint="default"/>
          <w:spacing w:val="21"/>
          <w:sz w:val="24"/>
          <w:szCs w:val="24"/>
        </w:rPr>
        <w:t> </w:t>
      </w:r>
      <w:r>
        <w:rPr>
          <w:rFonts w:ascii="宋体" w:hAnsi="宋体" w:cs="宋体" w:eastAsia="宋体" w:hint="default"/>
          <w:sz w:val="24"/>
          <w:szCs w:val="24"/>
        </w:rPr>
        <w:t>财务报告内部控制审计意见</w:t>
      </w:r>
    </w:p>
    <w:p>
      <w:pPr>
        <w:spacing w:line="240" w:lineRule="auto" w:before="12"/>
        <w:rPr>
          <w:rFonts w:ascii="宋体" w:hAnsi="宋体" w:cs="宋体" w:eastAsia="宋体" w:hint="default"/>
          <w:sz w:val="25"/>
          <w:szCs w:val="25"/>
        </w:rPr>
      </w:pPr>
    </w:p>
    <w:p>
      <w:pPr>
        <w:spacing w:line="312" w:lineRule="exact" w:before="0"/>
        <w:ind w:left="532" w:right="354" w:firstLine="0"/>
        <w:jc w:val="left"/>
        <w:rPr>
          <w:rFonts w:ascii="宋体" w:hAnsi="宋体" w:cs="宋体" w:eastAsia="宋体" w:hint="default"/>
          <w:sz w:val="24"/>
          <w:szCs w:val="24"/>
        </w:rPr>
      </w:pPr>
      <w:r>
        <w:rPr>
          <w:rFonts w:ascii="宋体" w:hAnsi="宋体" w:cs="宋体" w:eastAsia="宋体" w:hint="default"/>
          <w:sz w:val="24"/>
          <w:szCs w:val="24"/>
        </w:rPr>
        <w:t>我们认为，贵公司于</w:t>
      </w:r>
      <w:r>
        <w:rPr>
          <w:rFonts w:ascii="宋体" w:hAnsi="宋体" w:cs="宋体" w:eastAsia="宋体" w:hint="default"/>
          <w:spacing w:val="-61"/>
          <w:sz w:val="24"/>
          <w:szCs w:val="24"/>
        </w:rPr>
        <w:t> </w:t>
      </w:r>
      <w:r>
        <w:rPr>
          <w:rFonts w:ascii="Georgia" w:hAnsi="Georgia" w:cs="Georgia" w:eastAsia="Georgia" w:hint="default"/>
          <w:sz w:val="24"/>
          <w:szCs w:val="24"/>
        </w:rPr>
        <w:t>2011</w:t>
      </w:r>
      <w:r>
        <w:rPr>
          <w:rFonts w:ascii="Georgia" w:hAnsi="Georgia" w:cs="Georgia" w:eastAsia="Georgia"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Georgia" w:hAnsi="Georgia" w:cs="Georgia" w:eastAsia="Georgia" w:hint="default"/>
          <w:sz w:val="24"/>
          <w:szCs w:val="24"/>
        </w:rPr>
        <w:t>12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Georgia" w:hAnsi="Georgia" w:cs="Georgia" w:eastAsia="Georgia" w:hint="default"/>
          <w:sz w:val="24"/>
          <w:szCs w:val="24"/>
        </w:rPr>
        <w:t>31</w:t>
      </w:r>
      <w:r>
        <w:rPr>
          <w:rFonts w:ascii="Georgia" w:hAnsi="Georgia" w:cs="Georgia" w:eastAsia="Georgia" w:hint="default"/>
          <w:spacing w:val="1"/>
          <w:sz w:val="24"/>
          <w:szCs w:val="24"/>
        </w:rPr>
        <w:t> </w:t>
      </w:r>
      <w:r>
        <w:rPr>
          <w:rFonts w:ascii="宋体" w:hAnsi="宋体" w:cs="宋体" w:eastAsia="宋体" w:hint="default"/>
          <w:sz w:val="24"/>
          <w:szCs w:val="24"/>
        </w:rPr>
        <w:t>日按照《企业内部控制基本规范》和相关规定 在所有重大方面保持了有效的财务报告内部控制。</w:t>
      </w:r>
    </w:p>
    <w:p>
      <w:pPr>
        <w:spacing w:line="240" w:lineRule="auto" w:before="7"/>
        <w:rPr>
          <w:rFonts w:ascii="宋体" w:hAnsi="宋体" w:cs="宋体" w:eastAsia="宋体" w:hint="default"/>
          <w:sz w:val="21"/>
          <w:szCs w:val="21"/>
        </w:rPr>
      </w:pPr>
    </w:p>
    <w:tbl>
      <w:tblPr>
        <w:tblW w:w="0" w:type="auto"/>
        <w:jc w:val="left"/>
        <w:tblInd w:w="524" w:type="dxa"/>
        <w:tblLayout w:type="fixed"/>
        <w:tblCellMar>
          <w:top w:w="0" w:type="dxa"/>
          <w:left w:w="0" w:type="dxa"/>
          <w:bottom w:w="0" w:type="dxa"/>
          <w:right w:w="0" w:type="dxa"/>
        </w:tblCellMar>
        <w:tblLook w:val="01E0"/>
      </w:tblPr>
      <w:tblGrid>
        <w:gridCol w:w="3435"/>
        <w:gridCol w:w="2556"/>
        <w:gridCol w:w="836"/>
        <w:gridCol w:w="515"/>
      </w:tblGrid>
      <w:tr>
        <w:trPr>
          <w:trHeight w:val="900" w:hRule="exact"/>
        </w:trPr>
        <w:tc>
          <w:tcPr>
            <w:tcW w:w="3435" w:type="dxa"/>
            <w:tcBorders>
              <w:top w:val="nil" w:sz="6" w:space="0" w:color="auto"/>
              <w:left w:val="nil" w:sz="6" w:space="0" w:color="auto"/>
              <w:bottom w:val="nil" w:sz="6" w:space="0" w:color="auto"/>
              <w:right w:val="nil" w:sz="6" w:space="0" w:color="auto"/>
            </w:tcBorders>
          </w:tcPr>
          <w:p>
            <w:pPr>
              <w:pStyle w:val="TableParagraph"/>
              <w:spacing w:line="261" w:lineRule="auto" w:before="26"/>
              <w:ind w:left="35" w:right="998"/>
              <w:jc w:val="left"/>
              <w:rPr>
                <w:rFonts w:ascii="宋体" w:hAnsi="宋体" w:cs="宋体" w:eastAsia="宋体" w:hint="default"/>
                <w:sz w:val="24"/>
                <w:szCs w:val="24"/>
              </w:rPr>
            </w:pPr>
            <w:r>
              <w:rPr>
                <w:rFonts w:ascii="宋体" w:hAnsi="宋体" w:cs="宋体" w:eastAsia="宋体" w:hint="default"/>
                <w:sz w:val="24"/>
                <w:szCs w:val="24"/>
              </w:rPr>
              <w:t>普华永道中天 会计师事务所有限公司</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53"/>
              <w:jc w:val="right"/>
              <w:rPr>
                <w:rFonts w:ascii="宋体" w:hAnsi="宋体" w:cs="宋体" w:eastAsia="宋体" w:hint="default"/>
                <w:sz w:val="24"/>
                <w:szCs w:val="24"/>
              </w:rPr>
            </w:pPr>
            <w:r>
              <w:rPr>
                <w:rFonts w:ascii="宋体" w:hAnsi="宋体" w:cs="宋体" w:eastAsia="宋体" w:hint="default"/>
                <w:sz w:val="24"/>
                <w:szCs w:val="24"/>
              </w:rPr>
              <w:t>注册会计师</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39"/>
              <w:jc w:val="right"/>
              <w:rPr>
                <w:rFonts w:ascii="宋体" w:hAnsi="宋体" w:cs="宋体" w:eastAsia="宋体" w:hint="default"/>
                <w:sz w:val="24"/>
                <w:szCs w:val="24"/>
              </w:rPr>
            </w:pPr>
            <w:r>
              <w:rPr>
                <w:rFonts w:ascii="宋体" w:hAnsi="宋体" w:cs="宋体" w:eastAsia="宋体" w:hint="default"/>
                <w:sz w:val="24"/>
                <w:szCs w:val="24"/>
              </w:rPr>
              <w:t>胡</w:t>
            </w:r>
          </w:p>
        </w:tc>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hAnsi="宋体" w:cs="宋体" w:eastAsia="宋体" w:hint="default"/>
                <w:sz w:val="24"/>
                <w:szCs w:val="24"/>
              </w:rPr>
              <w:t>杰</w:t>
            </w:r>
          </w:p>
        </w:tc>
      </w:tr>
      <w:tr>
        <w:trPr>
          <w:trHeight w:val="913" w:hRule="exact"/>
        </w:trPr>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Cambria" w:hAnsi="Cambria" w:cs="Cambria" w:eastAsia="Cambria" w:hint="default"/>
                <w:sz w:val="24"/>
                <w:szCs w:val="24"/>
              </w:rPr>
              <w:t>•</w:t>
            </w:r>
            <w:r>
              <w:rPr>
                <w:rFonts w:ascii="宋体" w:hAnsi="宋体" w:cs="宋体" w:eastAsia="宋体" w:hint="default"/>
                <w:sz w:val="24"/>
                <w:szCs w:val="24"/>
              </w:rPr>
              <w:t>上海市</w:t>
            </w:r>
          </w:p>
          <w:p>
            <w:pPr>
              <w:pStyle w:val="TableParagraph"/>
              <w:spacing w:line="240" w:lineRule="auto" w:before="7"/>
              <w:ind w:left="35" w:right="0"/>
              <w:jc w:val="left"/>
              <w:rPr>
                <w:rFonts w:ascii="宋体" w:hAnsi="宋体" w:cs="宋体" w:eastAsia="宋体" w:hint="default"/>
                <w:sz w:val="24"/>
                <w:szCs w:val="24"/>
              </w:rPr>
            </w:pPr>
            <w:r>
              <w:rPr>
                <w:rFonts w:ascii="Georgia" w:hAnsi="Georgia" w:cs="Georgia" w:eastAsia="Georgia" w:hint="default"/>
                <w:sz w:val="24"/>
                <w:szCs w:val="24"/>
              </w:rPr>
              <w:t>2012</w:t>
            </w:r>
            <w:r>
              <w:rPr>
                <w:rFonts w:ascii="Georgia" w:hAnsi="Georgia" w:cs="Georgia" w:eastAsia="Georgia"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Georgia" w:hAnsi="Georgia" w:cs="Georgia" w:eastAsia="Georgia"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Georgia" w:hAnsi="Georgia" w:cs="Georgia" w:eastAsia="Georgia" w:hint="default"/>
                <w:sz w:val="24"/>
                <w:szCs w:val="24"/>
              </w:rPr>
              <w:t>22</w:t>
            </w:r>
            <w:r>
              <w:rPr>
                <w:rFonts w:ascii="Georgia" w:hAnsi="Georgia" w:cs="Georgia" w:eastAsia="Georgia" w:hint="default"/>
                <w:spacing w:val="2"/>
                <w:sz w:val="24"/>
                <w:szCs w:val="24"/>
              </w:rPr>
              <w:t> </w:t>
            </w:r>
            <w:r>
              <w:rPr>
                <w:rFonts w:ascii="宋体" w:hAnsi="宋体" w:cs="宋体" w:eastAsia="宋体" w:hint="default"/>
                <w:sz w:val="24"/>
                <w:szCs w:val="24"/>
              </w:rPr>
              <w:t>日</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53"/>
              <w:jc w:val="right"/>
              <w:rPr>
                <w:rFonts w:ascii="宋体" w:hAnsi="宋体" w:cs="宋体" w:eastAsia="宋体" w:hint="default"/>
                <w:sz w:val="24"/>
                <w:szCs w:val="24"/>
              </w:rPr>
            </w:pPr>
            <w:r>
              <w:rPr>
                <w:rFonts w:ascii="宋体" w:hAnsi="宋体" w:cs="宋体" w:eastAsia="宋体" w:hint="default"/>
                <w:sz w:val="24"/>
                <w:szCs w:val="24"/>
              </w:rPr>
              <w:t>注册会计师</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39"/>
              <w:jc w:val="right"/>
              <w:rPr>
                <w:rFonts w:ascii="宋体" w:hAnsi="宋体" w:cs="宋体" w:eastAsia="宋体" w:hint="default"/>
                <w:sz w:val="24"/>
                <w:szCs w:val="24"/>
              </w:rPr>
            </w:pPr>
            <w:r>
              <w:rPr>
                <w:rFonts w:ascii="宋体" w:hAnsi="宋体" w:cs="宋体" w:eastAsia="宋体" w:hint="default"/>
                <w:sz w:val="24"/>
                <w:szCs w:val="24"/>
              </w:rPr>
              <w:t>杨</w:t>
            </w:r>
          </w:p>
        </w:tc>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宋体" w:hAnsi="宋体" w:cs="宋体" w:eastAsia="宋体" w:hint="default"/>
                <w:sz w:val="24"/>
                <w:szCs w:val="24"/>
              </w:rPr>
            </w:pPr>
            <w:r>
              <w:rPr>
                <w:rFonts w:ascii="宋体" w:hAnsi="宋体" w:cs="宋体" w:eastAsia="宋体" w:hint="default"/>
                <w:sz w:val="24"/>
                <w:szCs w:val="24"/>
              </w:rPr>
              <w:t>桢</w:t>
            </w:r>
          </w:p>
        </w:tc>
      </w:tr>
    </w:tbl>
    <w:p>
      <w:pPr>
        <w:spacing w:after="0" w:line="240" w:lineRule="auto"/>
        <w:jc w:val="right"/>
        <w:rPr>
          <w:rFonts w:ascii="宋体" w:hAnsi="宋体" w:cs="宋体" w:eastAsia="宋体" w:hint="default"/>
          <w:sz w:val="24"/>
          <w:szCs w:val="24"/>
        </w:rPr>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1"/>
        <w:ind w:left="597" w:right="0"/>
        <w:jc w:val="left"/>
        <w:rPr>
          <w:rFonts w:ascii="Arial" w:hAnsi="Arial" w:cs="Arial" w:eastAsia="Arial" w:hint="default"/>
        </w:rPr>
      </w:pPr>
      <w:r>
        <w:rPr>
          <w:rFonts w:ascii="Arial" w:hAnsi="Arial" w:cs="Arial" w:eastAsia="Arial" w:hint="default"/>
        </w:rPr>
        <w:t>3</w:t>
      </w:r>
      <w:r>
        <w:rPr/>
        <w:t>、公司的社会责任报告已披露在：</w:t>
      </w:r>
      <w:hyperlink r:id="rId12">
        <w:r>
          <w:rPr>
            <w:rFonts w:ascii="Arial" w:hAnsi="Arial" w:cs="Arial" w:eastAsia="Arial" w:hint="default"/>
          </w:rPr>
          <w:t>www.sse.com.cn</w:t>
        </w:r>
      </w:hyperlink>
      <w:r>
        <w:rPr>
          <w:rFonts w:ascii="Arial" w:hAnsi="Arial" w:cs="Arial" w:eastAsia="Arial" w:hint="default"/>
        </w:rPr>
        <w:t> </w:t>
      </w:r>
      <w:r>
        <w:rPr/>
        <w:t>和</w:t>
      </w:r>
      <w:r>
        <w:rPr>
          <w:spacing w:val="-70"/>
        </w:rPr>
        <w:t> </w:t>
      </w:r>
      <w:hyperlink r:id="rId10">
        <w:r>
          <w:rPr>
            <w:rFonts w:ascii="Arial" w:hAnsi="Arial" w:cs="Arial" w:eastAsia="Arial" w:hint="default"/>
          </w:rPr>
          <w:t>www.chinaunicom-a.com</w:t>
        </w:r>
      </w:hyperlink>
    </w:p>
    <w:p>
      <w:pPr>
        <w:spacing w:line="240" w:lineRule="auto" w:before="4"/>
        <w:rPr>
          <w:rFonts w:ascii="Arial" w:hAnsi="Arial" w:cs="Arial" w:eastAsia="Arial" w:hint="default"/>
          <w:sz w:val="20"/>
          <w:szCs w:val="20"/>
        </w:rPr>
      </w:pPr>
    </w:p>
    <w:p>
      <w:pPr>
        <w:pStyle w:val="BodyText"/>
        <w:spacing w:line="240" w:lineRule="auto"/>
        <w:ind w:left="103" w:right="0"/>
        <w:jc w:val="left"/>
      </w:pPr>
      <w:r>
        <w:rPr/>
        <w:t>（七）公司建立年报信息披露重大差错责任追究制度的情况</w:t>
      </w:r>
    </w:p>
    <w:p>
      <w:pPr>
        <w:spacing w:line="240" w:lineRule="auto" w:before="5"/>
        <w:rPr>
          <w:rFonts w:ascii="宋体" w:hAnsi="宋体" w:cs="宋体" w:eastAsia="宋体" w:hint="default"/>
          <w:sz w:val="19"/>
          <w:szCs w:val="19"/>
        </w:rPr>
      </w:pPr>
    </w:p>
    <w:p>
      <w:pPr>
        <w:pStyle w:val="BodyText"/>
        <w:spacing w:line="237" w:lineRule="auto"/>
        <w:ind w:left="795" w:right="221"/>
        <w:jc w:val="both"/>
      </w:pPr>
      <w:r>
        <w:rPr/>
        <w:t>根据公司《信息披露管理办法》规定，由于工作失职或者在信息披露过程中不严格按照工</w:t>
      </w:r>
      <w:r>
        <w:rPr>
          <w:w w:val="99"/>
        </w:rPr>
        <w:t> </w:t>
      </w:r>
      <w:r>
        <w:rPr/>
        <w:t>作流程操作，导致公司信息披露违规，给公司造成严重影响或损失的，公司将对该责任人</w:t>
      </w:r>
      <w:r>
        <w:rPr>
          <w:w w:val="99"/>
        </w:rPr>
        <w:t> </w:t>
      </w:r>
      <w:r>
        <w:rPr/>
        <w:t>给予内部批评、警告，甚至解除其职务等处分。</w:t>
      </w:r>
    </w:p>
    <w:p>
      <w:pPr>
        <w:spacing w:line="240" w:lineRule="auto" w:before="3"/>
        <w:rPr>
          <w:rFonts w:ascii="宋体" w:hAnsi="宋体" w:cs="宋体" w:eastAsia="宋体" w:hint="default"/>
          <w:sz w:val="19"/>
          <w:szCs w:val="19"/>
        </w:rPr>
      </w:pPr>
    </w:p>
    <w:p>
      <w:pPr>
        <w:pStyle w:val="BodyText"/>
        <w:spacing w:line="240" w:lineRule="auto"/>
        <w:ind w:left="795" w:right="0"/>
        <w:jc w:val="both"/>
      </w:pPr>
      <w:r>
        <w:rPr>
          <w:rFonts w:ascii="Arial" w:hAnsi="Arial" w:cs="Arial" w:eastAsia="Arial" w:hint="default"/>
        </w:rPr>
        <w:t>1</w:t>
      </w:r>
      <w:r>
        <w:rPr/>
        <w:t>、于</w:t>
      </w:r>
      <w:r>
        <w:rPr>
          <w:spacing w:val="-57"/>
        </w:rPr>
        <w:t> </w:t>
      </w:r>
      <w:r>
        <w:rPr>
          <w:rFonts w:ascii="Arial" w:hAnsi="Arial" w:cs="Arial" w:eastAsia="Arial" w:hint="default"/>
        </w:rPr>
        <w:t>2011</w:t>
      </w:r>
      <w:r>
        <w:rPr>
          <w:rFonts w:ascii="Arial" w:hAnsi="Arial" w:cs="Arial" w:eastAsia="Arial" w:hint="default"/>
          <w:spacing w:val="-8"/>
        </w:rPr>
        <w:t> </w:t>
      </w:r>
      <w:r>
        <w:rPr/>
        <w:t>年度，公司不存在重大会计差错更正情况。</w:t>
      </w:r>
    </w:p>
    <w:p>
      <w:pPr>
        <w:spacing w:line="240" w:lineRule="auto" w:before="13"/>
        <w:rPr>
          <w:rFonts w:ascii="宋体" w:hAnsi="宋体" w:cs="宋体" w:eastAsia="宋体" w:hint="default"/>
          <w:sz w:val="17"/>
          <w:szCs w:val="17"/>
        </w:rPr>
      </w:pPr>
    </w:p>
    <w:p>
      <w:pPr>
        <w:pStyle w:val="BodyText"/>
        <w:spacing w:line="240" w:lineRule="auto"/>
        <w:ind w:left="777" w:right="0"/>
        <w:jc w:val="both"/>
      </w:pPr>
      <w:r>
        <w:rPr>
          <w:rFonts w:ascii="Arial" w:hAnsi="Arial" w:cs="Arial" w:eastAsia="Arial" w:hint="default"/>
        </w:rPr>
        <w:t>2</w:t>
      </w:r>
      <w:r>
        <w:rPr/>
        <w:t>、于</w:t>
      </w:r>
      <w:r>
        <w:rPr>
          <w:spacing w:val="-57"/>
        </w:rPr>
        <w:t> </w:t>
      </w:r>
      <w:r>
        <w:rPr>
          <w:rFonts w:ascii="Arial" w:hAnsi="Arial" w:cs="Arial" w:eastAsia="Arial" w:hint="default"/>
        </w:rPr>
        <w:t>2011</w:t>
      </w:r>
      <w:r>
        <w:rPr>
          <w:rFonts w:ascii="Arial" w:hAnsi="Arial" w:cs="Arial" w:eastAsia="Arial" w:hint="default"/>
          <w:spacing w:val="-8"/>
        </w:rPr>
        <w:t> </w:t>
      </w:r>
      <w:r>
        <w:rPr/>
        <w:t>年度，公司不存在重大遗漏信息补充情况</w:t>
      </w:r>
    </w:p>
    <w:p>
      <w:pPr>
        <w:spacing w:line="240" w:lineRule="auto" w:before="12"/>
        <w:rPr>
          <w:rFonts w:ascii="宋体" w:hAnsi="宋体" w:cs="宋体" w:eastAsia="宋体" w:hint="default"/>
          <w:sz w:val="17"/>
          <w:szCs w:val="17"/>
        </w:rPr>
      </w:pPr>
    </w:p>
    <w:p>
      <w:pPr>
        <w:pStyle w:val="BodyText"/>
        <w:spacing w:line="424" w:lineRule="auto"/>
        <w:ind w:left="165" w:right="3685" w:firstLine="612"/>
        <w:jc w:val="left"/>
      </w:pPr>
      <w:r>
        <w:rPr>
          <w:rFonts w:ascii="Arial" w:hAnsi="Arial" w:cs="Arial" w:eastAsia="Arial" w:hint="default"/>
        </w:rPr>
        <w:t>3</w:t>
      </w:r>
      <w:r>
        <w:rPr/>
        <w:t>、于</w:t>
      </w:r>
      <w:r>
        <w:rPr>
          <w:spacing w:val="-57"/>
        </w:rPr>
        <w:t> </w:t>
      </w:r>
      <w:r>
        <w:rPr>
          <w:rFonts w:ascii="Arial" w:hAnsi="Arial" w:cs="Arial" w:eastAsia="Arial" w:hint="default"/>
        </w:rPr>
        <w:t>2011</w:t>
      </w:r>
      <w:r>
        <w:rPr>
          <w:rFonts w:ascii="Arial" w:hAnsi="Arial" w:cs="Arial" w:eastAsia="Arial" w:hint="default"/>
          <w:spacing w:val="-8"/>
        </w:rPr>
        <w:t> </w:t>
      </w:r>
      <w:r>
        <w:rPr/>
        <w:t>年度，公司不存在修正业绩预告的情况。</w:t>
      </w:r>
      <w:r>
        <w:rPr>
          <w:w w:val="99"/>
        </w:rPr>
        <w:t> </w:t>
      </w:r>
      <w:r>
        <w:rPr/>
        <w:t>七、股东大会情况简介</w:t>
      </w:r>
    </w:p>
    <w:p>
      <w:pPr>
        <w:pStyle w:val="BodyText"/>
        <w:spacing w:line="240" w:lineRule="auto" w:before="80"/>
        <w:ind w:left="165" w:right="0"/>
        <w:jc w:val="left"/>
      </w:pPr>
      <w:r>
        <w:rPr/>
        <w:t>（一）年度股东大会情况</w:t>
      </w:r>
    </w:p>
    <w:p>
      <w:pPr>
        <w:spacing w:line="240" w:lineRule="auto" w:before="12"/>
        <w:rPr>
          <w:rFonts w:ascii="宋体" w:hAnsi="宋体" w:cs="宋体" w:eastAsia="宋体" w:hint="default"/>
          <w:sz w:val="21"/>
          <w:szCs w:val="21"/>
        </w:rPr>
      </w:pPr>
    </w:p>
    <w:tbl>
      <w:tblPr>
        <w:tblW w:w="0" w:type="auto"/>
        <w:jc w:val="left"/>
        <w:tblInd w:w="806" w:type="dxa"/>
        <w:tblLayout w:type="fixed"/>
        <w:tblCellMar>
          <w:top w:w="0" w:type="dxa"/>
          <w:left w:w="0" w:type="dxa"/>
          <w:bottom w:w="0" w:type="dxa"/>
          <w:right w:w="0" w:type="dxa"/>
        </w:tblCellMar>
        <w:tblLook w:val="01E0"/>
      </w:tblPr>
      <w:tblGrid>
        <w:gridCol w:w="1481"/>
        <w:gridCol w:w="1816"/>
        <w:gridCol w:w="3329"/>
        <w:gridCol w:w="2012"/>
      </w:tblGrid>
      <w:tr>
        <w:trPr>
          <w:trHeight w:val="586" w:hRule="exact"/>
        </w:trPr>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92" w:right="0"/>
              <w:jc w:val="left"/>
              <w:rPr>
                <w:rFonts w:ascii="宋体" w:hAnsi="宋体" w:cs="宋体" w:eastAsia="宋体" w:hint="default"/>
                <w:sz w:val="22"/>
                <w:szCs w:val="22"/>
              </w:rPr>
            </w:pPr>
            <w:r>
              <w:rPr>
                <w:rFonts w:ascii="宋体" w:hAnsi="宋体" w:cs="宋体" w:eastAsia="宋体" w:hint="default"/>
                <w:sz w:val="22"/>
                <w:szCs w:val="22"/>
              </w:rPr>
              <w:t>会议届次</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center"/>
              <w:rPr>
                <w:rFonts w:ascii="宋体" w:hAnsi="宋体" w:cs="宋体" w:eastAsia="宋体" w:hint="default"/>
                <w:sz w:val="22"/>
                <w:szCs w:val="22"/>
              </w:rPr>
            </w:pPr>
            <w:r>
              <w:rPr>
                <w:rFonts w:ascii="宋体" w:hAnsi="宋体" w:cs="宋体" w:eastAsia="宋体" w:hint="default"/>
                <w:sz w:val="22"/>
                <w:szCs w:val="22"/>
              </w:rPr>
              <w:t>召开日期</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center"/>
              <w:rPr>
                <w:rFonts w:ascii="宋体" w:hAnsi="宋体" w:cs="宋体" w:eastAsia="宋体" w:hint="default"/>
                <w:sz w:val="22"/>
                <w:szCs w:val="22"/>
              </w:rPr>
            </w:pPr>
            <w:r>
              <w:rPr>
                <w:rFonts w:ascii="宋体" w:hAnsi="宋体" w:cs="宋体" w:eastAsia="宋体" w:hint="default"/>
                <w:sz w:val="22"/>
                <w:szCs w:val="22"/>
              </w:rPr>
              <w:t>决议刊登的信息披露报纸</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2"/>
              <w:jc w:val="center"/>
              <w:rPr>
                <w:rFonts w:ascii="宋体" w:hAnsi="宋体" w:cs="宋体" w:eastAsia="宋体" w:hint="default"/>
                <w:sz w:val="22"/>
                <w:szCs w:val="22"/>
              </w:rPr>
            </w:pPr>
            <w:r>
              <w:rPr>
                <w:rFonts w:ascii="宋体" w:hAnsi="宋体" w:cs="宋体" w:eastAsia="宋体" w:hint="default"/>
                <w:sz w:val="22"/>
                <w:szCs w:val="22"/>
              </w:rPr>
              <w:t>决议刊登的信息</w:t>
            </w:r>
          </w:p>
          <w:p>
            <w:pPr>
              <w:pStyle w:val="TableParagraph"/>
              <w:spacing w:line="287" w:lineRule="exact"/>
              <w:ind w:right="13"/>
              <w:jc w:val="center"/>
              <w:rPr>
                <w:rFonts w:ascii="宋体" w:hAnsi="宋体" w:cs="宋体" w:eastAsia="宋体" w:hint="default"/>
                <w:sz w:val="22"/>
                <w:szCs w:val="22"/>
              </w:rPr>
            </w:pPr>
            <w:r>
              <w:rPr>
                <w:rFonts w:ascii="宋体" w:hAnsi="宋体" w:cs="宋体" w:eastAsia="宋体" w:hint="default"/>
                <w:sz w:val="22"/>
                <w:szCs w:val="22"/>
              </w:rPr>
              <w:t>披露日期</w:t>
            </w:r>
          </w:p>
        </w:tc>
      </w:tr>
      <w:tr>
        <w:trPr>
          <w:trHeight w:val="586" w:hRule="exact"/>
        </w:trPr>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0"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9"/>
                <w:sz w:val="22"/>
                <w:szCs w:val="22"/>
              </w:rPr>
              <w:t> </w:t>
            </w:r>
            <w:r>
              <w:rPr>
                <w:rFonts w:ascii="宋体" w:hAnsi="宋体" w:cs="宋体" w:eastAsia="宋体" w:hint="default"/>
                <w:sz w:val="22"/>
                <w:szCs w:val="22"/>
              </w:rPr>
              <w:t>年年度</w:t>
            </w:r>
          </w:p>
          <w:p>
            <w:pPr>
              <w:pStyle w:val="TableParagraph"/>
              <w:spacing w:line="279" w:lineRule="exact"/>
              <w:ind w:left="100" w:right="0"/>
              <w:jc w:val="left"/>
              <w:rPr>
                <w:rFonts w:ascii="宋体" w:hAnsi="宋体" w:cs="宋体" w:eastAsia="宋体" w:hint="default"/>
                <w:sz w:val="22"/>
                <w:szCs w:val="22"/>
              </w:rPr>
            </w:pPr>
            <w:r>
              <w:rPr>
                <w:rFonts w:ascii="宋体" w:hAnsi="宋体" w:cs="宋体" w:eastAsia="宋体" w:hint="default"/>
                <w:sz w:val="22"/>
                <w:szCs w:val="22"/>
              </w:rPr>
              <w:t>股东大会</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Arial" w:hAnsi="Arial" w:cs="Arial" w:eastAsia="Arial" w:hint="default"/>
                <w:sz w:val="22"/>
                <w:szCs w:val="22"/>
              </w:rPr>
              <w:t>5</w:t>
            </w:r>
            <w:r>
              <w:rPr>
                <w:rFonts w:ascii="Arial" w:hAnsi="Arial" w:cs="Arial" w:eastAsia="Arial"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Arial" w:hAnsi="Arial" w:cs="Arial" w:eastAsia="Arial" w:hint="default"/>
                <w:sz w:val="22"/>
                <w:szCs w:val="22"/>
              </w:rPr>
              <w:t>24</w:t>
            </w:r>
            <w:r>
              <w:rPr>
                <w:rFonts w:ascii="Arial" w:hAnsi="Arial" w:cs="Arial" w:eastAsia="Arial" w:hint="default"/>
                <w:spacing w:val="-14"/>
                <w:sz w:val="22"/>
                <w:szCs w:val="22"/>
              </w:rPr>
              <w:t> </w:t>
            </w:r>
            <w:r>
              <w:rPr>
                <w:rFonts w:ascii="宋体" w:hAnsi="宋体" w:cs="宋体" w:eastAsia="宋体" w:hint="default"/>
                <w:sz w:val="22"/>
                <w:szCs w:val="22"/>
              </w:rPr>
              <w:t>日</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4" w:right="-10"/>
              <w:jc w:val="center"/>
              <w:rPr>
                <w:rFonts w:ascii="宋体" w:hAnsi="宋体" w:cs="宋体" w:eastAsia="宋体" w:hint="default"/>
                <w:sz w:val="22"/>
                <w:szCs w:val="22"/>
              </w:rPr>
            </w:pPr>
            <w:r>
              <w:rPr>
                <w:rFonts w:ascii="宋体" w:hAnsi="宋体" w:cs="宋体" w:eastAsia="宋体" w:hint="default"/>
                <w:sz w:val="22"/>
                <w:szCs w:val="22"/>
              </w:rPr>
              <w:t>《中国证券报》、《上海证券报》</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02"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5</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25</w:t>
            </w:r>
            <w:r>
              <w:rPr>
                <w:rFonts w:ascii="Arial" w:hAnsi="Arial" w:cs="Arial" w:eastAsia="Arial" w:hint="default"/>
                <w:spacing w:val="-7"/>
                <w:sz w:val="22"/>
                <w:szCs w:val="22"/>
              </w:rPr>
              <w:t> </w:t>
            </w:r>
            <w:r>
              <w:rPr>
                <w:rFonts w:ascii="宋体" w:hAnsi="宋体" w:cs="宋体" w:eastAsia="宋体" w:hint="default"/>
                <w:sz w:val="22"/>
                <w:szCs w:val="22"/>
              </w:rPr>
              <w:t>日</w:t>
            </w:r>
          </w:p>
        </w:tc>
      </w:tr>
    </w:tbl>
    <w:p>
      <w:pPr>
        <w:spacing w:line="240" w:lineRule="auto" w:before="2"/>
        <w:rPr>
          <w:rFonts w:ascii="宋体" w:hAnsi="宋体" w:cs="宋体" w:eastAsia="宋体" w:hint="default"/>
          <w:sz w:val="14"/>
          <w:szCs w:val="14"/>
        </w:rPr>
      </w:pPr>
    </w:p>
    <w:p>
      <w:pPr>
        <w:pStyle w:val="BodyText"/>
        <w:spacing w:line="286" w:lineRule="exact" w:before="60"/>
        <w:ind w:left="813" w:right="137"/>
        <w:jc w:val="both"/>
      </w:pPr>
      <w:r>
        <w:rPr/>
        <w:t>公司</w:t>
      </w:r>
      <w:r>
        <w:rPr>
          <w:spacing w:val="-56"/>
        </w:rPr>
        <w:t> </w:t>
      </w:r>
      <w:r>
        <w:rPr>
          <w:rFonts w:ascii="Arial" w:hAnsi="Arial" w:cs="Arial" w:eastAsia="Arial" w:hint="default"/>
        </w:rPr>
        <w:t>2010</w:t>
      </w:r>
      <w:r>
        <w:rPr>
          <w:rFonts w:ascii="Arial" w:hAnsi="Arial" w:cs="Arial" w:eastAsia="Arial" w:hint="default"/>
          <w:spacing w:val="-7"/>
        </w:rPr>
        <w:t> </w:t>
      </w:r>
      <w:r>
        <w:rPr/>
        <w:t>年度股东大会于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24</w:t>
      </w:r>
      <w:r>
        <w:rPr>
          <w:rFonts w:ascii="Arial" w:hAnsi="Arial" w:cs="Arial" w:eastAsia="Arial" w:hint="default"/>
          <w:spacing w:val="-7"/>
        </w:rPr>
        <w:t> </w:t>
      </w:r>
      <w:r>
        <w:rPr/>
        <w:t>日上午</w:t>
      </w:r>
      <w:r>
        <w:rPr>
          <w:spacing w:val="-56"/>
        </w:rPr>
        <w:t> </w:t>
      </w:r>
      <w:r>
        <w:rPr>
          <w:rFonts w:ascii="Arial" w:hAnsi="Arial" w:cs="Arial" w:eastAsia="Arial" w:hint="default"/>
        </w:rPr>
        <w:t>9</w:t>
      </w:r>
      <w:r>
        <w:rPr>
          <w:rFonts w:ascii="Arial" w:hAnsi="Arial" w:cs="Arial" w:eastAsia="Arial" w:hint="default"/>
          <w:spacing w:val="-7"/>
        </w:rPr>
        <w:t> </w:t>
      </w:r>
      <w:r>
        <w:rPr/>
        <w:t>时在深圳市香格里拉宾馆召开。出席</w:t>
      </w:r>
      <w:r>
        <w:rPr>
          <w:w w:val="99"/>
        </w:rPr>
        <w:t> </w:t>
      </w:r>
      <w:r>
        <w:rPr>
          <w:spacing w:val="-7"/>
        </w:rPr>
        <w:t>会议的人数为：</w:t>
      </w:r>
      <w:r>
        <w:rPr>
          <w:rFonts w:ascii="Arial" w:hAnsi="Arial" w:cs="Arial" w:eastAsia="Arial" w:hint="default"/>
          <w:spacing w:val="-7"/>
        </w:rPr>
        <w:t>27</w:t>
      </w:r>
      <w:r>
        <w:rPr>
          <w:rFonts w:ascii="Arial" w:hAnsi="Arial" w:cs="Arial" w:eastAsia="Arial" w:hint="default"/>
          <w:spacing w:val="-3"/>
        </w:rPr>
        <w:t> </w:t>
      </w:r>
      <w:r>
        <w:rPr>
          <w:spacing w:val="-10"/>
        </w:rPr>
        <w:t>人，代表股份</w:t>
      </w:r>
      <w:r>
        <w:rPr>
          <w:spacing w:val="-52"/>
        </w:rPr>
        <w:t> </w:t>
      </w:r>
      <w:r>
        <w:rPr>
          <w:rFonts w:ascii="Arial" w:hAnsi="Arial" w:cs="Arial" w:eastAsia="Arial" w:hint="default"/>
        </w:rPr>
        <w:t>13,453,489,359</w:t>
      </w:r>
      <w:r>
        <w:rPr>
          <w:rFonts w:ascii="Arial" w:hAnsi="Arial" w:cs="Arial" w:eastAsia="Arial" w:hint="default"/>
          <w:spacing w:val="-3"/>
        </w:rPr>
        <w:t> </w:t>
      </w:r>
      <w:r>
        <w:rPr>
          <w:spacing w:val="-7"/>
        </w:rPr>
        <w:t>股，占公司总股本的</w:t>
      </w:r>
      <w:r>
        <w:rPr>
          <w:spacing w:val="-52"/>
        </w:rPr>
        <w:t> </w:t>
      </w:r>
      <w:r>
        <w:rPr>
          <w:rFonts w:ascii="Arial" w:hAnsi="Arial" w:cs="Arial" w:eastAsia="Arial" w:hint="default"/>
          <w:spacing w:val="-9"/>
        </w:rPr>
        <w:t>63.4700%</w:t>
      </w:r>
      <w:r>
        <w:rPr>
          <w:spacing w:val="-9"/>
        </w:rPr>
        <w:t>，符合《中</w:t>
      </w:r>
      <w:r>
        <w:rPr>
          <w:spacing w:val="1"/>
          <w:w w:val="99"/>
        </w:rPr>
        <w:t> </w:t>
      </w:r>
      <w:r>
        <w:rPr/>
        <w:t>华人民共和国公司法》及公司章程的规定。</w:t>
      </w:r>
    </w:p>
    <w:p>
      <w:pPr>
        <w:spacing w:line="240" w:lineRule="auto" w:before="1"/>
        <w:rPr>
          <w:rFonts w:ascii="宋体" w:hAnsi="宋体" w:cs="宋体" w:eastAsia="宋体" w:hint="default"/>
          <w:sz w:val="17"/>
          <w:szCs w:val="17"/>
        </w:rPr>
      </w:pPr>
    </w:p>
    <w:p>
      <w:pPr>
        <w:pStyle w:val="BodyText"/>
        <w:spacing w:line="295" w:lineRule="exact"/>
        <w:ind w:left="813" w:right="0"/>
        <w:jc w:val="left"/>
      </w:pPr>
      <w:r>
        <w:rPr/>
        <w:t>公司</w:t>
      </w:r>
      <w:r>
        <w:rPr>
          <w:spacing w:val="-65"/>
        </w:rPr>
        <w:t> </w:t>
      </w:r>
      <w:r>
        <w:rPr>
          <w:rFonts w:ascii="Arial" w:hAnsi="Arial" w:cs="Arial" w:eastAsia="Arial" w:hint="default"/>
        </w:rPr>
        <w:t>2010</w:t>
      </w:r>
      <w:r>
        <w:rPr>
          <w:rFonts w:ascii="Arial" w:hAnsi="Arial" w:cs="Arial" w:eastAsia="Arial" w:hint="default"/>
          <w:spacing w:val="-16"/>
        </w:rPr>
        <w:t> </w:t>
      </w:r>
      <w:r>
        <w:rPr/>
        <w:t>年度股东大会审议并表决通过了《公司</w:t>
      </w:r>
      <w:r>
        <w:rPr>
          <w:spacing w:val="-65"/>
        </w:rPr>
        <w:t> </w:t>
      </w:r>
      <w:r>
        <w:rPr>
          <w:rFonts w:ascii="Arial" w:hAnsi="Arial" w:cs="Arial" w:eastAsia="Arial" w:hint="default"/>
        </w:rPr>
        <w:t>2010</w:t>
      </w:r>
      <w:r>
        <w:rPr>
          <w:rFonts w:ascii="Arial" w:hAnsi="Arial" w:cs="Arial" w:eastAsia="Arial" w:hint="default"/>
          <w:spacing w:val="-16"/>
        </w:rPr>
        <w:t> </w:t>
      </w:r>
      <w:r>
        <w:rPr/>
        <w:t>年度财务决算报告》、《关于公司</w:t>
      </w:r>
    </w:p>
    <w:p>
      <w:pPr>
        <w:pStyle w:val="BodyText"/>
        <w:spacing w:line="286" w:lineRule="exact"/>
        <w:ind w:left="813" w:right="0"/>
        <w:jc w:val="left"/>
      </w:pPr>
      <w:r>
        <w:rPr>
          <w:rFonts w:ascii="Arial" w:hAnsi="Arial" w:cs="Arial" w:eastAsia="Arial" w:hint="default"/>
        </w:rPr>
        <w:t>2010</w:t>
      </w:r>
      <w:r>
        <w:rPr>
          <w:rFonts w:ascii="Arial" w:hAnsi="Arial" w:cs="Arial" w:eastAsia="Arial" w:hint="default"/>
          <w:spacing w:val="-8"/>
        </w:rPr>
        <w:t> </w:t>
      </w:r>
      <w:r>
        <w:rPr/>
        <w:t>年度利润分配的议案》、《关于聘请会计师事务所的议案》、《公司</w:t>
      </w:r>
      <w:r>
        <w:rPr>
          <w:spacing w:val="-57"/>
        </w:rPr>
        <w:t> </w:t>
      </w:r>
      <w:r>
        <w:rPr>
          <w:rFonts w:ascii="Arial" w:hAnsi="Arial" w:cs="Arial" w:eastAsia="Arial" w:hint="default"/>
        </w:rPr>
        <w:t>2010</w:t>
      </w:r>
      <w:r>
        <w:rPr>
          <w:rFonts w:ascii="Arial" w:hAnsi="Arial" w:cs="Arial" w:eastAsia="Arial" w:hint="default"/>
          <w:spacing w:val="-8"/>
        </w:rPr>
        <w:t> </w:t>
      </w:r>
      <w:r>
        <w:rPr/>
        <w:t>年度董事</w:t>
      </w:r>
    </w:p>
    <w:p>
      <w:pPr>
        <w:pStyle w:val="BodyText"/>
        <w:spacing w:line="286" w:lineRule="exact"/>
        <w:ind w:left="813" w:right="0"/>
        <w:jc w:val="left"/>
      </w:pPr>
      <w:r>
        <w:rPr/>
        <w:t>会报告》、《公司</w:t>
      </w:r>
      <w:r>
        <w:rPr>
          <w:spacing w:val="-65"/>
        </w:rPr>
        <w:t> </w:t>
      </w:r>
      <w:r>
        <w:rPr>
          <w:rFonts w:ascii="Arial" w:hAnsi="Arial" w:cs="Arial" w:eastAsia="Arial" w:hint="default"/>
        </w:rPr>
        <w:t>2010</w:t>
      </w:r>
      <w:r>
        <w:rPr>
          <w:rFonts w:ascii="Arial" w:hAnsi="Arial" w:cs="Arial" w:eastAsia="Arial" w:hint="default"/>
          <w:spacing w:val="-16"/>
        </w:rPr>
        <w:t> </w:t>
      </w:r>
      <w:r>
        <w:rPr/>
        <w:t>年度监事会报告》、《公司</w:t>
      </w:r>
      <w:r>
        <w:rPr>
          <w:spacing w:val="-65"/>
        </w:rPr>
        <w:t> </w:t>
      </w:r>
      <w:r>
        <w:rPr>
          <w:rFonts w:ascii="Arial" w:hAnsi="Arial" w:cs="Arial" w:eastAsia="Arial" w:hint="default"/>
        </w:rPr>
        <w:t>2010</w:t>
      </w:r>
      <w:r>
        <w:rPr>
          <w:rFonts w:ascii="Arial" w:hAnsi="Arial" w:cs="Arial" w:eastAsia="Arial" w:hint="default"/>
          <w:spacing w:val="-16"/>
        </w:rPr>
        <w:t> </w:t>
      </w:r>
      <w:r>
        <w:rPr/>
        <w:t>年年度报告》、《关于更换董事</w:t>
      </w:r>
    </w:p>
    <w:p>
      <w:pPr>
        <w:pStyle w:val="BodyText"/>
        <w:spacing w:line="232" w:lineRule="auto"/>
        <w:ind w:left="813" w:right="124"/>
        <w:jc w:val="left"/>
      </w:pPr>
      <w:r>
        <w:rPr>
          <w:spacing w:val="-8"/>
        </w:rPr>
        <w:t>的议案》、《关于更换监事的议案》《关于联通红筹公司</w:t>
      </w:r>
      <w:r>
        <w:rPr>
          <w:spacing w:val="-55"/>
        </w:rPr>
        <w:t> </w:t>
      </w:r>
      <w:r>
        <w:rPr>
          <w:rFonts w:ascii="Arial" w:hAnsi="Arial" w:cs="Arial" w:eastAsia="Arial" w:hint="default"/>
        </w:rPr>
        <w:t>2010</w:t>
      </w:r>
      <w:r>
        <w:rPr>
          <w:rFonts w:ascii="Arial" w:hAnsi="Arial" w:cs="Arial" w:eastAsia="Arial" w:hint="default"/>
          <w:spacing w:val="-6"/>
        </w:rPr>
        <w:t> </w:t>
      </w:r>
      <w:r>
        <w:rPr>
          <w:spacing w:val="-9"/>
        </w:rPr>
        <w:t>年度利润分配的议案》、《关</w:t>
      </w:r>
      <w:r>
        <w:rPr>
          <w:w w:val="99"/>
        </w:rPr>
        <w:t> </w:t>
      </w:r>
      <w:r>
        <w:rPr/>
        <w:t>于联通红筹公司修改公司章程的议案》、《关于联通红筹公司股东大会授权其董事会在一</w:t>
      </w:r>
      <w:r>
        <w:rPr>
          <w:w w:val="99"/>
        </w:rPr>
        <w:t> </w:t>
      </w:r>
      <w:r>
        <w:rPr/>
        <w:t>定期间内重选董事并授权董事会决定其截至</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日止的袍金事项》、《关于</w:t>
      </w:r>
      <w:r>
        <w:rPr>
          <w:w w:val="99"/>
        </w:rPr>
        <w:t> </w:t>
      </w:r>
      <w:r>
        <w:rPr/>
        <w:t>联通红筹公司股东大会授权其董事会在规定的期间内，在香港联合交易所及指定的其他证</w:t>
      </w:r>
      <w:r>
        <w:rPr>
          <w:w w:val="99"/>
        </w:rPr>
        <w:t> </w:t>
      </w:r>
      <w:r>
        <w:rPr/>
        <w:t>券交易所，按适用的法律购买公司股份事项》、《关于联通红筹公司股东大会按惯例授权</w:t>
      </w:r>
      <w:r>
        <w:rPr>
          <w:w w:val="99"/>
        </w:rPr>
        <w:t> </w:t>
      </w:r>
      <w:r>
        <w:rPr/>
        <w:t>其董事会在规定的范围内决定股份发行计划事项》。</w:t>
      </w:r>
    </w:p>
    <w:p>
      <w:pPr>
        <w:spacing w:after="0" w:line="232" w:lineRule="auto"/>
        <w:jc w:val="left"/>
        <w:sectPr>
          <w:pgSz w:w="11900" w:h="16840"/>
          <w:pgMar w:header="927" w:footer="752" w:top="1160" w:bottom="940" w:left="132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1"/>
        <w:ind w:left="305" w:right="0"/>
        <w:jc w:val="left"/>
      </w:pPr>
      <w:r>
        <w:rPr/>
        <w:t>八、董事会报告</w:t>
      </w:r>
    </w:p>
    <w:p>
      <w:pPr>
        <w:spacing w:line="240" w:lineRule="auto" w:before="1"/>
        <w:rPr>
          <w:rFonts w:ascii="宋体" w:hAnsi="宋体" w:cs="宋体" w:eastAsia="宋体" w:hint="default"/>
          <w:sz w:val="19"/>
          <w:szCs w:val="19"/>
        </w:rPr>
      </w:pPr>
    </w:p>
    <w:p>
      <w:pPr>
        <w:pStyle w:val="BodyText"/>
        <w:spacing w:line="240" w:lineRule="auto"/>
        <w:ind w:left="89" w:right="7271"/>
        <w:jc w:val="center"/>
      </w:pPr>
      <w:r>
        <w:rPr/>
        <w:t>（一）管理层讨论与分析</w:t>
      </w:r>
    </w:p>
    <w:p>
      <w:pPr>
        <w:spacing w:line="240" w:lineRule="auto" w:before="13"/>
        <w:rPr>
          <w:rFonts w:ascii="宋体" w:hAnsi="宋体" w:cs="宋体" w:eastAsia="宋体" w:hint="default"/>
          <w:sz w:val="19"/>
          <w:szCs w:val="19"/>
        </w:rPr>
      </w:pPr>
    </w:p>
    <w:p>
      <w:pPr>
        <w:pStyle w:val="BodyText"/>
        <w:spacing w:line="230" w:lineRule="auto"/>
        <w:ind w:left="782" w:right="217" w:firstLine="5"/>
        <w:jc w:val="both"/>
      </w:pPr>
      <w:r>
        <w:rPr>
          <w:rFonts w:ascii="Arial" w:hAnsi="Arial" w:cs="Arial" w:eastAsia="Arial" w:hint="default"/>
        </w:rPr>
        <w:t>2011</w:t>
      </w:r>
      <w:r>
        <w:rPr>
          <w:rFonts w:ascii="Arial" w:hAnsi="Arial" w:cs="Arial" w:eastAsia="Arial" w:hint="default"/>
          <w:spacing w:val="-21"/>
        </w:rPr>
        <w:t> </w:t>
      </w:r>
      <w:r>
        <w:rPr>
          <w:spacing w:val="-3"/>
        </w:rPr>
        <w:t>年，本公司以</w:t>
      </w:r>
      <w:r>
        <w:rPr>
          <w:spacing w:val="-70"/>
        </w:rPr>
        <w:t> </w:t>
      </w:r>
      <w:r>
        <w:rPr>
          <w:rFonts w:ascii="Arial" w:hAnsi="Arial" w:cs="Arial" w:eastAsia="Arial" w:hint="default"/>
        </w:rPr>
        <w:t>3G</w:t>
      </w:r>
      <w:r>
        <w:rPr>
          <w:rFonts w:ascii="Arial" w:hAnsi="Arial" w:cs="Arial" w:eastAsia="Arial" w:hint="default"/>
          <w:spacing w:val="-21"/>
        </w:rPr>
        <w:t> </w:t>
      </w:r>
      <w:r>
        <w:rPr/>
        <w:t>和固网宽带为引领，加快建立差异化优势，整体发展呈现持续、加速</w:t>
      </w:r>
      <w:r>
        <w:rPr>
          <w:w w:val="99"/>
        </w:rPr>
        <w:t> </w:t>
      </w:r>
      <w:r>
        <w:rPr/>
        <w:t>向好态势，收入快速增长，市场份额稳步提升，业务结构更趋合理，效益水平逐步改善，本</w:t>
      </w:r>
      <w:r>
        <w:rPr>
          <w:w w:val="99"/>
        </w:rPr>
        <w:t> </w:t>
      </w:r>
      <w:r>
        <w:rPr/>
        <w:t>公司综合实力和可持续发展能力进一步增强。</w:t>
      </w:r>
    </w:p>
    <w:p>
      <w:pPr>
        <w:spacing w:line="240" w:lineRule="auto" w:before="4"/>
        <w:rPr>
          <w:rFonts w:ascii="宋体" w:hAnsi="宋体" w:cs="宋体" w:eastAsia="宋体" w:hint="default"/>
          <w:sz w:val="19"/>
          <w:szCs w:val="19"/>
        </w:rPr>
      </w:pPr>
    </w:p>
    <w:p>
      <w:pPr>
        <w:pStyle w:val="BodyText"/>
        <w:spacing w:line="240" w:lineRule="auto"/>
        <w:ind w:left="89" w:right="7459"/>
        <w:jc w:val="center"/>
      </w:pPr>
      <w:r>
        <w:rPr>
          <w:rFonts w:ascii="Arial" w:hAnsi="Arial" w:cs="Arial" w:eastAsia="Arial" w:hint="default"/>
          <w:b/>
          <w:bCs/>
        </w:rPr>
        <w:t>1</w:t>
      </w:r>
      <w:r>
        <w:rPr/>
        <w:t>、总体经营情况</w:t>
      </w:r>
    </w:p>
    <w:p>
      <w:pPr>
        <w:spacing w:line="240" w:lineRule="auto" w:before="13"/>
        <w:rPr>
          <w:rFonts w:ascii="宋体" w:hAnsi="宋体" w:cs="宋体" w:eastAsia="宋体" w:hint="default"/>
          <w:sz w:val="17"/>
          <w:szCs w:val="17"/>
        </w:rPr>
      </w:pPr>
    </w:p>
    <w:p>
      <w:pPr>
        <w:spacing w:before="0"/>
        <w:ind w:left="599" w:right="0" w:firstLine="0"/>
        <w:jc w:val="left"/>
        <w:rPr>
          <w:rFonts w:ascii="宋体" w:hAnsi="宋体" w:cs="宋体" w:eastAsia="宋体" w:hint="default"/>
          <w:sz w:val="22"/>
          <w:szCs w:val="22"/>
        </w:rPr>
      </w:pPr>
      <w:r>
        <w:rPr>
          <w:rFonts w:ascii="Arial" w:hAnsi="Arial" w:cs="Arial" w:eastAsia="Arial" w:hint="default"/>
          <w:b/>
          <w:bCs/>
          <w:sz w:val="22"/>
          <w:szCs w:val="22"/>
        </w:rPr>
        <w:t>1.1 </w:t>
      </w:r>
      <w:r>
        <w:rPr>
          <w:rFonts w:ascii="宋体" w:hAnsi="宋体" w:cs="宋体" w:eastAsia="宋体" w:hint="default"/>
          <w:sz w:val="22"/>
          <w:szCs w:val="22"/>
        </w:rPr>
        <w:t>财务表现（附注</w:t>
      </w:r>
      <w:r>
        <w:rPr>
          <w:rFonts w:ascii="宋体" w:hAnsi="宋体" w:cs="宋体" w:eastAsia="宋体" w:hint="default"/>
          <w:spacing w:val="-59"/>
          <w:sz w:val="22"/>
          <w:szCs w:val="22"/>
        </w:rPr>
        <w:t> </w:t>
      </w:r>
      <w:r>
        <w:rPr>
          <w:rFonts w:ascii="Arial" w:hAnsi="Arial" w:cs="Arial" w:eastAsia="Arial" w:hint="default"/>
          <w:b/>
          <w:bCs/>
          <w:sz w:val="22"/>
          <w:szCs w:val="22"/>
        </w:rPr>
        <w:t>1</w:t>
      </w:r>
      <w:r>
        <w:rPr>
          <w:rFonts w:ascii="宋体" w:hAnsi="宋体" w:cs="宋体" w:eastAsia="宋体" w:hint="default"/>
          <w:sz w:val="22"/>
          <w:szCs w:val="22"/>
        </w:rPr>
        <w:t>）</w:t>
      </w:r>
    </w:p>
    <w:p>
      <w:pPr>
        <w:spacing w:line="240" w:lineRule="auto" w:before="12"/>
        <w:rPr>
          <w:rFonts w:ascii="宋体" w:hAnsi="宋体" w:cs="宋体" w:eastAsia="宋体" w:hint="default"/>
          <w:sz w:val="17"/>
          <w:szCs w:val="17"/>
        </w:rPr>
      </w:pPr>
    </w:p>
    <w:p>
      <w:pPr>
        <w:pStyle w:val="BodyText"/>
        <w:spacing w:line="295" w:lineRule="exact"/>
        <w:ind w:left="987" w:right="0"/>
        <w:jc w:val="both"/>
      </w:pPr>
      <w:r>
        <w:rPr>
          <w:rFonts w:ascii="Arial" w:hAnsi="Arial" w:cs="Arial" w:eastAsia="Arial" w:hint="default"/>
        </w:rPr>
        <w:t>2011</w:t>
      </w:r>
      <w:r>
        <w:rPr>
          <w:rFonts w:ascii="Arial" w:hAnsi="Arial" w:cs="Arial" w:eastAsia="Arial" w:hint="default"/>
          <w:spacing w:val="-7"/>
        </w:rPr>
        <w:t> </w:t>
      </w:r>
      <w:r>
        <w:rPr>
          <w:spacing w:val="-2"/>
        </w:rPr>
        <w:t>年，本公司收入加速增长，实现营业收入（不包含固话初装费递延收入，除非特别说</w:t>
      </w:r>
    </w:p>
    <w:p>
      <w:pPr>
        <w:pStyle w:val="BodyText"/>
        <w:spacing w:line="225" w:lineRule="auto" w:before="6"/>
        <w:ind w:left="981" w:right="98"/>
        <w:jc w:val="left"/>
      </w:pPr>
      <w:r>
        <w:rPr/>
        <w:t>明，全文同上）人民币</w:t>
      </w:r>
      <w:r>
        <w:rPr>
          <w:spacing w:val="-55"/>
        </w:rPr>
        <w:t> </w:t>
      </w:r>
      <w:r>
        <w:rPr>
          <w:rFonts w:ascii="Arial" w:hAnsi="Arial" w:cs="Arial" w:eastAsia="Arial" w:hint="default"/>
        </w:rPr>
        <w:t>2,155.0</w:t>
      </w:r>
      <w:r>
        <w:rPr>
          <w:rFonts w:ascii="Arial" w:hAnsi="Arial" w:cs="Arial" w:eastAsia="Arial" w:hint="default"/>
          <w:spacing w:val="-7"/>
        </w:rPr>
        <w:t> </w:t>
      </w:r>
      <w:r>
        <w:rPr/>
        <w:t>亿元，同比增长</w:t>
      </w:r>
      <w:r>
        <w:rPr>
          <w:spacing w:val="-56"/>
        </w:rPr>
        <w:t> </w:t>
      </w:r>
      <w:r>
        <w:rPr>
          <w:rFonts w:ascii="Arial" w:hAnsi="Arial" w:cs="Arial" w:eastAsia="Arial" w:hint="default"/>
        </w:rPr>
        <w:t>22.4%</w:t>
      </w:r>
      <w:r>
        <w:rPr/>
        <w:t>。其中服务收入人民币</w:t>
      </w:r>
      <w:r>
        <w:rPr>
          <w:spacing w:val="-56"/>
        </w:rPr>
        <w:t> </w:t>
      </w:r>
      <w:r>
        <w:rPr>
          <w:rFonts w:ascii="Arial" w:hAnsi="Arial" w:cs="Arial" w:eastAsia="Arial" w:hint="default"/>
        </w:rPr>
        <w:t>1,917.6</w:t>
      </w:r>
      <w:r>
        <w:rPr>
          <w:rFonts w:ascii="Arial" w:hAnsi="Arial" w:cs="Arial" w:eastAsia="Arial" w:hint="default"/>
          <w:spacing w:val="-7"/>
        </w:rPr>
        <w:t> </w:t>
      </w:r>
      <w:r>
        <w:rPr/>
        <w:t>亿</w:t>
      </w:r>
      <w:r>
        <w:rPr>
          <w:w w:val="99"/>
        </w:rPr>
        <w:t> </w:t>
      </w:r>
      <w:r>
        <w:rPr/>
        <w:t>元，同比增长</w:t>
      </w:r>
      <w:r>
        <w:rPr>
          <w:spacing w:val="-56"/>
        </w:rPr>
        <w:t> </w:t>
      </w:r>
      <w:r>
        <w:rPr>
          <w:rFonts w:ascii="Arial" w:hAnsi="Arial" w:cs="Arial" w:eastAsia="Arial" w:hint="default"/>
        </w:rPr>
        <w:t>13.7%</w:t>
      </w:r>
      <w:r>
        <w:rPr/>
        <w:t>。实现</w:t>
      </w:r>
      <w:r>
        <w:rPr>
          <w:spacing w:val="-56"/>
        </w:rPr>
        <w:t> </w:t>
      </w:r>
      <w:r>
        <w:rPr>
          <w:rFonts w:ascii="Arial" w:hAnsi="Arial" w:cs="Arial" w:eastAsia="Arial" w:hint="default"/>
        </w:rPr>
        <w:t>EBITDA</w:t>
      </w:r>
      <w:r>
        <w:rPr>
          <w:rFonts w:ascii="Arial" w:hAnsi="Arial" w:cs="Arial" w:eastAsia="Arial" w:hint="default"/>
          <w:spacing w:val="-8"/>
        </w:rPr>
        <w:t> </w:t>
      </w:r>
      <w:r>
        <w:rPr/>
        <w:t>人民币</w:t>
      </w:r>
      <w:r>
        <w:rPr>
          <w:spacing w:val="-56"/>
        </w:rPr>
        <w:t> </w:t>
      </w:r>
      <w:r>
        <w:rPr>
          <w:rFonts w:ascii="Arial" w:hAnsi="Arial" w:cs="Arial" w:eastAsia="Arial" w:hint="default"/>
        </w:rPr>
        <w:t>636.4</w:t>
      </w:r>
      <w:r>
        <w:rPr>
          <w:rFonts w:ascii="Arial" w:hAnsi="Arial" w:cs="Arial" w:eastAsia="Arial" w:hint="default"/>
          <w:spacing w:val="-7"/>
        </w:rPr>
        <w:t> </w:t>
      </w:r>
      <w:r>
        <w:rPr/>
        <w:t>亿元，同比增长</w:t>
      </w:r>
      <w:r>
        <w:rPr>
          <w:spacing w:val="-56"/>
        </w:rPr>
        <w:t> </w:t>
      </w:r>
      <w:r>
        <w:rPr>
          <w:rFonts w:ascii="Arial" w:hAnsi="Arial" w:cs="Arial" w:eastAsia="Arial" w:hint="default"/>
        </w:rPr>
        <w:t>7.0%</w:t>
      </w:r>
      <w:r>
        <w:rPr/>
        <w:t>；净利润人民币</w:t>
      </w:r>
      <w:r>
        <w:rPr>
          <w:w w:val="99"/>
        </w:rPr>
        <w:t> </w:t>
      </w:r>
      <w:r>
        <w:rPr>
          <w:rFonts w:ascii="Arial" w:hAnsi="Arial" w:cs="Arial" w:eastAsia="Arial" w:hint="default"/>
        </w:rPr>
        <w:t>41.7</w:t>
      </w:r>
      <w:r>
        <w:rPr>
          <w:rFonts w:ascii="Arial" w:hAnsi="Arial" w:cs="Arial" w:eastAsia="Arial" w:hint="default"/>
          <w:spacing w:val="-14"/>
        </w:rPr>
        <w:t> </w:t>
      </w:r>
      <w:r>
        <w:rPr>
          <w:spacing w:val="-5"/>
        </w:rPr>
        <w:t>亿元，同比增长</w:t>
      </w:r>
      <w:r>
        <w:rPr>
          <w:spacing w:val="-63"/>
        </w:rPr>
        <w:t> </w:t>
      </w:r>
      <w:r>
        <w:rPr>
          <w:rFonts w:ascii="Arial" w:hAnsi="Arial" w:cs="Arial" w:eastAsia="Arial" w:hint="default"/>
        </w:rPr>
        <w:t>19.2%</w:t>
      </w:r>
      <w:r>
        <w:rPr/>
        <w:t>；基本每股收益人民币</w:t>
      </w:r>
      <w:r>
        <w:rPr>
          <w:spacing w:val="-63"/>
        </w:rPr>
        <w:t> </w:t>
      </w:r>
      <w:r>
        <w:rPr>
          <w:rFonts w:ascii="Arial" w:hAnsi="Arial" w:cs="Arial" w:eastAsia="Arial" w:hint="default"/>
        </w:rPr>
        <w:t>0.067</w:t>
      </w:r>
      <w:r>
        <w:rPr>
          <w:rFonts w:ascii="Arial" w:hAnsi="Arial" w:cs="Arial" w:eastAsia="Arial" w:hint="default"/>
          <w:spacing w:val="-14"/>
        </w:rPr>
        <w:t> </w:t>
      </w:r>
      <w:r>
        <w:rPr>
          <w:spacing w:val="-5"/>
        </w:rPr>
        <w:t>元（包含固话初装费递延收入）。</w:t>
      </w:r>
    </w:p>
    <w:p>
      <w:pPr>
        <w:spacing w:line="240" w:lineRule="auto" w:before="2"/>
        <w:rPr>
          <w:rFonts w:ascii="宋体" w:hAnsi="宋体" w:cs="宋体" w:eastAsia="宋体" w:hint="default"/>
          <w:sz w:val="18"/>
          <w:szCs w:val="18"/>
        </w:rPr>
      </w:pPr>
    </w:p>
    <w:p>
      <w:pPr>
        <w:pStyle w:val="BodyText"/>
        <w:spacing w:line="295" w:lineRule="exact"/>
        <w:ind w:left="987" w:right="0"/>
        <w:jc w:val="both"/>
      </w:pPr>
      <w:r>
        <w:rPr>
          <w:rFonts w:ascii="Arial" w:hAnsi="Arial" w:cs="Arial" w:eastAsia="Arial" w:hint="default"/>
        </w:rPr>
        <w:t>2011</w:t>
      </w:r>
      <w:r>
        <w:rPr>
          <w:rFonts w:ascii="Arial" w:hAnsi="Arial" w:cs="Arial" w:eastAsia="Arial" w:hint="default"/>
          <w:spacing w:val="-8"/>
        </w:rPr>
        <w:t> </w:t>
      </w:r>
      <w:r>
        <w:rPr/>
        <w:t>年，本公司实现经营现金流人民币</w:t>
      </w:r>
      <w:r>
        <w:rPr>
          <w:spacing w:val="-57"/>
        </w:rPr>
        <w:t> </w:t>
      </w:r>
      <w:r>
        <w:rPr>
          <w:rFonts w:ascii="Arial" w:hAnsi="Arial" w:cs="Arial" w:eastAsia="Arial" w:hint="default"/>
        </w:rPr>
        <w:t>694.5</w:t>
      </w:r>
      <w:r>
        <w:rPr>
          <w:rFonts w:ascii="Arial" w:hAnsi="Arial" w:cs="Arial" w:eastAsia="Arial" w:hint="default"/>
          <w:spacing w:val="-8"/>
        </w:rPr>
        <w:t> </w:t>
      </w:r>
      <w:r>
        <w:rPr/>
        <w:t>亿元，同比增长</w:t>
      </w:r>
      <w:r>
        <w:rPr>
          <w:spacing w:val="-57"/>
        </w:rPr>
        <w:t> </w:t>
      </w:r>
      <w:r>
        <w:rPr>
          <w:rFonts w:ascii="Arial" w:hAnsi="Arial" w:cs="Arial" w:eastAsia="Arial" w:hint="default"/>
        </w:rPr>
        <w:t>1.8%</w:t>
      </w:r>
      <w:r>
        <w:rPr/>
        <w:t>；资本性支出人民币</w:t>
      </w:r>
    </w:p>
    <w:p>
      <w:pPr>
        <w:pStyle w:val="BodyText"/>
        <w:spacing w:line="286" w:lineRule="exact" w:before="19"/>
        <w:ind w:left="981" w:right="215"/>
        <w:jc w:val="both"/>
      </w:pPr>
      <w:r>
        <w:rPr>
          <w:rFonts w:ascii="Arial" w:hAnsi="Arial" w:cs="Arial" w:eastAsia="Arial" w:hint="default"/>
        </w:rPr>
        <w:t>766.6</w:t>
      </w:r>
      <w:r>
        <w:rPr>
          <w:rFonts w:ascii="Arial" w:hAnsi="Arial" w:cs="Arial" w:eastAsia="Arial" w:hint="default"/>
          <w:spacing w:val="-11"/>
        </w:rPr>
        <w:t> </w:t>
      </w:r>
      <w:r>
        <w:rPr/>
        <w:t>亿元，同比增长</w:t>
      </w:r>
      <w:r>
        <w:rPr>
          <w:spacing w:val="-59"/>
        </w:rPr>
        <w:t> </w:t>
      </w:r>
      <w:r>
        <w:rPr>
          <w:rFonts w:ascii="Arial" w:hAnsi="Arial" w:cs="Arial" w:eastAsia="Arial" w:hint="default"/>
        </w:rPr>
        <w:t>9.2%</w:t>
      </w:r>
      <w:r>
        <w:rPr/>
        <w:t>。截至</w:t>
      </w:r>
      <w:r>
        <w:rPr>
          <w:spacing w:val="-59"/>
        </w:rPr>
        <w:t> </w:t>
      </w:r>
      <w:r>
        <w:rPr>
          <w:rFonts w:ascii="Arial" w:hAnsi="Arial" w:cs="Arial" w:eastAsia="Arial" w:hint="default"/>
        </w:rPr>
        <w:t>2011</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日，资产负债率为</w:t>
      </w:r>
      <w:r>
        <w:rPr>
          <w:spacing w:val="-59"/>
        </w:rPr>
        <w:t> </w:t>
      </w:r>
      <w:r>
        <w:rPr>
          <w:rFonts w:ascii="Arial" w:hAnsi="Arial" w:cs="Arial" w:eastAsia="Arial" w:hint="default"/>
        </w:rPr>
        <w:t>54.5%</w:t>
      </w:r>
      <w:r>
        <w:rPr/>
        <w:t>，资产负债</w:t>
      </w:r>
      <w:r>
        <w:rPr>
          <w:w w:val="99"/>
        </w:rPr>
        <w:t> </w:t>
      </w:r>
      <w:r>
        <w:rPr/>
        <w:t>状况保持稳健。</w:t>
      </w:r>
    </w:p>
    <w:p>
      <w:pPr>
        <w:spacing w:line="240" w:lineRule="auto" w:before="1"/>
        <w:rPr>
          <w:rFonts w:ascii="宋体" w:hAnsi="宋体" w:cs="宋体" w:eastAsia="宋体" w:hint="default"/>
          <w:sz w:val="17"/>
          <w:szCs w:val="17"/>
        </w:rPr>
      </w:pPr>
    </w:p>
    <w:p>
      <w:pPr>
        <w:pStyle w:val="BodyText"/>
        <w:spacing w:line="295" w:lineRule="exact"/>
        <w:ind w:left="987" w:right="0"/>
        <w:jc w:val="both"/>
      </w:pPr>
      <w:r>
        <w:rPr/>
        <w:t>基于本公司</w:t>
      </w:r>
      <w:r>
        <w:rPr>
          <w:spacing w:val="-57"/>
        </w:rPr>
        <w:t> </w:t>
      </w:r>
      <w:r>
        <w:rPr>
          <w:rFonts w:ascii="Arial" w:hAnsi="Arial" w:cs="Arial" w:eastAsia="Arial" w:hint="default"/>
        </w:rPr>
        <w:t>2011</w:t>
      </w:r>
      <w:r>
        <w:rPr>
          <w:rFonts w:ascii="Arial" w:hAnsi="Arial" w:cs="Arial" w:eastAsia="Arial" w:hint="default"/>
          <w:spacing w:val="-9"/>
        </w:rPr>
        <w:t> </w:t>
      </w:r>
      <w:r>
        <w:rPr/>
        <w:t>年财务状况，并考虑到未来移动通信、固网宽带等业务的发展需要，本</w:t>
      </w:r>
    </w:p>
    <w:p>
      <w:pPr>
        <w:pStyle w:val="BodyText"/>
        <w:spacing w:line="295" w:lineRule="exact"/>
        <w:ind w:left="981" w:right="0"/>
        <w:jc w:val="both"/>
      </w:pPr>
      <w:r>
        <w:rPr/>
        <w:t>公司董事会建议派发</w:t>
      </w:r>
      <w:r>
        <w:rPr>
          <w:spacing w:val="-56"/>
        </w:rPr>
        <w:t> </w:t>
      </w:r>
      <w:r>
        <w:rPr>
          <w:rFonts w:ascii="Arial" w:hAnsi="Arial" w:cs="Arial" w:eastAsia="Arial" w:hint="default"/>
        </w:rPr>
        <w:t>2011</w:t>
      </w:r>
      <w:r>
        <w:rPr>
          <w:rFonts w:ascii="Arial" w:hAnsi="Arial" w:cs="Arial" w:eastAsia="Arial" w:hint="default"/>
          <w:spacing w:val="-7"/>
        </w:rPr>
        <w:t> </w:t>
      </w:r>
      <w:r>
        <w:rPr/>
        <w:t>年度股息每</w:t>
      </w:r>
      <w:r>
        <w:rPr>
          <w:spacing w:val="-56"/>
        </w:rPr>
        <w:t> </w:t>
      </w:r>
      <w:r>
        <w:rPr>
          <w:rFonts w:ascii="Arial" w:hAnsi="Arial" w:cs="Arial" w:eastAsia="Arial" w:hint="default"/>
        </w:rPr>
        <w:t>10</w:t>
      </w:r>
      <w:r>
        <w:rPr>
          <w:rFonts w:ascii="Arial" w:hAnsi="Arial" w:cs="Arial" w:eastAsia="Arial" w:hint="default"/>
          <w:spacing w:val="-7"/>
        </w:rPr>
        <w:t> </w:t>
      </w:r>
      <w:r>
        <w:rPr/>
        <w:t>股人民币</w:t>
      </w:r>
      <w:r>
        <w:rPr>
          <w:spacing w:val="-56"/>
        </w:rPr>
        <w:t> </w:t>
      </w:r>
      <w:r>
        <w:rPr>
          <w:rFonts w:ascii="Arial" w:hAnsi="Arial" w:cs="Arial" w:eastAsia="Arial" w:hint="default"/>
        </w:rPr>
        <w:t>0.335</w:t>
      </w:r>
      <w:r>
        <w:rPr>
          <w:rFonts w:ascii="Arial" w:hAnsi="Arial" w:cs="Arial" w:eastAsia="Arial" w:hint="default"/>
          <w:spacing w:val="-7"/>
        </w:rPr>
        <w:t> </w:t>
      </w:r>
      <w:r>
        <w:rPr/>
        <w:t>元。</w:t>
      </w:r>
    </w:p>
    <w:p>
      <w:pPr>
        <w:spacing w:line="240" w:lineRule="auto" w:before="13"/>
        <w:rPr>
          <w:rFonts w:ascii="宋体" w:hAnsi="宋体" w:cs="宋体" w:eastAsia="宋体" w:hint="default"/>
          <w:sz w:val="17"/>
          <w:szCs w:val="17"/>
        </w:rPr>
      </w:pPr>
    </w:p>
    <w:p>
      <w:pPr>
        <w:spacing w:before="0"/>
        <w:ind w:left="599" w:right="0" w:firstLine="0"/>
        <w:jc w:val="left"/>
        <w:rPr>
          <w:rFonts w:ascii="宋体" w:hAnsi="宋体" w:cs="宋体" w:eastAsia="宋体" w:hint="default"/>
          <w:sz w:val="22"/>
          <w:szCs w:val="22"/>
        </w:rPr>
      </w:pPr>
      <w:r>
        <w:rPr>
          <w:rFonts w:ascii="Arial" w:hAnsi="Arial" w:cs="Arial" w:eastAsia="Arial" w:hint="default"/>
          <w:b/>
          <w:bCs/>
          <w:sz w:val="22"/>
          <w:szCs w:val="22"/>
        </w:rPr>
        <w:t>1.2 </w:t>
      </w:r>
      <w:r>
        <w:rPr>
          <w:rFonts w:ascii="宋体" w:hAnsi="宋体" w:cs="宋体" w:eastAsia="宋体" w:hint="default"/>
          <w:sz w:val="22"/>
          <w:szCs w:val="22"/>
        </w:rPr>
        <w:t>业务表现（附注</w:t>
      </w:r>
      <w:r>
        <w:rPr>
          <w:rFonts w:ascii="宋体" w:hAnsi="宋体" w:cs="宋体" w:eastAsia="宋体" w:hint="default"/>
          <w:spacing w:val="-59"/>
          <w:sz w:val="22"/>
          <w:szCs w:val="22"/>
        </w:rPr>
        <w:t> </w:t>
      </w:r>
      <w:r>
        <w:rPr>
          <w:rFonts w:ascii="Arial" w:hAnsi="Arial" w:cs="Arial" w:eastAsia="Arial" w:hint="default"/>
          <w:b/>
          <w:bCs/>
          <w:sz w:val="22"/>
          <w:szCs w:val="22"/>
        </w:rPr>
        <w:t>1</w:t>
      </w:r>
      <w:r>
        <w:rPr>
          <w:rFonts w:ascii="宋体" w:hAnsi="宋体" w:cs="宋体" w:eastAsia="宋体" w:hint="default"/>
          <w:sz w:val="22"/>
          <w:szCs w:val="22"/>
        </w:rPr>
        <w:t>）</w:t>
      </w:r>
    </w:p>
    <w:p>
      <w:pPr>
        <w:spacing w:line="240" w:lineRule="auto" w:before="1"/>
        <w:rPr>
          <w:rFonts w:ascii="宋体" w:hAnsi="宋体" w:cs="宋体" w:eastAsia="宋体" w:hint="default"/>
          <w:sz w:val="19"/>
          <w:szCs w:val="19"/>
        </w:rPr>
      </w:pPr>
    </w:p>
    <w:p>
      <w:pPr>
        <w:pStyle w:val="BodyText"/>
        <w:spacing w:line="225" w:lineRule="auto"/>
        <w:ind w:left="981" w:right="237" w:firstLine="6"/>
        <w:jc w:val="both"/>
      </w:pPr>
      <w:r>
        <w:rPr/>
        <w:t>受</w:t>
      </w:r>
      <w:r>
        <w:rPr>
          <w:spacing w:val="-58"/>
        </w:rPr>
        <w:t> </w:t>
      </w:r>
      <w:r>
        <w:rPr>
          <w:rFonts w:ascii="Arial" w:hAnsi="Arial" w:cs="Arial" w:eastAsia="Arial" w:hint="default"/>
        </w:rPr>
        <w:t>3G</w:t>
      </w:r>
      <w:r>
        <w:rPr/>
        <w:t>、固网宽带业务持续、快速增长拉动，</w:t>
      </w:r>
      <w:r>
        <w:rPr>
          <w:rFonts w:ascii="Arial" w:hAnsi="Arial" w:cs="Arial" w:eastAsia="Arial" w:hint="default"/>
        </w:rPr>
        <w:t>2011</w:t>
      </w:r>
      <w:r>
        <w:rPr>
          <w:rFonts w:ascii="Arial" w:hAnsi="Arial" w:cs="Arial" w:eastAsia="Arial" w:hint="default"/>
          <w:spacing w:val="-9"/>
        </w:rPr>
        <w:t> </w:t>
      </w:r>
      <w:r>
        <w:rPr/>
        <w:t>年本公司收入快速增长，服务收入同比</w:t>
      </w:r>
      <w:r>
        <w:rPr>
          <w:w w:val="99"/>
        </w:rPr>
        <w:t> </w:t>
      </w:r>
      <w:r>
        <w:rPr/>
        <w:t>增幅超出行业平均增幅</w:t>
      </w:r>
      <w:r>
        <w:rPr>
          <w:spacing w:val="-56"/>
        </w:rPr>
        <w:t> </w:t>
      </w:r>
      <w:r>
        <w:rPr>
          <w:rFonts w:ascii="Arial" w:hAnsi="Arial" w:cs="Arial" w:eastAsia="Arial" w:hint="default"/>
        </w:rPr>
        <w:t>3.4</w:t>
      </w:r>
      <w:r>
        <w:rPr>
          <w:rFonts w:ascii="Arial" w:hAnsi="Arial" w:cs="Arial" w:eastAsia="Arial" w:hint="default"/>
          <w:spacing w:val="-8"/>
        </w:rPr>
        <w:t> </w:t>
      </w:r>
      <w:r>
        <w:rPr/>
        <w:t>个百分点，市场份额稳步提升。在收入规模快速增长的同时，</w:t>
      </w:r>
      <w:r>
        <w:rPr>
          <w:w w:val="99"/>
        </w:rPr>
        <w:t> </w:t>
      </w:r>
      <w:r>
        <w:rPr/>
        <w:t>业务和收入结构持续优化。移动服务收入占服务收入的比例达到</w:t>
      </w:r>
      <w:r>
        <w:rPr>
          <w:spacing w:val="-59"/>
        </w:rPr>
        <w:t> </w:t>
      </w:r>
      <w:r>
        <w:rPr>
          <w:rFonts w:ascii="Arial" w:hAnsi="Arial" w:cs="Arial" w:eastAsia="Arial" w:hint="default"/>
        </w:rPr>
        <w:t>55.5%</w:t>
      </w:r>
      <w:r>
        <w:rPr/>
        <w:t>。非语音业务收入</w:t>
      </w:r>
      <w:r>
        <w:rPr>
          <w:w w:val="99"/>
        </w:rPr>
        <w:t> </w:t>
      </w:r>
      <w:r>
        <w:rPr/>
        <w:t>占服务收入的比例达到</w:t>
      </w:r>
      <w:r>
        <w:rPr>
          <w:spacing w:val="-58"/>
        </w:rPr>
        <w:t> </w:t>
      </w:r>
      <w:r>
        <w:rPr>
          <w:rFonts w:ascii="Arial" w:hAnsi="Arial" w:cs="Arial" w:eastAsia="Arial" w:hint="default"/>
        </w:rPr>
        <w:t>49.3%</w:t>
      </w:r>
      <w:r>
        <w:rPr/>
        <w:t>。</w:t>
      </w:r>
    </w:p>
    <w:p>
      <w:pPr>
        <w:spacing w:line="240" w:lineRule="auto" w:before="2"/>
        <w:rPr>
          <w:rFonts w:ascii="宋体" w:hAnsi="宋体" w:cs="宋体" w:eastAsia="宋体" w:hint="default"/>
          <w:sz w:val="18"/>
          <w:szCs w:val="18"/>
        </w:rPr>
      </w:pPr>
    </w:p>
    <w:p>
      <w:pPr>
        <w:spacing w:before="0"/>
        <w:ind w:left="599" w:right="0" w:firstLine="0"/>
        <w:jc w:val="left"/>
        <w:rPr>
          <w:rFonts w:ascii="宋体" w:hAnsi="宋体" w:cs="宋体" w:eastAsia="宋体" w:hint="default"/>
          <w:sz w:val="22"/>
          <w:szCs w:val="22"/>
        </w:rPr>
      </w:pPr>
      <w:r>
        <w:rPr>
          <w:rFonts w:ascii="Arial" w:hAnsi="Arial" w:cs="Arial" w:eastAsia="Arial" w:hint="default"/>
          <w:b/>
          <w:bCs/>
          <w:sz w:val="22"/>
          <w:szCs w:val="22"/>
        </w:rPr>
        <w:t>1.2.1</w:t>
      </w:r>
      <w:r>
        <w:rPr>
          <w:rFonts w:ascii="Arial" w:hAnsi="Arial" w:cs="Arial" w:eastAsia="Arial" w:hint="default"/>
          <w:b/>
          <w:bCs/>
          <w:spacing w:val="-5"/>
          <w:sz w:val="22"/>
          <w:szCs w:val="22"/>
        </w:rPr>
        <w:t> </w:t>
      </w:r>
      <w:r>
        <w:rPr>
          <w:rFonts w:ascii="宋体" w:hAnsi="宋体" w:cs="宋体" w:eastAsia="宋体" w:hint="default"/>
          <w:sz w:val="22"/>
          <w:szCs w:val="22"/>
        </w:rPr>
        <w:t>移动业务</w:t>
      </w:r>
    </w:p>
    <w:p>
      <w:pPr>
        <w:spacing w:line="240" w:lineRule="auto" w:before="13"/>
        <w:rPr>
          <w:rFonts w:ascii="宋体" w:hAnsi="宋体" w:cs="宋体" w:eastAsia="宋体" w:hint="default"/>
          <w:sz w:val="17"/>
          <w:szCs w:val="17"/>
        </w:rPr>
      </w:pPr>
    </w:p>
    <w:p>
      <w:pPr>
        <w:pStyle w:val="BodyText"/>
        <w:spacing w:line="294" w:lineRule="exact"/>
        <w:ind w:left="987" w:right="0"/>
        <w:jc w:val="both"/>
      </w:pPr>
      <w:r>
        <w:rPr>
          <w:rFonts w:ascii="Arial" w:hAnsi="Arial" w:cs="Arial" w:eastAsia="Arial" w:hint="default"/>
        </w:rPr>
        <w:t>2011 </w:t>
      </w:r>
      <w:r>
        <w:rPr/>
        <w:t>年，本公司移动业务呈现强劲增长势头。移动用户全年累计同比增长</w:t>
      </w:r>
      <w:r>
        <w:rPr>
          <w:spacing w:val="-66"/>
        </w:rPr>
        <w:t> </w:t>
      </w:r>
      <w:r>
        <w:rPr>
          <w:rFonts w:ascii="Arial" w:hAnsi="Arial" w:cs="Arial" w:eastAsia="Arial" w:hint="default"/>
        </w:rPr>
        <w:t>19.3%</w:t>
      </w:r>
      <w:r>
        <w:rPr/>
        <w:t>，达到</w:t>
      </w:r>
    </w:p>
    <w:p>
      <w:pPr>
        <w:pStyle w:val="BodyText"/>
        <w:spacing w:line="286" w:lineRule="exact" w:before="18"/>
        <w:ind w:left="981" w:right="237"/>
        <w:jc w:val="both"/>
      </w:pPr>
      <w:r>
        <w:rPr>
          <w:rFonts w:ascii="Arial" w:hAnsi="Arial" w:cs="Arial" w:eastAsia="Arial" w:hint="default"/>
        </w:rPr>
        <w:t>19,966.0</w:t>
      </w:r>
      <w:r>
        <w:rPr>
          <w:rFonts w:ascii="Arial" w:hAnsi="Arial" w:cs="Arial" w:eastAsia="Arial" w:hint="default"/>
          <w:spacing w:val="-8"/>
        </w:rPr>
        <w:t> </w:t>
      </w:r>
      <w:r>
        <w:rPr/>
        <w:t>万户。实现移动服务收入人民币</w:t>
      </w:r>
      <w:r>
        <w:rPr>
          <w:spacing w:val="-57"/>
        </w:rPr>
        <w:t> </w:t>
      </w:r>
      <w:r>
        <w:rPr>
          <w:rFonts w:ascii="Arial" w:hAnsi="Arial" w:cs="Arial" w:eastAsia="Arial" w:hint="default"/>
        </w:rPr>
        <w:t>1,063.3</w:t>
      </w:r>
      <w:r>
        <w:rPr>
          <w:rFonts w:ascii="Arial" w:hAnsi="Arial" w:cs="Arial" w:eastAsia="Arial" w:hint="default"/>
          <w:spacing w:val="-8"/>
        </w:rPr>
        <w:t> </w:t>
      </w:r>
      <w:r>
        <w:rPr/>
        <w:t>亿元，同比增长</w:t>
      </w:r>
      <w:r>
        <w:rPr>
          <w:spacing w:val="-57"/>
        </w:rPr>
        <w:t> </w:t>
      </w:r>
      <w:r>
        <w:rPr>
          <w:rFonts w:ascii="Arial" w:hAnsi="Arial" w:cs="Arial" w:eastAsia="Arial" w:hint="default"/>
        </w:rPr>
        <w:t>25.7%</w:t>
      </w:r>
      <w:r>
        <w:rPr/>
        <w:t>。受</w:t>
      </w:r>
      <w:r>
        <w:rPr>
          <w:spacing w:val="-57"/>
        </w:rPr>
        <w:t> </w:t>
      </w:r>
      <w:r>
        <w:rPr>
          <w:rFonts w:ascii="Arial" w:hAnsi="Arial" w:cs="Arial" w:eastAsia="Arial" w:hint="default"/>
        </w:rPr>
        <w:t>3G</w:t>
      </w:r>
      <w:r>
        <w:rPr>
          <w:rFonts w:ascii="Arial" w:hAnsi="Arial" w:cs="Arial" w:eastAsia="Arial" w:hint="default"/>
          <w:spacing w:val="-8"/>
        </w:rPr>
        <w:t> </w:t>
      </w:r>
      <w:r>
        <w:rPr/>
        <w:t>用户规</w:t>
      </w:r>
      <w:r>
        <w:rPr>
          <w:w w:val="99"/>
        </w:rPr>
        <w:t> </w:t>
      </w:r>
      <w:r>
        <w:rPr/>
        <w:t>模增长驱动，移动业务用户结构和收入结构持续改善，移动用户</w:t>
      </w:r>
      <w:r>
        <w:rPr>
          <w:spacing w:val="-57"/>
        </w:rPr>
        <w:t> </w:t>
      </w:r>
      <w:r>
        <w:rPr>
          <w:rFonts w:ascii="Arial" w:hAnsi="Arial" w:cs="Arial" w:eastAsia="Arial" w:hint="default"/>
        </w:rPr>
        <w:t>ARPU</w:t>
      </w:r>
      <w:r>
        <w:rPr>
          <w:rFonts w:ascii="Arial" w:hAnsi="Arial" w:cs="Arial" w:eastAsia="Arial" w:hint="default"/>
          <w:spacing w:val="-9"/>
        </w:rPr>
        <w:t> </w:t>
      </w:r>
      <w:r>
        <w:rPr/>
        <w:t>同比提高</w:t>
      </w:r>
      <w:r>
        <w:rPr>
          <w:spacing w:val="-56"/>
        </w:rPr>
        <w:t> </w:t>
      </w:r>
      <w:r>
        <w:rPr>
          <w:rFonts w:ascii="Arial" w:hAnsi="Arial" w:cs="Arial" w:eastAsia="Arial" w:hint="default"/>
        </w:rPr>
        <w:t>8.2%</w:t>
      </w:r>
      <w:r>
        <w:rPr/>
        <w:t>，</w:t>
      </w:r>
      <w:r>
        <w:rPr>
          <w:w w:val="99"/>
        </w:rPr>
        <w:t> </w:t>
      </w:r>
      <w:r>
        <w:rPr/>
        <w:t>达到人民币</w:t>
      </w:r>
      <w:r>
        <w:rPr>
          <w:spacing w:val="-57"/>
        </w:rPr>
        <w:t> </w:t>
      </w:r>
      <w:r>
        <w:rPr>
          <w:rFonts w:ascii="Arial" w:hAnsi="Arial" w:cs="Arial" w:eastAsia="Arial" w:hint="default"/>
        </w:rPr>
        <w:t>47.3</w:t>
      </w:r>
      <w:r>
        <w:rPr>
          <w:rFonts w:ascii="Arial" w:hAnsi="Arial" w:cs="Arial" w:eastAsia="Arial" w:hint="default"/>
          <w:spacing w:val="-9"/>
        </w:rPr>
        <w:t> </w:t>
      </w:r>
      <w:r>
        <w:rPr/>
        <w:t>元；移动数据流量同比增长</w:t>
      </w:r>
      <w:r>
        <w:rPr>
          <w:spacing w:val="-58"/>
        </w:rPr>
        <w:t> </w:t>
      </w:r>
      <w:r>
        <w:rPr>
          <w:rFonts w:ascii="Arial" w:hAnsi="Arial" w:cs="Arial" w:eastAsia="Arial" w:hint="default"/>
        </w:rPr>
        <w:t>293.4%</w:t>
      </w:r>
      <w:r>
        <w:rPr/>
        <w:t>，带动移动非语音业务收入占移动服</w:t>
      </w:r>
      <w:r>
        <w:rPr>
          <w:w w:val="99"/>
        </w:rPr>
        <w:t> </w:t>
      </w:r>
      <w:r>
        <w:rPr/>
        <w:t>务收入的比例快速提升，达到</w:t>
      </w:r>
      <w:r>
        <w:rPr>
          <w:spacing w:val="-57"/>
        </w:rPr>
        <w:t> </w:t>
      </w:r>
      <w:r>
        <w:rPr>
          <w:rFonts w:ascii="Arial" w:hAnsi="Arial" w:cs="Arial" w:eastAsia="Arial" w:hint="default"/>
        </w:rPr>
        <w:t>37.1%</w:t>
      </w:r>
      <w:r>
        <w:rPr/>
        <w:t>。</w:t>
      </w:r>
    </w:p>
    <w:p>
      <w:pPr>
        <w:spacing w:after="0" w:line="286" w:lineRule="exact"/>
        <w:jc w:val="both"/>
        <w:sectPr>
          <w:pgSz w:w="11900" w:h="16840"/>
          <w:pgMar w:header="927" w:footer="752" w:top="1160" w:bottom="940" w:left="118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25" w:lineRule="auto" w:before="47"/>
        <w:ind w:left="821" w:right="100" w:firstLine="6"/>
        <w:jc w:val="left"/>
      </w:pPr>
      <w:r>
        <w:rPr>
          <w:rFonts w:ascii="Arial" w:hAnsi="Arial" w:cs="Arial" w:eastAsia="Arial" w:hint="default"/>
          <w:b/>
          <w:bCs/>
        </w:rPr>
        <w:t>3G </w:t>
      </w:r>
      <w:r>
        <w:rPr/>
        <w:t>业务成为推动公司收入增长的第一驱动力：</w:t>
      </w:r>
      <w:r>
        <w:rPr>
          <w:rFonts w:ascii="Arial" w:hAnsi="Arial" w:cs="Arial" w:eastAsia="Arial" w:hint="default"/>
        </w:rPr>
        <w:t>2011</w:t>
      </w:r>
      <w:r>
        <w:rPr>
          <w:rFonts w:ascii="Arial" w:hAnsi="Arial" w:cs="Arial" w:eastAsia="Arial" w:hint="default"/>
          <w:spacing w:val="-10"/>
        </w:rPr>
        <w:t> </w:t>
      </w:r>
      <w:r>
        <w:rPr/>
        <w:t>年，本公司充分利用终端、渠道和应</w:t>
      </w:r>
      <w:r>
        <w:rPr>
          <w:w w:val="99"/>
        </w:rPr>
        <w:t> </w:t>
      </w:r>
      <w:r>
        <w:rPr/>
        <w:t>用拉动，进一步巩固和扩大在</w:t>
      </w:r>
      <w:r>
        <w:rPr>
          <w:spacing w:val="-66"/>
        </w:rPr>
        <w:t> </w:t>
      </w:r>
      <w:r>
        <w:rPr>
          <w:rFonts w:ascii="Arial" w:hAnsi="Arial" w:cs="Arial" w:eastAsia="Arial" w:hint="default"/>
        </w:rPr>
        <w:t>3G</w:t>
      </w:r>
      <w:r>
        <w:rPr>
          <w:rFonts w:ascii="Arial" w:hAnsi="Arial" w:cs="Arial" w:eastAsia="Arial" w:hint="default"/>
          <w:spacing w:val="-17"/>
        </w:rPr>
        <w:t> </w:t>
      </w:r>
      <w:r>
        <w:rPr/>
        <w:t>业务领域的差异化竞争优势，</w:t>
      </w:r>
      <w:r>
        <w:rPr>
          <w:rFonts w:ascii="Arial" w:hAnsi="Arial" w:cs="Arial" w:eastAsia="Arial" w:hint="default"/>
        </w:rPr>
        <w:t>3G</w:t>
      </w:r>
      <w:r>
        <w:rPr>
          <w:rFonts w:ascii="Arial" w:hAnsi="Arial" w:cs="Arial" w:eastAsia="Arial" w:hint="default"/>
          <w:spacing w:val="-17"/>
        </w:rPr>
        <w:t> </w:t>
      </w:r>
      <w:r>
        <w:rPr/>
        <w:t>业务实现快速、规模增</w:t>
      </w:r>
      <w:r>
        <w:rPr>
          <w:w w:val="99"/>
        </w:rPr>
        <w:t> </w:t>
      </w:r>
      <w:r>
        <w:rPr>
          <w:spacing w:val="-28"/>
          <w:w w:val="99"/>
        </w:rPr>
        <w:t>长。</w:t>
      </w:r>
      <w:r>
        <w:rPr>
          <w:rFonts w:ascii="Arial" w:hAnsi="Arial" w:cs="Arial" w:eastAsia="Arial" w:hint="default"/>
          <w:spacing w:val="-28"/>
          <w:w w:val="99"/>
        </w:rPr>
        <w:t>3G</w:t>
      </w:r>
      <w:r>
        <w:rPr>
          <w:rFonts w:ascii="Arial" w:hAnsi="Arial" w:cs="Arial" w:eastAsia="Arial" w:hint="default"/>
          <w:spacing w:val="-12"/>
          <w:w w:val="99"/>
        </w:rPr>
        <w:t> </w:t>
      </w:r>
      <w:r>
        <w:rPr>
          <w:w w:val="99"/>
        </w:rPr>
        <w:t>用户全年累计净增</w:t>
      </w:r>
      <w:r>
        <w:rPr>
          <w:spacing w:val="-62"/>
          <w:w w:val="99"/>
        </w:rPr>
        <w:t> </w:t>
      </w:r>
      <w:r>
        <w:rPr>
          <w:rFonts w:ascii="Arial" w:hAnsi="Arial" w:cs="Arial" w:eastAsia="Arial" w:hint="default"/>
          <w:w w:val="99"/>
        </w:rPr>
        <w:t>2,595.9</w:t>
      </w:r>
      <w:r>
        <w:rPr>
          <w:rFonts w:ascii="Arial" w:hAnsi="Arial" w:cs="Arial" w:eastAsia="Arial" w:hint="default"/>
          <w:spacing w:val="-13"/>
          <w:w w:val="99"/>
        </w:rPr>
        <w:t> </w:t>
      </w:r>
      <w:r>
        <w:rPr>
          <w:spacing w:val="-23"/>
          <w:w w:val="99"/>
        </w:rPr>
        <w:t>万户，达到</w:t>
      </w:r>
      <w:r>
        <w:rPr>
          <w:spacing w:val="-62"/>
          <w:w w:val="99"/>
        </w:rPr>
        <w:t> </w:t>
      </w:r>
      <w:r>
        <w:rPr>
          <w:rFonts w:ascii="Arial" w:hAnsi="Arial" w:cs="Arial" w:eastAsia="Arial" w:hint="default"/>
          <w:w w:val="99"/>
        </w:rPr>
        <w:t>4,001.9</w:t>
      </w:r>
      <w:r>
        <w:rPr>
          <w:rFonts w:ascii="Arial" w:hAnsi="Arial" w:cs="Arial" w:eastAsia="Arial" w:hint="default"/>
          <w:spacing w:val="-13"/>
          <w:w w:val="99"/>
        </w:rPr>
        <w:t> </w:t>
      </w:r>
      <w:r>
        <w:rPr>
          <w:spacing w:val="-9"/>
          <w:w w:val="99"/>
        </w:rPr>
        <w:t>万户，占移动用户的比例达到</w:t>
      </w:r>
      <w:r>
        <w:rPr>
          <w:spacing w:val="-61"/>
          <w:w w:val="99"/>
        </w:rPr>
        <w:t> </w:t>
      </w:r>
      <w:r>
        <w:rPr>
          <w:rFonts w:ascii="Arial" w:hAnsi="Arial" w:cs="Arial" w:eastAsia="Arial" w:hint="default"/>
          <w:w w:val="99"/>
        </w:rPr>
        <w:t>20.0</w:t>
      </w:r>
      <w:r>
        <w:rPr>
          <w:w w:val="99"/>
        </w:rPr>
        <w:t>％；</w:t>
      </w:r>
      <w:r>
        <w:rPr>
          <w:w w:val="99"/>
        </w:rPr>
        <w:t> </w:t>
      </w:r>
      <w:r>
        <w:rPr/>
        <w:t>用户</w:t>
      </w:r>
      <w:r>
        <w:rPr>
          <w:spacing w:val="-57"/>
        </w:rPr>
        <w:t> </w:t>
      </w:r>
      <w:r>
        <w:rPr>
          <w:rFonts w:ascii="Arial" w:hAnsi="Arial" w:cs="Arial" w:eastAsia="Arial" w:hint="default"/>
        </w:rPr>
        <w:t>ARPU</w:t>
      </w:r>
      <w:r>
        <w:rPr>
          <w:rFonts w:ascii="Arial" w:hAnsi="Arial" w:cs="Arial" w:eastAsia="Arial" w:hint="default"/>
          <w:spacing w:val="-7"/>
        </w:rPr>
        <w:t> </w:t>
      </w:r>
      <w:r>
        <w:rPr/>
        <w:t>保持人民币</w:t>
      </w:r>
      <w:r>
        <w:rPr>
          <w:spacing w:val="-56"/>
        </w:rPr>
        <w:t> </w:t>
      </w:r>
      <w:r>
        <w:rPr>
          <w:rFonts w:ascii="Arial" w:hAnsi="Arial" w:cs="Arial" w:eastAsia="Arial" w:hint="default"/>
        </w:rPr>
        <w:t>110.0</w:t>
      </w:r>
      <w:r>
        <w:rPr>
          <w:rFonts w:ascii="Arial" w:hAnsi="Arial" w:cs="Arial" w:eastAsia="Arial" w:hint="default"/>
          <w:spacing w:val="-8"/>
        </w:rPr>
        <w:t> </w:t>
      </w:r>
      <w:r>
        <w:rPr/>
        <w:t>元的较高水平；实现</w:t>
      </w:r>
      <w:r>
        <w:rPr>
          <w:spacing w:val="-57"/>
        </w:rPr>
        <w:t> </w:t>
      </w:r>
      <w:r>
        <w:rPr>
          <w:rFonts w:ascii="Arial" w:hAnsi="Arial" w:cs="Arial" w:eastAsia="Arial" w:hint="default"/>
        </w:rPr>
        <w:t>3G</w:t>
      </w:r>
      <w:r>
        <w:rPr>
          <w:rFonts w:ascii="Arial" w:hAnsi="Arial" w:cs="Arial" w:eastAsia="Arial" w:hint="default"/>
          <w:spacing w:val="-9"/>
        </w:rPr>
        <w:t> </w:t>
      </w:r>
      <w:r>
        <w:rPr/>
        <w:t>服务收入人民币</w:t>
      </w:r>
      <w:r>
        <w:rPr>
          <w:spacing w:val="-57"/>
        </w:rPr>
        <w:t> </w:t>
      </w:r>
      <w:r>
        <w:rPr>
          <w:rFonts w:ascii="Arial" w:hAnsi="Arial" w:cs="Arial" w:eastAsia="Arial" w:hint="default"/>
        </w:rPr>
        <w:t>337.9</w:t>
      </w:r>
      <w:r>
        <w:rPr>
          <w:rFonts w:ascii="Arial" w:hAnsi="Arial" w:cs="Arial" w:eastAsia="Arial" w:hint="default"/>
          <w:spacing w:val="-8"/>
        </w:rPr>
        <w:t> </w:t>
      </w:r>
      <w:r>
        <w:rPr/>
        <w:t>亿元，同比</w:t>
      </w:r>
      <w:r>
        <w:rPr>
          <w:w w:val="99"/>
        </w:rPr>
        <w:t> </w:t>
      </w:r>
      <w:r>
        <w:rPr/>
        <w:t>增长</w:t>
      </w:r>
      <w:r>
        <w:rPr>
          <w:spacing w:val="-58"/>
        </w:rPr>
        <w:t> </w:t>
      </w:r>
      <w:r>
        <w:rPr>
          <w:rFonts w:ascii="Arial" w:hAnsi="Arial" w:cs="Arial" w:eastAsia="Arial" w:hint="default"/>
        </w:rPr>
        <w:t>183.2%</w:t>
      </w:r>
      <w:r>
        <w:rPr/>
        <w:t>，占移动服务收入的比例达到</w:t>
      </w:r>
      <w:r>
        <w:rPr>
          <w:spacing w:val="-58"/>
        </w:rPr>
        <w:t> </w:t>
      </w:r>
      <w:r>
        <w:rPr>
          <w:rFonts w:ascii="Arial" w:hAnsi="Arial" w:cs="Arial" w:eastAsia="Arial" w:hint="default"/>
        </w:rPr>
        <w:t>31.8%</w:t>
      </w:r>
      <w:r>
        <w:rPr/>
        <w:t>。</w:t>
      </w:r>
    </w:p>
    <w:p>
      <w:pPr>
        <w:spacing w:line="240" w:lineRule="auto" w:before="3"/>
        <w:rPr>
          <w:rFonts w:ascii="宋体" w:hAnsi="宋体" w:cs="宋体" w:eastAsia="宋体" w:hint="default"/>
          <w:sz w:val="20"/>
          <w:szCs w:val="20"/>
        </w:rPr>
      </w:pPr>
    </w:p>
    <w:p>
      <w:pPr>
        <w:pStyle w:val="BodyText"/>
        <w:spacing w:line="286" w:lineRule="exact"/>
        <w:ind w:left="821" w:right="92" w:firstLine="6"/>
        <w:jc w:val="left"/>
      </w:pPr>
      <w:r>
        <w:rPr>
          <w:rFonts w:ascii="Arial" w:hAnsi="Arial" w:cs="Arial" w:eastAsia="Arial" w:hint="default"/>
        </w:rPr>
        <w:t>2011</w:t>
      </w:r>
      <w:r>
        <w:rPr>
          <w:rFonts w:ascii="Arial" w:hAnsi="Arial" w:cs="Arial" w:eastAsia="Arial" w:hint="default"/>
          <w:spacing w:val="-23"/>
        </w:rPr>
        <w:t> </w:t>
      </w:r>
      <w:r>
        <w:rPr/>
        <w:t>年内，本公司进一步激发</w:t>
      </w:r>
      <w:r>
        <w:rPr>
          <w:spacing w:val="-72"/>
        </w:rPr>
        <w:t> </w:t>
      </w:r>
      <w:r>
        <w:rPr>
          <w:rFonts w:ascii="Arial" w:hAnsi="Arial" w:cs="Arial" w:eastAsia="Arial" w:hint="default"/>
        </w:rPr>
        <w:t>WCDMA</w:t>
      </w:r>
      <w:r>
        <w:rPr>
          <w:rFonts w:ascii="Arial" w:hAnsi="Arial" w:cs="Arial" w:eastAsia="Arial" w:hint="default"/>
          <w:spacing w:val="-22"/>
        </w:rPr>
        <w:t> </w:t>
      </w:r>
      <w:r>
        <w:rPr/>
        <w:t>在智能终端领域的领先优势，不断丰富终端定制，</w:t>
      </w:r>
      <w:r>
        <w:rPr>
          <w:w w:val="99"/>
        </w:rPr>
        <w:t> </w:t>
      </w:r>
      <w:r>
        <w:rPr/>
        <w:t>建立了在各价位产品体系中的竞争优势。</w:t>
      </w:r>
      <w:r>
        <w:rPr>
          <w:rFonts w:ascii="Arial" w:hAnsi="Arial" w:cs="Arial" w:eastAsia="Arial" w:hint="default"/>
        </w:rPr>
        <w:t>2011</w:t>
      </w:r>
      <w:r>
        <w:rPr>
          <w:rFonts w:ascii="Arial" w:hAnsi="Arial" w:cs="Arial" w:eastAsia="Arial" w:hint="default"/>
          <w:spacing w:val="-10"/>
        </w:rPr>
        <w:t> </w:t>
      </w:r>
      <w:r>
        <w:rPr>
          <w:spacing w:val="-3"/>
        </w:rPr>
        <w:t>年下半年，本公司联合产业链各方，全球首</w:t>
      </w:r>
      <w:r>
        <w:rPr>
          <w:w w:val="99"/>
        </w:rPr>
        <w:t> </w:t>
      </w:r>
      <w:r>
        <w:rPr/>
        <w:t>推多款</w:t>
      </w:r>
      <w:r>
        <w:rPr>
          <w:spacing w:val="-56"/>
        </w:rPr>
        <w:t> </w:t>
      </w:r>
      <w:r>
        <w:rPr>
          <w:rFonts w:ascii="Arial" w:hAnsi="Arial" w:cs="Arial" w:eastAsia="Arial" w:hint="default"/>
        </w:rPr>
        <w:t>3.5</w:t>
      </w:r>
      <w:r>
        <w:rPr>
          <w:rFonts w:ascii="Arial" w:hAnsi="Arial" w:cs="Arial" w:eastAsia="Arial" w:hint="default"/>
          <w:spacing w:val="-7"/>
        </w:rPr>
        <w:t> </w:t>
      </w:r>
      <w:r>
        <w:rPr/>
        <w:t>寸电容屏、</w:t>
      </w:r>
      <w:r>
        <w:rPr>
          <w:rFonts w:ascii="Arial" w:hAnsi="Arial" w:cs="Arial" w:eastAsia="Arial" w:hint="default"/>
        </w:rPr>
        <w:t>CPU</w:t>
      </w:r>
      <w:r>
        <w:rPr>
          <w:rFonts w:ascii="Arial" w:hAnsi="Arial" w:cs="Arial" w:eastAsia="Arial" w:hint="default"/>
          <w:spacing w:val="-1"/>
        </w:rPr>
        <w:t> </w:t>
      </w:r>
      <w:r>
        <w:rPr>
          <w:rFonts w:ascii="Arial" w:hAnsi="Arial" w:cs="Arial" w:eastAsia="Arial" w:hint="default"/>
        </w:rPr>
        <w:t>600MHz</w:t>
      </w:r>
      <w:r>
        <w:rPr>
          <w:rFonts w:ascii="Arial" w:hAnsi="Arial" w:cs="Arial" w:eastAsia="Arial" w:hint="default"/>
          <w:spacing w:val="-7"/>
        </w:rPr>
        <w:t> </w:t>
      </w:r>
      <w:r>
        <w:rPr/>
        <w:t>以上的千元智能机，成为继</w:t>
      </w:r>
      <w:r>
        <w:rPr>
          <w:spacing w:val="-56"/>
        </w:rPr>
        <w:t> </w:t>
      </w:r>
      <w:r>
        <w:rPr>
          <w:rFonts w:ascii="Arial" w:hAnsi="Arial" w:cs="Arial" w:eastAsia="Arial" w:hint="default"/>
        </w:rPr>
        <w:t>iPhone</w:t>
      </w:r>
      <w:r>
        <w:rPr>
          <w:rFonts w:ascii="Arial" w:hAnsi="Arial" w:cs="Arial" w:eastAsia="Arial" w:hint="default"/>
          <w:spacing w:val="-7"/>
        </w:rPr>
        <w:t> </w:t>
      </w:r>
      <w:r>
        <w:rPr/>
        <w:t>后推动移动互联</w:t>
      </w:r>
      <w:r>
        <w:rPr>
          <w:w w:val="99"/>
        </w:rPr>
        <w:t> </w:t>
      </w:r>
      <w:r>
        <w:rPr/>
        <w:t>网加速普及的重要驱动力，带动本公司</w:t>
      </w:r>
      <w:r>
        <w:rPr>
          <w:spacing w:val="-56"/>
        </w:rPr>
        <w:t> </w:t>
      </w:r>
      <w:r>
        <w:rPr>
          <w:rFonts w:ascii="Arial" w:hAnsi="Arial" w:cs="Arial" w:eastAsia="Arial" w:hint="default"/>
        </w:rPr>
        <w:t>3G</w:t>
      </w:r>
      <w:r>
        <w:rPr>
          <w:rFonts w:ascii="Arial" w:hAnsi="Arial" w:cs="Arial" w:eastAsia="Arial" w:hint="default"/>
          <w:spacing w:val="-8"/>
        </w:rPr>
        <w:t> </w:t>
      </w:r>
      <w:r>
        <w:rPr/>
        <w:t>用户净增规模快速提升。</w:t>
      </w:r>
    </w:p>
    <w:p>
      <w:pPr>
        <w:spacing w:line="240" w:lineRule="auto" w:before="3"/>
        <w:rPr>
          <w:rFonts w:ascii="宋体" w:hAnsi="宋体" w:cs="宋体" w:eastAsia="宋体" w:hint="default"/>
          <w:sz w:val="19"/>
          <w:szCs w:val="19"/>
        </w:rPr>
      </w:pPr>
    </w:p>
    <w:p>
      <w:pPr>
        <w:pStyle w:val="BodyText"/>
        <w:spacing w:line="286" w:lineRule="exact"/>
        <w:ind w:left="821" w:right="93" w:firstLine="6"/>
        <w:jc w:val="left"/>
      </w:pPr>
      <w:r>
        <w:rPr>
          <w:spacing w:val="-2"/>
        </w:rPr>
        <w:t>本公司持续突破社会渠道规模，积极完善销售及结算流程，社会渠道产能和效率全面提升，</w:t>
      </w:r>
      <w:r>
        <w:rPr>
          <w:w w:val="99"/>
        </w:rPr>
        <w:t> </w:t>
      </w:r>
      <w:r>
        <w:rPr/>
        <w:t>全年</w:t>
      </w:r>
      <w:r>
        <w:rPr>
          <w:spacing w:val="-56"/>
        </w:rPr>
        <w:t> </w:t>
      </w:r>
      <w:r>
        <w:rPr>
          <w:rFonts w:ascii="Arial" w:hAnsi="Arial" w:cs="Arial" w:eastAsia="Arial" w:hint="default"/>
        </w:rPr>
        <w:t>3G</w:t>
      </w:r>
      <w:r>
        <w:rPr>
          <w:rFonts w:ascii="Arial" w:hAnsi="Arial" w:cs="Arial" w:eastAsia="Arial" w:hint="default"/>
          <w:spacing w:val="-8"/>
        </w:rPr>
        <w:t> </w:t>
      </w:r>
      <w:r>
        <w:rPr/>
        <w:t>业务社会渠道销售占比达到</w:t>
      </w:r>
      <w:r>
        <w:rPr>
          <w:spacing w:val="-56"/>
        </w:rPr>
        <w:t> </w:t>
      </w:r>
      <w:r>
        <w:rPr>
          <w:rFonts w:ascii="Arial" w:hAnsi="Arial" w:cs="Arial" w:eastAsia="Arial" w:hint="default"/>
        </w:rPr>
        <w:t>53%</w:t>
      </w:r>
      <w:r>
        <w:rPr/>
        <w:t>。自有渠道方面，本公司加快提升自有营业厅销</w:t>
      </w:r>
      <w:r>
        <w:rPr>
          <w:w w:val="99"/>
        </w:rPr>
        <w:t> </w:t>
      </w:r>
      <w:r>
        <w:rPr/>
        <w:t>售能力，在</w:t>
      </w:r>
      <w:r>
        <w:rPr>
          <w:spacing w:val="-57"/>
        </w:rPr>
        <w:t> </w:t>
      </w:r>
      <w:r>
        <w:rPr>
          <w:rFonts w:ascii="Arial" w:hAnsi="Arial" w:cs="Arial" w:eastAsia="Arial" w:hint="default"/>
        </w:rPr>
        <w:t>3,500</w:t>
      </w:r>
      <w:r>
        <w:rPr>
          <w:rFonts w:ascii="Arial" w:hAnsi="Arial" w:cs="Arial" w:eastAsia="Arial" w:hint="default"/>
          <w:spacing w:val="-9"/>
        </w:rPr>
        <w:t> </w:t>
      </w:r>
      <w:r>
        <w:rPr/>
        <w:t>个自有营业厅推行体验式营销模式转型，单厅销量显著提升；积极引导</w:t>
      </w:r>
    </w:p>
    <w:p>
      <w:pPr>
        <w:pStyle w:val="BodyText"/>
        <w:spacing w:line="284" w:lineRule="exact" w:before="1"/>
        <w:ind w:left="821" w:right="242"/>
        <w:jc w:val="left"/>
      </w:pPr>
      <w:r>
        <w:rPr/>
        <w:t>电子渠道销售服务，网上营业厅使用量快速增长，全年营业额达到人民币</w:t>
      </w:r>
      <w:r>
        <w:rPr>
          <w:spacing w:val="-57"/>
        </w:rPr>
        <w:t> </w:t>
      </w:r>
      <w:r>
        <w:rPr>
          <w:rFonts w:ascii="Arial" w:hAnsi="Arial" w:cs="Arial" w:eastAsia="Arial" w:hint="default"/>
        </w:rPr>
        <w:t>230.7</w:t>
      </w:r>
      <w:r>
        <w:rPr>
          <w:rFonts w:ascii="Arial" w:hAnsi="Arial" w:cs="Arial" w:eastAsia="Arial" w:hint="default"/>
          <w:spacing w:val="-8"/>
        </w:rPr>
        <w:t> </w:t>
      </w:r>
      <w:r>
        <w:rPr/>
        <w:t>亿元，同</w:t>
      </w:r>
      <w:r>
        <w:rPr>
          <w:w w:val="99"/>
        </w:rPr>
        <w:t> </w:t>
      </w:r>
      <w:r>
        <w:rPr/>
        <w:t>比增长</w:t>
      </w:r>
      <w:r>
        <w:rPr>
          <w:spacing w:val="-57"/>
        </w:rPr>
        <w:t> </w:t>
      </w:r>
      <w:r>
        <w:rPr>
          <w:rFonts w:ascii="Arial" w:hAnsi="Arial" w:cs="Arial" w:eastAsia="Arial" w:hint="default"/>
        </w:rPr>
        <w:t>86%</w:t>
      </w:r>
      <w:r>
        <w:rPr/>
        <w:t>。</w:t>
      </w:r>
    </w:p>
    <w:p>
      <w:pPr>
        <w:spacing w:line="240" w:lineRule="auto" w:before="13"/>
        <w:rPr>
          <w:rFonts w:ascii="宋体" w:hAnsi="宋体" w:cs="宋体" w:eastAsia="宋体" w:hint="default"/>
          <w:sz w:val="17"/>
          <w:szCs w:val="17"/>
        </w:rPr>
      </w:pPr>
    </w:p>
    <w:p>
      <w:pPr>
        <w:pStyle w:val="BodyText"/>
        <w:spacing w:line="230" w:lineRule="auto"/>
        <w:ind w:left="821" w:right="103" w:firstLine="6"/>
        <w:jc w:val="left"/>
      </w:pPr>
      <w:r>
        <w:rPr/>
        <w:t>内容及应用领域，本公司聚焦音乐、阅读、应用商店等重点产品，广泛开展体验及内容推</w:t>
      </w:r>
      <w:r>
        <w:rPr>
          <w:w w:val="99"/>
        </w:rPr>
        <w:t> </w:t>
      </w:r>
      <w:r>
        <w:rPr/>
        <w:t>送活动，用户使用量不断提高。</w:t>
      </w:r>
      <w:r>
        <w:rPr>
          <w:rFonts w:ascii="Arial" w:hAnsi="Arial" w:cs="Arial" w:eastAsia="Arial" w:hint="default"/>
        </w:rPr>
        <w:t>2011</w:t>
      </w:r>
      <w:r>
        <w:rPr>
          <w:rFonts w:ascii="Arial" w:hAnsi="Arial" w:cs="Arial" w:eastAsia="Arial" w:hint="default"/>
          <w:spacing w:val="-7"/>
        </w:rPr>
        <w:t> </w:t>
      </w:r>
      <w:r>
        <w:rPr/>
        <w:t>年，本公司</w:t>
      </w:r>
      <w:r>
        <w:rPr>
          <w:spacing w:val="-56"/>
        </w:rPr>
        <w:t> </w:t>
      </w:r>
      <w:r>
        <w:rPr>
          <w:rFonts w:ascii="Arial" w:hAnsi="Arial" w:cs="Arial" w:eastAsia="Arial" w:hint="default"/>
        </w:rPr>
        <w:t>3G</w:t>
      </w:r>
      <w:r>
        <w:rPr>
          <w:rFonts w:ascii="Arial" w:hAnsi="Arial" w:cs="Arial" w:eastAsia="Arial" w:hint="default"/>
          <w:spacing w:val="-8"/>
        </w:rPr>
        <w:t> </w:t>
      </w:r>
      <w:r>
        <w:rPr/>
        <w:t>用户月均数据流量达到</w:t>
      </w:r>
      <w:r>
        <w:rPr>
          <w:spacing w:val="-56"/>
        </w:rPr>
        <w:t> </w:t>
      </w:r>
      <w:r>
        <w:rPr>
          <w:rFonts w:ascii="Arial" w:hAnsi="Arial" w:cs="Arial" w:eastAsia="Arial" w:hint="default"/>
        </w:rPr>
        <w:t>267MB</w:t>
      </w:r>
      <w:r>
        <w:rPr/>
        <w:t>，同</w:t>
      </w:r>
      <w:r>
        <w:rPr>
          <w:spacing w:val="1"/>
          <w:w w:val="99"/>
        </w:rPr>
        <w:t> </w:t>
      </w:r>
      <w:r>
        <w:rPr/>
        <w:t>比增长</w:t>
      </w:r>
      <w:r>
        <w:rPr>
          <w:spacing w:val="-58"/>
        </w:rPr>
        <w:t> </w:t>
      </w:r>
      <w:r>
        <w:rPr>
          <w:rFonts w:ascii="Arial" w:hAnsi="Arial" w:cs="Arial" w:eastAsia="Arial" w:hint="default"/>
        </w:rPr>
        <w:t>50.1%</w:t>
      </w:r>
      <w:r>
        <w:rPr/>
        <w:t>。下半年，本公司创新推出了</w:t>
      </w:r>
      <w:r>
        <w:rPr>
          <w:spacing w:val="-58"/>
        </w:rPr>
        <w:t> </w:t>
      </w:r>
      <w:r>
        <w:rPr>
          <w:rFonts w:ascii="Arial" w:hAnsi="Arial" w:cs="Arial" w:eastAsia="Arial" w:hint="default"/>
        </w:rPr>
        <w:t>WO+</w:t>
      </w:r>
      <w:r>
        <w:rPr/>
        <w:t>开放体系，致力于提升产品聚合、渠道、</w:t>
      </w:r>
      <w:r>
        <w:rPr>
          <w:w w:val="99"/>
        </w:rPr>
        <w:t> </w:t>
      </w:r>
      <w:r>
        <w:rPr/>
        <w:t>精细化运营和智能管道能力，提升流量，聚合应用，不断扩大行业影响力。</w:t>
      </w:r>
    </w:p>
    <w:p>
      <w:pPr>
        <w:spacing w:line="240" w:lineRule="auto" w:before="6"/>
        <w:rPr>
          <w:rFonts w:ascii="宋体" w:hAnsi="宋体" w:cs="宋体" w:eastAsia="宋体" w:hint="default"/>
          <w:sz w:val="20"/>
          <w:szCs w:val="20"/>
        </w:rPr>
      </w:pPr>
    </w:p>
    <w:p>
      <w:pPr>
        <w:pStyle w:val="BodyText"/>
        <w:spacing w:line="225" w:lineRule="auto"/>
        <w:ind w:left="821" w:right="197" w:firstLine="6"/>
        <w:jc w:val="left"/>
      </w:pPr>
      <w:r>
        <w:rPr>
          <w:rFonts w:ascii="Arial" w:hAnsi="Arial" w:cs="Arial" w:eastAsia="Arial" w:hint="default"/>
          <w:b/>
          <w:bCs/>
        </w:rPr>
        <w:t>GSM</w:t>
      </w:r>
      <w:r>
        <w:rPr>
          <w:rFonts w:ascii="Arial" w:hAnsi="Arial" w:cs="Arial" w:eastAsia="Arial" w:hint="default"/>
          <w:b/>
          <w:bCs/>
          <w:spacing w:val="-7"/>
        </w:rPr>
        <w:t> </w:t>
      </w:r>
      <w:r>
        <w:rPr/>
        <w:t>业务发展基本保持平稳：</w:t>
      </w:r>
      <w:r>
        <w:rPr>
          <w:rFonts w:ascii="Arial" w:hAnsi="Arial" w:cs="Arial" w:eastAsia="Arial" w:hint="default"/>
        </w:rPr>
        <w:t>2011</w:t>
      </w:r>
      <w:r>
        <w:rPr>
          <w:rFonts w:ascii="Arial" w:hAnsi="Arial" w:cs="Arial" w:eastAsia="Arial" w:hint="default"/>
          <w:spacing w:val="-6"/>
        </w:rPr>
        <w:t> </w:t>
      </w:r>
      <w:r>
        <w:rPr/>
        <w:t>年，本公司加强</w:t>
      </w:r>
      <w:r>
        <w:rPr>
          <w:spacing w:val="-55"/>
        </w:rPr>
        <w:t> </w:t>
      </w:r>
      <w:r>
        <w:rPr>
          <w:rFonts w:ascii="Arial" w:hAnsi="Arial" w:cs="Arial" w:eastAsia="Arial" w:hint="default"/>
        </w:rPr>
        <w:t>GSM</w:t>
      </w:r>
      <w:r>
        <w:rPr>
          <w:rFonts w:ascii="Arial" w:hAnsi="Arial" w:cs="Arial" w:eastAsia="Arial" w:hint="default"/>
          <w:spacing w:val="-6"/>
        </w:rPr>
        <w:t> </w:t>
      </w:r>
      <w:r>
        <w:rPr/>
        <w:t>数据业务营销，并从产品和渠</w:t>
      </w:r>
      <w:r>
        <w:rPr>
          <w:w w:val="99"/>
        </w:rPr>
        <w:t> </w:t>
      </w:r>
      <w:r>
        <w:rPr/>
        <w:t>道等领域大胆探索</w:t>
      </w:r>
      <w:r>
        <w:rPr>
          <w:spacing w:val="-56"/>
        </w:rPr>
        <w:t> </w:t>
      </w:r>
      <w:r>
        <w:rPr>
          <w:rFonts w:ascii="Arial" w:hAnsi="Arial" w:cs="Arial" w:eastAsia="Arial" w:hint="default"/>
        </w:rPr>
        <w:t>GSM</w:t>
      </w:r>
      <w:r>
        <w:rPr>
          <w:rFonts w:ascii="Arial" w:hAnsi="Arial" w:cs="Arial" w:eastAsia="Arial" w:hint="default"/>
          <w:spacing w:val="-8"/>
        </w:rPr>
        <w:t> </w:t>
      </w:r>
      <w:r>
        <w:rPr/>
        <w:t>业务营销模式的转型，全年累计净增用户</w:t>
      </w:r>
      <w:r>
        <w:rPr>
          <w:spacing w:val="-56"/>
        </w:rPr>
        <w:t> </w:t>
      </w:r>
      <w:r>
        <w:rPr>
          <w:rFonts w:ascii="Arial" w:hAnsi="Arial" w:cs="Arial" w:eastAsia="Arial" w:hint="default"/>
        </w:rPr>
        <w:t>627.5</w:t>
      </w:r>
      <w:r>
        <w:rPr>
          <w:rFonts w:ascii="Arial" w:hAnsi="Arial" w:cs="Arial" w:eastAsia="Arial" w:hint="default"/>
          <w:spacing w:val="-7"/>
        </w:rPr>
        <w:t> </w:t>
      </w:r>
      <w:r>
        <w:rPr/>
        <w:t>万户，达到</w:t>
      </w:r>
      <w:r>
        <w:rPr>
          <w:w w:val="99"/>
        </w:rPr>
        <w:t> </w:t>
      </w:r>
      <w:r>
        <w:rPr>
          <w:rFonts w:ascii="Arial" w:hAnsi="Arial" w:cs="Arial" w:eastAsia="Arial" w:hint="default"/>
        </w:rPr>
        <w:t>15,964.1</w:t>
      </w:r>
      <w:r>
        <w:rPr>
          <w:rFonts w:ascii="Arial" w:hAnsi="Arial" w:cs="Arial" w:eastAsia="Arial" w:hint="default"/>
          <w:spacing w:val="-8"/>
        </w:rPr>
        <w:t> </w:t>
      </w:r>
      <w:r>
        <w:rPr/>
        <w:t>万户。实现</w:t>
      </w:r>
      <w:r>
        <w:rPr>
          <w:spacing w:val="-56"/>
        </w:rPr>
        <w:t> </w:t>
      </w:r>
      <w:r>
        <w:rPr>
          <w:rFonts w:ascii="Arial" w:hAnsi="Arial" w:cs="Arial" w:eastAsia="Arial" w:hint="default"/>
        </w:rPr>
        <w:t>GSM</w:t>
      </w:r>
      <w:r>
        <w:rPr>
          <w:rFonts w:ascii="Arial" w:hAnsi="Arial" w:cs="Arial" w:eastAsia="Arial" w:hint="default"/>
          <w:spacing w:val="-9"/>
        </w:rPr>
        <w:t> </w:t>
      </w:r>
      <w:r>
        <w:rPr/>
        <w:t>服务收入人民币</w:t>
      </w:r>
      <w:r>
        <w:rPr>
          <w:spacing w:val="-57"/>
        </w:rPr>
        <w:t> </w:t>
      </w:r>
      <w:r>
        <w:rPr>
          <w:rFonts w:ascii="Arial" w:hAnsi="Arial" w:cs="Arial" w:eastAsia="Arial" w:hint="default"/>
        </w:rPr>
        <w:t>725.4</w:t>
      </w:r>
      <w:r>
        <w:rPr>
          <w:rFonts w:ascii="Arial" w:hAnsi="Arial" w:cs="Arial" w:eastAsia="Arial" w:hint="default"/>
          <w:spacing w:val="-8"/>
        </w:rPr>
        <w:t> </w:t>
      </w:r>
      <w:r>
        <w:rPr/>
        <w:t>亿元，基本保持平稳。其中，受语音领</w:t>
      </w:r>
      <w:r>
        <w:rPr>
          <w:w w:val="99"/>
        </w:rPr>
        <w:t> </w:t>
      </w:r>
      <w:r>
        <w:rPr/>
        <w:t>域的激烈竞争以及移动互联网业务替代等因素的影响，</w:t>
      </w:r>
      <w:r>
        <w:rPr>
          <w:rFonts w:ascii="Arial" w:hAnsi="Arial" w:cs="Arial" w:eastAsia="Arial" w:hint="default"/>
        </w:rPr>
        <w:t>GSM</w:t>
      </w:r>
      <w:r>
        <w:rPr>
          <w:rFonts w:ascii="Arial" w:hAnsi="Arial" w:cs="Arial" w:eastAsia="Arial" w:hint="default"/>
          <w:spacing w:val="-42"/>
        </w:rPr>
        <w:t> </w:t>
      </w:r>
      <w:r>
        <w:rPr>
          <w:spacing w:val="-3"/>
        </w:rPr>
        <w:t>语音业务持续下滑；受手机上</w:t>
      </w:r>
      <w:r>
        <w:rPr>
          <w:w w:val="99"/>
        </w:rPr>
        <w:t> </w:t>
      </w:r>
      <w:r>
        <w:rPr/>
        <w:t>网等业务增长拉动，数据业务快速增长。</w:t>
      </w:r>
    </w:p>
    <w:p>
      <w:pPr>
        <w:spacing w:line="240" w:lineRule="auto" w:before="3"/>
        <w:rPr>
          <w:rFonts w:ascii="宋体" w:hAnsi="宋体" w:cs="宋体" w:eastAsia="宋体" w:hint="default"/>
          <w:sz w:val="19"/>
          <w:szCs w:val="19"/>
        </w:rPr>
      </w:pPr>
    </w:p>
    <w:p>
      <w:pPr>
        <w:spacing w:before="0"/>
        <w:ind w:left="439" w:right="91" w:firstLine="0"/>
        <w:jc w:val="left"/>
        <w:rPr>
          <w:rFonts w:ascii="宋体" w:hAnsi="宋体" w:cs="宋体" w:eastAsia="宋体" w:hint="default"/>
          <w:sz w:val="22"/>
          <w:szCs w:val="22"/>
        </w:rPr>
      </w:pPr>
      <w:r>
        <w:rPr>
          <w:rFonts w:ascii="Arial" w:hAnsi="Arial" w:cs="Arial" w:eastAsia="Arial" w:hint="default"/>
          <w:b/>
          <w:bCs/>
          <w:sz w:val="22"/>
          <w:szCs w:val="22"/>
        </w:rPr>
        <w:t>1.2.2</w:t>
      </w:r>
      <w:r>
        <w:rPr>
          <w:rFonts w:ascii="Arial" w:hAnsi="Arial" w:cs="Arial" w:eastAsia="Arial" w:hint="default"/>
          <w:b/>
          <w:bCs/>
          <w:spacing w:val="-5"/>
          <w:sz w:val="22"/>
          <w:szCs w:val="22"/>
        </w:rPr>
        <w:t> </w:t>
      </w:r>
      <w:r>
        <w:rPr>
          <w:rFonts w:ascii="宋体" w:hAnsi="宋体" w:cs="宋体" w:eastAsia="宋体" w:hint="default"/>
          <w:sz w:val="22"/>
          <w:szCs w:val="22"/>
        </w:rPr>
        <w:t>固网业务</w:t>
      </w:r>
    </w:p>
    <w:p>
      <w:pPr>
        <w:spacing w:line="240" w:lineRule="auto" w:before="13"/>
        <w:rPr>
          <w:rFonts w:ascii="宋体" w:hAnsi="宋体" w:cs="宋体" w:eastAsia="宋体" w:hint="default"/>
          <w:sz w:val="17"/>
          <w:szCs w:val="17"/>
        </w:rPr>
      </w:pPr>
    </w:p>
    <w:p>
      <w:pPr>
        <w:pStyle w:val="BodyText"/>
        <w:spacing w:line="295" w:lineRule="exact"/>
        <w:ind w:left="827" w:right="91"/>
        <w:jc w:val="left"/>
      </w:pPr>
      <w:r>
        <w:rPr>
          <w:rFonts w:ascii="Arial" w:hAnsi="Arial" w:cs="Arial" w:eastAsia="Arial" w:hint="default"/>
        </w:rPr>
        <w:t>2011</w:t>
      </w:r>
      <w:r>
        <w:rPr>
          <w:rFonts w:ascii="Arial" w:hAnsi="Arial" w:cs="Arial" w:eastAsia="Arial" w:hint="default"/>
          <w:spacing w:val="-5"/>
        </w:rPr>
        <w:t> </w:t>
      </w:r>
      <w:r>
        <w:rPr>
          <w:spacing w:val="-2"/>
        </w:rPr>
        <w:t>年，本公司积极开展以固网宽带为核心的提速营销和融合业务营销，固网宽带业务的</w:t>
      </w:r>
    </w:p>
    <w:p>
      <w:pPr>
        <w:pStyle w:val="BodyText"/>
        <w:spacing w:line="285" w:lineRule="exact"/>
        <w:ind w:left="821" w:right="91"/>
        <w:jc w:val="left"/>
        <w:rPr>
          <w:rFonts w:ascii="Arial" w:hAnsi="Arial" w:cs="Arial" w:eastAsia="Arial" w:hint="default"/>
        </w:rPr>
      </w:pPr>
      <w:r>
        <w:rPr/>
        <w:t>快速增长有效弥补了本地电话业务（附注</w:t>
      </w:r>
      <w:r>
        <w:rPr>
          <w:spacing w:val="-70"/>
        </w:rPr>
        <w:t> </w:t>
      </w:r>
      <w:r>
        <w:rPr>
          <w:rFonts w:ascii="Arial" w:hAnsi="Arial" w:cs="Arial" w:eastAsia="Arial" w:hint="default"/>
          <w:spacing w:val="-3"/>
        </w:rPr>
        <w:t>3</w:t>
      </w:r>
      <w:r>
        <w:rPr>
          <w:spacing w:val="-3"/>
        </w:rPr>
        <w:t>）的下滑，全年实现固网服务收入人民币</w:t>
      </w:r>
      <w:r>
        <w:rPr>
          <w:spacing w:val="-70"/>
        </w:rPr>
        <w:t> </w:t>
      </w:r>
      <w:r>
        <w:rPr>
          <w:rFonts w:ascii="Arial" w:hAnsi="Arial" w:cs="Arial" w:eastAsia="Arial" w:hint="default"/>
        </w:rPr>
        <w:t>843.8</w:t>
      </w:r>
    </w:p>
    <w:p>
      <w:pPr>
        <w:pStyle w:val="BodyText"/>
        <w:spacing w:line="294" w:lineRule="exact"/>
        <w:ind w:left="827" w:right="0" w:hanging="6"/>
        <w:jc w:val="left"/>
      </w:pPr>
      <w:r>
        <w:rPr>
          <w:spacing w:val="-8"/>
        </w:rPr>
        <w:t>亿元，同比增长 </w:t>
      </w:r>
      <w:r>
        <w:rPr>
          <w:rFonts w:ascii="Arial" w:hAnsi="Arial" w:cs="Arial" w:eastAsia="Arial" w:hint="default"/>
          <w:spacing w:val="-5"/>
        </w:rPr>
        <w:t>2.7%</w:t>
      </w:r>
      <w:r>
        <w:rPr>
          <w:spacing w:val="-5"/>
        </w:rPr>
        <w:t>。其中，非语音业务收入所占比重达到</w:t>
      </w:r>
      <w:r>
        <w:rPr>
          <w:spacing w:val="-89"/>
        </w:rPr>
        <w:t> </w:t>
      </w:r>
      <w:r>
        <w:rPr>
          <w:rFonts w:ascii="Arial" w:hAnsi="Arial" w:cs="Arial" w:eastAsia="Arial" w:hint="default"/>
          <w:spacing w:val="-4"/>
        </w:rPr>
        <w:t>64.0%</w:t>
      </w:r>
      <w:r>
        <w:rPr>
          <w:spacing w:val="-4"/>
        </w:rPr>
        <w:t>，业务结构进一步改善。</w:t>
      </w:r>
    </w:p>
    <w:p>
      <w:pPr>
        <w:spacing w:line="240" w:lineRule="auto" w:before="2"/>
        <w:rPr>
          <w:rFonts w:ascii="宋体" w:hAnsi="宋体" w:cs="宋体" w:eastAsia="宋体" w:hint="default"/>
          <w:sz w:val="20"/>
          <w:szCs w:val="20"/>
        </w:rPr>
      </w:pPr>
    </w:p>
    <w:p>
      <w:pPr>
        <w:pStyle w:val="BodyText"/>
        <w:spacing w:line="286" w:lineRule="exact"/>
        <w:ind w:left="821" w:right="217" w:firstLine="6"/>
        <w:jc w:val="both"/>
      </w:pPr>
      <w:r>
        <w:rPr/>
        <w:t>固网宽带业务持续快速增长：</w:t>
      </w:r>
      <w:r>
        <w:rPr>
          <w:rFonts w:ascii="Arial" w:hAnsi="Arial" w:cs="Arial" w:eastAsia="Arial" w:hint="default"/>
        </w:rPr>
        <w:t>2011</w:t>
      </w:r>
      <w:r>
        <w:rPr>
          <w:rFonts w:ascii="Arial" w:hAnsi="Arial" w:cs="Arial" w:eastAsia="Arial" w:hint="default"/>
          <w:spacing w:val="-12"/>
        </w:rPr>
        <w:t> </w:t>
      </w:r>
      <w:r>
        <w:rPr>
          <w:spacing w:val="-3"/>
        </w:rPr>
        <w:t>年内，本公司加快固网宽带升级提速，积极开展提速营</w:t>
      </w:r>
      <w:r>
        <w:rPr>
          <w:w w:val="99"/>
        </w:rPr>
        <w:t> </w:t>
      </w:r>
      <w:r>
        <w:rPr/>
        <w:t>销，固网宽带用户全年累计同比增长</w:t>
      </w:r>
      <w:r>
        <w:rPr>
          <w:spacing w:val="-57"/>
        </w:rPr>
        <w:t> </w:t>
      </w:r>
      <w:r>
        <w:rPr>
          <w:rFonts w:ascii="Arial" w:hAnsi="Arial" w:cs="Arial" w:eastAsia="Arial" w:hint="default"/>
        </w:rPr>
        <w:t>17.8%</w:t>
      </w:r>
      <w:r>
        <w:rPr/>
        <w:t>，达到</w:t>
      </w:r>
      <w:r>
        <w:rPr>
          <w:spacing w:val="-57"/>
        </w:rPr>
        <w:t> </w:t>
      </w:r>
      <w:r>
        <w:rPr>
          <w:rFonts w:ascii="Arial" w:hAnsi="Arial" w:cs="Arial" w:eastAsia="Arial" w:hint="default"/>
        </w:rPr>
        <w:t>5,565.1</w:t>
      </w:r>
      <w:r>
        <w:rPr>
          <w:rFonts w:ascii="Arial" w:hAnsi="Arial" w:cs="Arial" w:eastAsia="Arial" w:hint="default"/>
          <w:spacing w:val="-8"/>
        </w:rPr>
        <w:t> </w:t>
      </w:r>
      <w:r>
        <w:rPr/>
        <w:t>万户；固网宽带服务收入同比</w:t>
      </w:r>
      <w:r>
        <w:rPr>
          <w:w w:val="99"/>
        </w:rPr>
        <w:t> </w:t>
      </w:r>
      <w:r>
        <w:rPr/>
        <w:t>增长</w:t>
      </w:r>
      <w:r>
        <w:rPr>
          <w:spacing w:val="-58"/>
        </w:rPr>
        <w:t> </w:t>
      </w:r>
      <w:r>
        <w:rPr>
          <w:rFonts w:ascii="Arial" w:hAnsi="Arial" w:cs="Arial" w:eastAsia="Arial" w:hint="default"/>
        </w:rPr>
        <w:t>18.6%</w:t>
      </w:r>
      <w:r>
        <w:rPr/>
        <w:t>，规模首次超过固网语音，占固网服务收入的比例达到</w:t>
      </w:r>
      <w:r>
        <w:rPr>
          <w:spacing w:val="-58"/>
        </w:rPr>
        <w:t> </w:t>
      </w:r>
      <w:r>
        <w:rPr>
          <w:rFonts w:ascii="Arial" w:hAnsi="Arial" w:cs="Arial" w:eastAsia="Arial" w:hint="default"/>
        </w:rPr>
        <w:t>43.2%</w:t>
      </w:r>
      <w:r>
        <w:rPr/>
        <w:t>。</w:t>
      </w:r>
    </w:p>
    <w:p>
      <w:pPr>
        <w:spacing w:line="240" w:lineRule="auto" w:before="1"/>
        <w:rPr>
          <w:rFonts w:ascii="宋体" w:hAnsi="宋体" w:cs="宋体" w:eastAsia="宋体" w:hint="default"/>
          <w:sz w:val="18"/>
          <w:szCs w:val="18"/>
        </w:rPr>
      </w:pPr>
    </w:p>
    <w:p>
      <w:pPr>
        <w:pStyle w:val="BodyText"/>
        <w:spacing w:line="228" w:lineRule="auto"/>
        <w:ind w:left="821" w:right="204" w:firstLine="6"/>
        <w:jc w:val="left"/>
      </w:pPr>
      <w:r>
        <w:rPr/>
        <w:t>以融合业务保有固网价值：本公司积极开展本地电话话务量和增值业务营销，大力推广融</w:t>
      </w:r>
      <w:r>
        <w:rPr>
          <w:w w:val="99"/>
        </w:rPr>
        <w:t> </w:t>
      </w:r>
      <w:r>
        <w:rPr/>
        <w:t>合产品，努力提升固网用户价值。</w:t>
      </w:r>
      <w:r>
        <w:rPr>
          <w:rFonts w:ascii="Arial" w:hAnsi="Arial" w:cs="Arial" w:eastAsia="Arial" w:hint="default"/>
        </w:rPr>
        <w:t>2011</w:t>
      </w:r>
      <w:r>
        <w:rPr>
          <w:rFonts w:ascii="Arial" w:hAnsi="Arial" w:cs="Arial" w:eastAsia="Arial" w:hint="default"/>
          <w:spacing w:val="-14"/>
        </w:rPr>
        <w:t> </w:t>
      </w:r>
      <w:r>
        <w:rPr>
          <w:spacing w:val="-4"/>
        </w:rPr>
        <w:t>年，本公司“沃家庭”用户累计净增</w:t>
      </w:r>
      <w:r>
        <w:rPr>
          <w:spacing w:val="-63"/>
        </w:rPr>
        <w:t> </w:t>
      </w:r>
      <w:r>
        <w:rPr>
          <w:rFonts w:ascii="Arial" w:hAnsi="Arial" w:cs="Arial" w:eastAsia="Arial" w:hint="default"/>
        </w:rPr>
        <w:t>798</w:t>
      </w:r>
      <w:r>
        <w:rPr>
          <w:rFonts w:ascii="Arial" w:hAnsi="Arial" w:cs="Arial" w:eastAsia="Arial" w:hint="default"/>
          <w:spacing w:val="-13"/>
        </w:rPr>
        <w:t> </w:t>
      </w:r>
      <w:r>
        <w:rPr>
          <w:spacing w:val="-5"/>
        </w:rPr>
        <w:t>万户，拉</w:t>
      </w:r>
      <w:r>
        <w:rPr>
          <w:w w:val="99"/>
        </w:rPr>
        <w:t> </w:t>
      </w:r>
      <w:r>
        <w:rPr/>
        <w:t>动固话用户全年累计同比增长</w:t>
      </w:r>
      <w:r>
        <w:rPr>
          <w:spacing w:val="-55"/>
        </w:rPr>
        <w:t> </w:t>
      </w:r>
      <w:r>
        <w:rPr>
          <w:rFonts w:ascii="Arial" w:hAnsi="Arial" w:cs="Arial" w:eastAsia="Arial" w:hint="default"/>
          <w:spacing w:val="-8"/>
        </w:rPr>
        <w:t>2.2%</w:t>
      </w:r>
      <w:r>
        <w:rPr>
          <w:spacing w:val="-8"/>
        </w:rPr>
        <w:t>，达到</w:t>
      </w:r>
      <w:r>
        <w:rPr>
          <w:spacing w:val="-55"/>
        </w:rPr>
        <w:t> </w:t>
      </w:r>
      <w:r>
        <w:rPr>
          <w:rFonts w:ascii="Arial" w:hAnsi="Arial" w:cs="Arial" w:eastAsia="Arial" w:hint="default"/>
        </w:rPr>
        <w:t>8,506.4</w:t>
      </w:r>
      <w:r>
        <w:rPr>
          <w:rFonts w:ascii="Arial" w:hAnsi="Arial" w:cs="Arial" w:eastAsia="Arial" w:hint="default"/>
          <w:spacing w:val="-6"/>
        </w:rPr>
        <w:t> </w:t>
      </w:r>
      <w:r>
        <w:rPr>
          <w:spacing w:val="-8"/>
        </w:rPr>
        <w:t>万户。但受用户</w:t>
      </w:r>
      <w:r>
        <w:rPr>
          <w:spacing w:val="-55"/>
        </w:rPr>
        <w:t> </w:t>
      </w:r>
      <w:r>
        <w:rPr>
          <w:rFonts w:ascii="Arial" w:hAnsi="Arial" w:cs="Arial" w:eastAsia="Arial" w:hint="default"/>
        </w:rPr>
        <w:t>ARPU</w:t>
      </w:r>
      <w:r>
        <w:rPr>
          <w:rFonts w:ascii="Arial" w:hAnsi="Arial" w:cs="Arial" w:eastAsia="Arial" w:hint="default"/>
          <w:spacing w:val="-7"/>
        </w:rPr>
        <w:t> </w:t>
      </w:r>
      <w:r>
        <w:rPr/>
        <w:t>下滑和无线市话</w:t>
      </w:r>
      <w:r>
        <w:rPr>
          <w:w w:val="99"/>
        </w:rPr>
        <w:t> </w:t>
      </w:r>
      <w:r>
        <w:rPr/>
        <w:t>用户大幅流失影响，本地电话业务（附注</w:t>
      </w:r>
      <w:r>
        <w:rPr>
          <w:spacing w:val="-56"/>
        </w:rPr>
        <w:t> </w:t>
      </w:r>
      <w:r>
        <w:rPr>
          <w:rFonts w:ascii="Arial" w:hAnsi="Arial" w:cs="Arial" w:eastAsia="Arial" w:hint="default"/>
        </w:rPr>
        <w:t>3</w:t>
      </w:r>
      <w:r>
        <w:rPr/>
        <w:t>）全年累计实现服务收入人民币</w:t>
      </w:r>
      <w:r>
        <w:rPr>
          <w:spacing w:val="-56"/>
        </w:rPr>
        <w:t> </w:t>
      </w:r>
      <w:r>
        <w:rPr>
          <w:rFonts w:ascii="Arial" w:hAnsi="Arial" w:cs="Arial" w:eastAsia="Arial" w:hint="default"/>
        </w:rPr>
        <w:t>351.2</w:t>
      </w:r>
      <w:r>
        <w:rPr>
          <w:rFonts w:ascii="Arial" w:hAnsi="Arial" w:cs="Arial" w:eastAsia="Arial" w:hint="default"/>
          <w:spacing w:val="-7"/>
        </w:rPr>
        <w:t> </w:t>
      </w:r>
      <w:r>
        <w:rPr/>
        <w:t>亿元，</w:t>
      </w:r>
      <w:r>
        <w:rPr>
          <w:w w:val="99"/>
        </w:rPr>
        <w:t> </w:t>
      </w:r>
      <w:r>
        <w:rPr/>
        <w:t>同比下降</w:t>
      </w:r>
      <w:r>
        <w:rPr>
          <w:spacing w:val="-58"/>
        </w:rPr>
        <w:t> </w:t>
      </w:r>
      <w:r>
        <w:rPr>
          <w:rFonts w:ascii="Arial" w:hAnsi="Arial" w:cs="Arial" w:eastAsia="Arial" w:hint="default"/>
        </w:rPr>
        <w:t>15.0%</w:t>
      </w:r>
      <w:r>
        <w:rPr/>
        <w:t>。</w:t>
      </w:r>
    </w:p>
    <w:p>
      <w:pPr>
        <w:spacing w:after="0" w:line="228" w:lineRule="auto"/>
        <w:jc w:val="left"/>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31"/>
        <w:ind w:left="439" w:right="91" w:firstLine="0"/>
        <w:jc w:val="left"/>
        <w:rPr>
          <w:rFonts w:ascii="宋体" w:hAnsi="宋体" w:cs="宋体" w:eastAsia="宋体" w:hint="default"/>
          <w:sz w:val="22"/>
          <w:szCs w:val="22"/>
        </w:rPr>
      </w:pPr>
      <w:r>
        <w:rPr>
          <w:rFonts w:ascii="Arial" w:hAnsi="Arial" w:cs="Arial" w:eastAsia="Arial" w:hint="default"/>
          <w:b/>
          <w:bCs/>
          <w:sz w:val="22"/>
          <w:szCs w:val="22"/>
        </w:rPr>
        <w:t>1.2.3</w:t>
      </w:r>
      <w:r>
        <w:rPr>
          <w:rFonts w:ascii="Arial" w:hAnsi="Arial" w:cs="Arial" w:eastAsia="Arial" w:hint="default"/>
          <w:b/>
          <w:bCs/>
          <w:spacing w:val="-5"/>
          <w:sz w:val="22"/>
          <w:szCs w:val="22"/>
        </w:rPr>
        <w:t> </w:t>
      </w:r>
      <w:r>
        <w:rPr>
          <w:rFonts w:ascii="宋体" w:hAnsi="宋体" w:cs="宋体" w:eastAsia="宋体" w:hint="default"/>
          <w:sz w:val="22"/>
          <w:szCs w:val="22"/>
        </w:rPr>
        <w:t>行业应用</w:t>
      </w:r>
    </w:p>
    <w:p>
      <w:pPr>
        <w:spacing w:line="240" w:lineRule="auto" w:before="0"/>
        <w:rPr>
          <w:rFonts w:ascii="宋体" w:hAnsi="宋体" w:cs="宋体" w:eastAsia="宋体" w:hint="default"/>
          <w:sz w:val="20"/>
          <w:szCs w:val="20"/>
        </w:rPr>
      </w:pPr>
    </w:p>
    <w:p>
      <w:pPr>
        <w:pStyle w:val="BodyText"/>
        <w:spacing w:line="286" w:lineRule="exact"/>
        <w:ind w:left="821" w:right="214" w:firstLine="6"/>
        <w:jc w:val="both"/>
      </w:pPr>
      <w:r>
        <w:rPr>
          <w:rFonts w:ascii="Arial" w:hAnsi="Arial" w:cs="Arial" w:eastAsia="Arial" w:hint="default"/>
        </w:rPr>
        <w:t>2011 </w:t>
      </w:r>
      <w:r>
        <w:rPr/>
        <w:t>年，本公司聚焦移动</w:t>
      </w:r>
      <w:r>
        <w:rPr>
          <w:spacing w:val="-69"/>
        </w:rPr>
        <w:t> </w:t>
      </w:r>
      <w:r>
        <w:rPr>
          <w:rFonts w:ascii="Arial" w:hAnsi="Arial" w:cs="Arial" w:eastAsia="Arial" w:hint="default"/>
        </w:rPr>
        <w:t>OA</w:t>
      </w:r>
      <w:r>
        <w:rPr/>
        <w:t>、政府执法、汽车信息化、监测监控和股票机等重点行业应</w:t>
      </w:r>
      <w:r>
        <w:rPr>
          <w:w w:val="99"/>
        </w:rPr>
        <w:t> </w:t>
      </w:r>
      <w:r>
        <w:rPr/>
        <w:t>用产品的规模推广，不断扩大在央企、政府、汽车、金融等重点行业领域的影响力。截至</w:t>
      </w:r>
      <w:r>
        <w:rPr>
          <w:w w:val="99"/>
        </w:rPr>
        <w:t> </w:t>
      </w:r>
      <w:r>
        <w:rPr>
          <w:rFonts w:ascii="Arial" w:hAnsi="Arial" w:cs="Arial" w:eastAsia="Arial" w:hint="default"/>
        </w:rPr>
        <w:t>2011</w:t>
      </w:r>
      <w:r>
        <w:rPr>
          <w:rFonts w:ascii="Arial" w:hAnsi="Arial" w:cs="Arial" w:eastAsia="Arial" w:hint="default"/>
          <w:spacing w:val="-1"/>
        </w:rPr>
        <w:t> </w:t>
      </w:r>
      <w:r>
        <w:rPr>
          <w:spacing w:val="-2"/>
        </w:rPr>
        <w:t>年底，重点行业应用用户总数突破千万户。借助在行业应用领域的领先优势，本公司</w:t>
      </w:r>
      <w:r>
        <w:rPr>
          <w:w w:val="99"/>
        </w:rPr>
        <w:t> </w:t>
      </w:r>
      <w:r>
        <w:rPr/>
        <w:t>加快面向集团客户的全业务拓展，带动集团客户业务快速增长。</w:t>
      </w:r>
    </w:p>
    <w:p>
      <w:pPr>
        <w:spacing w:line="240" w:lineRule="auto" w:before="1"/>
        <w:rPr>
          <w:rFonts w:ascii="宋体" w:hAnsi="宋体" w:cs="宋体" w:eastAsia="宋体" w:hint="default"/>
          <w:sz w:val="17"/>
          <w:szCs w:val="17"/>
        </w:rPr>
      </w:pPr>
    </w:p>
    <w:p>
      <w:pPr>
        <w:spacing w:before="0"/>
        <w:ind w:left="439" w:right="91" w:firstLine="0"/>
        <w:jc w:val="left"/>
        <w:rPr>
          <w:rFonts w:ascii="宋体" w:hAnsi="宋体" w:cs="宋体" w:eastAsia="宋体" w:hint="default"/>
          <w:sz w:val="22"/>
          <w:szCs w:val="22"/>
        </w:rPr>
      </w:pPr>
      <w:r>
        <w:rPr>
          <w:rFonts w:ascii="Arial" w:hAnsi="Arial" w:cs="Arial" w:eastAsia="Arial" w:hint="default"/>
          <w:b/>
          <w:bCs/>
          <w:sz w:val="22"/>
          <w:szCs w:val="22"/>
        </w:rPr>
        <w:t>1.3</w:t>
      </w:r>
      <w:r>
        <w:rPr>
          <w:rFonts w:ascii="Arial" w:hAnsi="Arial" w:cs="Arial" w:eastAsia="Arial" w:hint="default"/>
          <w:b/>
          <w:bCs/>
          <w:spacing w:val="-5"/>
          <w:sz w:val="22"/>
          <w:szCs w:val="22"/>
        </w:rPr>
        <w:t> </w:t>
      </w:r>
      <w:r>
        <w:rPr>
          <w:rFonts w:ascii="宋体" w:hAnsi="宋体" w:cs="宋体" w:eastAsia="宋体" w:hint="default"/>
          <w:sz w:val="22"/>
          <w:szCs w:val="22"/>
        </w:rPr>
        <w:t>网络建设</w:t>
      </w:r>
    </w:p>
    <w:p>
      <w:pPr>
        <w:spacing w:line="240" w:lineRule="auto" w:before="2"/>
        <w:rPr>
          <w:rFonts w:ascii="宋体" w:hAnsi="宋体" w:cs="宋体" w:eastAsia="宋体" w:hint="default"/>
          <w:sz w:val="19"/>
          <w:szCs w:val="19"/>
        </w:rPr>
      </w:pPr>
    </w:p>
    <w:p>
      <w:pPr>
        <w:pStyle w:val="BodyText"/>
        <w:spacing w:line="225" w:lineRule="auto"/>
        <w:ind w:left="821" w:right="209" w:firstLine="5"/>
        <w:jc w:val="left"/>
      </w:pPr>
      <w:r>
        <w:rPr>
          <w:rFonts w:ascii="Arial" w:hAnsi="Arial" w:cs="Arial" w:eastAsia="Arial" w:hint="default"/>
        </w:rPr>
        <w:t>2011</w:t>
      </w:r>
      <w:r>
        <w:rPr>
          <w:rFonts w:ascii="Arial" w:hAnsi="Arial" w:cs="Arial" w:eastAsia="Arial" w:hint="default"/>
          <w:spacing w:val="-7"/>
        </w:rPr>
        <w:t> </w:t>
      </w:r>
      <w:r>
        <w:rPr/>
        <w:t>年，本公司加快</w:t>
      </w:r>
      <w:r>
        <w:rPr>
          <w:spacing w:val="-56"/>
        </w:rPr>
        <w:t> </w:t>
      </w:r>
      <w:r>
        <w:rPr>
          <w:rFonts w:ascii="Arial" w:hAnsi="Arial" w:cs="Arial" w:eastAsia="Arial" w:hint="default"/>
        </w:rPr>
        <w:t>3G</w:t>
      </w:r>
      <w:r>
        <w:rPr>
          <w:rFonts w:ascii="Arial" w:hAnsi="Arial" w:cs="Arial" w:eastAsia="Arial" w:hint="default"/>
          <w:spacing w:val="-8"/>
        </w:rPr>
        <w:t> </w:t>
      </w:r>
      <w:r>
        <w:rPr/>
        <w:t>网络建设，持续完善</w:t>
      </w:r>
      <w:r>
        <w:rPr>
          <w:spacing w:val="-55"/>
        </w:rPr>
        <w:t> </w:t>
      </w:r>
      <w:r>
        <w:rPr>
          <w:rFonts w:ascii="Arial" w:hAnsi="Arial" w:cs="Arial" w:eastAsia="Arial" w:hint="default"/>
        </w:rPr>
        <w:t>GSM</w:t>
      </w:r>
      <w:r>
        <w:rPr>
          <w:rFonts w:ascii="Arial" w:hAnsi="Arial" w:cs="Arial" w:eastAsia="Arial" w:hint="default"/>
          <w:spacing w:val="-7"/>
        </w:rPr>
        <w:t> </w:t>
      </w:r>
      <w:r>
        <w:rPr/>
        <w:t>网络，全年新增</w:t>
      </w:r>
      <w:r>
        <w:rPr>
          <w:spacing w:val="-56"/>
        </w:rPr>
        <w:t> </w:t>
      </w:r>
      <w:r>
        <w:rPr>
          <w:rFonts w:ascii="Arial" w:hAnsi="Arial" w:cs="Arial" w:eastAsia="Arial" w:hint="default"/>
        </w:rPr>
        <w:t>3G</w:t>
      </w:r>
      <w:r>
        <w:rPr>
          <w:rFonts w:ascii="Arial" w:hAnsi="Arial" w:cs="Arial" w:eastAsia="Arial" w:hint="default"/>
          <w:spacing w:val="-8"/>
        </w:rPr>
        <w:t> </w:t>
      </w:r>
      <w:r>
        <w:rPr/>
        <w:t>基站</w:t>
      </w:r>
      <w:r>
        <w:rPr>
          <w:spacing w:val="-56"/>
        </w:rPr>
        <w:t> </w:t>
      </w:r>
      <w:r>
        <w:rPr>
          <w:rFonts w:ascii="Arial" w:hAnsi="Arial" w:cs="Arial" w:eastAsia="Arial" w:hint="default"/>
        </w:rPr>
        <w:t>5.6</w:t>
      </w:r>
      <w:r>
        <w:rPr>
          <w:rFonts w:ascii="Arial" w:hAnsi="Arial" w:cs="Arial" w:eastAsia="Arial" w:hint="default"/>
          <w:spacing w:val="-7"/>
        </w:rPr>
        <w:t> </w:t>
      </w:r>
      <w:r>
        <w:rPr/>
        <w:t>万个，</w:t>
      </w:r>
      <w:r>
        <w:rPr>
          <w:w w:val="99"/>
        </w:rPr>
        <w:t> </w:t>
      </w:r>
      <w:r>
        <w:rPr/>
        <w:t>新增</w:t>
      </w:r>
      <w:r>
        <w:rPr>
          <w:spacing w:val="-56"/>
        </w:rPr>
        <w:t> </w:t>
      </w:r>
      <w:r>
        <w:rPr>
          <w:rFonts w:ascii="Arial" w:hAnsi="Arial" w:cs="Arial" w:eastAsia="Arial" w:hint="default"/>
        </w:rPr>
        <w:t>GSM</w:t>
      </w:r>
      <w:r>
        <w:rPr>
          <w:rFonts w:ascii="Arial" w:hAnsi="Arial" w:cs="Arial" w:eastAsia="Arial" w:hint="default"/>
          <w:spacing w:val="-7"/>
        </w:rPr>
        <w:t> </w:t>
      </w:r>
      <w:r>
        <w:rPr/>
        <w:t>基站</w:t>
      </w:r>
      <w:r>
        <w:rPr>
          <w:spacing w:val="-56"/>
        </w:rPr>
        <w:t> </w:t>
      </w:r>
      <w:r>
        <w:rPr>
          <w:rFonts w:ascii="Arial" w:hAnsi="Arial" w:cs="Arial" w:eastAsia="Arial" w:hint="default"/>
        </w:rPr>
        <w:t>4.6</w:t>
      </w:r>
      <w:r>
        <w:rPr>
          <w:rFonts w:ascii="Arial" w:hAnsi="Arial" w:cs="Arial" w:eastAsia="Arial" w:hint="default"/>
          <w:spacing w:val="-7"/>
        </w:rPr>
        <w:t> </w:t>
      </w:r>
      <w:r>
        <w:rPr/>
        <w:t>万个，移动基站总数达到</w:t>
      </w:r>
      <w:r>
        <w:rPr>
          <w:spacing w:val="-55"/>
        </w:rPr>
        <w:t> </w:t>
      </w:r>
      <w:r>
        <w:rPr>
          <w:rFonts w:ascii="Arial" w:hAnsi="Arial" w:cs="Arial" w:eastAsia="Arial" w:hint="default"/>
        </w:rPr>
        <w:t>61.4</w:t>
      </w:r>
      <w:r>
        <w:rPr>
          <w:rFonts w:ascii="Arial" w:hAnsi="Arial" w:cs="Arial" w:eastAsia="Arial" w:hint="default"/>
          <w:spacing w:val="-7"/>
        </w:rPr>
        <w:t> </w:t>
      </w:r>
      <w:r>
        <w:rPr/>
        <w:t>万个，同比增长</w:t>
      </w:r>
      <w:r>
        <w:rPr>
          <w:spacing w:val="-56"/>
        </w:rPr>
        <w:t> </w:t>
      </w:r>
      <w:r>
        <w:rPr>
          <w:rFonts w:ascii="Arial" w:hAnsi="Arial" w:cs="Arial" w:eastAsia="Arial" w:hint="default"/>
        </w:rPr>
        <w:t>19.9%</w:t>
      </w:r>
      <w:r>
        <w:rPr/>
        <w:t>；在全国</w:t>
      </w:r>
      <w:r>
        <w:rPr>
          <w:spacing w:val="-56"/>
        </w:rPr>
        <w:t> </w:t>
      </w:r>
      <w:r>
        <w:rPr>
          <w:rFonts w:ascii="Arial" w:hAnsi="Arial" w:cs="Arial" w:eastAsia="Arial" w:hint="default"/>
        </w:rPr>
        <w:t>56</w:t>
      </w:r>
      <w:r>
        <w:rPr>
          <w:rFonts w:ascii="Arial" w:hAnsi="Arial" w:cs="Arial" w:eastAsia="Arial" w:hint="default"/>
          <w:spacing w:val="-7"/>
        </w:rPr>
        <w:t> </w:t>
      </w:r>
      <w:r>
        <w:rPr/>
        <w:t>个</w:t>
      </w:r>
      <w:r>
        <w:rPr>
          <w:w w:val="99"/>
        </w:rPr>
        <w:t> </w:t>
      </w:r>
      <w:r>
        <w:rPr/>
        <w:t>重点城市完成</w:t>
      </w:r>
      <w:r>
        <w:rPr>
          <w:spacing w:val="-59"/>
        </w:rPr>
        <w:t> </w:t>
      </w:r>
      <w:r>
        <w:rPr>
          <w:rFonts w:ascii="Arial" w:hAnsi="Arial" w:cs="Arial" w:eastAsia="Arial" w:hint="default"/>
        </w:rPr>
        <w:t>3G</w:t>
      </w:r>
      <w:r>
        <w:rPr>
          <w:rFonts w:ascii="Arial" w:hAnsi="Arial" w:cs="Arial" w:eastAsia="Arial" w:hint="default"/>
          <w:spacing w:val="-11"/>
        </w:rPr>
        <w:t> </w:t>
      </w:r>
      <w:r>
        <w:rPr/>
        <w:t>网络</w:t>
      </w:r>
      <w:r>
        <w:rPr>
          <w:spacing w:val="-58"/>
        </w:rPr>
        <w:t> </w:t>
      </w:r>
      <w:r>
        <w:rPr>
          <w:rFonts w:ascii="Arial" w:hAnsi="Arial" w:cs="Arial" w:eastAsia="Arial" w:hint="default"/>
        </w:rPr>
        <w:t>HSPA+</w:t>
      </w:r>
      <w:r>
        <w:rPr/>
        <w:t>升级，继续保持</w:t>
      </w:r>
      <w:r>
        <w:rPr>
          <w:spacing w:val="-58"/>
        </w:rPr>
        <w:t> </w:t>
      </w:r>
      <w:r>
        <w:rPr>
          <w:rFonts w:ascii="Arial" w:hAnsi="Arial" w:cs="Arial" w:eastAsia="Arial" w:hint="default"/>
        </w:rPr>
        <w:t>3G</w:t>
      </w:r>
      <w:r>
        <w:rPr>
          <w:rFonts w:ascii="Arial" w:hAnsi="Arial" w:cs="Arial" w:eastAsia="Arial" w:hint="default"/>
          <w:spacing w:val="-11"/>
        </w:rPr>
        <w:t> </w:t>
      </w:r>
      <w:r>
        <w:rPr/>
        <w:t>网络技术领先优势。大力推进光纤接入</w:t>
      </w:r>
      <w:r>
        <w:rPr>
          <w:w w:val="99"/>
        </w:rPr>
        <w:t> </w:t>
      </w:r>
      <w:r>
        <w:rPr/>
        <w:t>网建设，固网宽带接入端口总数达到</w:t>
      </w:r>
      <w:r>
        <w:rPr>
          <w:spacing w:val="-57"/>
        </w:rPr>
        <w:t> </w:t>
      </w:r>
      <w:r>
        <w:rPr>
          <w:rFonts w:ascii="Arial" w:hAnsi="Arial" w:cs="Arial" w:eastAsia="Arial" w:hint="default"/>
        </w:rPr>
        <w:t>8,592.3</w:t>
      </w:r>
      <w:r>
        <w:rPr>
          <w:rFonts w:ascii="Arial" w:hAnsi="Arial" w:cs="Arial" w:eastAsia="Arial" w:hint="default"/>
          <w:spacing w:val="-8"/>
        </w:rPr>
        <w:t> </w:t>
      </w:r>
      <w:r>
        <w:rPr/>
        <w:t>万个，其中，</w:t>
      </w:r>
      <w:r>
        <w:rPr>
          <w:rFonts w:ascii="Arial" w:hAnsi="Arial" w:cs="Arial" w:eastAsia="Arial" w:hint="default"/>
        </w:rPr>
        <w:t>FTTH/B</w:t>
      </w:r>
      <w:r>
        <w:rPr>
          <w:rFonts w:ascii="Arial" w:hAnsi="Arial" w:cs="Arial" w:eastAsia="Arial" w:hint="default"/>
          <w:spacing w:val="-7"/>
        </w:rPr>
        <w:t> </w:t>
      </w:r>
      <w:r>
        <w:rPr/>
        <w:t>端口占比达到</w:t>
      </w:r>
      <w:r>
        <w:rPr>
          <w:spacing w:val="-57"/>
        </w:rPr>
        <w:t> </w:t>
      </w:r>
      <w:r>
        <w:rPr>
          <w:rFonts w:ascii="Arial" w:hAnsi="Arial" w:cs="Arial" w:eastAsia="Arial" w:hint="default"/>
        </w:rPr>
        <w:t>45%</w:t>
      </w:r>
      <w:r>
        <w:rPr/>
        <w:t>，</w:t>
      </w:r>
      <w:r>
        <w:rPr>
          <w:w w:val="99"/>
        </w:rPr>
        <w:t> </w:t>
      </w:r>
      <w:r>
        <w:rPr/>
        <w:t>网络能力进一步增强。</w:t>
      </w:r>
    </w:p>
    <w:p>
      <w:pPr>
        <w:spacing w:line="240" w:lineRule="auto" w:before="3"/>
        <w:rPr>
          <w:rFonts w:ascii="宋体" w:hAnsi="宋体" w:cs="宋体" w:eastAsia="宋体" w:hint="default"/>
          <w:sz w:val="19"/>
          <w:szCs w:val="19"/>
        </w:rPr>
      </w:pPr>
    </w:p>
    <w:p>
      <w:pPr>
        <w:spacing w:before="0"/>
        <w:ind w:left="439" w:right="91" w:firstLine="0"/>
        <w:jc w:val="left"/>
        <w:rPr>
          <w:rFonts w:ascii="宋体" w:hAnsi="宋体" w:cs="宋体" w:eastAsia="宋体" w:hint="default"/>
          <w:sz w:val="22"/>
          <w:szCs w:val="22"/>
        </w:rPr>
      </w:pPr>
      <w:r>
        <w:rPr>
          <w:rFonts w:ascii="Arial" w:hAnsi="Arial" w:cs="Arial" w:eastAsia="Arial" w:hint="default"/>
          <w:b/>
          <w:bCs/>
          <w:sz w:val="22"/>
          <w:szCs w:val="22"/>
        </w:rPr>
        <w:t>1.4</w:t>
      </w:r>
      <w:r>
        <w:rPr>
          <w:rFonts w:ascii="Arial" w:hAnsi="Arial" w:cs="Arial" w:eastAsia="Arial" w:hint="default"/>
          <w:b/>
          <w:bCs/>
          <w:spacing w:val="-5"/>
          <w:sz w:val="22"/>
          <w:szCs w:val="22"/>
        </w:rPr>
        <w:t> </w:t>
      </w:r>
      <w:r>
        <w:rPr>
          <w:rFonts w:ascii="宋体" w:hAnsi="宋体" w:cs="宋体" w:eastAsia="宋体" w:hint="default"/>
          <w:sz w:val="22"/>
          <w:szCs w:val="22"/>
        </w:rPr>
        <w:t>管理变革</w:t>
      </w:r>
    </w:p>
    <w:p>
      <w:pPr>
        <w:spacing w:line="240" w:lineRule="auto" w:before="5"/>
        <w:rPr>
          <w:rFonts w:ascii="宋体" w:hAnsi="宋体" w:cs="宋体" w:eastAsia="宋体" w:hint="default"/>
          <w:sz w:val="18"/>
          <w:szCs w:val="18"/>
        </w:rPr>
      </w:pPr>
    </w:p>
    <w:p>
      <w:pPr>
        <w:pStyle w:val="BodyText"/>
        <w:spacing w:line="235" w:lineRule="auto"/>
        <w:ind w:left="821" w:right="214" w:firstLine="6"/>
        <w:jc w:val="both"/>
      </w:pPr>
      <w:r>
        <w:rPr>
          <w:rFonts w:ascii="Arial" w:hAnsi="Arial" w:cs="Arial" w:eastAsia="Arial" w:hint="default"/>
        </w:rPr>
        <w:t>2011</w:t>
      </w:r>
      <w:r>
        <w:rPr>
          <w:rFonts w:ascii="Arial" w:hAnsi="Arial" w:cs="Arial" w:eastAsia="Arial" w:hint="default"/>
          <w:spacing w:val="-6"/>
        </w:rPr>
        <w:t> </w:t>
      </w:r>
      <w:r>
        <w:rPr>
          <w:spacing w:val="-2"/>
        </w:rPr>
        <w:t>年，本公司积极探索与新业务模式相适应的运营和组织体系的变革，进一步完善面向</w:t>
      </w:r>
      <w:r>
        <w:rPr>
          <w:w w:val="99"/>
        </w:rPr>
        <w:t> </w:t>
      </w:r>
      <w:r>
        <w:rPr/>
        <w:t>集团客户的一体化营销体系，提升销售和服务能力；积极推进以本地网为单元的全成本评</w:t>
      </w:r>
      <w:r>
        <w:rPr>
          <w:w w:val="99"/>
        </w:rPr>
        <w:t> </w:t>
      </w:r>
      <w:r>
        <w:rPr/>
        <w:t>价体系，促进资源效率持续提升；以规模和效益为导向加大薪酬激励机制，不断激发企业</w:t>
      </w:r>
      <w:r>
        <w:rPr>
          <w:w w:val="99"/>
        </w:rPr>
        <w:t> </w:t>
      </w:r>
      <w:r>
        <w:rPr/>
        <w:t>活力。本公司坚持服务创新，强化用户分级服务机制，重点业务客户感知不断提升。在工</w:t>
      </w:r>
      <w:r>
        <w:rPr>
          <w:w w:val="99"/>
        </w:rPr>
        <w:t> </w:t>
      </w:r>
      <w:r>
        <w:rPr/>
        <w:t>信部组织的客户服务综合满意度调查中，本公司</w:t>
      </w:r>
      <w:r>
        <w:rPr>
          <w:spacing w:val="-57"/>
        </w:rPr>
        <w:t> </w:t>
      </w:r>
      <w:r>
        <w:rPr>
          <w:rFonts w:ascii="Arial" w:hAnsi="Arial" w:cs="Arial" w:eastAsia="Arial" w:hint="default"/>
        </w:rPr>
        <w:t>3G</w:t>
      </w:r>
      <w:r>
        <w:rPr>
          <w:rFonts w:ascii="Arial" w:hAnsi="Arial" w:cs="Arial" w:eastAsia="Arial" w:hint="default"/>
          <w:spacing w:val="-9"/>
        </w:rPr>
        <w:t> </w:t>
      </w:r>
      <w:r>
        <w:rPr/>
        <w:t>服务客户满意度指数位居行业第一。</w:t>
      </w:r>
    </w:p>
    <w:p>
      <w:pPr>
        <w:spacing w:line="240" w:lineRule="auto" w:before="1"/>
        <w:rPr>
          <w:rFonts w:ascii="宋体" w:hAnsi="宋体" w:cs="宋体" w:eastAsia="宋体" w:hint="default"/>
          <w:sz w:val="18"/>
          <w:szCs w:val="18"/>
        </w:rPr>
      </w:pPr>
    </w:p>
    <w:p>
      <w:pPr>
        <w:pStyle w:val="BodyText"/>
        <w:spacing w:line="240" w:lineRule="auto"/>
        <w:ind w:left="433" w:right="91"/>
        <w:jc w:val="left"/>
      </w:pPr>
      <w:r>
        <w:rPr>
          <w:rFonts w:ascii="Arial" w:hAnsi="Arial" w:cs="Arial" w:eastAsia="Arial" w:hint="default"/>
          <w:b/>
          <w:bCs/>
        </w:rPr>
        <w:t>2</w:t>
      </w:r>
      <w:r>
        <w:rPr/>
        <w:t>、生产经营情况</w:t>
      </w:r>
    </w:p>
    <w:p>
      <w:pPr>
        <w:spacing w:line="240" w:lineRule="auto" w:before="12"/>
        <w:rPr>
          <w:rFonts w:ascii="宋体" w:hAnsi="宋体" w:cs="宋体" w:eastAsia="宋体" w:hint="default"/>
          <w:sz w:val="17"/>
          <w:szCs w:val="17"/>
        </w:rPr>
      </w:pPr>
    </w:p>
    <w:p>
      <w:pPr>
        <w:pStyle w:val="BodyText"/>
        <w:spacing w:line="295" w:lineRule="exact"/>
        <w:ind w:left="827" w:right="91"/>
        <w:jc w:val="left"/>
      </w:pPr>
      <w:r>
        <w:rPr>
          <w:rFonts w:ascii="Arial" w:hAnsi="Arial" w:cs="Arial" w:eastAsia="Arial" w:hint="default"/>
        </w:rPr>
        <w:t>2011</w:t>
      </w:r>
      <w:r>
        <w:rPr>
          <w:rFonts w:ascii="Arial" w:hAnsi="Arial" w:cs="Arial" w:eastAsia="Arial" w:hint="default"/>
          <w:spacing w:val="-8"/>
        </w:rPr>
        <w:t> </w:t>
      </w:r>
      <w:r>
        <w:rPr/>
        <w:t>年，本公司持续创新经营模式，优化资源配置，实现</w:t>
      </w:r>
      <w:r>
        <w:rPr>
          <w:spacing w:val="-56"/>
        </w:rPr>
        <w:t> </w:t>
      </w:r>
      <w:r>
        <w:rPr>
          <w:rFonts w:ascii="Arial" w:hAnsi="Arial" w:cs="Arial" w:eastAsia="Arial" w:hint="default"/>
        </w:rPr>
        <w:t>3G</w:t>
      </w:r>
      <w:r>
        <w:rPr>
          <w:rFonts w:ascii="Arial" w:hAnsi="Arial" w:cs="Arial" w:eastAsia="Arial" w:hint="default"/>
          <w:spacing w:val="-9"/>
        </w:rPr>
        <w:t> </w:t>
      </w:r>
      <w:r>
        <w:rPr/>
        <w:t>和宽带业务持续快速发展，</w:t>
      </w:r>
    </w:p>
    <w:p>
      <w:pPr>
        <w:pStyle w:val="BodyText"/>
        <w:spacing w:line="295" w:lineRule="exact"/>
        <w:ind w:left="821" w:right="91"/>
        <w:jc w:val="left"/>
      </w:pPr>
      <w:r>
        <w:rPr>
          <w:rFonts w:ascii="Arial" w:hAnsi="Arial" w:cs="Arial" w:eastAsia="Arial" w:hint="default"/>
        </w:rPr>
        <w:t>GSM</w:t>
      </w:r>
      <w:r>
        <w:rPr>
          <w:rFonts w:ascii="Arial" w:hAnsi="Arial" w:cs="Arial" w:eastAsia="Arial" w:hint="default"/>
          <w:spacing w:val="-10"/>
        </w:rPr>
        <w:t> </w:t>
      </w:r>
      <w:r>
        <w:rPr/>
        <w:t>和固话业务保持稳定，业务结构和用户结构进一步改善，市场份额稳步提升。</w:t>
      </w:r>
    </w:p>
    <w:p>
      <w:pPr>
        <w:spacing w:line="240" w:lineRule="auto" w:before="13"/>
        <w:rPr>
          <w:rFonts w:ascii="宋体" w:hAnsi="宋体" w:cs="宋体" w:eastAsia="宋体" w:hint="default"/>
          <w:sz w:val="17"/>
          <w:szCs w:val="17"/>
        </w:rPr>
      </w:pPr>
    </w:p>
    <w:p>
      <w:pPr>
        <w:spacing w:before="0"/>
        <w:ind w:left="433" w:right="91" w:firstLine="0"/>
        <w:jc w:val="left"/>
        <w:rPr>
          <w:rFonts w:ascii="宋体" w:hAnsi="宋体" w:cs="宋体" w:eastAsia="宋体" w:hint="default"/>
          <w:sz w:val="22"/>
          <w:szCs w:val="22"/>
        </w:rPr>
      </w:pPr>
      <w:r>
        <w:rPr>
          <w:rFonts w:ascii="Arial" w:hAnsi="Arial" w:cs="Arial" w:eastAsia="Arial" w:hint="default"/>
          <w:b/>
          <w:bCs/>
          <w:sz w:val="22"/>
          <w:szCs w:val="22"/>
        </w:rPr>
        <w:t>2.1</w:t>
      </w:r>
      <w:r>
        <w:rPr>
          <w:rFonts w:ascii="Arial" w:hAnsi="Arial" w:cs="Arial" w:eastAsia="Arial" w:hint="default"/>
          <w:b/>
          <w:bCs/>
          <w:spacing w:val="-5"/>
          <w:sz w:val="22"/>
          <w:szCs w:val="22"/>
        </w:rPr>
        <w:t> </w:t>
      </w:r>
      <w:r>
        <w:rPr>
          <w:rFonts w:ascii="宋体" w:hAnsi="宋体" w:cs="宋体" w:eastAsia="宋体" w:hint="default"/>
          <w:sz w:val="22"/>
          <w:szCs w:val="22"/>
        </w:rPr>
        <w:t>移动业务</w:t>
      </w:r>
    </w:p>
    <w:p>
      <w:pPr>
        <w:spacing w:line="240" w:lineRule="auto" w:before="12"/>
        <w:rPr>
          <w:rFonts w:ascii="宋体" w:hAnsi="宋体" w:cs="宋体" w:eastAsia="宋体" w:hint="default"/>
          <w:sz w:val="17"/>
          <w:szCs w:val="17"/>
        </w:rPr>
      </w:pPr>
    </w:p>
    <w:p>
      <w:pPr>
        <w:spacing w:before="0"/>
        <w:ind w:left="803" w:right="91" w:firstLine="0"/>
        <w:jc w:val="left"/>
        <w:rPr>
          <w:rFonts w:ascii="宋体" w:hAnsi="宋体" w:cs="宋体" w:eastAsia="宋体" w:hint="default"/>
          <w:sz w:val="22"/>
          <w:szCs w:val="22"/>
        </w:rPr>
      </w:pPr>
      <w:r>
        <w:rPr>
          <w:rFonts w:ascii="Arial" w:hAnsi="Arial" w:cs="Arial" w:eastAsia="Arial" w:hint="default"/>
          <w:b/>
          <w:bCs/>
          <w:sz w:val="22"/>
          <w:szCs w:val="22"/>
        </w:rPr>
        <w:t>3G</w:t>
      </w:r>
      <w:r>
        <w:rPr>
          <w:rFonts w:ascii="Arial" w:hAnsi="Arial" w:cs="Arial" w:eastAsia="Arial" w:hint="default"/>
          <w:b/>
          <w:bCs/>
          <w:spacing w:val="-7"/>
          <w:sz w:val="22"/>
          <w:szCs w:val="22"/>
        </w:rPr>
        <w:t> </w:t>
      </w:r>
      <w:r>
        <w:rPr>
          <w:rFonts w:ascii="宋体" w:hAnsi="宋体" w:cs="宋体" w:eastAsia="宋体" w:hint="default"/>
          <w:sz w:val="22"/>
          <w:szCs w:val="22"/>
        </w:rPr>
        <w:t>业务</w:t>
      </w:r>
    </w:p>
    <w:p>
      <w:pPr>
        <w:spacing w:line="240" w:lineRule="auto" w:before="10"/>
        <w:rPr>
          <w:rFonts w:ascii="宋体" w:hAnsi="宋体" w:cs="宋体" w:eastAsia="宋体" w:hint="default"/>
          <w:sz w:val="18"/>
          <w:szCs w:val="18"/>
        </w:rPr>
      </w:pPr>
    </w:p>
    <w:p>
      <w:pPr>
        <w:pStyle w:val="BodyText"/>
        <w:spacing w:line="230" w:lineRule="auto"/>
        <w:ind w:left="821" w:right="99" w:firstLine="6"/>
        <w:jc w:val="left"/>
      </w:pPr>
      <w:r>
        <w:rPr>
          <w:rFonts w:ascii="Arial" w:hAnsi="Arial" w:cs="Arial" w:eastAsia="Arial" w:hint="default"/>
        </w:rPr>
        <w:t>2011 </w:t>
      </w:r>
      <w:r>
        <w:rPr/>
        <w:t>年，本公司继续坚持</w:t>
      </w:r>
      <w:r>
        <w:rPr>
          <w:spacing w:val="-63"/>
        </w:rPr>
        <w:t> </w:t>
      </w:r>
      <w:r>
        <w:rPr>
          <w:rFonts w:ascii="Arial" w:hAnsi="Arial" w:cs="Arial" w:eastAsia="Arial" w:hint="default"/>
        </w:rPr>
        <w:t>3G</w:t>
      </w:r>
      <w:r>
        <w:rPr/>
        <w:t>“品牌、业务、资费、包装、终端政策、服务标准”六统一</w:t>
      </w:r>
      <w:r>
        <w:rPr>
          <w:w w:val="99"/>
        </w:rPr>
        <w:t> </w:t>
      </w:r>
      <w:r>
        <w:rPr/>
        <w:t>策略，根据市场和客户需求变化，不断优化营销策略，拉动</w:t>
      </w:r>
      <w:r>
        <w:rPr>
          <w:spacing w:val="-56"/>
        </w:rPr>
        <w:t> </w:t>
      </w:r>
      <w:r>
        <w:rPr>
          <w:rFonts w:ascii="Arial" w:hAnsi="Arial" w:cs="Arial" w:eastAsia="Arial" w:hint="default"/>
        </w:rPr>
        <w:t>3G</w:t>
      </w:r>
      <w:r>
        <w:rPr>
          <w:rFonts w:ascii="Arial" w:hAnsi="Arial" w:cs="Arial" w:eastAsia="Arial" w:hint="default"/>
          <w:spacing w:val="-8"/>
        </w:rPr>
        <w:t> </w:t>
      </w:r>
      <w:r>
        <w:rPr/>
        <w:t>用户快速增长。持续完善</w:t>
      </w:r>
      <w:r>
        <w:rPr>
          <w:w w:val="99"/>
        </w:rPr>
        <w:t> </w:t>
      </w:r>
      <w:r>
        <w:rPr>
          <w:rFonts w:ascii="Arial" w:hAnsi="Arial" w:cs="Arial" w:eastAsia="Arial" w:hint="default"/>
        </w:rPr>
        <w:t>3G </w:t>
      </w:r>
      <w:r>
        <w:rPr>
          <w:spacing w:val="-3"/>
        </w:rPr>
        <w:t>资费产品体系，优化国际资费，丰富预付费产品，推出 </w:t>
      </w:r>
      <w:r>
        <w:rPr>
          <w:rFonts w:ascii="Arial" w:hAnsi="Arial" w:cs="Arial" w:eastAsia="Arial" w:hint="default"/>
        </w:rPr>
        <w:t>21Mbps </w:t>
      </w:r>
      <w:r>
        <w:rPr/>
        <w:t>速率的</w:t>
      </w:r>
      <w:r>
        <w:rPr>
          <w:spacing w:val="-62"/>
        </w:rPr>
        <w:t> </w:t>
      </w:r>
      <w:r>
        <w:rPr>
          <w:rFonts w:ascii="Arial" w:hAnsi="Arial" w:cs="Arial" w:eastAsia="Arial" w:hint="default"/>
        </w:rPr>
        <w:t>HSPA+</w:t>
      </w:r>
      <w:r>
        <w:rPr/>
        <w:t>无线上</w:t>
      </w:r>
      <w:r>
        <w:rPr>
          <w:w w:val="99"/>
        </w:rPr>
        <w:t> </w:t>
      </w:r>
      <w:r>
        <w:rPr>
          <w:spacing w:val="-2"/>
        </w:rPr>
        <w:t>网卡；调整和优化战略终端补贴政策，进一步降低终端补贴门槛，推出千元大屏智能手机，</w:t>
      </w:r>
      <w:r>
        <w:rPr>
          <w:spacing w:val="-101"/>
        </w:rPr>
        <w:t> </w:t>
      </w:r>
      <w:r>
        <w:rPr>
          <w:spacing w:val="-101"/>
        </w:rPr>
      </w:r>
      <w:r>
        <w:rPr/>
        <w:t>加速中低端智能机型上市，丰富定制终端种类；加大应用创新和流量经营，引入定向流量</w:t>
      </w:r>
      <w:r>
        <w:rPr>
          <w:w w:val="99"/>
        </w:rPr>
        <w:t> </w:t>
      </w:r>
      <w:r>
        <w:rPr/>
        <w:t>计费模式，开展数据及信息业务促销活动，加快发展手机电视、手机阅读、沃商店、沃友</w:t>
      </w:r>
      <w:r>
        <w:rPr>
          <w:w w:val="99"/>
        </w:rPr>
        <w:t> </w:t>
      </w:r>
      <w:r>
        <w:rPr/>
        <w:t>等创新型产品。全年</w:t>
      </w:r>
      <w:r>
        <w:rPr>
          <w:spacing w:val="-58"/>
        </w:rPr>
        <w:t> </w:t>
      </w:r>
      <w:r>
        <w:rPr>
          <w:rFonts w:ascii="Arial" w:hAnsi="Arial" w:cs="Arial" w:eastAsia="Arial" w:hint="default"/>
        </w:rPr>
        <w:t>3G</w:t>
      </w:r>
      <w:r>
        <w:rPr>
          <w:rFonts w:ascii="Arial" w:hAnsi="Arial" w:cs="Arial" w:eastAsia="Arial" w:hint="default"/>
          <w:spacing w:val="-10"/>
        </w:rPr>
        <w:t> </w:t>
      </w:r>
      <w:r>
        <w:rPr/>
        <w:t>用户净增</w:t>
      </w:r>
      <w:r>
        <w:rPr>
          <w:spacing w:val="-57"/>
        </w:rPr>
        <w:t> </w:t>
      </w:r>
      <w:r>
        <w:rPr>
          <w:rFonts w:ascii="Arial" w:hAnsi="Arial" w:cs="Arial" w:eastAsia="Arial" w:hint="default"/>
        </w:rPr>
        <w:t>2,595.9</w:t>
      </w:r>
      <w:r>
        <w:rPr>
          <w:rFonts w:ascii="Arial" w:hAnsi="Arial" w:cs="Arial" w:eastAsia="Arial" w:hint="default"/>
          <w:spacing w:val="-9"/>
        </w:rPr>
        <w:t> </w:t>
      </w:r>
      <w:r>
        <w:rPr>
          <w:spacing w:val="-4"/>
        </w:rPr>
        <w:t>万户，达到</w:t>
      </w:r>
      <w:r>
        <w:rPr>
          <w:spacing w:val="-58"/>
        </w:rPr>
        <w:t> </w:t>
      </w:r>
      <w:r>
        <w:rPr>
          <w:rFonts w:ascii="Arial" w:hAnsi="Arial" w:cs="Arial" w:eastAsia="Arial" w:hint="default"/>
        </w:rPr>
        <w:t>4,001.9</w:t>
      </w:r>
      <w:r>
        <w:rPr>
          <w:rFonts w:ascii="Arial" w:hAnsi="Arial" w:cs="Arial" w:eastAsia="Arial" w:hint="default"/>
          <w:spacing w:val="-9"/>
        </w:rPr>
        <w:t> </w:t>
      </w:r>
      <w:r>
        <w:rPr>
          <w:spacing w:val="-3"/>
        </w:rPr>
        <w:t>万户，其中，无线上网卡用</w:t>
      </w:r>
      <w:r>
        <w:rPr>
          <w:w w:val="99"/>
        </w:rPr>
        <w:t> </w:t>
      </w:r>
      <w:r>
        <w:rPr/>
        <w:t>户达到</w:t>
      </w:r>
      <w:r>
        <w:rPr>
          <w:spacing w:val="-55"/>
        </w:rPr>
        <w:t> </w:t>
      </w:r>
      <w:r>
        <w:rPr>
          <w:rFonts w:ascii="Arial" w:hAnsi="Arial" w:cs="Arial" w:eastAsia="Arial" w:hint="default"/>
        </w:rPr>
        <w:t>379.9</w:t>
      </w:r>
      <w:r>
        <w:rPr>
          <w:rFonts w:ascii="Arial" w:hAnsi="Arial" w:cs="Arial" w:eastAsia="Arial" w:hint="default"/>
          <w:spacing w:val="-6"/>
        </w:rPr>
        <w:t> </w:t>
      </w:r>
      <w:r>
        <w:rPr>
          <w:spacing w:val="-9"/>
        </w:rPr>
        <w:t>万户。</w:t>
      </w:r>
      <w:r>
        <w:rPr>
          <w:rFonts w:ascii="Arial" w:hAnsi="Arial" w:cs="Arial" w:eastAsia="Arial" w:hint="default"/>
          <w:spacing w:val="-9"/>
        </w:rPr>
        <w:t>3G</w:t>
      </w:r>
      <w:r>
        <w:rPr>
          <w:rFonts w:ascii="Arial" w:hAnsi="Arial" w:cs="Arial" w:eastAsia="Arial" w:hint="default"/>
          <w:spacing w:val="-6"/>
        </w:rPr>
        <w:t> </w:t>
      </w:r>
      <w:r>
        <w:rPr/>
        <w:t>用户计费总时长达到</w:t>
      </w:r>
      <w:r>
        <w:rPr>
          <w:spacing w:val="-55"/>
        </w:rPr>
        <w:t> </w:t>
      </w:r>
      <w:r>
        <w:rPr>
          <w:rFonts w:ascii="Arial" w:hAnsi="Arial" w:cs="Arial" w:eastAsia="Arial" w:hint="default"/>
        </w:rPr>
        <w:t>1,695</w:t>
      </w:r>
      <w:r>
        <w:rPr>
          <w:rFonts w:ascii="Arial" w:hAnsi="Arial" w:cs="Arial" w:eastAsia="Arial" w:hint="default"/>
          <w:spacing w:val="-6"/>
        </w:rPr>
        <w:t> </w:t>
      </w:r>
      <w:r>
        <w:rPr>
          <w:spacing w:val="-3"/>
        </w:rPr>
        <w:t>亿分钟，平均每用户每月数据流量达到</w:t>
      </w:r>
    </w:p>
    <w:p>
      <w:pPr>
        <w:pStyle w:val="BodyText"/>
        <w:spacing w:line="286" w:lineRule="exact" w:before="12"/>
        <w:ind w:left="821" w:right="294"/>
        <w:jc w:val="left"/>
      </w:pPr>
      <w:r>
        <w:rPr>
          <w:rFonts w:ascii="Arial" w:hAnsi="Arial" w:cs="Arial" w:eastAsia="Arial" w:hint="default"/>
        </w:rPr>
        <w:t>267.2MB</w:t>
      </w:r>
      <w:r>
        <w:rPr/>
        <w:t>，平均每用户每月收入（</w:t>
      </w:r>
      <w:r>
        <w:rPr>
          <w:rFonts w:ascii="Arial" w:hAnsi="Arial" w:cs="Arial" w:eastAsia="Arial" w:hint="default"/>
        </w:rPr>
        <w:t>ARPU</w:t>
      </w:r>
      <w:r>
        <w:rPr/>
        <w:t>）为人民币</w:t>
      </w:r>
      <w:r>
        <w:rPr>
          <w:spacing w:val="-59"/>
        </w:rPr>
        <w:t> </w:t>
      </w:r>
      <w:r>
        <w:rPr>
          <w:rFonts w:ascii="Arial" w:hAnsi="Arial" w:cs="Arial" w:eastAsia="Arial" w:hint="default"/>
        </w:rPr>
        <w:t>110.0</w:t>
      </w:r>
      <w:r>
        <w:rPr>
          <w:rFonts w:ascii="Arial" w:hAnsi="Arial" w:cs="Arial" w:eastAsia="Arial" w:hint="default"/>
          <w:spacing w:val="-10"/>
        </w:rPr>
        <w:t> </w:t>
      </w:r>
      <w:r>
        <w:rPr/>
        <w:t>元。沃商店、沃友注册用户分</w:t>
      </w:r>
      <w:r>
        <w:rPr>
          <w:w w:val="99"/>
        </w:rPr>
        <w:t> </w:t>
      </w:r>
      <w:r>
        <w:rPr/>
        <w:t>别达到</w:t>
      </w:r>
      <w:r>
        <w:rPr>
          <w:spacing w:val="-57"/>
        </w:rPr>
        <w:t> </w:t>
      </w:r>
      <w:r>
        <w:rPr>
          <w:rFonts w:ascii="Arial" w:hAnsi="Arial" w:cs="Arial" w:eastAsia="Arial" w:hint="default"/>
        </w:rPr>
        <w:t>350</w:t>
      </w:r>
      <w:r>
        <w:rPr>
          <w:rFonts w:ascii="Arial" w:hAnsi="Arial" w:cs="Arial" w:eastAsia="Arial" w:hint="default"/>
          <w:spacing w:val="-7"/>
        </w:rPr>
        <w:t> </w:t>
      </w:r>
      <w:r>
        <w:rPr/>
        <w:t>万户、</w:t>
      </w:r>
      <w:r>
        <w:rPr>
          <w:rFonts w:ascii="Arial" w:hAnsi="Arial" w:cs="Arial" w:eastAsia="Arial" w:hint="default"/>
        </w:rPr>
        <w:t>120</w:t>
      </w:r>
      <w:r>
        <w:rPr>
          <w:rFonts w:ascii="Arial" w:hAnsi="Arial" w:cs="Arial" w:eastAsia="Arial" w:hint="default"/>
          <w:spacing w:val="-7"/>
        </w:rPr>
        <w:t> </w:t>
      </w:r>
      <w:r>
        <w:rPr/>
        <w:t>万户。</w:t>
      </w:r>
    </w:p>
    <w:p>
      <w:pPr>
        <w:spacing w:after="0" w:line="286" w:lineRule="exact"/>
        <w:jc w:val="left"/>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31"/>
        <w:ind w:left="803" w:right="91" w:firstLine="0"/>
        <w:jc w:val="left"/>
        <w:rPr>
          <w:rFonts w:ascii="宋体" w:hAnsi="宋体" w:cs="宋体" w:eastAsia="宋体" w:hint="default"/>
          <w:sz w:val="22"/>
          <w:szCs w:val="22"/>
        </w:rPr>
      </w:pPr>
      <w:r>
        <w:rPr>
          <w:rFonts w:ascii="Arial" w:hAnsi="Arial" w:cs="Arial" w:eastAsia="Arial" w:hint="default"/>
          <w:b/>
          <w:bCs/>
          <w:sz w:val="22"/>
          <w:szCs w:val="22"/>
        </w:rPr>
        <w:t>GSM</w:t>
      </w:r>
      <w:r>
        <w:rPr>
          <w:rFonts w:ascii="Arial" w:hAnsi="Arial" w:cs="Arial" w:eastAsia="Arial" w:hint="default"/>
          <w:b/>
          <w:bCs/>
          <w:spacing w:val="-7"/>
          <w:sz w:val="22"/>
          <w:szCs w:val="22"/>
        </w:rPr>
        <w:t> </w:t>
      </w:r>
      <w:r>
        <w:rPr>
          <w:rFonts w:ascii="宋体" w:hAnsi="宋体" w:cs="宋体" w:eastAsia="宋体" w:hint="default"/>
          <w:sz w:val="22"/>
          <w:szCs w:val="22"/>
        </w:rPr>
        <w:t>业务</w:t>
      </w:r>
    </w:p>
    <w:p>
      <w:pPr>
        <w:spacing w:line="240" w:lineRule="auto" w:before="11"/>
        <w:rPr>
          <w:rFonts w:ascii="宋体" w:hAnsi="宋体" w:cs="宋体" w:eastAsia="宋体" w:hint="default"/>
          <w:sz w:val="18"/>
          <w:szCs w:val="18"/>
        </w:rPr>
      </w:pPr>
    </w:p>
    <w:p>
      <w:pPr>
        <w:pStyle w:val="BodyText"/>
        <w:spacing w:line="228" w:lineRule="auto"/>
        <w:ind w:left="821" w:right="113" w:firstLine="5"/>
        <w:jc w:val="left"/>
      </w:pPr>
      <w:r>
        <w:rPr>
          <w:rFonts w:ascii="Arial" w:hAnsi="Arial" w:cs="Arial" w:eastAsia="Arial" w:hint="default"/>
        </w:rPr>
        <w:t>2011</w:t>
      </w:r>
      <w:r>
        <w:rPr>
          <w:rFonts w:ascii="Arial" w:hAnsi="Arial" w:cs="Arial" w:eastAsia="Arial" w:hint="default"/>
          <w:spacing w:val="-7"/>
        </w:rPr>
        <w:t> </w:t>
      </w:r>
      <w:r>
        <w:rPr/>
        <w:t>年，本公司积极推进</w:t>
      </w:r>
      <w:r>
        <w:rPr>
          <w:spacing w:val="-56"/>
        </w:rPr>
        <w:t> </w:t>
      </w:r>
      <w:r>
        <w:rPr>
          <w:rFonts w:ascii="Arial" w:hAnsi="Arial" w:cs="Arial" w:eastAsia="Arial" w:hint="default"/>
        </w:rPr>
        <w:t>GSM</w:t>
      </w:r>
      <w:r>
        <w:rPr>
          <w:rFonts w:ascii="Arial" w:hAnsi="Arial" w:cs="Arial" w:eastAsia="Arial" w:hint="default"/>
          <w:spacing w:val="-8"/>
        </w:rPr>
        <w:t> </w:t>
      </w:r>
      <w:r>
        <w:rPr/>
        <w:t>业务发展模式转型，</w:t>
      </w:r>
      <w:r>
        <w:rPr>
          <w:rFonts w:ascii="Arial" w:hAnsi="Arial" w:cs="Arial" w:eastAsia="Arial" w:hint="default"/>
        </w:rPr>
        <w:t>GSM</w:t>
      </w:r>
      <w:r>
        <w:rPr>
          <w:rFonts w:ascii="Arial" w:hAnsi="Arial" w:cs="Arial" w:eastAsia="Arial" w:hint="default"/>
          <w:spacing w:val="-7"/>
        </w:rPr>
        <w:t> </w:t>
      </w:r>
      <w:r>
        <w:rPr/>
        <w:t>业务发展基本保持平稳。调整</w:t>
      </w:r>
      <w:r>
        <w:rPr>
          <w:w w:val="99"/>
        </w:rPr>
        <w:t> </w:t>
      </w:r>
      <w:r>
        <w:rPr/>
        <w:t>渠道和佣金模式，建立长效佣金机制，提高成本使用效能；梳理</w:t>
      </w:r>
      <w:r>
        <w:rPr>
          <w:spacing w:val="-56"/>
        </w:rPr>
        <w:t> </w:t>
      </w:r>
      <w:r>
        <w:rPr>
          <w:rFonts w:ascii="Arial" w:hAnsi="Arial" w:cs="Arial" w:eastAsia="Arial" w:hint="default"/>
        </w:rPr>
        <w:t>GSM</w:t>
      </w:r>
      <w:r>
        <w:rPr>
          <w:rFonts w:ascii="Arial" w:hAnsi="Arial" w:cs="Arial" w:eastAsia="Arial" w:hint="default"/>
          <w:spacing w:val="-8"/>
        </w:rPr>
        <w:t> </w:t>
      </w:r>
      <w:r>
        <w:rPr/>
        <w:t>资费套餐，引入话</w:t>
      </w:r>
      <w:r>
        <w:rPr>
          <w:w w:val="99"/>
        </w:rPr>
        <w:t> </w:t>
      </w:r>
      <w:r>
        <w:rPr/>
        <w:t>务量产品和融合产品，加大手机上网、炫铃等重点业务推广；通过话费补贴等措施，引导</w:t>
      </w:r>
      <w:r>
        <w:rPr>
          <w:w w:val="99"/>
        </w:rPr>
        <w:t> </w:t>
      </w:r>
      <w:r>
        <w:rPr/>
        <w:t>无线市话用户升级为</w:t>
      </w:r>
      <w:r>
        <w:rPr>
          <w:spacing w:val="-58"/>
        </w:rPr>
        <w:t> </w:t>
      </w:r>
      <w:r>
        <w:rPr>
          <w:rFonts w:ascii="Arial" w:hAnsi="Arial" w:cs="Arial" w:eastAsia="Arial" w:hint="default"/>
        </w:rPr>
        <w:t>GSM</w:t>
      </w:r>
      <w:r>
        <w:rPr>
          <w:rFonts w:ascii="Arial" w:hAnsi="Arial" w:cs="Arial" w:eastAsia="Arial" w:hint="default"/>
          <w:spacing w:val="-11"/>
        </w:rPr>
        <w:t> </w:t>
      </w:r>
      <w:r>
        <w:rPr/>
        <w:t>用户，同时积极稳妥地推进</w:t>
      </w:r>
      <w:r>
        <w:rPr>
          <w:spacing w:val="-58"/>
        </w:rPr>
        <w:t> </w:t>
      </w:r>
      <w:r>
        <w:rPr>
          <w:rFonts w:ascii="Arial" w:hAnsi="Arial" w:cs="Arial" w:eastAsia="Arial" w:hint="default"/>
        </w:rPr>
        <w:t>GSM</w:t>
      </w:r>
      <w:r>
        <w:rPr>
          <w:rFonts w:ascii="Arial" w:hAnsi="Arial" w:cs="Arial" w:eastAsia="Arial" w:hint="default"/>
          <w:spacing w:val="-11"/>
        </w:rPr>
        <w:t> </w:t>
      </w:r>
      <w:r>
        <w:rPr/>
        <w:t>中高端客户向</w:t>
      </w:r>
      <w:r>
        <w:rPr>
          <w:spacing w:val="-59"/>
        </w:rPr>
        <w:t> </w:t>
      </w:r>
      <w:r>
        <w:rPr>
          <w:rFonts w:ascii="Arial" w:hAnsi="Arial" w:cs="Arial" w:eastAsia="Arial" w:hint="default"/>
        </w:rPr>
        <w:t>3G</w:t>
      </w:r>
      <w:r>
        <w:rPr>
          <w:rFonts w:ascii="Arial" w:hAnsi="Arial" w:cs="Arial" w:eastAsia="Arial" w:hint="default"/>
          <w:spacing w:val="-10"/>
        </w:rPr>
        <w:t> </w:t>
      </w:r>
      <w:r>
        <w:rPr>
          <w:spacing w:val="-5"/>
        </w:rPr>
        <w:t>迁移。全年</w:t>
      </w:r>
      <w:r>
        <w:rPr>
          <w:w w:val="99"/>
        </w:rPr>
        <w:t> </w:t>
      </w:r>
      <w:r>
        <w:rPr>
          <w:rFonts w:ascii="Arial" w:hAnsi="Arial" w:cs="Arial" w:eastAsia="Arial" w:hint="default"/>
        </w:rPr>
        <w:t>GSM</w:t>
      </w:r>
      <w:r>
        <w:rPr>
          <w:rFonts w:ascii="Arial" w:hAnsi="Arial" w:cs="Arial" w:eastAsia="Arial" w:hint="default"/>
          <w:spacing w:val="-8"/>
        </w:rPr>
        <w:t> </w:t>
      </w:r>
      <w:r>
        <w:rPr/>
        <w:t>用户净增</w:t>
      </w:r>
      <w:r>
        <w:rPr>
          <w:spacing w:val="-57"/>
        </w:rPr>
        <w:t> </w:t>
      </w:r>
      <w:r>
        <w:rPr>
          <w:rFonts w:ascii="Arial" w:hAnsi="Arial" w:cs="Arial" w:eastAsia="Arial" w:hint="default"/>
        </w:rPr>
        <w:t>627.5</w:t>
      </w:r>
      <w:r>
        <w:rPr>
          <w:rFonts w:ascii="Arial" w:hAnsi="Arial" w:cs="Arial" w:eastAsia="Arial" w:hint="default"/>
          <w:spacing w:val="-8"/>
        </w:rPr>
        <w:t> </w:t>
      </w:r>
      <w:r>
        <w:rPr>
          <w:spacing w:val="-3"/>
        </w:rPr>
        <w:t>万户，达到</w:t>
      </w:r>
      <w:r>
        <w:rPr>
          <w:spacing w:val="-57"/>
        </w:rPr>
        <w:t> </w:t>
      </w:r>
      <w:r>
        <w:rPr>
          <w:rFonts w:ascii="Arial" w:hAnsi="Arial" w:cs="Arial" w:eastAsia="Arial" w:hint="default"/>
        </w:rPr>
        <w:t>15,964.1</w:t>
      </w:r>
      <w:r>
        <w:rPr>
          <w:rFonts w:ascii="Arial" w:hAnsi="Arial" w:cs="Arial" w:eastAsia="Arial" w:hint="default"/>
          <w:spacing w:val="-8"/>
        </w:rPr>
        <w:t> </w:t>
      </w:r>
      <w:r>
        <w:rPr/>
        <w:t>万户。</w:t>
      </w:r>
      <w:r>
        <w:rPr>
          <w:rFonts w:ascii="Arial" w:hAnsi="Arial" w:cs="Arial" w:eastAsia="Arial" w:hint="default"/>
        </w:rPr>
        <w:t>GSM</w:t>
      </w:r>
      <w:r>
        <w:rPr>
          <w:rFonts w:ascii="Arial" w:hAnsi="Arial" w:cs="Arial" w:eastAsia="Arial" w:hint="default"/>
          <w:spacing w:val="-9"/>
        </w:rPr>
        <w:t> </w:t>
      </w:r>
      <w:r>
        <w:rPr/>
        <w:t>用户计费总时长达到</w:t>
      </w:r>
      <w:r>
        <w:rPr>
          <w:spacing w:val="-57"/>
        </w:rPr>
        <w:t> </w:t>
      </w:r>
      <w:r>
        <w:rPr>
          <w:rFonts w:ascii="Arial" w:hAnsi="Arial" w:cs="Arial" w:eastAsia="Arial" w:hint="default"/>
        </w:rPr>
        <w:t>4,847.6</w:t>
      </w:r>
      <w:r>
        <w:rPr>
          <w:rFonts w:ascii="Arial" w:hAnsi="Arial" w:cs="Arial" w:eastAsia="Arial" w:hint="default"/>
          <w:spacing w:val="-8"/>
        </w:rPr>
        <w:t> </w:t>
      </w:r>
      <w:r>
        <w:rPr/>
        <w:t>亿分</w:t>
      </w:r>
      <w:r>
        <w:rPr>
          <w:w w:val="99"/>
        </w:rPr>
        <w:t> </w:t>
      </w:r>
      <w:r>
        <w:rPr/>
        <w:t>钟，比上年同期增长</w:t>
      </w:r>
      <w:r>
        <w:rPr>
          <w:spacing w:val="-57"/>
        </w:rPr>
        <w:t> </w:t>
      </w:r>
      <w:r>
        <w:rPr>
          <w:rFonts w:ascii="Arial" w:hAnsi="Arial" w:cs="Arial" w:eastAsia="Arial" w:hint="default"/>
        </w:rPr>
        <w:t>2.9%</w:t>
      </w:r>
      <w:r>
        <w:rPr/>
        <w:t>。平均每用户每月收入（</w:t>
      </w:r>
      <w:r>
        <w:rPr>
          <w:rFonts w:ascii="Arial" w:hAnsi="Arial" w:cs="Arial" w:eastAsia="Arial" w:hint="default"/>
        </w:rPr>
        <w:t>ARPU</w:t>
      </w:r>
      <w:r>
        <w:rPr/>
        <w:t>）为人民币</w:t>
      </w:r>
      <w:r>
        <w:rPr>
          <w:spacing w:val="-56"/>
        </w:rPr>
        <w:t> </w:t>
      </w:r>
      <w:r>
        <w:rPr>
          <w:rFonts w:ascii="Arial" w:hAnsi="Arial" w:cs="Arial" w:eastAsia="Arial" w:hint="default"/>
        </w:rPr>
        <w:t>37.4</w:t>
      </w:r>
      <w:r>
        <w:rPr>
          <w:rFonts w:ascii="Arial" w:hAnsi="Arial" w:cs="Arial" w:eastAsia="Arial" w:hint="default"/>
          <w:spacing w:val="-8"/>
        </w:rPr>
        <w:t> </w:t>
      </w:r>
      <w:r>
        <w:rPr/>
        <w:t>元，比上年同</w:t>
      </w:r>
      <w:r>
        <w:rPr>
          <w:w w:val="99"/>
        </w:rPr>
        <w:t> </w:t>
      </w:r>
      <w:r>
        <w:rPr/>
        <w:t>期下降</w:t>
      </w:r>
      <w:r>
        <w:rPr>
          <w:spacing w:val="-57"/>
        </w:rPr>
        <w:t> </w:t>
      </w:r>
      <w:r>
        <w:rPr>
          <w:rFonts w:ascii="Arial" w:hAnsi="Arial" w:cs="Arial" w:eastAsia="Arial" w:hint="default"/>
        </w:rPr>
        <w:t>5.3%</w:t>
      </w:r>
      <w:r>
        <w:rPr/>
        <w:t>。手机上网用户净增</w:t>
      </w:r>
      <w:r>
        <w:rPr>
          <w:spacing w:val="-57"/>
        </w:rPr>
        <w:t> </w:t>
      </w:r>
      <w:r>
        <w:rPr>
          <w:rFonts w:ascii="Arial" w:hAnsi="Arial" w:cs="Arial" w:eastAsia="Arial" w:hint="default"/>
        </w:rPr>
        <w:t>778.7</w:t>
      </w:r>
      <w:r>
        <w:rPr>
          <w:rFonts w:ascii="Arial" w:hAnsi="Arial" w:cs="Arial" w:eastAsia="Arial" w:hint="default"/>
          <w:spacing w:val="-8"/>
        </w:rPr>
        <w:t> </w:t>
      </w:r>
      <w:r>
        <w:rPr/>
        <w:t>万户，达到</w:t>
      </w:r>
      <w:r>
        <w:rPr>
          <w:spacing w:val="-57"/>
        </w:rPr>
        <w:t> </w:t>
      </w:r>
      <w:r>
        <w:rPr>
          <w:rFonts w:ascii="Arial" w:hAnsi="Arial" w:cs="Arial" w:eastAsia="Arial" w:hint="default"/>
        </w:rPr>
        <w:t>6,360</w:t>
      </w:r>
      <w:r>
        <w:rPr>
          <w:rFonts w:ascii="Arial" w:hAnsi="Arial" w:cs="Arial" w:eastAsia="Arial" w:hint="default"/>
          <w:spacing w:val="-8"/>
        </w:rPr>
        <w:t> </w:t>
      </w:r>
      <w:r>
        <w:rPr/>
        <w:t>万户，用户渗透率达到</w:t>
      </w:r>
      <w:r>
        <w:rPr>
          <w:spacing w:val="-56"/>
        </w:rPr>
        <w:t> </w:t>
      </w:r>
      <w:r>
        <w:rPr>
          <w:rFonts w:ascii="Arial" w:hAnsi="Arial" w:cs="Arial" w:eastAsia="Arial" w:hint="default"/>
        </w:rPr>
        <w:t>39.8%</w:t>
      </w:r>
      <w:r>
        <w:rPr/>
        <w:t>。</w:t>
      </w:r>
      <w:r>
        <w:rPr>
          <w:w w:val="99"/>
        </w:rPr>
        <w:t> </w:t>
      </w:r>
      <w:r>
        <w:rPr/>
        <w:t>炫铃业务用户达到</w:t>
      </w:r>
      <w:r>
        <w:rPr>
          <w:spacing w:val="-57"/>
        </w:rPr>
        <w:t> </w:t>
      </w:r>
      <w:r>
        <w:rPr>
          <w:rFonts w:ascii="Arial" w:hAnsi="Arial" w:cs="Arial" w:eastAsia="Arial" w:hint="default"/>
        </w:rPr>
        <w:t>5,883.5</w:t>
      </w:r>
      <w:r>
        <w:rPr>
          <w:rFonts w:ascii="Arial" w:hAnsi="Arial" w:cs="Arial" w:eastAsia="Arial" w:hint="default"/>
          <w:spacing w:val="-8"/>
        </w:rPr>
        <w:t> </w:t>
      </w:r>
      <w:r>
        <w:rPr/>
        <w:t>万户，用户渗透率达到</w:t>
      </w:r>
      <w:r>
        <w:rPr>
          <w:spacing w:val="-57"/>
        </w:rPr>
        <w:t> </w:t>
      </w:r>
      <w:r>
        <w:rPr>
          <w:rFonts w:ascii="Arial" w:hAnsi="Arial" w:cs="Arial" w:eastAsia="Arial" w:hint="default"/>
        </w:rPr>
        <w:t>36.9%</w:t>
      </w:r>
      <w:r>
        <w:rPr/>
        <w:t>。</w:t>
      </w:r>
    </w:p>
    <w:p>
      <w:pPr>
        <w:spacing w:line="240" w:lineRule="auto" w:before="1"/>
        <w:rPr>
          <w:rFonts w:ascii="宋体" w:hAnsi="宋体" w:cs="宋体" w:eastAsia="宋体" w:hint="default"/>
          <w:sz w:val="18"/>
          <w:szCs w:val="18"/>
        </w:rPr>
      </w:pPr>
    </w:p>
    <w:p>
      <w:pPr>
        <w:spacing w:before="0"/>
        <w:ind w:left="433" w:right="91" w:firstLine="0"/>
        <w:jc w:val="left"/>
        <w:rPr>
          <w:rFonts w:ascii="宋体" w:hAnsi="宋体" w:cs="宋体" w:eastAsia="宋体" w:hint="default"/>
          <w:sz w:val="22"/>
          <w:szCs w:val="22"/>
        </w:rPr>
      </w:pPr>
      <w:r>
        <w:rPr>
          <w:rFonts w:ascii="Arial" w:hAnsi="Arial" w:cs="Arial" w:eastAsia="Arial" w:hint="default"/>
          <w:b/>
          <w:bCs/>
          <w:sz w:val="22"/>
          <w:szCs w:val="22"/>
        </w:rPr>
        <w:t>2.2</w:t>
      </w:r>
      <w:r>
        <w:rPr>
          <w:rFonts w:ascii="Arial" w:hAnsi="Arial" w:cs="Arial" w:eastAsia="Arial" w:hint="default"/>
          <w:b/>
          <w:bCs/>
          <w:spacing w:val="-5"/>
          <w:sz w:val="22"/>
          <w:szCs w:val="22"/>
        </w:rPr>
        <w:t> </w:t>
      </w:r>
      <w:r>
        <w:rPr>
          <w:rFonts w:ascii="宋体" w:hAnsi="宋体" w:cs="宋体" w:eastAsia="宋体" w:hint="default"/>
          <w:sz w:val="22"/>
          <w:szCs w:val="22"/>
        </w:rPr>
        <w:t>固网业务</w:t>
      </w:r>
    </w:p>
    <w:p>
      <w:pPr>
        <w:spacing w:line="240" w:lineRule="auto" w:before="10"/>
        <w:rPr>
          <w:rFonts w:ascii="宋体" w:hAnsi="宋体" w:cs="宋体" w:eastAsia="宋体" w:hint="default"/>
          <w:sz w:val="18"/>
          <w:szCs w:val="18"/>
        </w:rPr>
      </w:pPr>
    </w:p>
    <w:p>
      <w:pPr>
        <w:pStyle w:val="BodyText"/>
        <w:spacing w:line="230" w:lineRule="auto"/>
        <w:ind w:left="821" w:right="97" w:firstLine="6"/>
        <w:jc w:val="left"/>
      </w:pPr>
      <w:r>
        <w:rPr>
          <w:rFonts w:ascii="Arial" w:hAnsi="Arial" w:cs="Arial" w:eastAsia="Arial" w:hint="default"/>
        </w:rPr>
        <w:t>2011</w:t>
      </w:r>
      <w:r>
        <w:rPr>
          <w:rFonts w:ascii="Arial" w:hAnsi="Arial" w:cs="Arial" w:eastAsia="Arial" w:hint="default"/>
          <w:spacing w:val="-30"/>
        </w:rPr>
        <w:t> </w:t>
      </w:r>
      <w:r>
        <w:rPr/>
        <w:t>年，本公司加快实施宽带升级提速和融合业务推广，保持固网业务稳定发展。进一步</w:t>
      </w:r>
      <w:r>
        <w:rPr>
          <w:w w:val="99"/>
        </w:rPr>
        <w:t> </w:t>
      </w:r>
      <w:r>
        <w:rPr/>
        <w:t>提高宽带网络覆盖范围和接入能力，提升高速率带宽用户占比；全面推广宽带“装移修承</w:t>
      </w:r>
      <w:r>
        <w:rPr>
          <w:w w:val="99"/>
        </w:rPr>
        <w:t> </w:t>
      </w:r>
      <w:r>
        <w:rPr>
          <w:spacing w:val="-5"/>
        </w:rPr>
        <w:t>诺服务”，为用户提供便捷的宽带服务；充分发挥全业务优势，大力推广“沃家庭”、“沃</w:t>
      </w:r>
      <w:r>
        <w:rPr>
          <w:spacing w:val="-94"/>
        </w:rPr>
        <w:t> </w:t>
      </w:r>
      <w:r>
        <w:rPr>
          <w:spacing w:val="-94"/>
        </w:rPr>
      </w:r>
      <w:r>
        <w:rPr/>
        <w:t>商务”等融合产品，带动了用户发展。全年宽带用户净增</w:t>
      </w:r>
      <w:r>
        <w:rPr>
          <w:spacing w:val="-65"/>
        </w:rPr>
        <w:t> </w:t>
      </w:r>
      <w:r>
        <w:rPr>
          <w:rFonts w:ascii="Arial" w:hAnsi="Arial" w:cs="Arial" w:eastAsia="Arial" w:hint="default"/>
        </w:rPr>
        <w:t>842.7</w:t>
      </w:r>
      <w:r>
        <w:rPr>
          <w:rFonts w:ascii="Arial" w:hAnsi="Arial" w:cs="Arial" w:eastAsia="Arial" w:hint="default"/>
          <w:spacing w:val="-17"/>
        </w:rPr>
        <w:t> </w:t>
      </w:r>
      <w:r>
        <w:rPr/>
        <w:t>万户，达到</w:t>
      </w:r>
      <w:r>
        <w:rPr>
          <w:spacing w:val="-66"/>
        </w:rPr>
        <w:t> </w:t>
      </w:r>
      <w:r>
        <w:rPr>
          <w:rFonts w:ascii="Arial" w:hAnsi="Arial" w:cs="Arial" w:eastAsia="Arial" w:hint="default"/>
        </w:rPr>
        <w:t>5,565.1</w:t>
      </w:r>
      <w:r>
        <w:rPr>
          <w:rFonts w:ascii="Arial" w:hAnsi="Arial" w:cs="Arial" w:eastAsia="Arial" w:hint="default"/>
          <w:spacing w:val="-17"/>
        </w:rPr>
        <w:t> </w:t>
      </w:r>
      <w:r>
        <w:rPr/>
        <w:t>万户。</w:t>
      </w:r>
      <w:r>
        <w:rPr>
          <w:w w:val="99"/>
        </w:rPr>
        <w:t> </w:t>
      </w:r>
      <w:r>
        <w:rPr>
          <w:rFonts w:ascii="Arial" w:hAnsi="Arial" w:cs="Arial" w:eastAsia="Arial" w:hint="default"/>
        </w:rPr>
        <w:t>4M</w:t>
      </w:r>
      <w:r>
        <w:rPr>
          <w:rFonts w:ascii="Arial" w:hAnsi="Arial" w:cs="Arial" w:eastAsia="Arial" w:hint="default"/>
          <w:spacing w:val="-9"/>
        </w:rPr>
        <w:t> </w:t>
      </w:r>
      <w:r>
        <w:rPr/>
        <w:t>及以上速率宽带用户占比达到</w:t>
      </w:r>
      <w:r>
        <w:rPr>
          <w:spacing w:val="-56"/>
        </w:rPr>
        <w:t> </w:t>
      </w:r>
      <w:r>
        <w:rPr>
          <w:rFonts w:ascii="Arial" w:hAnsi="Arial" w:cs="Arial" w:eastAsia="Arial" w:hint="default"/>
        </w:rPr>
        <w:t>41.3%</w:t>
      </w:r>
      <w:r>
        <w:rPr/>
        <w:t>，比上年同期提高</w:t>
      </w:r>
      <w:r>
        <w:rPr>
          <w:spacing w:val="-57"/>
        </w:rPr>
        <w:t> </w:t>
      </w:r>
      <w:r>
        <w:rPr>
          <w:rFonts w:ascii="Arial" w:hAnsi="Arial" w:cs="Arial" w:eastAsia="Arial" w:hint="default"/>
        </w:rPr>
        <w:t>11.7</w:t>
      </w:r>
      <w:r>
        <w:rPr>
          <w:rFonts w:ascii="Arial" w:hAnsi="Arial" w:cs="Arial" w:eastAsia="Arial" w:hint="default"/>
          <w:spacing w:val="-8"/>
        </w:rPr>
        <w:t> </w:t>
      </w:r>
      <w:r>
        <w:rPr/>
        <w:t>个百分点。宽带内容和应</w:t>
      </w:r>
      <w:r>
        <w:rPr>
          <w:w w:val="99"/>
        </w:rPr>
        <w:t> </w:t>
      </w:r>
      <w:r>
        <w:rPr/>
        <w:t>用业务用户达到</w:t>
      </w:r>
      <w:r>
        <w:rPr>
          <w:spacing w:val="-58"/>
        </w:rPr>
        <w:t> </w:t>
      </w:r>
      <w:r>
        <w:rPr>
          <w:rFonts w:ascii="Arial" w:hAnsi="Arial" w:cs="Arial" w:eastAsia="Arial" w:hint="default"/>
        </w:rPr>
        <w:t>2,024.5</w:t>
      </w:r>
      <w:r>
        <w:rPr>
          <w:rFonts w:ascii="Arial" w:hAnsi="Arial" w:cs="Arial" w:eastAsia="Arial" w:hint="default"/>
          <w:spacing w:val="-9"/>
        </w:rPr>
        <w:t> </w:t>
      </w:r>
      <w:r>
        <w:rPr/>
        <w:t>万户，占宽带用户比例达到</w:t>
      </w:r>
      <w:r>
        <w:rPr>
          <w:spacing w:val="-58"/>
        </w:rPr>
        <w:t> </w:t>
      </w:r>
      <w:r>
        <w:rPr>
          <w:rFonts w:ascii="Arial" w:hAnsi="Arial" w:cs="Arial" w:eastAsia="Arial" w:hint="default"/>
        </w:rPr>
        <w:t>36.4%</w:t>
      </w:r>
      <w:r>
        <w:rPr/>
        <w:t>。宽带平均每用户每月收入</w:t>
      </w:r>
    </w:p>
    <w:p>
      <w:pPr>
        <w:pStyle w:val="BodyText"/>
        <w:spacing w:line="277" w:lineRule="exact"/>
        <w:ind w:left="821" w:right="91"/>
        <w:jc w:val="left"/>
      </w:pPr>
      <w:r>
        <w:rPr/>
        <w:t>（</w:t>
      </w:r>
      <w:r>
        <w:rPr>
          <w:rFonts w:ascii="Arial" w:hAnsi="Arial" w:cs="Arial" w:eastAsia="Arial" w:hint="default"/>
        </w:rPr>
        <w:t>ARPU</w:t>
      </w:r>
      <w:r>
        <w:rPr/>
        <w:t>）为人民币</w:t>
      </w:r>
      <w:r>
        <w:rPr>
          <w:spacing w:val="-58"/>
        </w:rPr>
        <w:t> </w:t>
      </w:r>
      <w:r>
        <w:rPr>
          <w:rFonts w:ascii="Arial" w:hAnsi="Arial" w:cs="Arial" w:eastAsia="Arial" w:hint="default"/>
        </w:rPr>
        <w:t>56.4</w:t>
      </w:r>
      <w:r>
        <w:rPr>
          <w:rFonts w:ascii="Arial" w:hAnsi="Arial" w:cs="Arial" w:eastAsia="Arial" w:hint="default"/>
          <w:spacing w:val="-9"/>
        </w:rPr>
        <w:t> </w:t>
      </w:r>
      <w:r>
        <w:rPr/>
        <w:t>元，比上年同期下降</w:t>
      </w:r>
      <w:r>
        <w:rPr>
          <w:spacing w:val="-57"/>
        </w:rPr>
        <w:t> </w:t>
      </w:r>
      <w:r>
        <w:rPr>
          <w:rFonts w:ascii="Arial" w:hAnsi="Arial" w:cs="Arial" w:eastAsia="Arial" w:hint="default"/>
        </w:rPr>
        <w:t>1.2%</w:t>
      </w:r>
      <w:r>
        <w:rPr/>
        <w:t>。“沃家庭”用户净增</w:t>
      </w:r>
      <w:r>
        <w:rPr>
          <w:spacing w:val="-58"/>
        </w:rPr>
        <w:t> </w:t>
      </w:r>
      <w:r>
        <w:rPr>
          <w:rFonts w:ascii="Arial" w:hAnsi="Arial" w:cs="Arial" w:eastAsia="Arial" w:hint="default"/>
        </w:rPr>
        <w:t>797.5</w:t>
      </w:r>
      <w:r>
        <w:rPr>
          <w:rFonts w:ascii="Arial" w:hAnsi="Arial" w:cs="Arial" w:eastAsia="Arial" w:hint="default"/>
          <w:spacing w:val="-9"/>
        </w:rPr>
        <w:t> </w:t>
      </w:r>
      <w:r>
        <w:rPr/>
        <w:t>万户，</w:t>
      </w:r>
    </w:p>
    <w:p>
      <w:pPr>
        <w:pStyle w:val="BodyText"/>
        <w:spacing w:line="295" w:lineRule="exact"/>
        <w:ind w:left="821" w:right="91"/>
        <w:jc w:val="left"/>
      </w:pPr>
      <w:r>
        <w:rPr/>
        <w:t>达到</w:t>
      </w:r>
      <w:r>
        <w:rPr>
          <w:spacing w:val="-57"/>
        </w:rPr>
        <w:t> </w:t>
      </w:r>
      <w:r>
        <w:rPr>
          <w:rFonts w:ascii="Arial" w:hAnsi="Arial" w:cs="Arial" w:eastAsia="Arial" w:hint="default"/>
        </w:rPr>
        <w:t>837.9</w:t>
      </w:r>
      <w:r>
        <w:rPr>
          <w:rFonts w:ascii="Arial" w:hAnsi="Arial" w:cs="Arial" w:eastAsia="Arial" w:hint="default"/>
          <w:spacing w:val="-8"/>
        </w:rPr>
        <w:t> </w:t>
      </w:r>
      <w:r>
        <w:rPr/>
        <w:t>万户，带动宽带、固话新入网用户分别为</w:t>
      </w:r>
      <w:r>
        <w:rPr>
          <w:spacing w:val="-57"/>
        </w:rPr>
        <w:t> </w:t>
      </w:r>
      <w:r>
        <w:rPr>
          <w:rFonts w:ascii="Arial" w:hAnsi="Arial" w:cs="Arial" w:eastAsia="Arial" w:hint="default"/>
        </w:rPr>
        <w:t>391.6</w:t>
      </w:r>
      <w:r>
        <w:rPr>
          <w:rFonts w:ascii="Arial" w:hAnsi="Arial" w:cs="Arial" w:eastAsia="Arial" w:hint="default"/>
          <w:spacing w:val="-8"/>
        </w:rPr>
        <w:t> </w:t>
      </w:r>
      <w:r>
        <w:rPr/>
        <w:t>万户、</w:t>
      </w:r>
      <w:r>
        <w:rPr>
          <w:rFonts w:ascii="Arial" w:hAnsi="Arial" w:cs="Arial" w:eastAsia="Arial" w:hint="default"/>
        </w:rPr>
        <w:t>272.0</w:t>
      </w:r>
      <w:r>
        <w:rPr>
          <w:rFonts w:ascii="Arial" w:hAnsi="Arial" w:cs="Arial" w:eastAsia="Arial" w:hint="default"/>
          <w:spacing w:val="-8"/>
        </w:rPr>
        <w:t> </w:t>
      </w:r>
      <w:r>
        <w:rPr/>
        <w:t>万户。</w:t>
      </w:r>
    </w:p>
    <w:p>
      <w:pPr>
        <w:spacing w:line="240" w:lineRule="auto" w:before="13"/>
        <w:rPr>
          <w:rFonts w:ascii="宋体" w:hAnsi="宋体" w:cs="宋体" w:eastAsia="宋体" w:hint="default"/>
          <w:sz w:val="17"/>
          <w:szCs w:val="17"/>
        </w:rPr>
      </w:pPr>
    </w:p>
    <w:p>
      <w:pPr>
        <w:pStyle w:val="BodyText"/>
        <w:spacing w:line="295" w:lineRule="exact"/>
        <w:ind w:left="827" w:right="91"/>
        <w:jc w:val="left"/>
      </w:pPr>
      <w:r>
        <w:rPr>
          <w:rFonts w:ascii="Arial" w:hAnsi="Arial" w:cs="Arial" w:eastAsia="Arial" w:hint="default"/>
        </w:rPr>
        <w:t>2011</w:t>
      </w:r>
      <w:r>
        <w:rPr>
          <w:rFonts w:ascii="Arial" w:hAnsi="Arial" w:cs="Arial" w:eastAsia="Arial" w:hint="default"/>
          <w:spacing w:val="-15"/>
        </w:rPr>
        <w:t> </w:t>
      </w:r>
      <w:r>
        <w:rPr/>
        <w:t>年，本公司本地电话用户减少</w:t>
      </w:r>
      <w:r>
        <w:rPr>
          <w:spacing w:val="-63"/>
        </w:rPr>
        <w:t> </w:t>
      </w:r>
      <w:r>
        <w:rPr>
          <w:rFonts w:ascii="Arial" w:hAnsi="Arial" w:cs="Arial" w:eastAsia="Arial" w:hint="default"/>
        </w:rPr>
        <w:t>378.4</w:t>
      </w:r>
      <w:r>
        <w:rPr>
          <w:rFonts w:ascii="Arial" w:hAnsi="Arial" w:cs="Arial" w:eastAsia="Arial" w:hint="default"/>
          <w:spacing w:val="-15"/>
        </w:rPr>
        <w:t> </w:t>
      </w:r>
      <w:r>
        <w:rPr/>
        <w:t>万户，用户总数达到</w:t>
      </w:r>
      <w:r>
        <w:rPr>
          <w:spacing w:val="-64"/>
        </w:rPr>
        <w:t> </w:t>
      </w:r>
      <w:r>
        <w:rPr>
          <w:rFonts w:ascii="Arial" w:hAnsi="Arial" w:cs="Arial" w:eastAsia="Arial" w:hint="default"/>
        </w:rPr>
        <w:t>9,285.1</w:t>
      </w:r>
      <w:r>
        <w:rPr>
          <w:rFonts w:ascii="Arial" w:hAnsi="Arial" w:cs="Arial" w:eastAsia="Arial" w:hint="default"/>
          <w:spacing w:val="-15"/>
        </w:rPr>
        <w:t> </w:t>
      </w:r>
      <w:r>
        <w:rPr/>
        <w:t>万户，其中固定电</w:t>
      </w:r>
    </w:p>
    <w:p>
      <w:pPr>
        <w:pStyle w:val="BodyText"/>
        <w:spacing w:line="285" w:lineRule="exact"/>
        <w:ind w:left="821" w:right="91"/>
        <w:jc w:val="left"/>
      </w:pPr>
      <w:r>
        <w:rPr/>
        <w:t>话用户增加</w:t>
      </w:r>
      <w:r>
        <w:rPr>
          <w:spacing w:val="-56"/>
        </w:rPr>
        <w:t> </w:t>
      </w:r>
      <w:r>
        <w:rPr>
          <w:rFonts w:ascii="Arial" w:hAnsi="Arial" w:cs="Arial" w:eastAsia="Arial" w:hint="default"/>
        </w:rPr>
        <w:t>185.2</w:t>
      </w:r>
      <w:r>
        <w:rPr>
          <w:rFonts w:ascii="Arial" w:hAnsi="Arial" w:cs="Arial" w:eastAsia="Arial" w:hint="default"/>
          <w:spacing w:val="-8"/>
        </w:rPr>
        <w:t> </w:t>
      </w:r>
      <w:r>
        <w:rPr/>
        <w:t>万户，用户总数达到</w:t>
      </w:r>
      <w:r>
        <w:rPr>
          <w:spacing w:val="-57"/>
        </w:rPr>
        <w:t> </w:t>
      </w:r>
      <w:r>
        <w:rPr>
          <w:rFonts w:ascii="Arial" w:hAnsi="Arial" w:cs="Arial" w:eastAsia="Arial" w:hint="default"/>
        </w:rPr>
        <w:t>8,506.4</w:t>
      </w:r>
      <w:r>
        <w:rPr>
          <w:rFonts w:ascii="Arial" w:hAnsi="Arial" w:cs="Arial" w:eastAsia="Arial" w:hint="default"/>
          <w:spacing w:val="-8"/>
        </w:rPr>
        <w:t> </w:t>
      </w:r>
      <w:r>
        <w:rPr/>
        <w:t>万户，无线市话用户减少</w:t>
      </w:r>
      <w:r>
        <w:rPr>
          <w:spacing w:val="-57"/>
        </w:rPr>
        <w:t> </w:t>
      </w:r>
      <w:r>
        <w:rPr>
          <w:rFonts w:ascii="Arial" w:hAnsi="Arial" w:cs="Arial" w:eastAsia="Arial" w:hint="default"/>
        </w:rPr>
        <w:t>563.6</w:t>
      </w:r>
      <w:r>
        <w:rPr>
          <w:rFonts w:ascii="Arial" w:hAnsi="Arial" w:cs="Arial" w:eastAsia="Arial" w:hint="default"/>
          <w:spacing w:val="-8"/>
        </w:rPr>
        <w:t> </w:t>
      </w:r>
      <w:r>
        <w:rPr/>
        <w:t>万户，用</w:t>
      </w:r>
    </w:p>
    <w:p>
      <w:pPr>
        <w:pStyle w:val="BodyText"/>
        <w:spacing w:line="286" w:lineRule="exact" w:before="18"/>
        <w:ind w:left="821" w:right="211"/>
        <w:jc w:val="left"/>
      </w:pPr>
      <w:r>
        <w:rPr/>
        <w:t>户总数达到</w:t>
      </w:r>
      <w:r>
        <w:rPr>
          <w:spacing w:val="-60"/>
        </w:rPr>
        <w:t> </w:t>
      </w:r>
      <w:r>
        <w:rPr>
          <w:rFonts w:ascii="Arial" w:hAnsi="Arial" w:cs="Arial" w:eastAsia="Arial" w:hint="default"/>
        </w:rPr>
        <w:t>778.7</w:t>
      </w:r>
      <w:r>
        <w:rPr>
          <w:rFonts w:ascii="Arial" w:hAnsi="Arial" w:cs="Arial" w:eastAsia="Arial" w:hint="default"/>
          <w:spacing w:val="-12"/>
        </w:rPr>
        <w:t> </w:t>
      </w:r>
      <w:r>
        <w:rPr/>
        <w:t>万户。本地电话平均每用户每月收入（</w:t>
      </w:r>
      <w:r>
        <w:rPr>
          <w:rFonts w:ascii="Arial" w:hAnsi="Arial" w:cs="Arial" w:eastAsia="Arial" w:hint="default"/>
        </w:rPr>
        <w:t>ARPU</w:t>
      </w:r>
      <w:r>
        <w:rPr/>
        <w:t>）为人民币</w:t>
      </w:r>
      <w:r>
        <w:rPr>
          <w:spacing w:val="-61"/>
        </w:rPr>
        <w:t> </w:t>
      </w:r>
      <w:r>
        <w:rPr>
          <w:rFonts w:ascii="Arial" w:hAnsi="Arial" w:cs="Arial" w:eastAsia="Arial" w:hint="default"/>
        </w:rPr>
        <w:t>25.7</w:t>
      </w:r>
      <w:r>
        <w:rPr>
          <w:rFonts w:ascii="Arial" w:hAnsi="Arial" w:cs="Arial" w:eastAsia="Arial" w:hint="default"/>
          <w:spacing w:val="-12"/>
        </w:rPr>
        <w:t> </w:t>
      </w:r>
      <w:r>
        <w:rPr/>
        <w:t>元，同比</w:t>
      </w:r>
      <w:r>
        <w:rPr>
          <w:w w:val="99"/>
        </w:rPr>
        <w:t> </w:t>
      </w:r>
      <w:r>
        <w:rPr/>
        <w:t>下降</w:t>
      </w:r>
      <w:r>
        <w:rPr>
          <w:spacing w:val="-58"/>
        </w:rPr>
        <w:t> </w:t>
      </w:r>
      <w:r>
        <w:rPr>
          <w:rFonts w:ascii="Arial" w:hAnsi="Arial" w:cs="Arial" w:eastAsia="Arial" w:hint="default"/>
        </w:rPr>
        <w:t>11.1%</w:t>
      </w:r>
      <w:r>
        <w:rPr/>
        <w:t>。</w:t>
      </w:r>
    </w:p>
    <w:p>
      <w:pPr>
        <w:spacing w:line="240" w:lineRule="auto" w:before="2"/>
        <w:rPr>
          <w:rFonts w:ascii="宋体" w:hAnsi="宋体" w:cs="宋体" w:eastAsia="宋体" w:hint="default"/>
          <w:sz w:val="17"/>
          <w:szCs w:val="17"/>
        </w:rPr>
      </w:pPr>
    </w:p>
    <w:p>
      <w:pPr>
        <w:spacing w:before="0"/>
        <w:ind w:left="433" w:right="91" w:firstLine="0"/>
        <w:jc w:val="left"/>
        <w:rPr>
          <w:rFonts w:ascii="宋体" w:hAnsi="宋体" w:cs="宋体" w:eastAsia="宋体" w:hint="default"/>
          <w:sz w:val="22"/>
          <w:szCs w:val="22"/>
        </w:rPr>
      </w:pPr>
      <w:r>
        <w:rPr>
          <w:rFonts w:ascii="Arial" w:hAnsi="Arial" w:cs="Arial" w:eastAsia="Arial" w:hint="default"/>
          <w:b/>
          <w:bCs/>
          <w:sz w:val="22"/>
          <w:szCs w:val="22"/>
        </w:rPr>
        <w:t>2.3</w:t>
      </w:r>
      <w:r>
        <w:rPr>
          <w:rFonts w:ascii="Arial" w:hAnsi="Arial" w:cs="Arial" w:eastAsia="Arial" w:hint="default"/>
          <w:b/>
          <w:bCs/>
          <w:spacing w:val="-5"/>
          <w:sz w:val="22"/>
          <w:szCs w:val="22"/>
        </w:rPr>
        <w:t> </w:t>
      </w:r>
      <w:r>
        <w:rPr>
          <w:rFonts w:ascii="宋体" w:hAnsi="宋体" w:cs="宋体" w:eastAsia="宋体" w:hint="default"/>
          <w:sz w:val="22"/>
          <w:szCs w:val="22"/>
        </w:rPr>
        <w:t>网络能力</w:t>
      </w:r>
    </w:p>
    <w:p>
      <w:pPr>
        <w:spacing w:line="240" w:lineRule="auto" w:before="0"/>
        <w:rPr>
          <w:rFonts w:ascii="宋体" w:hAnsi="宋体" w:cs="宋体" w:eastAsia="宋体" w:hint="default"/>
          <w:sz w:val="20"/>
          <w:szCs w:val="20"/>
        </w:rPr>
      </w:pPr>
    </w:p>
    <w:p>
      <w:pPr>
        <w:pStyle w:val="BodyText"/>
        <w:spacing w:line="286" w:lineRule="exact"/>
        <w:ind w:left="821" w:right="209" w:firstLine="5"/>
        <w:jc w:val="left"/>
      </w:pPr>
      <w:r>
        <w:rPr>
          <w:rFonts w:ascii="Arial" w:hAnsi="Arial" w:cs="Arial" w:eastAsia="Arial" w:hint="default"/>
        </w:rPr>
        <w:t>2011</w:t>
      </w:r>
      <w:r>
        <w:rPr>
          <w:rFonts w:ascii="Arial" w:hAnsi="Arial" w:cs="Arial" w:eastAsia="Arial" w:hint="default"/>
          <w:spacing w:val="-7"/>
        </w:rPr>
        <w:t> </w:t>
      </w:r>
      <w:r>
        <w:rPr/>
        <w:t>年，本公司继续加大</w:t>
      </w:r>
      <w:r>
        <w:rPr>
          <w:spacing w:val="-56"/>
        </w:rPr>
        <w:t> </w:t>
      </w:r>
      <w:r>
        <w:rPr>
          <w:rFonts w:ascii="Arial" w:hAnsi="Arial" w:cs="Arial" w:eastAsia="Arial" w:hint="default"/>
        </w:rPr>
        <w:t>3G</w:t>
      </w:r>
      <w:r>
        <w:rPr>
          <w:rFonts w:ascii="Arial" w:hAnsi="Arial" w:cs="Arial" w:eastAsia="Arial" w:hint="default"/>
          <w:spacing w:val="-8"/>
        </w:rPr>
        <w:t> </w:t>
      </w:r>
      <w:r>
        <w:rPr/>
        <w:t>网络的广度和深度覆盖，提升</w:t>
      </w:r>
      <w:r>
        <w:rPr>
          <w:spacing w:val="-56"/>
        </w:rPr>
        <w:t> </w:t>
      </w:r>
      <w:r>
        <w:rPr>
          <w:rFonts w:ascii="Arial" w:hAnsi="Arial" w:cs="Arial" w:eastAsia="Arial" w:hint="default"/>
        </w:rPr>
        <w:t>3G</w:t>
      </w:r>
      <w:r>
        <w:rPr>
          <w:rFonts w:ascii="Arial" w:hAnsi="Arial" w:cs="Arial" w:eastAsia="Arial" w:hint="default"/>
          <w:spacing w:val="-8"/>
        </w:rPr>
        <w:t> </w:t>
      </w:r>
      <w:r>
        <w:rPr/>
        <w:t>网络能力和质量，持续优</w:t>
      </w:r>
      <w:r>
        <w:rPr>
          <w:w w:val="99"/>
        </w:rPr>
        <w:t> </w:t>
      </w:r>
      <w:r>
        <w:rPr/>
        <w:t>化</w:t>
      </w:r>
      <w:r>
        <w:rPr>
          <w:spacing w:val="-56"/>
        </w:rPr>
        <w:t> </w:t>
      </w:r>
      <w:r>
        <w:rPr>
          <w:rFonts w:ascii="Arial" w:hAnsi="Arial" w:cs="Arial" w:eastAsia="Arial" w:hint="default"/>
        </w:rPr>
        <w:t>GSM</w:t>
      </w:r>
      <w:r>
        <w:rPr>
          <w:rFonts w:ascii="Arial" w:hAnsi="Arial" w:cs="Arial" w:eastAsia="Arial" w:hint="default"/>
          <w:spacing w:val="-8"/>
        </w:rPr>
        <w:t> </w:t>
      </w:r>
      <w:r>
        <w:rPr/>
        <w:t>网络，加快宽带网络建设和升级提速，网络能力不断增强。</w:t>
      </w:r>
    </w:p>
    <w:p>
      <w:pPr>
        <w:spacing w:line="240" w:lineRule="auto" w:before="5"/>
        <w:rPr>
          <w:rFonts w:ascii="宋体" w:hAnsi="宋体" w:cs="宋体" w:eastAsia="宋体" w:hint="default"/>
          <w:sz w:val="18"/>
          <w:szCs w:val="18"/>
        </w:rPr>
      </w:pPr>
    </w:p>
    <w:p>
      <w:pPr>
        <w:pStyle w:val="BodyText"/>
        <w:spacing w:line="225" w:lineRule="auto"/>
        <w:ind w:left="821" w:right="207" w:firstLine="6"/>
        <w:jc w:val="left"/>
      </w:pPr>
      <w:r>
        <w:rPr/>
        <w:t>全年新增</w:t>
      </w:r>
      <w:r>
        <w:rPr>
          <w:spacing w:val="-56"/>
        </w:rPr>
        <w:t> </w:t>
      </w:r>
      <w:r>
        <w:rPr>
          <w:rFonts w:ascii="Arial" w:hAnsi="Arial" w:cs="Arial" w:eastAsia="Arial" w:hint="default"/>
        </w:rPr>
        <w:t>3G</w:t>
      </w:r>
      <w:r>
        <w:rPr>
          <w:rFonts w:ascii="Arial" w:hAnsi="Arial" w:cs="Arial" w:eastAsia="Arial" w:hint="default"/>
          <w:spacing w:val="-8"/>
        </w:rPr>
        <w:t> </w:t>
      </w:r>
      <w:r>
        <w:rPr/>
        <w:t>基站</w:t>
      </w:r>
      <w:r>
        <w:rPr>
          <w:spacing w:val="-56"/>
        </w:rPr>
        <w:t> </w:t>
      </w:r>
      <w:r>
        <w:rPr>
          <w:rFonts w:ascii="Arial" w:hAnsi="Arial" w:cs="Arial" w:eastAsia="Arial" w:hint="default"/>
        </w:rPr>
        <w:t>5.6</w:t>
      </w:r>
      <w:r>
        <w:rPr>
          <w:rFonts w:ascii="Arial" w:hAnsi="Arial" w:cs="Arial" w:eastAsia="Arial" w:hint="default"/>
          <w:spacing w:val="-6"/>
        </w:rPr>
        <w:t> </w:t>
      </w:r>
      <w:r>
        <w:rPr/>
        <w:t>万个，基站数量达到</w:t>
      </w:r>
      <w:r>
        <w:rPr>
          <w:spacing w:val="-56"/>
        </w:rPr>
        <w:t> </w:t>
      </w:r>
      <w:r>
        <w:rPr>
          <w:rFonts w:ascii="Arial" w:hAnsi="Arial" w:cs="Arial" w:eastAsia="Arial" w:hint="default"/>
        </w:rPr>
        <w:t>23.9</w:t>
      </w:r>
      <w:r>
        <w:rPr>
          <w:rFonts w:ascii="Arial" w:hAnsi="Arial" w:cs="Arial" w:eastAsia="Arial" w:hint="default"/>
          <w:spacing w:val="-7"/>
        </w:rPr>
        <w:t> </w:t>
      </w:r>
      <w:r>
        <w:rPr/>
        <w:t>万个，</w:t>
      </w:r>
      <w:r>
        <w:rPr>
          <w:rFonts w:ascii="Arial" w:hAnsi="Arial" w:cs="Arial" w:eastAsia="Arial" w:hint="default"/>
        </w:rPr>
        <w:t>3G</w:t>
      </w:r>
      <w:r>
        <w:rPr>
          <w:rFonts w:ascii="Arial" w:hAnsi="Arial" w:cs="Arial" w:eastAsia="Arial" w:hint="default"/>
          <w:spacing w:val="-8"/>
        </w:rPr>
        <w:t> </w:t>
      </w:r>
      <w:r>
        <w:rPr/>
        <w:t>网络基本覆盖全国县级以上城</w:t>
      </w:r>
      <w:r>
        <w:rPr>
          <w:w w:val="99"/>
        </w:rPr>
        <w:t> </w:t>
      </w:r>
      <w:r>
        <w:rPr/>
        <w:t>市和东、中部发达乡镇，完成</w:t>
      </w:r>
      <w:r>
        <w:rPr>
          <w:spacing w:val="-56"/>
        </w:rPr>
        <w:t> </w:t>
      </w:r>
      <w:r>
        <w:rPr>
          <w:rFonts w:ascii="Arial" w:hAnsi="Arial" w:cs="Arial" w:eastAsia="Arial" w:hint="default"/>
        </w:rPr>
        <w:t>56</w:t>
      </w:r>
      <w:r>
        <w:rPr>
          <w:rFonts w:ascii="Arial" w:hAnsi="Arial" w:cs="Arial" w:eastAsia="Arial" w:hint="default"/>
          <w:spacing w:val="-6"/>
        </w:rPr>
        <w:t> </w:t>
      </w:r>
      <w:r>
        <w:rPr/>
        <w:t>个重点城市</w:t>
      </w:r>
      <w:r>
        <w:rPr>
          <w:spacing w:val="-55"/>
        </w:rPr>
        <w:t> </w:t>
      </w:r>
      <w:r>
        <w:rPr>
          <w:rFonts w:ascii="Arial" w:hAnsi="Arial" w:cs="Arial" w:eastAsia="Arial" w:hint="default"/>
        </w:rPr>
        <w:t>3G</w:t>
      </w:r>
      <w:r>
        <w:rPr>
          <w:rFonts w:ascii="Arial" w:hAnsi="Arial" w:cs="Arial" w:eastAsia="Arial" w:hint="default"/>
          <w:spacing w:val="-8"/>
        </w:rPr>
        <w:t> </w:t>
      </w:r>
      <w:r>
        <w:rPr/>
        <w:t>网络</w:t>
      </w:r>
      <w:r>
        <w:rPr>
          <w:spacing w:val="-56"/>
        </w:rPr>
        <w:t> </w:t>
      </w:r>
      <w:r>
        <w:rPr>
          <w:rFonts w:ascii="Arial" w:hAnsi="Arial" w:cs="Arial" w:eastAsia="Arial" w:hint="default"/>
        </w:rPr>
        <w:t>HSPA+</w:t>
      </w:r>
      <w:r>
        <w:rPr/>
        <w:t>升级，继续保持</w:t>
      </w:r>
      <w:r>
        <w:rPr>
          <w:spacing w:val="-56"/>
        </w:rPr>
        <w:t> </w:t>
      </w:r>
      <w:r>
        <w:rPr>
          <w:rFonts w:ascii="Arial" w:hAnsi="Arial" w:cs="Arial" w:eastAsia="Arial" w:hint="default"/>
        </w:rPr>
        <w:t>3G</w:t>
      </w:r>
      <w:r>
        <w:rPr>
          <w:rFonts w:ascii="Arial" w:hAnsi="Arial" w:cs="Arial" w:eastAsia="Arial" w:hint="default"/>
          <w:spacing w:val="-8"/>
        </w:rPr>
        <w:t> </w:t>
      </w:r>
      <w:r>
        <w:rPr/>
        <w:t>网络技</w:t>
      </w:r>
      <w:r>
        <w:rPr>
          <w:w w:val="99"/>
        </w:rPr>
        <w:t> </w:t>
      </w:r>
      <w:r>
        <w:rPr>
          <w:spacing w:val="-3"/>
        </w:rPr>
        <w:t>术领先优势，</w:t>
      </w:r>
      <w:r>
        <w:rPr>
          <w:rFonts w:ascii="Arial" w:hAnsi="Arial" w:cs="Arial" w:eastAsia="Arial" w:hint="default"/>
          <w:spacing w:val="-3"/>
        </w:rPr>
        <w:t>WCDMA</w:t>
      </w:r>
      <w:r>
        <w:rPr>
          <w:rFonts w:ascii="Arial" w:hAnsi="Arial" w:cs="Arial" w:eastAsia="Arial" w:hint="default"/>
          <w:spacing w:val="-6"/>
        </w:rPr>
        <w:t> </w:t>
      </w:r>
      <w:r>
        <w:rPr/>
        <w:t>网络系统接通率由年初的</w:t>
      </w:r>
      <w:r>
        <w:rPr>
          <w:spacing w:val="-56"/>
        </w:rPr>
        <w:t> </w:t>
      </w:r>
      <w:r>
        <w:rPr>
          <w:rFonts w:ascii="Arial" w:hAnsi="Arial" w:cs="Arial" w:eastAsia="Arial" w:hint="default"/>
        </w:rPr>
        <w:t>98.0%</w:t>
      </w:r>
      <w:r>
        <w:rPr/>
        <w:t>提高到</w:t>
      </w:r>
      <w:r>
        <w:rPr>
          <w:spacing w:val="-56"/>
        </w:rPr>
        <w:t> </w:t>
      </w:r>
      <w:r>
        <w:rPr>
          <w:rFonts w:ascii="Arial" w:hAnsi="Arial" w:cs="Arial" w:eastAsia="Arial" w:hint="default"/>
        </w:rPr>
        <w:t>12</w:t>
      </w:r>
      <w:r>
        <w:rPr>
          <w:rFonts w:ascii="Arial" w:hAnsi="Arial" w:cs="Arial" w:eastAsia="Arial" w:hint="default"/>
          <w:spacing w:val="-7"/>
        </w:rPr>
        <w:t> </w:t>
      </w:r>
      <w:r>
        <w:rPr/>
        <w:t>月的</w:t>
      </w:r>
      <w:r>
        <w:rPr>
          <w:spacing w:val="-56"/>
        </w:rPr>
        <w:t> </w:t>
      </w:r>
      <w:r>
        <w:rPr>
          <w:rFonts w:ascii="Arial" w:hAnsi="Arial" w:cs="Arial" w:eastAsia="Arial" w:hint="default"/>
          <w:spacing w:val="-4"/>
        </w:rPr>
        <w:t>98.6%</w:t>
      </w:r>
      <w:r>
        <w:rPr>
          <w:spacing w:val="-4"/>
        </w:rPr>
        <w:t>。新增</w:t>
      </w:r>
      <w:r>
        <w:rPr>
          <w:spacing w:val="-56"/>
        </w:rPr>
        <w:t> </w:t>
      </w:r>
      <w:r>
        <w:rPr>
          <w:rFonts w:ascii="Arial" w:hAnsi="Arial" w:cs="Arial" w:eastAsia="Arial" w:hint="default"/>
        </w:rPr>
        <w:t>GSM</w:t>
      </w:r>
      <w:r>
        <w:rPr>
          <w:rFonts w:ascii="Arial" w:hAnsi="Arial" w:cs="Arial" w:eastAsia="Arial" w:hint="default"/>
          <w:w w:val="99"/>
        </w:rPr>
        <w:t> </w:t>
      </w:r>
      <w:r>
        <w:rPr/>
        <w:t>基站</w:t>
      </w:r>
      <w:r>
        <w:rPr>
          <w:spacing w:val="-57"/>
        </w:rPr>
        <w:t> </w:t>
      </w:r>
      <w:r>
        <w:rPr>
          <w:rFonts w:ascii="Arial" w:hAnsi="Arial" w:cs="Arial" w:eastAsia="Arial" w:hint="default"/>
        </w:rPr>
        <w:t>4.6</w:t>
      </w:r>
      <w:r>
        <w:rPr>
          <w:rFonts w:ascii="Arial" w:hAnsi="Arial" w:cs="Arial" w:eastAsia="Arial" w:hint="default"/>
          <w:spacing w:val="-8"/>
        </w:rPr>
        <w:t> </w:t>
      </w:r>
      <w:r>
        <w:rPr/>
        <w:t>万个，基站数量达到</w:t>
      </w:r>
      <w:r>
        <w:rPr>
          <w:spacing w:val="-57"/>
        </w:rPr>
        <w:t> </w:t>
      </w:r>
      <w:r>
        <w:rPr>
          <w:rFonts w:ascii="Arial" w:hAnsi="Arial" w:cs="Arial" w:eastAsia="Arial" w:hint="default"/>
        </w:rPr>
        <w:t>37.5</w:t>
      </w:r>
      <w:r>
        <w:rPr>
          <w:rFonts w:ascii="Arial" w:hAnsi="Arial" w:cs="Arial" w:eastAsia="Arial" w:hint="default"/>
          <w:spacing w:val="-8"/>
        </w:rPr>
        <w:t> </w:t>
      </w:r>
      <w:r>
        <w:rPr/>
        <w:t>万个，除西部部分地区外，</w:t>
      </w:r>
      <w:r>
        <w:rPr>
          <w:rFonts w:ascii="Arial" w:hAnsi="Arial" w:cs="Arial" w:eastAsia="Arial" w:hint="default"/>
        </w:rPr>
        <w:t>GSM</w:t>
      </w:r>
      <w:r>
        <w:rPr>
          <w:rFonts w:ascii="Arial" w:hAnsi="Arial" w:cs="Arial" w:eastAsia="Arial" w:hint="default"/>
          <w:spacing w:val="-9"/>
        </w:rPr>
        <w:t> </w:t>
      </w:r>
      <w:r>
        <w:rPr/>
        <w:t>网络基本覆盖了所有</w:t>
      </w:r>
      <w:r>
        <w:rPr>
          <w:w w:val="99"/>
        </w:rPr>
        <w:t> </w:t>
      </w:r>
      <w:r>
        <w:rPr>
          <w:spacing w:val="-3"/>
        </w:rPr>
        <w:t>乡镇，</w:t>
      </w:r>
      <w:r>
        <w:rPr>
          <w:rFonts w:ascii="Arial" w:hAnsi="Arial" w:cs="Arial" w:eastAsia="Arial" w:hint="default"/>
          <w:spacing w:val="-3"/>
        </w:rPr>
        <w:t>GSM</w:t>
      </w:r>
      <w:r>
        <w:rPr>
          <w:rFonts w:ascii="Arial" w:hAnsi="Arial" w:cs="Arial" w:eastAsia="Arial" w:hint="default"/>
          <w:spacing w:val="-10"/>
        </w:rPr>
        <w:t> </w:t>
      </w:r>
      <w:r>
        <w:rPr/>
        <w:t>网络掉话率率由年初的</w:t>
      </w:r>
      <w:r>
        <w:rPr>
          <w:spacing w:val="-58"/>
        </w:rPr>
        <w:t> </w:t>
      </w:r>
      <w:r>
        <w:rPr>
          <w:rFonts w:ascii="Arial" w:hAnsi="Arial" w:cs="Arial" w:eastAsia="Arial" w:hint="default"/>
        </w:rPr>
        <w:t>0.32%</w:t>
      </w:r>
      <w:r>
        <w:rPr/>
        <w:t>下降至</w:t>
      </w:r>
      <w:r>
        <w:rPr>
          <w:spacing w:val="-59"/>
        </w:rPr>
        <w:t> </w:t>
      </w:r>
      <w:r>
        <w:rPr>
          <w:rFonts w:ascii="Arial" w:hAnsi="Arial" w:cs="Arial" w:eastAsia="Arial" w:hint="default"/>
        </w:rPr>
        <w:t>12</w:t>
      </w:r>
      <w:r>
        <w:rPr>
          <w:rFonts w:ascii="Arial" w:hAnsi="Arial" w:cs="Arial" w:eastAsia="Arial" w:hint="default"/>
          <w:spacing w:val="-10"/>
        </w:rPr>
        <w:t> </w:t>
      </w:r>
      <w:r>
        <w:rPr/>
        <w:t>月的</w:t>
      </w:r>
      <w:r>
        <w:rPr>
          <w:spacing w:val="-59"/>
        </w:rPr>
        <w:t> </w:t>
      </w:r>
      <w:r>
        <w:rPr>
          <w:rFonts w:ascii="Arial" w:hAnsi="Arial" w:cs="Arial" w:eastAsia="Arial" w:hint="default"/>
        </w:rPr>
        <w:t>0.25%</w:t>
      </w:r>
      <w:r>
        <w:rPr/>
        <w:t>。全年新增宽带接入端口</w:t>
      </w:r>
      <w:r>
        <w:rPr>
          <w:w w:val="99"/>
        </w:rPr>
        <w:t> </w:t>
      </w:r>
      <w:r>
        <w:rPr>
          <w:rFonts w:ascii="Arial" w:hAnsi="Arial" w:cs="Arial" w:eastAsia="Arial" w:hint="default"/>
        </w:rPr>
        <w:t>2,009.1</w:t>
      </w:r>
      <w:r>
        <w:rPr>
          <w:rFonts w:ascii="Arial" w:hAnsi="Arial" w:cs="Arial" w:eastAsia="Arial" w:hint="default"/>
          <w:spacing w:val="-8"/>
        </w:rPr>
        <w:t> </w:t>
      </w:r>
      <w:r>
        <w:rPr/>
        <w:t>万个，达到</w:t>
      </w:r>
      <w:r>
        <w:rPr>
          <w:spacing w:val="-57"/>
        </w:rPr>
        <w:t> </w:t>
      </w:r>
      <w:r>
        <w:rPr>
          <w:rFonts w:ascii="Arial" w:hAnsi="Arial" w:cs="Arial" w:eastAsia="Arial" w:hint="default"/>
        </w:rPr>
        <w:t>8,592.3</w:t>
      </w:r>
      <w:r>
        <w:rPr>
          <w:rFonts w:ascii="Arial" w:hAnsi="Arial" w:cs="Arial" w:eastAsia="Arial" w:hint="default"/>
          <w:spacing w:val="-8"/>
        </w:rPr>
        <w:t> </w:t>
      </w:r>
      <w:r>
        <w:rPr/>
        <w:t>万个，其中</w:t>
      </w:r>
      <w:r>
        <w:rPr>
          <w:spacing w:val="-57"/>
        </w:rPr>
        <w:t> </w:t>
      </w:r>
      <w:r>
        <w:rPr>
          <w:rFonts w:ascii="Arial" w:hAnsi="Arial" w:cs="Arial" w:eastAsia="Arial" w:hint="default"/>
        </w:rPr>
        <w:t>FTTH/B</w:t>
      </w:r>
      <w:r>
        <w:rPr>
          <w:rFonts w:ascii="Arial" w:hAnsi="Arial" w:cs="Arial" w:eastAsia="Arial" w:hint="default"/>
          <w:spacing w:val="-9"/>
        </w:rPr>
        <w:t> </w:t>
      </w:r>
      <w:r>
        <w:rPr/>
        <w:t>端口占比达到</w:t>
      </w:r>
      <w:r>
        <w:rPr>
          <w:spacing w:val="-57"/>
        </w:rPr>
        <w:t> </w:t>
      </w:r>
      <w:r>
        <w:rPr>
          <w:rFonts w:ascii="Arial" w:hAnsi="Arial" w:cs="Arial" w:eastAsia="Arial" w:hint="default"/>
        </w:rPr>
        <w:t>45%</w:t>
      </w:r>
      <w:r>
        <w:rPr/>
        <w:t>。</w:t>
      </w:r>
    </w:p>
    <w:p>
      <w:pPr>
        <w:spacing w:line="240" w:lineRule="auto" w:before="5"/>
        <w:rPr>
          <w:rFonts w:ascii="宋体" w:hAnsi="宋体" w:cs="宋体" w:eastAsia="宋体" w:hint="default"/>
          <w:sz w:val="19"/>
          <w:szCs w:val="19"/>
        </w:rPr>
      </w:pPr>
    </w:p>
    <w:p>
      <w:pPr>
        <w:pStyle w:val="BodyText"/>
        <w:spacing w:line="225" w:lineRule="auto"/>
        <w:ind w:left="821" w:right="205" w:firstLine="6"/>
        <w:jc w:val="left"/>
      </w:pPr>
      <w:r>
        <w:rPr/>
        <w:t>本公司努力扩大国际网络覆盖范围，优化国际网络布局，支撑国际业务发展。截至</w:t>
      </w:r>
      <w:r>
        <w:rPr>
          <w:spacing w:val="-56"/>
        </w:rPr>
        <w:t> </w:t>
      </w:r>
      <w:r>
        <w:rPr>
          <w:rFonts w:ascii="Arial" w:hAnsi="Arial" w:cs="Arial" w:eastAsia="Arial" w:hint="default"/>
        </w:rPr>
        <w:t>2011</w:t>
      </w:r>
      <w:r>
        <w:rPr>
          <w:rFonts w:ascii="Arial" w:hAnsi="Arial" w:cs="Arial" w:eastAsia="Arial" w:hint="default"/>
          <w:w w:val="99"/>
        </w:rPr>
        <w:t> </w:t>
      </w:r>
      <w:r>
        <w:rPr/>
        <w:t>年底，互联网国际出口带宽达到</w:t>
      </w:r>
      <w:r>
        <w:rPr>
          <w:spacing w:val="-63"/>
        </w:rPr>
        <w:t> </w:t>
      </w:r>
      <w:r>
        <w:rPr>
          <w:rFonts w:ascii="Arial" w:hAnsi="Arial" w:cs="Arial" w:eastAsia="Arial" w:hint="default"/>
        </w:rPr>
        <w:t>467G</w:t>
      </w:r>
      <w:r>
        <w:rPr/>
        <w:t>，国际海缆总容量达到</w:t>
      </w:r>
      <w:r>
        <w:rPr>
          <w:spacing w:val="-63"/>
        </w:rPr>
        <w:t> </w:t>
      </w:r>
      <w:r>
        <w:rPr>
          <w:rFonts w:ascii="Arial" w:hAnsi="Arial" w:cs="Arial" w:eastAsia="Arial" w:hint="default"/>
        </w:rPr>
        <w:t>2,036G</w:t>
      </w:r>
      <w:r>
        <w:rPr/>
        <w:t>，国际陆缆总容量达</w:t>
      </w:r>
      <w:r>
        <w:rPr>
          <w:w w:val="99"/>
        </w:rPr>
        <w:t> </w:t>
      </w:r>
      <w:r>
        <w:rPr/>
        <w:t>到</w:t>
      </w:r>
      <w:r>
        <w:rPr>
          <w:spacing w:val="-54"/>
        </w:rPr>
        <w:t> </w:t>
      </w:r>
      <w:r>
        <w:rPr>
          <w:rFonts w:ascii="Arial" w:hAnsi="Arial" w:cs="Arial" w:eastAsia="Arial" w:hint="default"/>
          <w:spacing w:val="-3"/>
        </w:rPr>
        <w:t>2,468G</w:t>
      </w:r>
      <w:r>
        <w:rPr>
          <w:spacing w:val="-3"/>
        </w:rPr>
        <w:t>，境外网络节点达到</w:t>
      </w:r>
      <w:r>
        <w:rPr>
          <w:spacing w:val="-54"/>
        </w:rPr>
        <w:t> </w:t>
      </w:r>
      <w:r>
        <w:rPr>
          <w:rFonts w:ascii="Arial" w:hAnsi="Arial" w:cs="Arial" w:eastAsia="Arial" w:hint="default"/>
        </w:rPr>
        <w:t>82</w:t>
      </w:r>
      <w:r>
        <w:rPr>
          <w:rFonts w:ascii="Arial" w:hAnsi="Arial" w:cs="Arial" w:eastAsia="Arial" w:hint="default"/>
          <w:spacing w:val="-4"/>
        </w:rPr>
        <w:t> </w:t>
      </w:r>
      <w:r>
        <w:rPr>
          <w:spacing w:val="-4"/>
        </w:rPr>
        <w:t>个，国际漫游覆盖达到</w:t>
      </w:r>
      <w:r>
        <w:rPr>
          <w:spacing w:val="-53"/>
        </w:rPr>
        <w:t> </w:t>
      </w:r>
      <w:r>
        <w:rPr>
          <w:rFonts w:ascii="Arial" w:hAnsi="Arial" w:cs="Arial" w:eastAsia="Arial" w:hint="default"/>
        </w:rPr>
        <w:t>246</w:t>
      </w:r>
      <w:r>
        <w:rPr>
          <w:rFonts w:ascii="Arial" w:hAnsi="Arial" w:cs="Arial" w:eastAsia="Arial" w:hint="default"/>
          <w:spacing w:val="-5"/>
        </w:rPr>
        <w:t> </w:t>
      </w:r>
      <w:r>
        <w:rPr/>
        <w:t>个国家和地区的</w:t>
      </w:r>
      <w:r>
        <w:rPr>
          <w:spacing w:val="-54"/>
        </w:rPr>
        <w:t> </w:t>
      </w:r>
      <w:r>
        <w:rPr>
          <w:rFonts w:ascii="Arial" w:hAnsi="Arial" w:cs="Arial" w:eastAsia="Arial" w:hint="default"/>
        </w:rPr>
        <w:t>547</w:t>
      </w:r>
      <w:r>
        <w:rPr>
          <w:rFonts w:ascii="Arial" w:hAnsi="Arial" w:cs="Arial" w:eastAsia="Arial" w:hint="default"/>
          <w:spacing w:val="-5"/>
        </w:rPr>
        <w:t> </w:t>
      </w:r>
      <w:r>
        <w:rPr/>
        <w:t>家运营</w:t>
      </w:r>
      <w:r>
        <w:rPr>
          <w:w w:val="99"/>
        </w:rPr>
        <w:t> </w:t>
      </w:r>
      <w:r>
        <w:rPr/>
        <w:t>商。</w:t>
      </w:r>
    </w:p>
    <w:p>
      <w:pPr>
        <w:spacing w:after="0" w:line="225" w:lineRule="auto"/>
        <w:jc w:val="left"/>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424" w:lineRule="auto" w:before="31"/>
        <w:ind w:left="803" w:right="7957" w:hanging="370"/>
        <w:jc w:val="left"/>
        <w:rPr>
          <w:rFonts w:ascii="宋体" w:hAnsi="宋体" w:cs="宋体" w:eastAsia="宋体" w:hint="default"/>
          <w:sz w:val="22"/>
          <w:szCs w:val="22"/>
        </w:rPr>
      </w:pPr>
      <w:r>
        <w:rPr>
          <w:rFonts w:ascii="Arial" w:hAnsi="Arial" w:cs="Arial" w:eastAsia="Arial" w:hint="default"/>
          <w:b/>
          <w:bCs/>
          <w:sz w:val="22"/>
          <w:szCs w:val="22"/>
        </w:rPr>
        <w:t>2.4</w:t>
      </w:r>
      <w:r>
        <w:rPr>
          <w:rFonts w:ascii="Arial" w:hAnsi="Arial" w:cs="Arial" w:eastAsia="Arial" w:hint="default"/>
          <w:b/>
          <w:bCs/>
          <w:spacing w:val="-5"/>
          <w:sz w:val="22"/>
          <w:szCs w:val="22"/>
        </w:rPr>
        <w:t> </w:t>
      </w:r>
      <w:r>
        <w:rPr>
          <w:rFonts w:ascii="宋体" w:hAnsi="宋体" w:cs="宋体" w:eastAsia="宋体" w:hint="default"/>
          <w:sz w:val="22"/>
          <w:szCs w:val="22"/>
        </w:rPr>
        <w:t>市场营销</w:t>
      </w:r>
      <w:r>
        <w:rPr>
          <w:rFonts w:ascii="宋体" w:hAnsi="宋体" w:cs="宋体" w:eastAsia="宋体" w:hint="default"/>
          <w:spacing w:val="1"/>
          <w:w w:val="99"/>
          <w:sz w:val="22"/>
          <w:szCs w:val="22"/>
        </w:rPr>
        <w:t> </w:t>
      </w:r>
      <w:r>
        <w:rPr>
          <w:rFonts w:ascii="宋体" w:hAnsi="宋体" w:cs="宋体" w:eastAsia="宋体" w:hint="default"/>
          <w:sz w:val="22"/>
          <w:szCs w:val="22"/>
        </w:rPr>
        <w:t>品牌策略</w:t>
      </w:r>
    </w:p>
    <w:p>
      <w:pPr>
        <w:pStyle w:val="BodyText"/>
        <w:spacing w:line="232" w:lineRule="auto" w:before="89"/>
        <w:ind w:left="821" w:right="215" w:firstLine="6"/>
        <w:jc w:val="both"/>
      </w:pPr>
      <w:r>
        <w:rPr>
          <w:rFonts w:ascii="Arial" w:hAnsi="Arial" w:cs="Arial" w:eastAsia="Arial" w:hint="default"/>
        </w:rPr>
        <w:t>2011</w:t>
      </w:r>
      <w:r>
        <w:rPr>
          <w:rFonts w:ascii="Arial" w:hAnsi="Arial" w:cs="Arial" w:eastAsia="Arial" w:hint="default"/>
          <w:spacing w:val="-19"/>
        </w:rPr>
        <w:t> </w:t>
      </w:r>
      <w:r>
        <w:rPr/>
        <w:t>年，本公司持续推进品牌经营，沃品牌认知度不断提升。持续强化沃</w:t>
      </w:r>
      <w:r>
        <w:rPr>
          <w:spacing w:val="-68"/>
        </w:rPr>
        <w:t> </w:t>
      </w:r>
      <w:r>
        <w:rPr>
          <w:rFonts w:ascii="Arial" w:hAnsi="Arial" w:cs="Arial" w:eastAsia="Arial" w:hint="default"/>
        </w:rPr>
        <w:t>3G</w:t>
      </w:r>
      <w:r>
        <w:rPr>
          <w:rFonts w:ascii="Arial" w:hAnsi="Arial" w:cs="Arial" w:eastAsia="Arial" w:hint="default"/>
          <w:spacing w:val="-20"/>
        </w:rPr>
        <w:t> </w:t>
      </w:r>
      <w:r>
        <w:rPr/>
        <w:t>传播，开展</w:t>
      </w:r>
      <w:r>
        <w:rPr>
          <w:w w:val="99"/>
        </w:rPr>
        <w:t> </w:t>
      </w:r>
      <w:r>
        <w:rPr/>
        <w:t>沃家庭、沃商务、沃服务宣传推广，推出青少年品牌“沃派”，积极拓展青少年市场，启</w:t>
      </w:r>
      <w:r>
        <w:rPr>
          <w:w w:val="99"/>
        </w:rPr>
        <w:t> </w:t>
      </w:r>
      <w:r>
        <w:rPr/>
        <w:t>动“光网世界、沃宽天下”传播，全业务品牌架构进一步完善，促进了本公司各项重点业</w:t>
      </w:r>
      <w:r>
        <w:rPr>
          <w:w w:val="99"/>
        </w:rPr>
        <w:t> </w:t>
      </w:r>
      <w:r>
        <w:rPr/>
        <w:t>务的发展。</w:t>
      </w:r>
    </w:p>
    <w:p>
      <w:pPr>
        <w:spacing w:line="240" w:lineRule="auto" w:before="3"/>
        <w:rPr>
          <w:rFonts w:ascii="宋体" w:hAnsi="宋体" w:cs="宋体" w:eastAsia="宋体" w:hint="default"/>
          <w:sz w:val="19"/>
          <w:szCs w:val="19"/>
        </w:rPr>
      </w:pPr>
    </w:p>
    <w:p>
      <w:pPr>
        <w:pStyle w:val="BodyText"/>
        <w:spacing w:line="240" w:lineRule="auto"/>
        <w:ind w:left="803" w:right="91"/>
        <w:jc w:val="left"/>
      </w:pPr>
      <w:r>
        <w:rPr/>
        <w:t>营销策略</w:t>
      </w:r>
    </w:p>
    <w:p>
      <w:pPr>
        <w:spacing w:line="240" w:lineRule="auto" w:before="9"/>
        <w:rPr>
          <w:rFonts w:ascii="宋体" w:hAnsi="宋体" w:cs="宋体" w:eastAsia="宋体" w:hint="default"/>
          <w:sz w:val="19"/>
          <w:szCs w:val="19"/>
        </w:rPr>
      </w:pPr>
    </w:p>
    <w:p>
      <w:pPr>
        <w:pStyle w:val="BodyText"/>
        <w:spacing w:line="232" w:lineRule="auto"/>
        <w:ind w:left="821" w:right="255" w:firstLine="5"/>
        <w:jc w:val="both"/>
      </w:pPr>
      <w:r>
        <w:rPr>
          <w:rFonts w:ascii="Arial" w:hAnsi="Arial" w:cs="Arial" w:eastAsia="Arial" w:hint="default"/>
        </w:rPr>
        <w:t>2011</w:t>
      </w:r>
      <w:r>
        <w:rPr>
          <w:rFonts w:ascii="Arial" w:hAnsi="Arial" w:cs="Arial" w:eastAsia="Arial" w:hint="default"/>
          <w:spacing w:val="-8"/>
        </w:rPr>
        <w:t> </w:t>
      </w:r>
      <w:r>
        <w:rPr/>
        <w:t>年，本公司规模发展</w:t>
      </w:r>
      <w:r>
        <w:rPr>
          <w:spacing w:val="-57"/>
        </w:rPr>
        <w:t> </w:t>
      </w:r>
      <w:r>
        <w:rPr>
          <w:rFonts w:ascii="Arial" w:hAnsi="Arial" w:cs="Arial" w:eastAsia="Arial" w:hint="default"/>
        </w:rPr>
        <w:t>3G</w:t>
      </w:r>
      <w:r>
        <w:rPr>
          <w:rFonts w:ascii="Arial" w:hAnsi="Arial" w:cs="Arial" w:eastAsia="Arial" w:hint="default"/>
          <w:spacing w:val="-9"/>
        </w:rPr>
        <w:t> </w:t>
      </w:r>
      <w:r>
        <w:rPr/>
        <w:t>业务，稳健发展</w:t>
      </w:r>
      <w:r>
        <w:rPr>
          <w:spacing w:val="-56"/>
        </w:rPr>
        <w:t> </w:t>
      </w:r>
      <w:r>
        <w:rPr>
          <w:rFonts w:ascii="Arial" w:hAnsi="Arial" w:cs="Arial" w:eastAsia="Arial" w:hint="default"/>
        </w:rPr>
        <w:t>GSM</w:t>
      </w:r>
      <w:r>
        <w:rPr>
          <w:rFonts w:ascii="Arial" w:hAnsi="Arial" w:cs="Arial" w:eastAsia="Arial" w:hint="default"/>
          <w:spacing w:val="-8"/>
        </w:rPr>
        <w:t> </w:t>
      </w:r>
      <w:r>
        <w:rPr/>
        <w:t>业务，加快宽带提速营销。在</w:t>
      </w:r>
      <w:r>
        <w:rPr>
          <w:spacing w:val="-56"/>
        </w:rPr>
        <w:t> </w:t>
      </w:r>
      <w:r>
        <w:rPr>
          <w:rFonts w:ascii="Arial" w:hAnsi="Arial" w:cs="Arial" w:eastAsia="Arial" w:hint="default"/>
        </w:rPr>
        <w:t>3G</w:t>
      </w:r>
      <w:r>
        <w:rPr>
          <w:rFonts w:ascii="Arial" w:hAnsi="Arial" w:cs="Arial" w:eastAsia="Arial" w:hint="default"/>
          <w:spacing w:val="-9"/>
        </w:rPr>
        <w:t> </w:t>
      </w:r>
      <w:r>
        <w:rPr/>
        <w:t>方</w:t>
      </w:r>
      <w:r>
        <w:rPr>
          <w:w w:val="99"/>
        </w:rPr>
        <w:t> </w:t>
      </w:r>
      <w:r>
        <w:rPr/>
        <w:t>面，通过完善的产品及资费、积极的终端补贴政策、共赢的渠道合作模式、丰富多样化的</w:t>
      </w:r>
      <w:r>
        <w:rPr>
          <w:w w:val="99"/>
        </w:rPr>
        <w:t> </w:t>
      </w:r>
      <w:r>
        <w:rPr/>
        <w:t>智能终端等加快</w:t>
      </w:r>
      <w:r>
        <w:rPr>
          <w:spacing w:val="-56"/>
        </w:rPr>
        <w:t> </w:t>
      </w:r>
      <w:r>
        <w:rPr>
          <w:rFonts w:ascii="Arial" w:hAnsi="Arial" w:cs="Arial" w:eastAsia="Arial" w:hint="default"/>
        </w:rPr>
        <w:t>3G</w:t>
      </w:r>
      <w:r>
        <w:rPr>
          <w:rFonts w:ascii="Arial" w:hAnsi="Arial" w:cs="Arial" w:eastAsia="Arial" w:hint="default"/>
          <w:spacing w:val="-8"/>
        </w:rPr>
        <w:t> </w:t>
      </w:r>
      <w:r>
        <w:rPr/>
        <w:t>业务规模发展；在宽带方面，面向三网融合，加快实施光纤入户，深</w:t>
      </w:r>
      <w:r>
        <w:rPr>
          <w:w w:val="99"/>
        </w:rPr>
        <w:t> </w:t>
      </w:r>
      <w:r>
        <w:rPr/>
        <w:t>入开展提速营销；同时通过大力发展“沃家庭”和“沃商务”融合业务，全面构筑以融合</w:t>
      </w:r>
      <w:r>
        <w:rPr>
          <w:w w:val="99"/>
        </w:rPr>
        <w:t> </w:t>
      </w:r>
      <w:r>
        <w:rPr/>
        <w:t>为主要方式</w:t>
      </w:r>
      <w:r>
        <w:rPr>
          <w:rFonts w:ascii="Arial" w:hAnsi="Arial" w:cs="Arial" w:eastAsia="Arial" w:hint="default"/>
        </w:rPr>
        <w:t>,</w:t>
      </w:r>
      <w:r>
        <w:rPr/>
        <w:t>带动 </w:t>
      </w:r>
      <w:r>
        <w:rPr>
          <w:rFonts w:ascii="Arial" w:hAnsi="Arial" w:cs="Arial" w:eastAsia="Arial" w:hint="default"/>
        </w:rPr>
        <w:t>3G</w:t>
      </w:r>
      <w:r>
        <w:rPr/>
        <w:t>、宽带、</w:t>
      </w:r>
      <w:r>
        <w:rPr>
          <w:rFonts w:ascii="Arial" w:hAnsi="Arial" w:cs="Arial" w:eastAsia="Arial" w:hint="default"/>
        </w:rPr>
        <w:t>2G</w:t>
      </w:r>
      <w:r>
        <w:rPr>
          <w:rFonts w:ascii="Arial" w:hAnsi="Arial" w:cs="Arial" w:eastAsia="Arial" w:hint="default"/>
          <w:spacing w:val="-10"/>
        </w:rPr>
        <w:t> </w:t>
      </w:r>
      <w:r>
        <w:rPr/>
        <w:t>发展及固话保有的全业务经营体系。</w:t>
      </w:r>
    </w:p>
    <w:p>
      <w:pPr>
        <w:spacing w:line="240" w:lineRule="auto" w:before="9"/>
        <w:rPr>
          <w:rFonts w:ascii="宋体" w:hAnsi="宋体" w:cs="宋体" w:eastAsia="宋体" w:hint="default"/>
          <w:sz w:val="18"/>
          <w:szCs w:val="18"/>
        </w:rPr>
      </w:pPr>
    </w:p>
    <w:p>
      <w:pPr>
        <w:pStyle w:val="BodyText"/>
        <w:spacing w:line="232" w:lineRule="auto"/>
        <w:ind w:left="821" w:right="170" w:firstLine="6"/>
        <w:jc w:val="left"/>
      </w:pPr>
      <w:r>
        <w:rPr>
          <w:rFonts w:ascii="Arial" w:hAnsi="Arial" w:cs="Arial" w:eastAsia="Arial" w:hint="default"/>
        </w:rPr>
        <w:t>2011</w:t>
      </w:r>
      <w:r>
        <w:rPr>
          <w:rFonts w:ascii="Arial" w:hAnsi="Arial" w:cs="Arial" w:eastAsia="Arial" w:hint="default"/>
          <w:spacing w:val="-8"/>
        </w:rPr>
        <w:t> </w:t>
      </w:r>
      <w:r>
        <w:rPr/>
        <w:t>年，本公司继续深化与终端产业链的全面合作，不断丰富沃</w:t>
      </w:r>
      <w:r>
        <w:rPr>
          <w:spacing w:val="-57"/>
        </w:rPr>
        <w:t> </w:t>
      </w:r>
      <w:r>
        <w:rPr>
          <w:rFonts w:ascii="Arial" w:hAnsi="Arial" w:cs="Arial" w:eastAsia="Arial" w:hint="default"/>
        </w:rPr>
        <w:t>3G</w:t>
      </w:r>
      <w:r>
        <w:rPr>
          <w:rFonts w:ascii="Arial" w:hAnsi="Arial" w:cs="Arial" w:eastAsia="Arial" w:hint="default"/>
          <w:spacing w:val="-8"/>
        </w:rPr>
        <w:t> </w:t>
      </w:r>
      <w:r>
        <w:rPr/>
        <w:t>定制终端产品体系，</w:t>
      </w:r>
      <w:r>
        <w:rPr>
          <w:w w:val="99"/>
        </w:rPr>
        <w:t> </w:t>
      </w:r>
      <w:r>
        <w:rPr/>
        <w:t>初步形成了覆盖多层次消费群体的系列定制终端产品。推出了一系列千元智能机，大幅降</w:t>
      </w:r>
      <w:r>
        <w:rPr>
          <w:w w:val="99"/>
        </w:rPr>
        <w:t> </w:t>
      </w:r>
      <w:r>
        <w:rPr/>
        <w:t>低智能手机购机门槛；不断优化终端补贴政策，积极推广合约计划，持续提高合约用户发</w:t>
      </w:r>
      <w:r>
        <w:rPr>
          <w:w w:val="99"/>
        </w:rPr>
        <w:t> </w:t>
      </w:r>
      <w:r>
        <w:rPr/>
        <w:t>展占比，提升</w:t>
      </w:r>
      <w:r>
        <w:rPr>
          <w:spacing w:val="-56"/>
        </w:rPr>
        <w:t> </w:t>
      </w:r>
      <w:r>
        <w:rPr>
          <w:rFonts w:ascii="Arial" w:hAnsi="Arial" w:cs="Arial" w:eastAsia="Arial" w:hint="default"/>
        </w:rPr>
        <w:t>3G</w:t>
      </w:r>
      <w:r>
        <w:rPr>
          <w:rFonts w:ascii="Arial" w:hAnsi="Arial" w:cs="Arial" w:eastAsia="Arial" w:hint="default"/>
          <w:spacing w:val="-8"/>
        </w:rPr>
        <w:t> </w:t>
      </w:r>
      <w:r>
        <w:rPr/>
        <w:t>用户发展质量。</w:t>
      </w:r>
    </w:p>
    <w:p>
      <w:pPr>
        <w:spacing w:line="240" w:lineRule="auto" w:before="3"/>
        <w:rPr>
          <w:rFonts w:ascii="宋体" w:hAnsi="宋体" w:cs="宋体" w:eastAsia="宋体" w:hint="default"/>
          <w:sz w:val="19"/>
          <w:szCs w:val="19"/>
        </w:rPr>
      </w:pPr>
    </w:p>
    <w:p>
      <w:pPr>
        <w:pStyle w:val="BodyText"/>
        <w:spacing w:line="225" w:lineRule="auto"/>
        <w:ind w:left="821" w:right="214" w:firstLine="6"/>
        <w:jc w:val="both"/>
      </w:pPr>
      <w:r>
        <w:rPr>
          <w:rFonts w:ascii="Arial" w:hAnsi="Arial" w:cs="Arial" w:eastAsia="Arial" w:hint="default"/>
        </w:rPr>
        <w:t>2011</w:t>
      </w:r>
      <w:r>
        <w:rPr>
          <w:rFonts w:ascii="Arial" w:hAnsi="Arial" w:cs="Arial" w:eastAsia="Arial" w:hint="default"/>
          <w:spacing w:val="-7"/>
        </w:rPr>
        <w:t> </w:t>
      </w:r>
      <w:r>
        <w:rPr>
          <w:spacing w:val="-2"/>
        </w:rPr>
        <w:t>年，本公司继续强化应用对业务的拉动。整合运营资源，深化新产品运营基地管理模</w:t>
      </w:r>
      <w:r>
        <w:rPr>
          <w:w w:val="99"/>
        </w:rPr>
        <w:t> </w:t>
      </w:r>
      <w:r>
        <w:rPr>
          <w:spacing w:val="-3"/>
        </w:rPr>
        <w:t>式，促进重点新产品规模发展；推出</w:t>
      </w:r>
      <w:r>
        <w:rPr>
          <w:spacing w:val="-89"/>
        </w:rPr>
        <w:t> </w:t>
      </w:r>
      <w:r>
        <w:rPr>
          <w:rFonts w:ascii="Arial" w:hAnsi="Arial" w:cs="Arial" w:eastAsia="Arial" w:hint="default"/>
        </w:rPr>
        <w:t>WO+</w:t>
      </w:r>
      <w:r>
        <w:rPr/>
        <w:t>移动互联网应用开放体系，创新商业模式，提升</w:t>
      </w:r>
      <w:r>
        <w:rPr>
          <w:w w:val="99"/>
        </w:rPr>
        <w:t> </w:t>
      </w:r>
      <w:r>
        <w:rPr/>
        <w:t>本公司在价值链中的影响力。</w:t>
      </w:r>
    </w:p>
    <w:p>
      <w:pPr>
        <w:spacing w:line="240" w:lineRule="auto" w:before="1"/>
        <w:rPr>
          <w:rFonts w:ascii="宋体" w:hAnsi="宋体" w:cs="宋体" w:eastAsia="宋体" w:hint="default"/>
          <w:sz w:val="20"/>
          <w:szCs w:val="20"/>
        </w:rPr>
      </w:pPr>
    </w:p>
    <w:p>
      <w:pPr>
        <w:pStyle w:val="BodyText"/>
        <w:spacing w:line="230" w:lineRule="auto"/>
        <w:ind w:left="821" w:right="201" w:firstLine="6"/>
        <w:jc w:val="left"/>
      </w:pPr>
      <w:r>
        <w:rPr>
          <w:rFonts w:ascii="Arial" w:hAnsi="Arial" w:cs="Arial" w:eastAsia="Arial" w:hint="default"/>
        </w:rPr>
        <w:t>2011</w:t>
      </w:r>
      <w:r>
        <w:rPr>
          <w:rFonts w:ascii="Arial" w:hAnsi="Arial" w:cs="Arial" w:eastAsia="Arial" w:hint="default"/>
          <w:spacing w:val="-6"/>
        </w:rPr>
        <w:t> </w:t>
      </w:r>
      <w:r>
        <w:rPr>
          <w:spacing w:val="-2"/>
        </w:rPr>
        <w:t>年，本公司抓住信息化深度融合发展的机遇，加大集团客户市场开发和行业信息化应</w:t>
      </w:r>
      <w:r>
        <w:rPr>
          <w:w w:val="99"/>
        </w:rPr>
        <w:t> </w:t>
      </w:r>
      <w:r>
        <w:rPr/>
        <w:t>用推广。优化集团客户营销体系，初步建立了行业总监负责制的大客户营销体系和中小企</w:t>
      </w:r>
      <w:r>
        <w:rPr>
          <w:w w:val="99"/>
        </w:rPr>
        <w:t> </w:t>
      </w:r>
      <w:r>
        <w:rPr/>
        <w:t>业网格化营销体系；完善行业应用支撑体系，聚焦移动</w:t>
      </w:r>
      <w:r>
        <w:rPr>
          <w:spacing w:val="-56"/>
        </w:rPr>
        <w:t> </w:t>
      </w:r>
      <w:r>
        <w:rPr>
          <w:rFonts w:ascii="Arial" w:hAnsi="Arial" w:cs="Arial" w:eastAsia="Arial" w:hint="default"/>
        </w:rPr>
        <w:t>OA</w:t>
      </w:r>
      <w:r>
        <w:rPr/>
        <w:t>、政府执法、汽车信息化、监</w:t>
      </w:r>
      <w:r>
        <w:rPr>
          <w:w w:val="99"/>
        </w:rPr>
        <w:t> </w:t>
      </w:r>
      <w:r>
        <w:rPr/>
        <w:t>测监控、股票机</w:t>
      </w:r>
      <w:r>
        <w:rPr>
          <w:rFonts w:ascii="Arial" w:hAnsi="Arial" w:cs="Arial" w:eastAsia="Arial" w:hint="default"/>
        </w:rPr>
        <w:t>/</w:t>
      </w:r>
      <w:r>
        <w:rPr/>
        <w:t>专用上网卡等，在全国共举办</w:t>
      </w:r>
      <w:r>
        <w:rPr>
          <w:spacing w:val="-67"/>
        </w:rPr>
        <w:t> </w:t>
      </w:r>
      <w:r>
        <w:rPr>
          <w:rFonts w:ascii="Arial" w:hAnsi="Arial" w:cs="Arial" w:eastAsia="Arial" w:hint="default"/>
        </w:rPr>
        <w:t>3,000</w:t>
      </w:r>
      <w:r>
        <w:rPr>
          <w:rFonts w:ascii="Arial" w:hAnsi="Arial" w:cs="Arial" w:eastAsia="Arial" w:hint="default"/>
          <w:spacing w:val="-18"/>
        </w:rPr>
        <w:t> </w:t>
      </w:r>
      <w:r>
        <w:rPr/>
        <w:t>场以上“沃行天下”行业应用巡展活</w:t>
      </w:r>
      <w:r>
        <w:rPr>
          <w:w w:val="99"/>
        </w:rPr>
        <w:t> </w:t>
      </w:r>
      <w:r>
        <w:rPr/>
        <w:t>动；大力推进战略合作，通过与行业龙头单位签署合作协议，利用重大项目带动集团客户</w:t>
      </w:r>
      <w:r>
        <w:rPr>
          <w:w w:val="99"/>
        </w:rPr>
        <w:t> </w:t>
      </w:r>
      <w:r>
        <w:rPr/>
        <w:t>业务快速发展。</w:t>
      </w:r>
    </w:p>
    <w:p>
      <w:pPr>
        <w:spacing w:line="240" w:lineRule="auto" w:before="2"/>
        <w:rPr>
          <w:rFonts w:ascii="宋体" w:hAnsi="宋体" w:cs="宋体" w:eastAsia="宋体" w:hint="default"/>
          <w:sz w:val="19"/>
          <w:szCs w:val="19"/>
        </w:rPr>
      </w:pPr>
    </w:p>
    <w:p>
      <w:pPr>
        <w:pStyle w:val="BodyText"/>
        <w:spacing w:line="240" w:lineRule="auto"/>
        <w:ind w:left="803" w:right="91"/>
        <w:jc w:val="left"/>
      </w:pPr>
      <w:r>
        <w:rPr/>
        <w:t>营销渠道</w:t>
      </w:r>
    </w:p>
    <w:p>
      <w:pPr>
        <w:spacing w:line="240" w:lineRule="auto" w:before="10"/>
        <w:rPr>
          <w:rFonts w:ascii="宋体" w:hAnsi="宋体" w:cs="宋体" w:eastAsia="宋体" w:hint="default"/>
          <w:sz w:val="19"/>
          <w:szCs w:val="19"/>
        </w:rPr>
      </w:pPr>
    </w:p>
    <w:p>
      <w:pPr>
        <w:pStyle w:val="BodyText"/>
        <w:spacing w:line="232" w:lineRule="auto"/>
        <w:ind w:left="821" w:right="96" w:firstLine="6"/>
        <w:jc w:val="left"/>
      </w:pPr>
      <w:r>
        <w:rPr>
          <w:rFonts w:ascii="Arial" w:hAnsi="Arial" w:cs="Arial" w:eastAsia="Arial" w:hint="default"/>
        </w:rPr>
        <w:t>2011</w:t>
      </w:r>
      <w:r>
        <w:rPr>
          <w:rFonts w:ascii="Arial" w:hAnsi="Arial" w:cs="Arial" w:eastAsia="Arial" w:hint="default"/>
          <w:spacing w:val="-7"/>
        </w:rPr>
        <w:t> </w:t>
      </w:r>
      <w:r>
        <w:rPr>
          <w:spacing w:val="-6"/>
        </w:rPr>
        <w:t>年，本公司围绕</w:t>
      </w:r>
      <w:r>
        <w:rPr>
          <w:spacing w:val="-56"/>
        </w:rPr>
        <w:t> </w:t>
      </w:r>
      <w:r>
        <w:rPr>
          <w:rFonts w:ascii="Arial" w:hAnsi="Arial" w:cs="Arial" w:eastAsia="Arial" w:hint="default"/>
        </w:rPr>
        <w:t>3G</w:t>
      </w:r>
      <w:r>
        <w:rPr>
          <w:rFonts w:ascii="Arial" w:hAnsi="Arial" w:cs="Arial" w:eastAsia="Arial" w:hint="default"/>
          <w:spacing w:val="-8"/>
        </w:rPr>
        <w:t> </w:t>
      </w:r>
      <w:r>
        <w:rPr/>
        <w:t>体验营销和</w:t>
      </w:r>
      <w:r>
        <w:rPr>
          <w:spacing w:val="-56"/>
        </w:rPr>
        <w:t> </w:t>
      </w:r>
      <w:r>
        <w:rPr>
          <w:rFonts w:ascii="Arial" w:hAnsi="Arial" w:cs="Arial" w:eastAsia="Arial" w:hint="default"/>
        </w:rPr>
        <w:t>2G</w:t>
      </w:r>
      <w:r>
        <w:rPr>
          <w:rFonts w:ascii="Arial" w:hAnsi="Arial" w:cs="Arial" w:eastAsia="Arial" w:hint="default"/>
          <w:spacing w:val="-8"/>
        </w:rPr>
        <w:t> </w:t>
      </w:r>
      <w:r>
        <w:rPr>
          <w:spacing w:val="-3"/>
        </w:rPr>
        <w:t>渠道直供直控，调整自有营业厅、社会实体渠道、</w:t>
      </w:r>
      <w:r>
        <w:rPr>
          <w:w w:val="99"/>
        </w:rPr>
        <w:t> </w:t>
      </w:r>
      <w:r>
        <w:rPr/>
        <w:t>电子渠道布局，渠道规模、结构与产能进一步提升。加快自有营业厅体验式营销转型，转</w:t>
      </w:r>
      <w:r>
        <w:rPr>
          <w:w w:val="99"/>
        </w:rPr>
        <w:t> </w:t>
      </w:r>
      <w:r>
        <w:rPr/>
        <w:t>型后营业厅销售产能提升明显；本公司已经与苏宁、国美等</w:t>
      </w:r>
      <w:r>
        <w:rPr>
          <w:spacing w:val="-56"/>
        </w:rPr>
        <w:t> </w:t>
      </w:r>
      <w:r>
        <w:rPr>
          <w:rFonts w:ascii="Arial" w:hAnsi="Arial" w:cs="Arial" w:eastAsia="Arial" w:hint="default"/>
        </w:rPr>
        <w:t>13</w:t>
      </w:r>
      <w:r>
        <w:rPr>
          <w:rFonts w:ascii="Arial" w:hAnsi="Arial" w:cs="Arial" w:eastAsia="Arial" w:hint="default"/>
          <w:spacing w:val="-7"/>
        </w:rPr>
        <w:t> </w:t>
      </w:r>
      <w:r>
        <w:rPr/>
        <w:t>家全国性连锁渠道以及</w:t>
      </w:r>
      <w:r>
        <w:rPr>
          <w:spacing w:val="-56"/>
        </w:rPr>
        <w:t> </w:t>
      </w:r>
      <w:r>
        <w:rPr>
          <w:rFonts w:ascii="Arial" w:hAnsi="Arial" w:cs="Arial" w:eastAsia="Arial" w:hint="default"/>
        </w:rPr>
        <w:t>80</w:t>
      </w:r>
      <w:r>
        <w:rPr>
          <w:rFonts w:ascii="Arial" w:hAnsi="Arial" w:cs="Arial" w:eastAsia="Arial" w:hint="default"/>
          <w:w w:val="99"/>
        </w:rPr>
        <w:t> </w:t>
      </w:r>
      <w:r>
        <w:rPr/>
        <w:t>家区域性连锁渠道签署了全面合作战略协议，社会渠道拓展取得了持续性突破；积极推进</w:t>
      </w:r>
      <w:r>
        <w:rPr>
          <w:w w:val="99"/>
        </w:rPr>
        <w:t> </w:t>
      </w:r>
      <w:r>
        <w:rPr/>
        <w:t>渠道集中管理系统建设，强化佣金管控；加快电子渠道系统建设，加强自助终端、</w:t>
      </w:r>
      <w:r>
        <w:rPr>
          <w:rFonts w:ascii="Arial" w:hAnsi="Arial" w:cs="Arial" w:eastAsia="Arial" w:hint="default"/>
        </w:rPr>
        <w:t>mini</w:t>
      </w:r>
      <w:r>
        <w:rPr>
          <w:rFonts w:ascii="Arial" w:hAnsi="Arial" w:cs="Arial" w:eastAsia="Arial" w:hint="default"/>
          <w:spacing w:val="-7"/>
        </w:rPr>
        <w:t> </w:t>
      </w:r>
      <w:r>
        <w:rPr/>
        <w:t>营</w:t>
      </w:r>
      <w:r>
        <w:rPr>
          <w:w w:val="99"/>
        </w:rPr>
        <w:t> </w:t>
      </w:r>
      <w:r>
        <w:rPr/>
        <w:t>业厅布放，完善网上营业厅、短信营业厅、手机营业厅功能，提升电子渠道销售及服务承</w:t>
      </w:r>
      <w:r>
        <w:rPr>
          <w:w w:val="99"/>
        </w:rPr>
        <w:t> </w:t>
      </w:r>
      <w:r>
        <w:rPr>
          <w:spacing w:val="-3"/>
        </w:rPr>
        <w:t>载能力，全年电子渠道使用用户达</w:t>
      </w:r>
      <w:r>
        <w:rPr>
          <w:spacing w:val="-53"/>
        </w:rPr>
        <w:t> </w:t>
      </w:r>
      <w:r>
        <w:rPr>
          <w:rFonts w:ascii="Arial" w:hAnsi="Arial" w:cs="Arial" w:eastAsia="Arial" w:hint="default"/>
        </w:rPr>
        <w:t>1.1</w:t>
      </w:r>
      <w:r>
        <w:rPr>
          <w:rFonts w:ascii="Arial" w:hAnsi="Arial" w:cs="Arial" w:eastAsia="Arial" w:hint="default"/>
          <w:spacing w:val="-5"/>
        </w:rPr>
        <w:t> </w:t>
      </w:r>
      <w:r>
        <w:rPr>
          <w:spacing w:val="-3"/>
        </w:rPr>
        <w:t>亿户，网上营业厅营业额达</w:t>
      </w:r>
      <w:r>
        <w:rPr>
          <w:spacing w:val="-54"/>
        </w:rPr>
        <w:t> </w:t>
      </w:r>
      <w:r>
        <w:rPr>
          <w:rFonts w:ascii="Arial" w:hAnsi="Arial" w:cs="Arial" w:eastAsia="Arial" w:hint="default"/>
        </w:rPr>
        <w:t>230.7</w:t>
      </w:r>
      <w:r>
        <w:rPr>
          <w:rFonts w:ascii="Arial" w:hAnsi="Arial" w:cs="Arial" w:eastAsia="Arial" w:hint="default"/>
          <w:spacing w:val="-5"/>
        </w:rPr>
        <w:t> </w:t>
      </w:r>
      <w:r>
        <w:rPr>
          <w:spacing w:val="-7"/>
        </w:rPr>
        <w:t>亿元，增长</w:t>
      </w:r>
      <w:r>
        <w:rPr>
          <w:spacing w:val="-54"/>
        </w:rPr>
        <w:t> </w:t>
      </w:r>
      <w:r>
        <w:rPr>
          <w:rFonts w:ascii="Arial" w:hAnsi="Arial" w:cs="Arial" w:eastAsia="Arial" w:hint="default"/>
        </w:rPr>
        <w:t>86%</w:t>
      </w:r>
      <w:r>
        <w:rPr/>
        <w:t>。</w:t>
      </w:r>
    </w:p>
    <w:p>
      <w:pPr>
        <w:spacing w:after="0" w:line="232" w:lineRule="auto"/>
        <w:jc w:val="left"/>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1"/>
        <w:ind w:left="803" w:right="91"/>
        <w:jc w:val="left"/>
      </w:pPr>
      <w:r>
        <w:rPr/>
        <w:t>客户服务</w:t>
      </w:r>
    </w:p>
    <w:p>
      <w:pPr>
        <w:spacing w:line="240" w:lineRule="auto" w:before="1"/>
        <w:rPr>
          <w:rFonts w:ascii="宋体" w:hAnsi="宋体" w:cs="宋体" w:eastAsia="宋体" w:hint="default"/>
          <w:sz w:val="20"/>
          <w:szCs w:val="20"/>
        </w:rPr>
      </w:pPr>
    </w:p>
    <w:p>
      <w:pPr>
        <w:pStyle w:val="BodyText"/>
        <w:spacing w:line="228" w:lineRule="auto"/>
        <w:ind w:left="821" w:right="99" w:firstLine="6"/>
        <w:jc w:val="left"/>
      </w:pPr>
      <w:r>
        <w:rPr>
          <w:rFonts w:ascii="Arial" w:hAnsi="Arial" w:cs="Arial" w:eastAsia="Arial" w:hint="default"/>
        </w:rPr>
        <w:t>2011</w:t>
      </w:r>
      <w:r>
        <w:rPr>
          <w:rFonts w:ascii="Arial" w:hAnsi="Arial" w:cs="Arial" w:eastAsia="Arial" w:hint="default"/>
          <w:spacing w:val="-30"/>
        </w:rPr>
        <w:t> </w:t>
      </w:r>
      <w:r>
        <w:rPr/>
        <w:t>年，本公司完善大服务体系，深化落实服务质量持续改善计划，为市场经营提供了服</w:t>
      </w:r>
      <w:r>
        <w:rPr>
          <w:w w:val="99"/>
        </w:rPr>
        <w:t> </w:t>
      </w:r>
      <w:r>
        <w:rPr/>
        <w:t>务保障。本公司通过推行</w:t>
      </w:r>
      <w:r>
        <w:rPr>
          <w:spacing w:val="-56"/>
        </w:rPr>
        <w:t> </w:t>
      </w:r>
      <w:r>
        <w:rPr>
          <w:rFonts w:ascii="Arial" w:hAnsi="Arial" w:cs="Arial" w:eastAsia="Arial" w:hint="default"/>
        </w:rPr>
        <w:t>3G</w:t>
      </w:r>
      <w:r>
        <w:rPr>
          <w:rFonts w:ascii="Arial" w:hAnsi="Arial" w:cs="Arial" w:eastAsia="Arial" w:hint="default"/>
          <w:spacing w:val="-8"/>
        </w:rPr>
        <w:t> </w:t>
      </w:r>
      <w:r>
        <w:rPr/>
        <w:t>网络分级响应处理、宽带限时装移修服务承诺等举措，重点</w:t>
      </w:r>
      <w:r>
        <w:rPr>
          <w:w w:val="99"/>
        </w:rPr>
        <w:t> </w:t>
      </w:r>
      <w:r>
        <w:rPr/>
        <w:t>提升</w:t>
      </w:r>
      <w:r>
        <w:rPr>
          <w:spacing w:val="-56"/>
        </w:rPr>
        <w:t> </w:t>
      </w:r>
      <w:r>
        <w:rPr>
          <w:rFonts w:ascii="Arial" w:hAnsi="Arial" w:cs="Arial" w:eastAsia="Arial" w:hint="default"/>
        </w:rPr>
        <w:t>3G</w:t>
      </w:r>
      <w:r>
        <w:rPr>
          <w:rFonts w:ascii="Arial" w:hAnsi="Arial" w:cs="Arial" w:eastAsia="Arial" w:hint="default"/>
          <w:spacing w:val="-8"/>
        </w:rPr>
        <w:t> </w:t>
      </w:r>
      <w:r>
        <w:rPr/>
        <w:t>和宽带服务质量；通过提高</w:t>
      </w:r>
      <w:r>
        <w:rPr>
          <w:spacing w:val="-56"/>
        </w:rPr>
        <w:t> </w:t>
      </w:r>
      <w:r>
        <w:rPr>
          <w:rFonts w:ascii="Arial" w:hAnsi="Arial" w:cs="Arial" w:eastAsia="Arial" w:hint="default"/>
        </w:rPr>
        <w:t>IVR</w:t>
      </w:r>
      <w:r>
        <w:rPr>
          <w:rFonts w:ascii="Arial" w:hAnsi="Arial" w:cs="Arial" w:eastAsia="Arial" w:hint="default"/>
          <w:spacing w:val="-8"/>
        </w:rPr>
        <w:t> </w:t>
      </w:r>
      <w:r>
        <w:rPr/>
        <w:t>自助服务占比、开通全国统一的</w:t>
      </w:r>
      <w:r>
        <w:rPr>
          <w:spacing w:val="-56"/>
        </w:rPr>
        <w:t> </w:t>
      </w:r>
      <w:r>
        <w:rPr>
          <w:rFonts w:ascii="Arial" w:hAnsi="Arial" w:cs="Arial" w:eastAsia="Arial" w:hint="default"/>
        </w:rPr>
        <w:t>10018</w:t>
      </w:r>
      <w:r>
        <w:rPr>
          <w:rFonts w:ascii="Arial" w:hAnsi="Arial" w:cs="Arial" w:eastAsia="Arial" w:hint="default"/>
          <w:spacing w:val="-1"/>
        </w:rPr>
        <w:t> </w:t>
      </w:r>
      <w:r>
        <w:rPr>
          <w:rFonts w:ascii="Arial" w:hAnsi="Arial" w:cs="Arial" w:eastAsia="Arial" w:hint="default"/>
        </w:rPr>
        <w:t>VIP</w:t>
      </w:r>
      <w:r>
        <w:rPr>
          <w:rFonts w:ascii="Arial" w:hAnsi="Arial" w:cs="Arial" w:eastAsia="Arial" w:hint="default"/>
          <w:spacing w:val="-7"/>
        </w:rPr>
        <w:t> </w:t>
      </w:r>
      <w:r>
        <w:rPr/>
        <w:t>专属</w:t>
      </w:r>
      <w:r>
        <w:rPr>
          <w:w w:val="99"/>
        </w:rPr>
        <w:t> </w:t>
      </w:r>
      <w:r>
        <w:rPr>
          <w:spacing w:val="-2"/>
        </w:rPr>
        <w:t>服务热线等措施，保障热线服务水平持续提升；创新互联网服务模式，开通客服官方微博，</w:t>
      </w:r>
      <w:r>
        <w:rPr>
          <w:spacing w:val="-102"/>
        </w:rPr>
        <w:t> </w:t>
      </w:r>
      <w:r>
        <w:rPr>
          <w:spacing w:val="-102"/>
        </w:rPr>
      </w:r>
      <w:r>
        <w:rPr/>
        <w:t>深化在线客服应用，更加主动地响应客户的服务需求。</w:t>
      </w:r>
    </w:p>
    <w:p>
      <w:pPr>
        <w:spacing w:line="240" w:lineRule="auto" w:before="4"/>
        <w:rPr>
          <w:rFonts w:ascii="宋体" w:hAnsi="宋体" w:cs="宋体" w:eastAsia="宋体" w:hint="default"/>
          <w:sz w:val="19"/>
          <w:szCs w:val="19"/>
        </w:rPr>
      </w:pPr>
    </w:p>
    <w:p>
      <w:pPr>
        <w:pStyle w:val="BodyText"/>
        <w:spacing w:line="240" w:lineRule="auto"/>
        <w:ind w:left="433" w:right="91"/>
        <w:jc w:val="left"/>
      </w:pPr>
      <w:r>
        <w:rPr>
          <w:rFonts w:ascii="Arial" w:hAnsi="Arial" w:cs="Arial" w:eastAsia="Arial" w:hint="default"/>
          <w:b/>
          <w:bCs/>
        </w:rPr>
        <w:t>3</w:t>
      </w:r>
      <w:r>
        <w:rPr/>
        <w:t>、财务情况讨论与分析</w:t>
      </w:r>
    </w:p>
    <w:p>
      <w:pPr>
        <w:spacing w:line="240" w:lineRule="auto" w:before="13"/>
        <w:rPr>
          <w:rFonts w:ascii="宋体" w:hAnsi="宋体" w:cs="宋体" w:eastAsia="宋体" w:hint="default"/>
          <w:sz w:val="17"/>
          <w:szCs w:val="17"/>
        </w:rPr>
      </w:pPr>
    </w:p>
    <w:p>
      <w:pPr>
        <w:spacing w:before="0"/>
        <w:ind w:left="433" w:right="91" w:firstLine="0"/>
        <w:jc w:val="left"/>
        <w:rPr>
          <w:rFonts w:ascii="宋体" w:hAnsi="宋体" w:cs="宋体" w:eastAsia="宋体" w:hint="default"/>
          <w:sz w:val="22"/>
          <w:szCs w:val="22"/>
        </w:rPr>
      </w:pPr>
      <w:r>
        <w:rPr>
          <w:rFonts w:ascii="Arial" w:hAnsi="Arial" w:cs="Arial" w:eastAsia="Arial" w:hint="default"/>
          <w:b/>
          <w:bCs/>
          <w:sz w:val="22"/>
          <w:szCs w:val="22"/>
        </w:rPr>
        <w:t>3.1</w:t>
      </w:r>
      <w:r>
        <w:rPr>
          <w:rFonts w:ascii="Arial" w:hAnsi="Arial" w:cs="Arial" w:eastAsia="Arial" w:hint="default"/>
          <w:b/>
          <w:bCs/>
          <w:spacing w:val="-6"/>
          <w:sz w:val="22"/>
          <w:szCs w:val="22"/>
        </w:rPr>
        <w:t> </w:t>
      </w:r>
      <w:r>
        <w:rPr>
          <w:rFonts w:ascii="宋体" w:hAnsi="宋体" w:cs="宋体" w:eastAsia="宋体" w:hint="default"/>
          <w:sz w:val="22"/>
          <w:szCs w:val="22"/>
        </w:rPr>
        <w:t>概述</w:t>
      </w:r>
    </w:p>
    <w:p>
      <w:pPr>
        <w:spacing w:line="240" w:lineRule="auto" w:before="9"/>
        <w:rPr>
          <w:rFonts w:ascii="宋体" w:hAnsi="宋体" w:cs="宋体" w:eastAsia="宋体" w:hint="default"/>
          <w:sz w:val="18"/>
          <w:szCs w:val="18"/>
        </w:rPr>
      </w:pPr>
    </w:p>
    <w:p>
      <w:pPr>
        <w:pStyle w:val="BodyText"/>
        <w:spacing w:line="230" w:lineRule="auto"/>
        <w:ind w:left="803" w:right="214" w:hanging="1"/>
        <w:jc w:val="both"/>
      </w:pPr>
      <w:r>
        <w:rPr/>
        <w:t>于</w:t>
      </w:r>
      <w:r>
        <w:rPr>
          <w:spacing w:val="-61"/>
        </w:rPr>
        <w:t> </w:t>
      </w:r>
      <w:r>
        <w:rPr>
          <w:rFonts w:ascii="Arial" w:hAnsi="Arial" w:cs="Arial" w:eastAsia="Arial" w:hint="default"/>
        </w:rPr>
        <w:t>2011</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w:t>
      </w:r>
      <w:r>
        <w:rPr>
          <w:spacing w:val="-61"/>
        </w:rPr>
        <w:t> </w:t>
      </w:r>
      <w:r>
        <w:rPr>
          <w:rFonts w:ascii="Arial" w:hAnsi="Arial" w:cs="Arial" w:eastAsia="Arial" w:hint="default"/>
        </w:rPr>
        <w:t>1</w:t>
      </w:r>
      <w:r>
        <w:rPr>
          <w:rFonts w:ascii="Arial" w:hAnsi="Arial" w:cs="Arial" w:eastAsia="Arial" w:hint="default"/>
          <w:spacing w:val="-12"/>
        </w:rPr>
        <w:t> </w:t>
      </w:r>
      <w:r>
        <w:rPr/>
        <w:t>日，宽带在线与联通集团及联通新时讯签订了收购联通新时讯协议，该</w:t>
      </w:r>
      <w:r>
        <w:rPr>
          <w:w w:val="99"/>
        </w:rPr>
        <w:t> </w:t>
      </w:r>
      <w:r>
        <w:rPr/>
        <w:t>交易于同日完成。宽带在线对联通新时讯的合并被视为同一控制下的企业合并，因此，下</w:t>
      </w:r>
      <w:r>
        <w:rPr>
          <w:w w:val="99"/>
        </w:rPr>
        <w:t> </w:t>
      </w:r>
      <w:r>
        <w:rPr/>
        <w:t>文中所使用的</w:t>
      </w:r>
      <w:r>
        <w:rPr>
          <w:spacing w:val="-57"/>
        </w:rPr>
        <w:t> </w:t>
      </w:r>
      <w:r>
        <w:rPr>
          <w:rFonts w:ascii="Arial" w:hAnsi="Arial" w:cs="Arial" w:eastAsia="Arial" w:hint="default"/>
        </w:rPr>
        <w:t>2011</w:t>
      </w:r>
      <w:r>
        <w:rPr>
          <w:rFonts w:ascii="Arial" w:hAnsi="Arial" w:cs="Arial" w:eastAsia="Arial" w:hint="default"/>
          <w:spacing w:val="-8"/>
        </w:rPr>
        <w:t> </w:t>
      </w:r>
      <w:r>
        <w:rPr/>
        <w:t>年比较年度（</w:t>
      </w:r>
      <w:r>
        <w:rPr>
          <w:rFonts w:ascii="Arial" w:hAnsi="Arial" w:cs="Arial" w:eastAsia="Arial" w:hint="default"/>
        </w:rPr>
        <w:t>2010</w:t>
      </w:r>
      <w:r>
        <w:rPr>
          <w:rFonts w:ascii="Arial" w:hAnsi="Arial" w:cs="Arial" w:eastAsia="Arial" w:hint="default"/>
          <w:spacing w:val="-8"/>
        </w:rPr>
        <w:t> </w:t>
      </w:r>
      <w:r>
        <w:rPr/>
        <w:t>年度）的财务数据已被重新列报以包括联通新时讯</w:t>
      </w:r>
      <w:r>
        <w:rPr>
          <w:w w:val="99"/>
        </w:rPr>
        <w:t> </w:t>
      </w:r>
      <w:r>
        <w:rPr/>
        <w:t>的财务状况、经营成果和现金流量。</w:t>
      </w:r>
    </w:p>
    <w:p>
      <w:pPr>
        <w:spacing w:line="240" w:lineRule="auto" w:before="5"/>
        <w:rPr>
          <w:rFonts w:ascii="宋体" w:hAnsi="宋体" w:cs="宋体" w:eastAsia="宋体" w:hint="default"/>
          <w:sz w:val="21"/>
          <w:szCs w:val="21"/>
        </w:rPr>
      </w:pPr>
    </w:p>
    <w:p>
      <w:pPr>
        <w:pStyle w:val="BodyText"/>
        <w:spacing w:line="286" w:lineRule="exact"/>
        <w:ind w:left="821" w:right="203" w:firstLine="6"/>
        <w:jc w:val="left"/>
      </w:pPr>
      <w:r>
        <w:rPr>
          <w:rFonts w:ascii="Arial" w:hAnsi="Arial" w:cs="Arial" w:eastAsia="Arial" w:hint="default"/>
        </w:rPr>
        <w:t>2011</w:t>
      </w:r>
      <w:r>
        <w:rPr>
          <w:rFonts w:ascii="Arial" w:hAnsi="Arial" w:cs="Arial" w:eastAsia="Arial" w:hint="default"/>
          <w:spacing w:val="-7"/>
        </w:rPr>
        <w:t> </w:t>
      </w:r>
      <w:r>
        <w:rPr>
          <w:spacing w:val="-2"/>
        </w:rPr>
        <w:t>年本公司收入快速增长，收入结构不断优化，市场份额稳步提升，盈利水平进一步改</w:t>
      </w:r>
      <w:r>
        <w:rPr>
          <w:w w:val="99"/>
        </w:rPr>
        <w:t> </w:t>
      </w:r>
      <w:r>
        <w:rPr/>
        <w:t>善，财务状况保持稳健。</w:t>
      </w:r>
    </w:p>
    <w:p>
      <w:pPr>
        <w:spacing w:line="240" w:lineRule="auto" w:before="1"/>
        <w:rPr>
          <w:rFonts w:ascii="宋体" w:hAnsi="宋体" w:cs="宋体" w:eastAsia="宋体" w:hint="default"/>
          <w:sz w:val="17"/>
          <w:szCs w:val="17"/>
        </w:rPr>
      </w:pPr>
    </w:p>
    <w:p>
      <w:pPr>
        <w:pStyle w:val="BodyText"/>
        <w:spacing w:line="295" w:lineRule="exact"/>
        <w:ind w:left="827" w:right="91"/>
        <w:jc w:val="left"/>
      </w:pPr>
      <w:r>
        <w:rPr>
          <w:rFonts w:ascii="Arial" w:hAnsi="Arial" w:cs="Arial" w:eastAsia="Arial" w:hint="default"/>
        </w:rPr>
        <w:t>2011</w:t>
      </w:r>
      <w:r>
        <w:rPr>
          <w:rFonts w:ascii="Arial" w:hAnsi="Arial" w:cs="Arial" w:eastAsia="Arial" w:hint="default"/>
          <w:spacing w:val="-14"/>
        </w:rPr>
        <w:t> </w:t>
      </w:r>
      <w:r>
        <w:rPr/>
        <w:t>年本公司营业收入达到人民币</w:t>
      </w:r>
      <w:r>
        <w:rPr>
          <w:spacing w:val="-62"/>
        </w:rPr>
        <w:t> </w:t>
      </w:r>
      <w:r>
        <w:rPr>
          <w:rFonts w:ascii="Arial" w:hAnsi="Arial" w:cs="Arial" w:eastAsia="Arial" w:hint="default"/>
        </w:rPr>
        <w:t>2,155.0</w:t>
      </w:r>
      <w:r>
        <w:rPr>
          <w:rFonts w:ascii="Arial" w:hAnsi="Arial" w:cs="Arial" w:eastAsia="Arial" w:hint="default"/>
          <w:spacing w:val="-14"/>
        </w:rPr>
        <w:t> </w:t>
      </w:r>
      <w:r>
        <w:rPr>
          <w:spacing w:val="-4"/>
        </w:rPr>
        <w:t>亿元，比上年增长</w:t>
      </w:r>
      <w:r>
        <w:rPr>
          <w:spacing w:val="-63"/>
        </w:rPr>
        <w:t> </w:t>
      </w:r>
      <w:r>
        <w:rPr>
          <w:rFonts w:ascii="Arial" w:hAnsi="Arial" w:cs="Arial" w:eastAsia="Arial" w:hint="default"/>
        </w:rPr>
        <w:t>22.4%</w:t>
      </w:r>
      <w:r>
        <w:rPr/>
        <w:t>，实现净利润为人民</w:t>
      </w:r>
    </w:p>
    <w:p>
      <w:pPr>
        <w:pStyle w:val="BodyText"/>
        <w:spacing w:line="286" w:lineRule="exact" w:before="19"/>
        <w:ind w:left="821" w:right="211"/>
        <w:jc w:val="left"/>
      </w:pPr>
      <w:r>
        <w:rPr/>
        <w:t>币</w:t>
      </w:r>
      <w:r>
        <w:rPr>
          <w:spacing w:val="-57"/>
        </w:rPr>
        <w:t> </w:t>
      </w:r>
      <w:r>
        <w:rPr>
          <w:rFonts w:ascii="Arial" w:hAnsi="Arial" w:cs="Arial" w:eastAsia="Arial" w:hint="default"/>
        </w:rPr>
        <w:t>41.7</w:t>
      </w:r>
      <w:r>
        <w:rPr>
          <w:rFonts w:ascii="Arial" w:hAnsi="Arial" w:cs="Arial" w:eastAsia="Arial" w:hint="default"/>
          <w:spacing w:val="-8"/>
        </w:rPr>
        <w:t> </w:t>
      </w:r>
      <w:r>
        <w:rPr/>
        <w:t>亿元，比上年增长</w:t>
      </w:r>
      <w:r>
        <w:rPr>
          <w:spacing w:val="-57"/>
        </w:rPr>
        <w:t> </w:t>
      </w:r>
      <w:r>
        <w:rPr>
          <w:rFonts w:ascii="Arial" w:hAnsi="Arial" w:cs="Arial" w:eastAsia="Arial" w:hint="default"/>
        </w:rPr>
        <w:t>19.2%</w:t>
      </w:r>
      <w:r>
        <w:rPr/>
        <w:t>，其中归属于母公司的净利润（附注</w:t>
      </w:r>
      <w:r>
        <w:rPr>
          <w:spacing w:val="-56"/>
        </w:rPr>
        <w:t> </w:t>
      </w:r>
      <w:r>
        <w:rPr>
          <w:rFonts w:ascii="Arial" w:hAnsi="Arial" w:cs="Arial" w:eastAsia="Arial" w:hint="default"/>
        </w:rPr>
        <w:t>1</w:t>
      </w:r>
      <w:r>
        <w:rPr/>
        <w:t>）为人民币</w:t>
      </w:r>
      <w:r>
        <w:rPr>
          <w:spacing w:val="-57"/>
        </w:rPr>
        <w:t> </w:t>
      </w:r>
      <w:r>
        <w:rPr>
          <w:rFonts w:ascii="Arial" w:hAnsi="Arial" w:cs="Arial" w:eastAsia="Arial" w:hint="default"/>
        </w:rPr>
        <w:t>14.1</w:t>
      </w:r>
      <w:r>
        <w:rPr>
          <w:rFonts w:ascii="Arial" w:hAnsi="Arial" w:cs="Arial" w:eastAsia="Arial" w:hint="default"/>
          <w:w w:val="99"/>
        </w:rPr>
        <w:t> </w:t>
      </w:r>
      <w:r>
        <w:rPr/>
        <w:t>亿元，基本每股收益（附注</w:t>
      </w:r>
      <w:r>
        <w:rPr>
          <w:spacing w:val="-59"/>
        </w:rPr>
        <w:t> </w:t>
      </w:r>
      <w:r>
        <w:rPr>
          <w:rFonts w:ascii="Arial" w:hAnsi="Arial" w:cs="Arial" w:eastAsia="Arial" w:hint="default"/>
        </w:rPr>
        <w:t>1</w:t>
      </w:r>
      <w:r>
        <w:rPr/>
        <w:t>）为</w:t>
      </w:r>
      <w:r>
        <w:rPr>
          <w:spacing w:val="-58"/>
        </w:rPr>
        <w:t> </w:t>
      </w:r>
      <w:r>
        <w:rPr>
          <w:rFonts w:ascii="Arial" w:hAnsi="Arial" w:cs="Arial" w:eastAsia="Arial" w:hint="default"/>
        </w:rPr>
        <w:t>0.067</w:t>
      </w:r>
      <w:r>
        <w:rPr>
          <w:rFonts w:ascii="Arial" w:hAnsi="Arial" w:cs="Arial" w:eastAsia="Arial" w:hint="default"/>
          <w:spacing w:val="-10"/>
        </w:rPr>
        <w:t> </w:t>
      </w:r>
      <w:r>
        <w:rPr/>
        <w:t>元。</w:t>
      </w:r>
      <w:r>
        <w:rPr>
          <w:rFonts w:ascii="Arial" w:hAnsi="Arial" w:cs="Arial" w:eastAsia="Arial" w:hint="default"/>
        </w:rPr>
        <w:t>EBITDA</w:t>
      </w:r>
      <w:r>
        <w:rPr/>
        <w:t>（附注</w:t>
      </w:r>
      <w:r>
        <w:rPr>
          <w:spacing w:val="-59"/>
        </w:rPr>
        <w:t> </w:t>
      </w:r>
      <w:r>
        <w:rPr>
          <w:rFonts w:ascii="Arial" w:hAnsi="Arial" w:cs="Arial" w:eastAsia="Arial" w:hint="default"/>
        </w:rPr>
        <w:t>2</w:t>
      </w:r>
      <w:r>
        <w:rPr/>
        <w:t>）为人民币</w:t>
      </w:r>
      <w:r>
        <w:rPr>
          <w:spacing w:val="-59"/>
        </w:rPr>
        <w:t> </w:t>
      </w:r>
      <w:r>
        <w:rPr>
          <w:rFonts w:ascii="Arial" w:hAnsi="Arial" w:cs="Arial" w:eastAsia="Arial" w:hint="default"/>
        </w:rPr>
        <w:t>636.4</w:t>
      </w:r>
      <w:r>
        <w:rPr>
          <w:rFonts w:ascii="Arial" w:hAnsi="Arial" w:cs="Arial" w:eastAsia="Arial" w:hint="default"/>
          <w:spacing w:val="-10"/>
        </w:rPr>
        <w:t> </w:t>
      </w:r>
      <w:r>
        <w:rPr/>
        <w:t>亿元，比</w:t>
      </w:r>
      <w:r>
        <w:rPr>
          <w:w w:val="99"/>
        </w:rPr>
        <w:t> </w:t>
      </w:r>
      <w:r>
        <w:rPr/>
        <w:t>上年增长</w:t>
      </w:r>
      <w:r>
        <w:rPr>
          <w:spacing w:val="-58"/>
        </w:rPr>
        <w:t> </w:t>
      </w:r>
      <w:r>
        <w:rPr>
          <w:rFonts w:ascii="Arial" w:hAnsi="Arial" w:cs="Arial" w:eastAsia="Arial" w:hint="default"/>
        </w:rPr>
        <w:t>7.0%</w:t>
      </w:r>
      <w:r>
        <w:rPr/>
        <w:t>，</w:t>
      </w:r>
      <w:r>
        <w:rPr>
          <w:rFonts w:ascii="Arial" w:hAnsi="Arial" w:cs="Arial" w:eastAsia="Arial" w:hint="default"/>
        </w:rPr>
        <w:t>EBITDA</w:t>
      </w:r>
      <w:r>
        <w:rPr>
          <w:rFonts w:ascii="Arial" w:hAnsi="Arial" w:cs="Arial" w:eastAsia="Arial" w:hint="default"/>
          <w:spacing w:val="-10"/>
        </w:rPr>
        <w:t> </w:t>
      </w:r>
      <w:r>
        <w:rPr/>
        <w:t>率（即</w:t>
      </w:r>
      <w:r>
        <w:rPr>
          <w:spacing w:val="-58"/>
        </w:rPr>
        <w:t> </w:t>
      </w:r>
      <w:r>
        <w:rPr>
          <w:rFonts w:ascii="Arial" w:hAnsi="Arial" w:cs="Arial" w:eastAsia="Arial" w:hint="default"/>
        </w:rPr>
        <w:t>EBITDA</w:t>
      </w:r>
      <w:r>
        <w:rPr>
          <w:rFonts w:ascii="Arial" w:hAnsi="Arial" w:cs="Arial" w:eastAsia="Arial" w:hint="default"/>
          <w:spacing w:val="-9"/>
        </w:rPr>
        <w:t> </w:t>
      </w:r>
      <w:r>
        <w:rPr/>
        <w:t>所占营业收入的百分比）为</w:t>
      </w:r>
      <w:r>
        <w:rPr>
          <w:spacing w:val="-58"/>
        </w:rPr>
        <w:t> </w:t>
      </w:r>
      <w:r>
        <w:rPr>
          <w:rFonts w:ascii="Arial" w:hAnsi="Arial" w:cs="Arial" w:eastAsia="Arial" w:hint="default"/>
        </w:rPr>
        <w:t>29.5%</w:t>
      </w:r>
      <w:r>
        <w:rPr/>
        <w:t>。</w:t>
      </w:r>
    </w:p>
    <w:p>
      <w:pPr>
        <w:spacing w:line="240" w:lineRule="auto" w:before="1"/>
        <w:rPr>
          <w:rFonts w:ascii="宋体" w:hAnsi="宋体" w:cs="宋体" w:eastAsia="宋体" w:hint="default"/>
          <w:sz w:val="17"/>
          <w:szCs w:val="17"/>
        </w:rPr>
      </w:pPr>
    </w:p>
    <w:p>
      <w:pPr>
        <w:pStyle w:val="BodyText"/>
        <w:spacing w:line="295" w:lineRule="exact"/>
        <w:ind w:left="827" w:right="91"/>
        <w:jc w:val="left"/>
      </w:pPr>
      <w:r>
        <w:rPr>
          <w:rFonts w:ascii="Arial" w:hAnsi="Arial" w:cs="Arial" w:eastAsia="Arial" w:hint="default"/>
        </w:rPr>
        <w:t>2011</w:t>
      </w:r>
      <w:r>
        <w:rPr>
          <w:rFonts w:ascii="Arial" w:hAnsi="Arial" w:cs="Arial" w:eastAsia="Arial" w:hint="default"/>
          <w:spacing w:val="-8"/>
        </w:rPr>
        <w:t> </w:t>
      </w:r>
      <w:r>
        <w:rPr/>
        <w:t>年本公司的经营活动现金流量净额为人民币</w:t>
      </w:r>
      <w:r>
        <w:rPr>
          <w:spacing w:val="-57"/>
        </w:rPr>
        <w:t> </w:t>
      </w:r>
      <w:r>
        <w:rPr>
          <w:rFonts w:ascii="Arial" w:hAnsi="Arial" w:cs="Arial" w:eastAsia="Arial" w:hint="default"/>
        </w:rPr>
        <w:t>694.5</w:t>
      </w:r>
      <w:r>
        <w:rPr>
          <w:rFonts w:ascii="Arial" w:hAnsi="Arial" w:cs="Arial" w:eastAsia="Arial" w:hint="default"/>
          <w:spacing w:val="-8"/>
        </w:rPr>
        <w:t> </w:t>
      </w:r>
      <w:r>
        <w:rPr/>
        <w:t>亿元，比上年增长</w:t>
      </w:r>
      <w:r>
        <w:rPr>
          <w:spacing w:val="-57"/>
        </w:rPr>
        <w:t> </w:t>
      </w:r>
      <w:r>
        <w:rPr>
          <w:rFonts w:ascii="Arial" w:hAnsi="Arial" w:cs="Arial" w:eastAsia="Arial" w:hint="default"/>
        </w:rPr>
        <w:t>1.8%</w:t>
      </w:r>
      <w:r>
        <w:rPr/>
        <w:t>，资本开</w:t>
      </w:r>
    </w:p>
    <w:p>
      <w:pPr>
        <w:pStyle w:val="BodyText"/>
        <w:spacing w:line="286" w:lineRule="exact"/>
        <w:ind w:left="821" w:right="91"/>
        <w:jc w:val="left"/>
      </w:pPr>
      <w:r>
        <w:rPr/>
        <w:t>支为人民币</w:t>
      </w:r>
      <w:r>
        <w:rPr>
          <w:spacing w:val="-57"/>
        </w:rPr>
        <w:t> </w:t>
      </w:r>
      <w:r>
        <w:rPr>
          <w:rFonts w:ascii="Arial" w:hAnsi="Arial" w:cs="Arial" w:eastAsia="Arial" w:hint="default"/>
        </w:rPr>
        <w:t>766.6</w:t>
      </w:r>
      <w:r>
        <w:rPr>
          <w:rFonts w:ascii="Arial" w:hAnsi="Arial" w:cs="Arial" w:eastAsia="Arial" w:hint="default"/>
          <w:spacing w:val="-9"/>
        </w:rPr>
        <w:t> </w:t>
      </w:r>
      <w:r>
        <w:rPr/>
        <w:t>亿元，所占营业收入的比重为</w:t>
      </w:r>
      <w:r>
        <w:rPr>
          <w:spacing w:val="-58"/>
        </w:rPr>
        <w:t> </w:t>
      </w:r>
      <w:r>
        <w:rPr>
          <w:rFonts w:ascii="Arial" w:hAnsi="Arial" w:cs="Arial" w:eastAsia="Arial" w:hint="default"/>
        </w:rPr>
        <w:t>35.6%</w:t>
      </w:r>
      <w:r>
        <w:rPr/>
        <w:t>，比上年下降</w:t>
      </w:r>
      <w:r>
        <w:rPr>
          <w:spacing w:val="-57"/>
        </w:rPr>
        <w:t> </w:t>
      </w:r>
      <w:r>
        <w:rPr>
          <w:rFonts w:ascii="Arial" w:hAnsi="Arial" w:cs="Arial" w:eastAsia="Arial" w:hint="default"/>
        </w:rPr>
        <w:t>4.3</w:t>
      </w:r>
      <w:r>
        <w:rPr>
          <w:rFonts w:ascii="Arial" w:hAnsi="Arial" w:cs="Arial" w:eastAsia="Arial" w:hint="default"/>
          <w:spacing w:val="-9"/>
        </w:rPr>
        <w:t> </w:t>
      </w:r>
      <w:r>
        <w:rPr/>
        <w:t>个百分点，自由</w:t>
      </w:r>
    </w:p>
    <w:p>
      <w:pPr>
        <w:pStyle w:val="BodyText"/>
        <w:spacing w:line="285" w:lineRule="exact"/>
        <w:ind w:left="821" w:right="91"/>
        <w:jc w:val="left"/>
        <w:rPr>
          <w:rFonts w:ascii="Arial" w:hAnsi="Arial" w:cs="Arial" w:eastAsia="Arial" w:hint="default"/>
        </w:rPr>
      </w:pPr>
      <w:r>
        <w:rPr/>
        <w:t>现金流（经营活动现金流量净额减资本开支）为人民币</w:t>
      </w:r>
      <w:r>
        <w:rPr>
          <w:rFonts w:ascii="Arial" w:hAnsi="Arial" w:cs="Arial" w:eastAsia="Arial" w:hint="default"/>
        </w:rPr>
        <w:t>-72.1</w:t>
      </w:r>
      <w:r>
        <w:rPr>
          <w:rFonts w:ascii="Arial" w:hAnsi="Arial" w:cs="Arial" w:eastAsia="Arial" w:hint="default"/>
          <w:spacing w:val="-9"/>
        </w:rPr>
        <w:t> </w:t>
      </w:r>
      <w:r>
        <w:rPr/>
        <w:t>亿元。截至</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p>
    <w:p>
      <w:pPr>
        <w:pStyle w:val="BodyText"/>
        <w:spacing w:line="294" w:lineRule="exact"/>
        <w:ind w:left="821" w:right="91"/>
        <w:jc w:val="left"/>
      </w:pPr>
      <w:r>
        <w:rPr/>
        <w:t>日，本公司的资产负债率由上年底的</w:t>
      </w:r>
      <w:r>
        <w:rPr>
          <w:spacing w:val="-57"/>
        </w:rPr>
        <w:t> </w:t>
      </w:r>
      <w:r>
        <w:rPr>
          <w:rFonts w:ascii="Arial" w:hAnsi="Arial" w:cs="Arial" w:eastAsia="Arial" w:hint="default"/>
        </w:rPr>
        <w:t>53.0%</w:t>
      </w:r>
      <w:r>
        <w:rPr/>
        <w:t>变化至</w:t>
      </w:r>
      <w:r>
        <w:rPr>
          <w:spacing w:val="-57"/>
        </w:rPr>
        <w:t> </w:t>
      </w:r>
      <w:r>
        <w:rPr>
          <w:rFonts w:ascii="Arial" w:hAnsi="Arial" w:cs="Arial" w:eastAsia="Arial" w:hint="default"/>
        </w:rPr>
        <w:t>54.5%</w:t>
      </w:r>
      <w:r>
        <w:rPr/>
        <w:t>，净债务资本率为</w:t>
      </w:r>
      <w:r>
        <w:rPr>
          <w:spacing w:val="-57"/>
        </w:rPr>
        <w:t> </w:t>
      </w:r>
      <w:r>
        <w:rPr>
          <w:rFonts w:ascii="Arial" w:hAnsi="Arial" w:cs="Arial" w:eastAsia="Arial" w:hint="default"/>
        </w:rPr>
        <w:t>72.6%</w:t>
      </w:r>
      <w:r>
        <w:rPr/>
        <w:t>。</w:t>
      </w:r>
    </w:p>
    <w:p>
      <w:pPr>
        <w:spacing w:line="240" w:lineRule="auto" w:before="13"/>
        <w:rPr>
          <w:rFonts w:ascii="宋体" w:hAnsi="宋体" w:cs="宋体" w:eastAsia="宋体" w:hint="default"/>
          <w:sz w:val="17"/>
          <w:szCs w:val="17"/>
        </w:rPr>
      </w:pPr>
    </w:p>
    <w:p>
      <w:pPr>
        <w:spacing w:before="0"/>
        <w:ind w:left="433" w:right="91" w:firstLine="0"/>
        <w:jc w:val="left"/>
        <w:rPr>
          <w:rFonts w:ascii="宋体" w:hAnsi="宋体" w:cs="宋体" w:eastAsia="宋体" w:hint="default"/>
          <w:sz w:val="22"/>
          <w:szCs w:val="22"/>
        </w:rPr>
      </w:pPr>
      <w:r>
        <w:rPr>
          <w:rFonts w:ascii="Arial" w:hAnsi="Arial" w:cs="Arial" w:eastAsia="Arial" w:hint="default"/>
          <w:b/>
          <w:bCs/>
          <w:sz w:val="22"/>
          <w:szCs w:val="22"/>
        </w:rPr>
        <w:t>3.2</w:t>
      </w:r>
      <w:r>
        <w:rPr>
          <w:rFonts w:ascii="Arial" w:hAnsi="Arial" w:cs="Arial" w:eastAsia="Arial" w:hint="default"/>
          <w:b/>
          <w:bCs/>
          <w:spacing w:val="-5"/>
          <w:sz w:val="22"/>
          <w:szCs w:val="22"/>
        </w:rPr>
        <w:t> </w:t>
      </w:r>
      <w:r>
        <w:rPr>
          <w:rFonts w:ascii="宋体" w:hAnsi="宋体" w:cs="宋体" w:eastAsia="宋体" w:hint="default"/>
          <w:sz w:val="22"/>
          <w:szCs w:val="22"/>
        </w:rPr>
        <w:t>营业收入</w:t>
      </w:r>
    </w:p>
    <w:p>
      <w:pPr>
        <w:spacing w:line="240" w:lineRule="auto" w:before="3"/>
        <w:rPr>
          <w:rFonts w:ascii="宋体" w:hAnsi="宋体" w:cs="宋体" w:eastAsia="宋体" w:hint="default"/>
          <w:sz w:val="20"/>
          <w:szCs w:val="20"/>
        </w:rPr>
      </w:pPr>
    </w:p>
    <w:p>
      <w:pPr>
        <w:pStyle w:val="BodyText"/>
        <w:spacing w:line="284" w:lineRule="exact"/>
        <w:ind w:left="821" w:right="209" w:firstLine="6"/>
        <w:jc w:val="left"/>
      </w:pPr>
      <w:r>
        <w:rPr>
          <w:rFonts w:ascii="Arial" w:hAnsi="Arial" w:cs="Arial" w:eastAsia="Arial" w:hint="default"/>
        </w:rPr>
        <w:t>2011</w:t>
      </w:r>
      <w:r>
        <w:rPr>
          <w:rFonts w:ascii="Arial" w:hAnsi="Arial" w:cs="Arial" w:eastAsia="Arial" w:hint="default"/>
          <w:spacing w:val="-8"/>
        </w:rPr>
        <w:t> </w:t>
      </w:r>
      <w:r>
        <w:rPr/>
        <w:t>年本公司完成营业收入人民币</w:t>
      </w:r>
      <w:r>
        <w:rPr>
          <w:spacing w:val="-56"/>
        </w:rPr>
        <w:t> </w:t>
      </w:r>
      <w:r>
        <w:rPr>
          <w:rFonts w:ascii="Arial" w:hAnsi="Arial" w:cs="Arial" w:eastAsia="Arial" w:hint="default"/>
        </w:rPr>
        <w:t>2,155.0</w:t>
      </w:r>
      <w:r>
        <w:rPr>
          <w:rFonts w:ascii="Arial" w:hAnsi="Arial" w:cs="Arial" w:eastAsia="Arial" w:hint="default"/>
          <w:spacing w:val="-8"/>
        </w:rPr>
        <w:t> </w:t>
      </w:r>
      <w:r>
        <w:rPr/>
        <w:t>亿元，其中，服务收入达到人民币</w:t>
      </w:r>
      <w:r>
        <w:rPr>
          <w:spacing w:val="-57"/>
        </w:rPr>
        <w:t> </w:t>
      </w:r>
      <w:r>
        <w:rPr>
          <w:rFonts w:ascii="Arial" w:hAnsi="Arial" w:cs="Arial" w:eastAsia="Arial" w:hint="default"/>
        </w:rPr>
        <w:t>1,917.6</w:t>
      </w:r>
      <w:r>
        <w:rPr>
          <w:rFonts w:ascii="Arial" w:hAnsi="Arial" w:cs="Arial" w:eastAsia="Arial" w:hint="default"/>
          <w:spacing w:val="-8"/>
        </w:rPr>
        <w:t> </w:t>
      </w:r>
      <w:r>
        <w:rPr/>
        <w:t>亿</w:t>
      </w:r>
      <w:r>
        <w:rPr>
          <w:w w:val="99"/>
        </w:rPr>
        <w:t> </w:t>
      </w:r>
      <w:r>
        <w:rPr/>
        <w:t>元，比上年增长</w:t>
      </w:r>
      <w:r>
        <w:rPr>
          <w:spacing w:val="-57"/>
        </w:rPr>
        <w:t> </w:t>
      </w:r>
      <w:r>
        <w:rPr>
          <w:rFonts w:ascii="Arial" w:hAnsi="Arial" w:cs="Arial" w:eastAsia="Arial" w:hint="default"/>
        </w:rPr>
        <w:t>13.7%</w:t>
      </w:r>
      <w:r>
        <w:rPr/>
        <w:t>，销售通信产品收入为人民币</w:t>
      </w:r>
      <w:r>
        <w:rPr>
          <w:spacing w:val="-57"/>
        </w:rPr>
        <w:t> </w:t>
      </w:r>
      <w:r>
        <w:rPr>
          <w:rFonts w:ascii="Arial" w:hAnsi="Arial" w:cs="Arial" w:eastAsia="Arial" w:hint="default"/>
        </w:rPr>
        <w:t>237.5</w:t>
      </w:r>
      <w:r>
        <w:rPr>
          <w:rFonts w:ascii="Arial" w:hAnsi="Arial" w:cs="Arial" w:eastAsia="Arial" w:hint="default"/>
          <w:spacing w:val="-8"/>
        </w:rPr>
        <w:t> </w:t>
      </w:r>
      <w:r>
        <w:rPr/>
        <w:t>亿元。</w:t>
      </w:r>
    </w:p>
    <w:p>
      <w:pPr>
        <w:spacing w:line="240" w:lineRule="auto" w:before="5"/>
        <w:rPr>
          <w:rFonts w:ascii="宋体" w:hAnsi="宋体" w:cs="宋体" w:eastAsia="宋体" w:hint="default"/>
          <w:sz w:val="19"/>
          <w:szCs w:val="19"/>
        </w:rPr>
      </w:pPr>
    </w:p>
    <w:p>
      <w:pPr>
        <w:pStyle w:val="BodyText"/>
        <w:spacing w:line="286" w:lineRule="exact"/>
        <w:ind w:left="821" w:right="205" w:firstLine="6"/>
        <w:jc w:val="left"/>
      </w:pPr>
      <w:r>
        <w:rPr/>
        <w:t>下表反映了本公司</w:t>
      </w:r>
      <w:r>
        <w:rPr>
          <w:spacing w:val="-73"/>
        </w:rPr>
        <w:t> </w:t>
      </w:r>
      <w:r>
        <w:rPr>
          <w:rFonts w:ascii="Arial" w:hAnsi="Arial" w:cs="Arial" w:eastAsia="Arial" w:hint="default"/>
        </w:rPr>
        <w:t>2011</w:t>
      </w:r>
      <w:r>
        <w:rPr>
          <w:rFonts w:ascii="Arial" w:hAnsi="Arial" w:cs="Arial" w:eastAsia="Arial" w:hint="default"/>
          <w:spacing w:val="-24"/>
        </w:rPr>
        <w:t> </w:t>
      </w:r>
      <w:r>
        <w:rPr/>
        <w:t>年和</w:t>
      </w:r>
      <w:r>
        <w:rPr>
          <w:spacing w:val="-73"/>
        </w:rPr>
        <w:t> </w:t>
      </w:r>
      <w:r>
        <w:rPr>
          <w:rFonts w:ascii="Arial" w:hAnsi="Arial" w:cs="Arial" w:eastAsia="Arial" w:hint="default"/>
        </w:rPr>
        <w:t>2010</w:t>
      </w:r>
      <w:r>
        <w:rPr>
          <w:rFonts w:ascii="Arial" w:hAnsi="Arial" w:cs="Arial" w:eastAsia="Arial" w:hint="default"/>
          <w:spacing w:val="-24"/>
        </w:rPr>
        <w:t> </w:t>
      </w:r>
      <w:r>
        <w:rPr/>
        <w:t>年服务收入构成的变化情况及各业务分部所占服务收入</w:t>
      </w:r>
      <w:r>
        <w:rPr>
          <w:w w:val="99"/>
        </w:rPr>
        <w:t> </w:t>
      </w:r>
      <w:r>
        <w:rPr/>
        <w:t>百分比情况。</w:t>
      </w:r>
    </w:p>
    <w:p>
      <w:pPr>
        <w:spacing w:after="0" w:line="286" w:lineRule="exact"/>
        <w:jc w:val="left"/>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816" w:type="dxa"/>
        <w:tblLayout w:type="fixed"/>
        <w:tblCellMar>
          <w:top w:w="0" w:type="dxa"/>
          <w:left w:w="0" w:type="dxa"/>
          <w:bottom w:w="0" w:type="dxa"/>
          <w:right w:w="0" w:type="dxa"/>
        </w:tblCellMar>
        <w:tblLook w:val="01E0"/>
      </w:tblPr>
      <w:tblGrid>
        <w:gridCol w:w="3060"/>
        <w:gridCol w:w="1338"/>
        <w:gridCol w:w="1338"/>
        <w:gridCol w:w="1339"/>
        <w:gridCol w:w="1339"/>
      </w:tblGrid>
      <w:tr>
        <w:trPr>
          <w:trHeight w:val="326"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53" w:right="0"/>
              <w:jc w:val="left"/>
              <w:rPr>
                <w:rFonts w:ascii="宋体" w:hAnsi="宋体" w:cs="宋体" w:eastAsia="宋体" w:hint="default"/>
                <w:sz w:val="22"/>
                <w:szCs w:val="22"/>
              </w:rPr>
            </w:pPr>
            <w:r>
              <w:rPr>
                <w:rFonts w:ascii="宋体" w:hAnsi="宋体" w:cs="宋体" w:eastAsia="宋体" w:hint="default"/>
                <w:sz w:val="22"/>
                <w:szCs w:val="22"/>
              </w:rPr>
              <w:t>（人民币亿元）</w:t>
            </w:r>
          </w:p>
        </w:tc>
        <w:tc>
          <w:tcPr>
            <w:tcW w:w="2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81" w:hRule="exact"/>
        </w:trPr>
        <w:tc>
          <w:tcPr>
            <w:tcW w:w="3060" w:type="dxa"/>
            <w:vMerge/>
            <w:tcBorders>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42"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占服务收入</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百分比</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sz w:val="22"/>
                <w:szCs w:val="22"/>
              </w:rPr>
              <w:t>占服务收入</w:t>
            </w:r>
          </w:p>
          <w:p>
            <w:pPr>
              <w:pStyle w:val="TableParagraph"/>
              <w:spacing w:line="286" w:lineRule="exact"/>
              <w:ind w:right="1"/>
              <w:jc w:val="center"/>
              <w:rPr>
                <w:rFonts w:ascii="宋体" w:hAnsi="宋体" w:cs="宋体" w:eastAsia="宋体" w:hint="default"/>
                <w:sz w:val="22"/>
                <w:szCs w:val="22"/>
              </w:rPr>
            </w:pPr>
            <w:r>
              <w:rPr>
                <w:rFonts w:ascii="宋体" w:hAnsi="宋体" w:cs="宋体" w:eastAsia="宋体" w:hint="default"/>
                <w:sz w:val="22"/>
                <w:szCs w:val="22"/>
              </w:rPr>
              <w:t>百分比</w:t>
            </w:r>
          </w:p>
        </w:tc>
      </w:tr>
      <w:tr>
        <w:trPr>
          <w:trHeight w:val="32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1" w:right="0"/>
              <w:jc w:val="left"/>
              <w:rPr>
                <w:rFonts w:ascii="宋体" w:hAnsi="宋体" w:cs="宋体" w:eastAsia="宋体" w:hint="default"/>
                <w:sz w:val="22"/>
                <w:szCs w:val="22"/>
              </w:rPr>
            </w:pPr>
            <w:r>
              <w:rPr>
                <w:rFonts w:ascii="宋体" w:hAnsi="宋体" w:cs="宋体" w:eastAsia="宋体" w:hint="default"/>
                <w:sz w:val="22"/>
                <w:szCs w:val="22"/>
              </w:rPr>
              <w:t>服务收入</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1,917.6</w:t>
            </w:r>
            <w:r>
              <w:rPr>
                <w:rFonts w:ascii="Arial"/>
                <w:sz w:val="22"/>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100.0%</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1,685.9</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100.0%</w:t>
            </w:r>
            <w:r>
              <w:rPr>
                <w:rFonts w:ascii="Arial"/>
                <w:sz w:val="22"/>
              </w:rPr>
            </w:r>
          </w:p>
        </w:tc>
      </w:tr>
      <w:tr>
        <w:trPr>
          <w:trHeight w:val="32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21" w:right="0"/>
              <w:jc w:val="left"/>
              <w:rPr>
                <w:rFonts w:ascii="宋体" w:hAnsi="宋体" w:cs="宋体" w:eastAsia="宋体" w:hint="default"/>
                <w:sz w:val="22"/>
                <w:szCs w:val="22"/>
              </w:rPr>
            </w:pPr>
            <w:r>
              <w:rPr>
                <w:rFonts w:ascii="宋体" w:hAnsi="宋体" w:cs="宋体" w:eastAsia="宋体" w:hint="default"/>
                <w:sz w:val="22"/>
                <w:szCs w:val="22"/>
              </w:rPr>
              <w:t>其中：移动业务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1,063.3</w:t>
            </w:r>
            <w:r>
              <w:rPr>
                <w:rFonts w:ascii="Arial"/>
                <w:sz w:val="22"/>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55.5%</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846.0</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50.2%</w:t>
            </w:r>
            <w:r>
              <w:rPr>
                <w:rFonts w:ascii="Arial"/>
                <w:sz w:val="22"/>
              </w:rPr>
            </w:r>
          </w:p>
        </w:tc>
      </w:tr>
      <w:tr>
        <w:trPr>
          <w:trHeight w:val="32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01" w:right="0"/>
              <w:jc w:val="left"/>
              <w:rPr>
                <w:rFonts w:ascii="Arial" w:hAnsi="Arial" w:cs="Arial" w:eastAsia="Arial" w:hint="default"/>
                <w:sz w:val="22"/>
                <w:szCs w:val="22"/>
              </w:rPr>
            </w:pPr>
            <w:r>
              <w:rPr>
                <w:rFonts w:ascii="宋体" w:hAnsi="宋体" w:cs="宋体" w:eastAsia="宋体" w:hint="default"/>
                <w:sz w:val="22"/>
                <w:szCs w:val="22"/>
              </w:rPr>
              <w:t>其中：</w:t>
            </w:r>
            <w:r>
              <w:rPr>
                <w:rFonts w:ascii="Arial" w:hAnsi="Arial" w:cs="Arial" w:eastAsia="Arial" w:hint="default"/>
                <w:sz w:val="22"/>
                <w:szCs w:val="22"/>
              </w:rPr>
              <w:t>2G</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725.4</w:t>
            </w:r>
            <w:r>
              <w:rPr>
                <w:rFonts w:ascii="Arial"/>
                <w:sz w:val="22"/>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37.8%</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726.7</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43.1%</w:t>
            </w:r>
            <w:r>
              <w:rPr>
                <w:rFonts w:ascii="Arial"/>
                <w:sz w:val="22"/>
              </w:rPr>
            </w:r>
          </w:p>
        </w:tc>
      </w:tr>
      <w:tr>
        <w:trPr>
          <w:trHeight w:val="32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15" w:right="0"/>
              <w:jc w:val="center"/>
              <w:rPr>
                <w:rFonts w:ascii="Arial" w:hAnsi="Arial" w:cs="Arial" w:eastAsia="Arial" w:hint="default"/>
                <w:sz w:val="22"/>
                <w:szCs w:val="22"/>
              </w:rPr>
            </w:pPr>
            <w:r>
              <w:rPr>
                <w:rFonts w:ascii="Arial"/>
                <w:sz w:val="22"/>
              </w:rPr>
              <w:t>3G</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337.9</w:t>
            </w:r>
            <w:r>
              <w:rPr>
                <w:rFonts w:ascii="Arial"/>
                <w:sz w:val="22"/>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17.6%</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119.3</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7.1%</w:t>
            </w:r>
            <w:r>
              <w:rPr>
                <w:rFonts w:ascii="Arial"/>
                <w:sz w:val="22"/>
              </w:rPr>
            </w:r>
          </w:p>
        </w:tc>
      </w:tr>
      <w:tr>
        <w:trPr>
          <w:trHeight w:val="32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981" w:right="0"/>
              <w:jc w:val="left"/>
              <w:rPr>
                <w:rFonts w:ascii="宋体" w:hAnsi="宋体" w:cs="宋体" w:eastAsia="宋体" w:hint="default"/>
                <w:sz w:val="22"/>
                <w:szCs w:val="22"/>
              </w:rPr>
            </w:pPr>
            <w:r>
              <w:rPr>
                <w:rFonts w:ascii="宋体" w:hAnsi="宋体" w:cs="宋体" w:eastAsia="宋体" w:hint="default"/>
                <w:sz w:val="22"/>
                <w:szCs w:val="22"/>
              </w:rPr>
              <w:t>固网业务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843.8</w:t>
            </w:r>
            <w:r>
              <w:rPr>
                <w:rFonts w:ascii="Arial"/>
                <w:sz w:val="22"/>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44.0%</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821.8</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48.7%</w:t>
            </w:r>
            <w:r>
              <w:rPr>
                <w:rFonts w:ascii="Arial"/>
                <w:sz w:val="22"/>
              </w:rPr>
            </w:r>
          </w:p>
        </w:tc>
      </w:tr>
      <w:tr>
        <w:trPr>
          <w:trHeight w:val="32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1" w:right="0"/>
              <w:jc w:val="left"/>
              <w:rPr>
                <w:rFonts w:ascii="宋体" w:hAnsi="宋体" w:cs="宋体" w:eastAsia="宋体" w:hint="default"/>
                <w:sz w:val="22"/>
                <w:szCs w:val="22"/>
              </w:rPr>
            </w:pPr>
            <w:r>
              <w:rPr>
                <w:rFonts w:ascii="宋体" w:hAnsi="宋体" w:cs="宋体" w:eastAsia="宋体" w:hint="default"/>
                <w:sz w:val="22"/>
                <w:szCs w:val="22"/>
              </w:rPr>
              <w:t>其中：本地电话</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351.2</w:t>
            </w:r>
            <w:r>
              <w:rPr>
                <w:rFonts w:ascii="Arial"/>
                <w:sz w:val="22"/>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18.3%</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413.1</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24.5%</w:t>
            </w:r>
            <w:r>
              <w:rPr>
                <w:rFonts w:ascii="Arial"/>
                <w:sz w:val="22"/>
              </w:rPr>
            </w:r>
          </w:p>
        </w:tc>
      </w:tr>
      <w:tr>
        <w:trPr>
          <w:trHeight w:val="32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685" w:right="0"/>
              <w:jc w:val="left"/>
              <w:rPr>
                <w:rFonts w:ascii="宋体" w:hAnsi="宋体" w:cs="宋体" w:eastAsia="宋体" w:hint="default"/>
                <w:sz w:val="22"/>
                <w:szCs w:val="22"/>
              </w:rPr>
            </w:pPr>
            <w:r>
              <w:rPr>
                <w:rFonts w:ascii="宋体" w:hAnsi="宋体" w:cs="宋体" w:eastAsia="宋体" w:hint="default"/>
                <w:sz w:val="22"/>
                <w:szCs w:val="22"/>
              </w:rPr>
              <w:t>宽带</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364.3</w:t>
            </w:r>
            <w:r>
              <w:rPr>
                <w:rFonts w:ascii="Arial"/>
                <w:sz w:val="22"/>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19.0%</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307.3</w:t>
            </w:r>
            <w:r>
              <w:rPr>
                <w:rFonts w:ascii="Arial"/>
                <w:sz w:val="2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18.2%</w:t>
            </w:r>
            <w:r>
              <w:rPr>
                <w:rFonts w:ascii="Arial"/>
                <w:sz w:val="22"/>
              </w:rPr>
            </w:r>
          </w:p>
        </w:tc>
      </w:tr>
    </w:tbl>
    <w:p>
      <w:pPr>
        <w:spacing w:line="240" w:lineRule="auto" w:before="2"/>
        <w:rPr>
          <w:rFonts w:ascii="宋体" w:hAnsi="宋体" w:cs="宋体" w:eastAsia="宋体" w:hint="default"/>
          <w:sz w:val="14"/>
          <w:szCs w:val="14"/>
        </w:rPr>
      </w:pPr>
    </w:p>
    <w:p>
      <w:pPr>
        <w:spacing w:before="31"/>
        <w:ind w:left="433" w:right="0" w:firstLine="0"/>
        <w:jc w:val="left"/>
        <w:rPr>
          <w:rFonts w:ascii="宋体" w:hAnsi="宋体" w:cs="宋体" w:eastAsia="宋体" w:hint="default"/>
          <w:sz w:val="22"/>
          <w:szCs w:val="22"/>
        </w:rPr>
      </w:pPr>
      <w:r>
        <w:rPr>
          <w:rFonts w:ascii="Arial" w:hAnsi="Arial" w:cs="Arial" w:eastAsia="Arial" w:hint="default"/>
          <w:b/>
          <w:bCs/>
          <w:sz w:val="22"/>
          <w:szCs w:val="22"/>
        </w:rPr>
        <w:t>3.2.1</w:t>
      </w:r>
      <w:r>
        <w:rPr>
          <w:rFonts w:ascii="Arial" w:hAnsi="Arial" w:cs="Arial" w:eastAsia="Arial" w:hint="default"/>
          <w:b/>
          <w:bCs/>
          <w:spacing w:val="-5"/>
          <w:sz w:val="22"/>
          <w:szCs w:val="22"/>
        </w:rPr>
        <w:t> </w:t>
      </w:r>
      <w:r>
        <w:rPr>
          <w:rFonts w:ascii="宋体" w:hAnsi="宋体" w:cs="宋体" w:eastAsia="宋体" w:hint="default"/>
          <w:sz w:val="22"/>
          <w:szCs w:val="22"/>
        </w:rPr>
        <w:t>移动业务</w:t>
      </w:r>
    </w:p>
    <w:p>
      <w:pPr>
        <w:spacing w:line="240" w:lineRule="auto" w:before="0"/>
        <w:rPr>
          <w:rFonts w:ascii="宋体" w:hAnsi="宋体" w:cs="宋体" w:eastAsia="宋体" w:hint="default"/>
          <w:sz w:val="20"/>
          <w:szCs w:val="20"/>
        </w:rPr>
      </w:pPr>
    </w:p>
    <w:p>
      <w:pPr>
        <w:pStyle w:val="BodyText"/>
        <w:spacing w:line="286" w:lineRule="exact"/>
        <w:ind w:left="821" w:right="124" w:firstLine="6"/>
        <w:jc w:val="left"/>
      </w:pPr>
      <w:r>
        <w:rPr>
          <w:rFonts w:ascii="Arial" w:hAnsi="Arial" w:cs="Arial" w:eastAsia="Arial" w:hint="default"/>
        </w:rPr>
        <w:t>2011</w:t>
      </w:r>
      <w:r>
        <w:rPr>
          <w:rFonts w:ascii="Arial" w:hAnsi="Arial" w:cs="Arial" w:eastAsia="Arial" w:hint="default"/>
          <w:spacing w:val="-13"/>
        </w:rPr>
        <w:t> </w:t>
      </w:r>
      <w:r>
        <w:rPr/>
        <w:t>年本公司移动业务实现快速增长，移动业务营业收入完成人民币</w:t>
      </w:r>
      <w:r>
        <w:rPr>
          <w:spacing w:val="-61"/>
        </w:rPr>
        <w:t> </w:t>
      </w:r>
      <w:r>
        <w:rPr>
          <w:rFonts w:ascii="Arial" w:hAnsi="Arial" w:cs="Arial" w:eastAsia="Arial" w:hint="default"/>
        </w:rPr>
        <w:t>1,302.2</w:t>
      </w:r>
      <w:r>
        <w:rPr>
          <w:rFonts w:ascii="Arial" w:hAnsi="Arial" w:cs="Arial" w:eastAsia="Arial" w:hint="default"/>
          <w:spacing w:val="-13"/>
        </w:rPr>
        <w:t> </w:t>
      </w:r>
      <w:r>
        <w:rPr>
          <w:spacing w:val="-4"/>
        </w:rPr>
        <w:t>亿元，其中</w:t>
      </w:r>
      <w:r>
        <w:rPr>
          <w:w w:val="99"/>
        </w:rPr>
        <w:t> </w:t>
      </w:r>
      <w:r>
        <w:rPr/>
        <w:t>服务收入为人民币</w:t>
      </w:r>
      <w:r>
        <w:rPr>
          <w:spacing w:val="-57"/>
        </w:rPr>
        <w:t> </w:t>
      </w:r>
      <w:r>
        <w:rPr>
          <w:rFonts w:ascii="Arial" w:hAnsi="Arial" w:cs="Arial" w:eastAsia="Arial" w:hint="default"/>
        </w:rPr>
        <w:t>1,063.3</w:t>
      </w:r>
      <w:r>
        <w:rPr>
          <w:rFonts w:ascii="Arial" w:hAnsi="Arial" w:cs="Arial" w:eastAsia="Arial" w:hint="default"/>
          <w:spacing w:val="-8"/>
        </w:rPr>
        <w:t> </w:t>
      </w:r>
      <w:r>
        <w:rPr/>
        <w:t>亿元，分别比上年增长</w:t>
      </w:r>
      <w:r>
        <w:rPr>
          <w:spacing w:val="-57"/>
        </w:rPr>
        <w:t> </w:t>
      </w:r>
      <w:r>
        <w:rPr>
          <w:rFonts w:ascii="Arial" w:hAnsi="Arial" w:cs="Arial" w:eastAsia="Arial" w:hint="default"/>
        </w:rPr>
        <w:t>41.3%</w:t>
      </w:r>
      <w:r>
        <w:rPr/>
        <w:t>和</w:t>
      </w:r>
      <w:r>
        <w:rPr>
          <w:spacing w:val="-57"/>
        </w:rPr>
        <w:t> </w:t>
      </w:r>
      <w:r>
        <w:rPr>
          <w:rFonts w:ascii="Arial" w:hAnsi="Arial" w:cs="Arial" w:eastAsia="Arial" w:hint="default"/>
        </w:rPr>
        <w:t>25.7%</w:t>
      </w:r>
      <w:r>
        <w:rPr/>
        <w:t>。全年移动增值服务收</w:t>
      </w:r>
      <w:r>
        <w:rPr>
          <w:w w:val="99"/>
        </w:rPr>
        <w:t> </w:t>
      </w:r>
      <w:r>
        <w:rPr/>
        <w:t>入达到人民币</w:t>
      </w:r>
      <w:r>
        <w:rPr>
          <w:spacing w:val="-56"/>
        </w:rPr>
        <w:t> </w:t>
      </w:r>
      <w:r>
        <w:rPr>
          <w:rFonts w:ascii="Arial" w:hAnsi="Arial" w:cs="Arial" w:eastAsia="Arial" w:hint="default"/>
        </w:rPr>
        <w:t>390.7</w:t>
      </w:r>
      <w:r>
        <w:rPr>
          <w:rFonts w:ascii="Arial" w:hAnsi="Arial" w:cs="Arial" w:eastAsia="Arial" w:hint="default"/>
          <w:spacing w:val="-7"/>
        </w:rPr>
        <w:t> </w:t>
      </w:r>
      <w:r>
        <w:rPr/>
        <w:t>亿元，比上年增长</w:t>
      </w:r>
      <w:r>
        <w:rPr>
          <w:spacing w:val="-56"/>
        </w:rPr>
        <w:t> </w:t>
      </w:r>
      <w:r>
        <w:rPr>
          <w:rFonts w:ascii="Arial" w:hAnsi="Arial" w:cs="Arial" w:eastAsia="Arial" w:hint="default"/>
        </w:rPr>
        <w:t>46.8%</w:t>
      </w:r>
      <w:r>
        <w:rPr/>
        <w:t>，所占移动业务服务收入的比重由上年的</w:t>
      </w:r>
      <w:r>
        <w:rPr>
          <w:w w:val="99"/>
        </w:rPr>
        <w:t> </w:t>
      </w:r>
      <w:r>
        <w:rPr>
          <w:rFonts w:ascii="Arial" w:hAnsi="Arial" w:cs="Arial" w:eastAsia="Arial" w:hint="default"/>
        </w:rPr>
        <w:t>31.5%</w:t>
      </w:r>
      <w:r>
        <w:rPr/>
        <w:t>上升至</w:t>
      </w:r>
      <w:r>
        <w:rPr>
          <w:spacing w:val="-60"/>
        </w:rPr>
        <w:t> </w:t>
      </w:r>
      <w:r>
        <w:rPr>
          <w:rFonts w:ascii="Arial" w:hAnsi="Arial" w:cs="Arial" w:eastAsia="Arial" w:hint="default"/>
        </w:rPr>
        <w:t>36.7%</w:t>
      </w:r>
      <w:r>
        <w:rPr/>
        <w:t>。</w:t>
      </w:r>
    </w:p>
    <w:p>
      <w:pPr>
        <w:spacing w:line="240" w:lineRule="auto" w:before="3"/>
        <w:rPr>
          <w:rFonts w:ascii="宋体" w:hAnsi="宋体" w:cs="宋体" w:eastAsia="宋体" w:hint="default"/>
          <w:sz w:val="19"/>
          <w:szCs w:val="19"/>
        </w:rPr>
      </w:pPr>
    </w:p>
    <w:p>
      <w:pPr>
        <w:pStyle w:val="BodyText"/>
        <w:spacing w:line="286" w:lineRule="exact"/>
        <w:ind w:left="821" w:right="196" w:firstLine="5"/>
        <w:jc w:val="left"/>
      </w:pPr>
      <w:r>
        <w:rPr/>
        <w:t>本公司</w:t>
      </w:r>
      <w:r>
        <w:rPr>
          <w:spacing w:val="-57"/>
        </w:rPr>
        <w:t> </w:t>
      </w:r>
      <w:r>
        <w:rPr>
          <w:rFonts w:ascii="Arial" w:hAnsi="Arial" w:cs="Arial" w:eastAsia="Arial" w:hint="default"/>
        </w:rPr>
        <w:t>3G</w:t>
      </w:r>
      <w:r>
        <w:rPr>
          <w:rFonts w:ascii="Arial" w:hAnsi="Arial" w:cs="Arial" w:eastAsia="Arial" w:hint="default"/>
          <w:spacing w:val="-8"/>
        </w:rPr>
        <w:t> </w:t>
      </w:r>
      <w:r>
        <w:rPr/>
        <w:t>业务继续保持快速发展，完成服务收入人民币</w:t>
      </w:r>
      <w:r>
        <w:rPr>
          <w:spacing w:val="-56"/>
        </w:rPr>
        <w:t> </w:t>
      </w:r>
      <w:r>
        <w:rPr>
          <w:rFonts w:ascii="Arial" w:hAnsi="Arial" w:cs="Arial" w:eastAsia="Arial" w:hint="default"/>
        </w:rPr>
        <w:t>337.9</w:t>
      </w:r>
      <w:r>
        <w:rPr>
          <w:rFonts w:ascii="Arial" w:hAnsi="Arial" w:cs="Arial" w:eastAsia="Arial" w:hint="default"/>
          <w:spacing w:val="-8"/>
        </w:rPr>
        <w:t> </w:t>
      </w:r>
      <w:r>
        <w:rPr/>
        <w:t>亿元，所占移动服务收入</w:t>
      </w:r>
      <w:r>
        <w:rPr>
          <w:w w:val="99"/>
        </w:rPr>
        <w:t> </w:t>
      </w:r>
      <w:r>
        <w:rPr/>
        <w:t>的比重由上年的</w:t>
      </w:r>
      <w:r>
        <w:rPr>
          <w:spacing w:val="-57"/>
        </w:rPr>
        <w:t> </w:t>
      </w:r>
      <w:r>
        <w:rPr>
          <w:rFonts w:ascii="Arial" w:hAnsi="Arial" w:cs="Arial" w:eastAsia="Arial" w:hint="default"/>
        </w:rPr>
        <w:t>14.1%</w:t>
      </w:r>
      <w:r>
        <w:rPr/>
        <w:t>上升至</w:t>
      </w:r>
      <w:r>
        <w:rPr>
          <w:spacing w:val="-57"/>
        </w:rPr>
        <w:t> </w:t>
      </w:r>
      <w:r>
        <w:rPr>
          <w:rFonts w:ascii="Arial" w:hAnsi="Arial" w:cs="Arial" w:eastAsia="Arial" w:hint="default"/>
        </w:rPr>
        <w:t>31.8%</w:t>
      </w:r>
      <w:r>
        <w:rPr/>
        <w:t>；</w:t>
      </w:r>
      <w:r>
        <w:rPr>
          <w:rFonts w:ascii="Arial" w:hAnsi="Arial" w:cs="Arial" w:eastAsia="Arial" w:hint="default"/>
        </w:rPr>
        <w:t>GSM</w:t>
      </w:r>
      <w:r>
        <w:rPr>
          <w:rFonts w:ascii="Arial" w:hAnsi="Arial" w:cs="Arial" w:eastAsia="Arial" w:hint="default"/>
          <w:spacing w:val="-9"/>
        </w:rPr>
        <w:t> </w:t>
      </w:r>
      <w:r>
        <w:rPr/>
        <w:t>业务基本平稳，完成服务收入人民币</w:t>
      </w:r>
      <w:r>
        <w:rPr>
          <w:spacing w:val="-56"/>
        </w:rPr>
        <w:t> </w:t>
      </w:r>
      <w:r>
        <w:rPr>
          <w:rFonts w:ascii="Arial" w:hAnsi="Arial" w:cs="Arial" w:eastAsia="Arial" w:hint="default"/>
        </w:rPr>
        <w:t>725.4</w:t>
      </w:r>
      <w:r>
        <w:rPr>
          <w:rFonts w:ascii="Arial" w:hAnsi="Arial" w:cs="Arial" w:eastAsia="Arial" w:hint="default"/>
          <w:w w:val="99"/>
        </w:rPr>
        <w:t> </w:t>
      </w:r>
      <w:r>
        <w:rPr/>
        <w:t>亿元，比上年下降</w:t>
      </w:r>
      <w:r>
        <w:rPr>
          <w:spacing w:val="-57"/>
        </w:rPr>
        <w:t> </w:t>
      </w:r>
      <w:r>
        <w:rPr>
          <w:rFonts w:ascii="Arial" w:hAnsi="Arial" w:cs="Arial" w:eastAsia="Arial" w:hint="default"/>
        </w:rPr>
        <w:t>0.2%</w:t>
      </w:r>
      <w:r>
        <w:rPr/>
        <w:t>。</w:t>
      </w:r>
    </w:p>
    <w:p>
      <w:pPr>
        <w:spacing w:line="240" w:lineRule="auto" w:before="1"/>
        <w:rPr>
          <w:rFonts w:ascii="宋体" w:hAnsi="宋体" w:cs="宋体" w:eastAsia="宋体" w:hint="default"/>
          <w:sz w:val="17"/>
          <w:szCs w:val="17"/>
        </w:rPr>
      </w:pPr>
    </w:p>
    <w:p>
      <w:pPr>
        <w:spacing w:before="0"/>
        <w:ind w:left="433" w:right="0" w:firstLine="0"/>
        <w:jc w:val="left"/>
        <w:rPr>
          <w:rFonts w:ascii="宋体" w:hAnsi="宋体" w:cs="宋体" w:eastAsia="宋体" w:hint="default"/>
          <w:sz w:val="22"/>
          <w:szCs w:val="22"/>
        </w:rPr>
      </w:pPr>
      <w:r>
        <w:rPr>
          <w:rFonts w:ascii="Arial" w:hAnsi="Arial" w:cs="Arial" w:eastAsia="Arial" w:hint="default"/>
          <w:b/>
          <w:bCs/>
          <w:sz w:val="22"/>
          <w:szCs w:val="22"/>
        </w:rPr>
        <w:t>3.2.2</w:t>
      </w:r>
      <w:r>
        <w:rPr>
          <w:rFonts w:ascii="Arial" w:hAnsi="Arial" w:cs="Arial" w:eastAsia="Arial" w:hint="default"/>
          <w:b/>
          <w:bCs/>
          <w:spacing w:val="-5"/>
          <w:sz w:val="22"/>
          <w:szCs w:val="22"/>
        </w:rPr>
        <w:t> </w:t>
      </w:r>
      <w:r>
        <w:rPr>
          <w:rFonts w:ascii="宋体" w:hAnsi="宋体" w:cs="宋体" w:eastAsia="宋体" w:hint="default"/>
          <w:sz w:val="22"/>
          <w:szCs w:val="22"/>
        </w:rPr>
        <w:t>固网业务</w:t>
      </w:r>
    </w:p>
    <w:p>
      <w:pPr>
        <w:spacing w:line="240" w:lineRule="auto" w:before="10"/>
        <w:rPr>
          <w:rFonts w:ascii="宋体" w:hAnsi="宋体" w:cs="宋体" w:eastAsia="宋体" w:hint="default"/>
          <w:sz w:val="18"/>
          <w:szCs w:val="18"/>
        </w:rPr>
      </w:pPr>
    </w:p>
    <w:p>
      <w:pPr>
        <w:pStyle w:val="BodyText"/>
        <w:spacing w:line="230" w:lineRule="auto"/>
        <w:ind w:left="821" w:right="137" w:firstLine="6"/>
        <w:jc w:val="both"/>
      </w:pPr>
      <w:r>
        <w:rPr>
          <w:rFonts w:ascii="Arial" w:hAnsi="Arial" w:cs="Arial" w:eastAsia="Arial" w:hint="default"/>
        </w:rPr>
        <w:t>2011</w:t>
      </w:r>
      <w:r>
        <w:rPr>
          <w:rFonts w:ascii="Arial" w:hAnsi="Arial" w:cs="Arial" w:eastAsia="Arial" w:hint="default"/>
          <w:spacing w:val="-7"/>
        </w:rPr>
        <w:t> </w:t>
      </w:r>
      <w:r>
        <w:rPr>
          <w:spacing w:val="-2"/>
        </w:rPr>
        <w:t>年本公司加大宽带业务及“沃家庭”等融合业务的拓展力度，努力减缓传统固话业务</w:t>
      </w:r>
      <w:r>
        <w:rPr>
          <w:w w:val="99"/>
        </w:rPr>
        <w:t> </w:t>
      </w:r>
      <w:r>
        <w:rPr/>
        <w:t>下滑趋势，固网业务结构持续优化，收入总体保持稳定，全年固网业务营业收入完成人民</w:t>
      </w:r>
      <w:r>
        <w:rPr>
          <w:w w:val="99"/>
        </w:rPr>
        <w:t> </w:t>
      </w:r>
      <w:r>
        <w:rPr/>
        <w:t>币</w:t>
      </w:r>
      <w:r>
        <w:rPr>
          <w:spacing w:val="-57"/>
        </w:rPr>
        <w:t> </w:t>
      </w:r>
      <w:r>
        <w:rPr>
          <w:rFonts w:ascii="Arial" w:hAnsi="Arial" w:cs="Arial" w:eastAsia="Arial" w:hint="default"/>
        </w:rPr>
        <w:t>844.5</w:t>
      </w:r>
      <w:r>
        <w:rPr>
          <w:rFonts w:ascii="Arial" w:hAnsi="Arial" w:cs="Arial" w:eastAsia="Arial" w:hint="default"/>
          <w:spacing w:val="-8"/>
        </w:rPr>
        <w:t> </w:t>
      </w:r>
      <w:r>
        <w:rPr/>
        <w:t>亿元，其中服务收入人民币</w:t>
      </w:r>
      <w:r>
        <w:rPr>
          <w:spacing w:val="-57"/>
        </w:rPr>
        <w:t> </w:t>
      </w:r>
      <w:r>
        <w:rPr>
          <w:rFonts w:ascii="Arial" w:hAnsi="Arial" w:cs="Arial" w:eastAsia="Arial" w:hint="default"/>
        </w:rPr>
        <w:t>843.8</w:t>
      </w:r>
      <w:r>
        <w:rPr>
          <w:rFonts w:ascii="Arial" w:hAnsi="Arial" w:cs="Arial" w:eastAsia="Arial" w:hint="default"/>
          <w:spacing w:val="-8"/>
        </w:rPr>
        <w:t> </w:t>
      </w:r>
      <w:r>
        <w:rPr/>
        <w:t>亿元，比上年增长</w:t>
      </w:r>
      <w:r>
        <w:rPr>
          <w:spacing w:val="-57"/>
        </w:rPr>
        <w:t> </w:t>
      </w:r>
      <w:r>
        <w:rPr>
          <w:rFonts w:ascii="Arial" w:hAnsi="Arial" w:cs="Arial" w:eastAsia="Arial" w:hint="default"/>
        </w:rPr>
        <w:t>2.7%</w:t>
      </w:r>
      <w:r>
        <w:rPr/>
        <w:t>。</w:t>
      </w:r>
    </w:p>
    <w:p>
      <w:pPr>
        <w:spacing w:line="240" w:lineRule="auto" w:before="4"/>
        <w:rPr>
          <w:rFonts w:ascii="宋体" w:hAnsi="宋体" w:cs="宋体" w:eastAsia="宋体" w:hint="default"/>
          <w:sz w:val="19"/>
          <w:szCs w:val="19"/>
        </w:rPr>
      </w:pPr>
    </w:p>
    <w:p>
      <w:pPr>
        <w:pStyle w:val="BodyText"/>
        <w:spacing w:line="225" w:lineRule="auto"/>
        <w:ind w:left="821" w:right="128" w:firstLine="6"/>
        <w:jc w:val="left"/>
      </w:pPr>
      <w:r>
        <w:rPr/>
        <w:t>其中，本公司固网宽带业务继续保持快速增长，全年服务收入达到人民币</w:t>
      </w:r>
      <w:r>
        <w:rPr>
          <w:spacing w:val="-57"/>
        </w:rPr>
        <w:t> </w:t>
      </w:r>
      <w:r>
        <w:rPr>
          <w:rFonts w:ascii="Arial" w:hAnsi="Arial" w:cs="Arial" w:eastAsia="Arial" w:hint="default"/>
        </w:rPr>
        <w:t>364.3</w:t>
      </w:r>
      <w:r>
        <w:rPr>
          <w:rFonts w:ascii="Arial" w:hAnsi="Arial" w:cs="Arial" w:eastAsia="Arial" w:hint="default"/>
          <w:spacing w:val="-8"/>
        </w:rPr>
        <w:t> </w:t>
      </w:r>
      <w:r>
        <w:rPr/>
        <w:t>亿元，比</w:t>
      </w:r>
      <w:r>
        <w:rPr>
          <w:w w:val="99"/>
        </w:rPr>
        <w:t> </w:t>
      </w:r>
      <w:r>
        <w:rPr/>
        <w:t>上年增长</w:t>
      </w:r>
      <w:r>
        <w:rPr>
          <w:spacing w:val="-64"/>
        </w:rPr>
        <w:t> </w:t>
      </w:r>
      <w:r>
        <w:rPr>
          <w:rFonts w:ascii="Arial" w:hAnsi="Arial" w:cs="Arial" w:eastAsia="Arial" w:hint="default"/>
        </w:rPr>
        <w:t>18.6%</w:t>
      </w:r>
      <w:r>
        <w:rPr/>
        <w:t>，所占固网业务服务收入的比重由上年的</w:t>
      </w:r>
      <w:r>
        <w:rPr>
          <w:spacing w:val="-63"/>
        </w:rPr>
        <w:t> </w:t>
      </w:r>
      <w:r>
        <w:rPr>
          <w:rFonts w:ascii="Arial" w:hAnsi="Arial" w:cs="Arial" w:eastAsia="Arial" w:hint="default"/>
        </w:rPr>
        <w:t>37.4%</w:t>
      </w:r>
      <w:r>
        <w:rPr/>
        <w:t>上升至</w:t>
      </w:r>
      <w:r>
        <w:rPr>
          <w:spacing w:val="-64"/>
        </w:rPr>
        <w:t> </w:t>
      </w:r>
      <w:r>
        <w:rPr>
          <w:rFonts w:ascii="Arial" w:hAnsi="Arial" w:cs="Arial" w:eastAsia="Arial" w:hint="default"/>
        </w:rPr>
        <w:t>43.2%</w:t>
      </w:r>
      <w:r>
        <w:rPr/>
        <w:t>；受固网语</w:t>
      </w:r>
      <w:r>
        <w:rPr>
          <w:w w:val="99"/>
        </w:rPr>
        <w:t> </w:t>
      </w:r>
      <w:r>
        <w:rPr/>
        <w:t>音使用量及资费水平下降的影响，本地电话业务（附注</w:t>
      </w:r>
      <w:r>
        <w:rPr>
          <w:spacing w:val="-56"/>
        </w:rPr>
        <w:t> </w:t>
      </w:r>
      <w:r>
        <w:rPr>
          <w:rFonts w:ascii="Arial" w:hAnsi="Arial" w:cs="Arial" w:eastAsia="Arial" w:hint="default"/>
        </w:rPr>
        <w:t>3</w:t>
      </w:r>
      <w:r>
        <w:rPr/>
        <w:t>）服务收入人民币实现</w:t>
      </w:r>
      <w:r>
        <w:rPr>
          <w:spacing w:val="-55"/>
        </w:rPr>
        <w:t> </w:t>
      </w:r>
      <w:r>
        <w:rPr>
          <w:rFonts w:ascii="Arial" w:hAnsi="Arial" w:cs="Arial" w:eastAsia="Arial" w:hint="default"/>
        </w:rPr>
        <w:t>351.2</w:t>
      </w:r>
      <w:r>
        <w:rPr>
          <w:rFonts w:ascii="Arial" w:hAnsi="Arial" w:cs="Arial" w:eastAsia="Arial" w:hint="default"/>
          <w:spacing w:val="-7"/>
        </w:rPr>
        <w:t> </w:t>
      </w:r>
      <w:r>
        <w:rPr/>
        <w:t>亿</w:t>
      </w:r>
      <w:r>
        <w:rPr>
          <w:w w:val="99"/>
        </w:rPr>
        <w:t> </w:t>
      </w:r>
      <w:r>
        <w:rPr/>
        <w:t>元，比上年下降</w:t>
      </w:r>
      <w:r>
        <w:rPr>
          <w:spacing w:val="-58"/>
        </w:rPr>
        <w:t> </w:t>
      </w:r>
      <w:r>
        <w:rPr>
          <w:rFonts w:ascii="Arial" w:hAnsi="Arial" w:cs="Arial" w:eastAsia="Arial" w:hint="default"/>
        </w:rPr>
        <w:t>15.0%</w:t>
      </w:r>
      <w:r>
        <w:rPr/>
        <w:t>。</w:t>
      </w:r>
    </w:p>
    <w:p>
      <w:pPr>
        <w:spacing w:line="240" w:lineRule="auto" w:before="2"/>
        <w:rPr>
          <w:rFonts w:ascii="宋体" w:hAnsi="宋体" w:cs="宋体" w:eastAsia="宋体" w:hint="default"/>
          <w:sz w:val="18"/>
          <w:szCs w:val="18"/>
        </w:rPr>
      </w:pPr>
    </w:p>
    <w:p>
      <w:pPr>
        <w:spacing w:before="0"/>
        <w:ind w:left="433" w:right="0" w:firstLine="0"/>
        <w:jc w:val="left"/>
        <w:rPr>
          <w:rFonts w:ascii="宋体" w:hAnsi="宋体" w:cs="宋体" w:eastAsia="宋体" w:hint="default"/>
          <w:sz w:val="22"/>
          <w:szCs w:val="22"/>
        </w:rPr>
      </w:pPr>
      <w:r>
        <w:rPr>
          <w:rFonts w:ascii="Arial" w:hAnsi="Arial" w:cs="Arial" w:eastAsia="Arial" w:hint="default"/>
          <w:b/>
          <w:bCs/>
          <w:sz w:val="22"/>
          <w:szCs w:val="22"/>
        </w:rPr>
        <w:t>3.3</w:t>
      </w:r>
      <w:r>
        <w:rPr>
          <w:rFonts w:ascii="Arial" w:hAnsi="Arial" w:cs="Arial" w:eastAsia="Arial" w:hint="default"/>
          <w:b/>
          <w:bCs/>
          <w:spacing w:val="-5"/>
          <w:sz w:val="22"/>
          <w:szCs w:val="22"/>
        </w:rPr>
        <w:t> </w:t>
      </w:r>
      <w:r>
        <w:rPr>
          <w:rFonts w:ascii="宋体" w:hAnsi="宋体" w:cs="宋体" w:eastAsia="宋体" w:hint="default"/>
          <w:sz w:val="22"/>
          <w:szCs w:val="22"/>
        </w:rPr>
        <w:t>成本费用</w:t>
      </w:r>
    </w:p>
    <w:p>
      <w:pPr>
        <w:spacing w:line="240" w:lineRule="auto" w:before="12"/>
        <w:rPr>
          <w:rFonts w:ascii="宋体" w:hAnsi="宋体" w:cs="宋体" w:eastAsia="宋体" w:hint="default"/>
          <w:sz w:val="17"/>
          <w:szCs w:val="17"/>
        </w:rPr>
      </w:pPr>
    </w:p>
    <w:p>
      <w:pPr>
        <w:pStyle w:val="BodyText"/>
        <w:spacing w:line="240" w:lineRule="auto"/>
        <w:ind w:left="827" w:right="0"/>
        <w:jc w:val="left"/>
      </w:pPr>
      <w:r>
        <w:rPr>
          <w:rFonts w:ascii="Arial" w:hAnsi="Arial" w:cs="Arial" w:eastAsia="Arial" w:hint="default"/>
        </w:rPr>
        <w:t>2011</w:t>
      </w:r>
      <w:r>
        <w:rPr>
          <w:rFonts w:ascii="Arial" w:hAnsi="Arial" w:cs="Arial" w:eastAsia="Arial" w:hint="default"/>
          <w:spacing w:val="-8"/>
        </w:rPr>
        <w:t> </w:t>
      </w:r>
      <w:r>
        <w:rPr/>
        <w:t>年本公司成本费用（附注</w:t>
      </w:r>
      <w:r>
        <w:rPr>
          <w:spacing w:val="-57"/>
        </w:rPr>
        <w:t> </w:t>
      </w:r>
      <w:r>
        <w:rPr>
          <w:rFonts w:ascii="Arial" w:hAnsi="Arial" w:cs="Arial" w:eastAsia="Arial" w:hint="default"/>
        </w:rPr>
        <w:t>4</w:t>
      </w:r>
      <w:r>
        <w:rPr/>
        <w:t>）合计为人民币</w:t>
      </w:r>
      <w:r>
        <w:rPr>
          <w:spacing w:val="-57"/>
        </w:rPr>
        <w:t> </w:t>
      </w:r>
      <w:r>
        <w:rPr>
          <w:rFonts w:ascii="Arial" w:hAnsi="Arial" w:cs="Arial" w:eastAsia="Arial" w:hint="default"/>
        </w:rPr>
        <w:t>2,026.1</w:t>
      </w:r>
      <w:r>
        <w:rPr>
          <w:rFonts w:ascii="Arial" w:hAnsi="Arial" w:cs="Arial" w:eastAsia="Arial" w:hint="default"/>
          <w:spacing w:val="-8"/>
        </w:rPr>
        <w:t> </w:t>
      </w:r>
      <w:r>
        <w:rPr/>
        <w:t>亿元，比上年增长</w:t>
      </w:r>
      <w:r>
        <w:rPr>
          <w:spacing w:val="-57"/>
        </w:rPr>
        <w:t> </w:t>
      </w:r>
      <w:r>
        <w:rPr>
          <w:rFonts w:ascii="Arial" w:hAnsi="Arial" w:cs="Arial" w:eastAsia="Arial" w:hint="default"/>
        </w:rPr>
        <w:t>22.6%</w:t>
      </w:r>
      <w:r>
        <w:rPr/>
        <w:t>。</w:t>
      </w:r>
    </w:p>
    <w:p>
      <w:pPr>
        <w:spacing w:line="240" w:lineRule="auto" w:before="2"/>
        <w:rPr>
          <w:rFonts w:ascii="宋体" w:hAnsi="宋体" w:cs="宋体" w:eastAsia="宋体" w:hint="default"/>
          <w:sz w:val="20"/>
          <w:szCs w:val="20"/>
        </w:rPr>
      </w:pPr>
    </w:p>
    <w:p>
      <w:pPr>
        <w:pStyle w:val="BodyText"/>
        <w:spacing w:line="286" w:lineRule="exact"/>
        <w:ind w:left="821" w:right="124" w:firstLine="6"/>
        <w:jc w:val="left"/>
      </w:pPr>
      <w:r>
        <w:rPr/>
        <w:t>下表列出了</w:t>
      </w:r>
      <w:r>
        <w:rPr>
          <w:spacing w:val="-72"/>
        </w:rPr>
        <w:t> </w:t>
      </w:r>
      <w:r>
        <w:rPr>
          <w:rFonts w:ascii="Arial" w:hAnsi="Arial" w:cs="Arial" w:eastAsia="Arial" w:hint="default"/>
        </w:rPr>
        <w:t>2011</w:t>
      </w:r>
      <w:r>
        <w:rPr>
          <w:rFonts w:ascii="Arial" w:hAnsi="Arial" w:cs="Arial" w:eastAsia="Arial" w:hint="default"/>
          <w:spacing w:val="-24"/>
        </w:rPr>
        <w:t> </w:t>
      </w:r>
      <w:r>
        <w:rPr/>
        <w:t>年和</w:t>
      </w:r>
      <w:r>
        <w:rPr>
          <w:spacing w:val="-73"/>
        </w:rPr>
        <w:t> </w:t>
      </w:r>
      <w:r>
        <w:rPr>
          <w:rFonts w:ascii="Arial" w:hAnsi="Arial" w:cs="Arial" w:eastAsia="Arial" w:hint="default"/>
        </w:rPr>
        <w:t>2010</w:t>
      </w:r>
      <w:r>
        <w:rPr>
          <w:rFonts w:ascii="Arial" w:hAnsi="Arial" w:cs="Arial" w:eastAsia="Arial" w:hint="default"/>
          <w:spacing w:val="-24"/>
        </w:rPr>
        <w:t> </w:t>
      </w:r>
      <w:r>
        <w:rPr/>
        <w:t>年本公司成本费用项目以及每个项目所占营业收入的百分比变</w:t>
      </w:r>
      <w:r>
        <w:rPr>
          <w:w w:val="99"/>
        </w:rPr>
        <w:t> </w:t>
      </w:r>
      <w:r>
        <w:rPr/>
        <w:t>化情况：</w:t>
      </w:r>
    </w:p>
    <w:p>
      <w:pPr>
        <w:spacing w:after="0" w:line="286" w:lineRule="exact"/>
        <w:jc w:val="left"/>
        <w:sectPr>
          <w:pgSz w:w="11900" w:h="16840"/>
          <w:pgMar w:header="927" w:footer="752" w:top="1160" w:bottom="940" w:left="134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788" w:type="dxa"/>
        <w:tblLayout w:type="fixed"/>
        <w:tblCellMar>
          <w:top w:w="0" w:type="dxa"/>
          <w:left w:w="0" w:type="dxa"/>
          <w:bottom w:w="0" w:type="dxa"/>
          <w:right w:w="0" w:type="dxa"/>
        </w:tblCellMar>
        <w:tblLook w:val="01E0"/>
      </w:tblPr>
      <w:tblGrid>
        <w:gridCol w:w="4050"/>
        <w:gridCol w:w="1134"/>
        <w:gridCol w:w="1144"/>
        <w:gridCol w:w="1080"/>
        <w:gridCol w:w="1296"/>
      </w:tblGrid>
      <w:tr>
        <w:trPr>
          <w:trHeight w:val="326" w:hRule="exact"/>
        </w:trPr>
        <w:tc>
          <w:tcPr>
            <w:tcW w:w="40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47" w:right="0"/>
              <w:jc w:val="left"/>
              <w:rPr>
                <w:rFonts w:ascii="宋体" w:hAnsi="宋体" w:cs="宋体" w:eastAsia="宋体" w:hint="default"/>
                <w:sz w:val="22"/>
                <w:szCs w:val="22"/>
              </w:rPr>
            </w:pPr>
            <w:r>
              <w:rPr>
                <w:rFonts w:ascii="宋体" w:hAnsi="宋体" w:cs="宋体" w:eastAsia="宋体" w:hint="default"/>
                <w:sz w:val="22"/>
                <w:szCs w:val="22"/>
              </w:rPr>
              <w:t>（人民币亿元）</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49"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81" w:hRule="exact"/>
        </w:trPr>
        <w:tc>
          <w:tcPr>
            <w:tcW w:w="405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40"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27" w:right="0"/>
              <w:jc w:val="left"/>
              <w:rPr>
                <w:rFonts w:ascii="宋体" w:hAnsi="宋体" w:cs="宋体" w:eastAsia="宋体" w:hint="default"/>
                <w:sz w:val="22"/>
                <w:szCs w:val="22"/>
              </w:rPr>
            </w:pPr>
            <w:r>
              <w:rPr>
                <w:rFonts w:ascii="宋体" w:hAnsi="宋体" w:cs="宋体" w:eastAsia="宋体" w:hint="default"/>
                <w:sz w:val="22"/>
                <w:szCs w:val="22"/>
              </w:rPr>
              <w:t>占营业收</w:t>
            </w:r>
          </w:p>
          <w:p>
            <w:pPr>
              <w:pStyle w:val="TableParagraph"/>
              <w:spacing w:line="286" w:lineRule="exact"/>
              <w:ind w:left="127" w:right="0"/>
              <w:jc w:val="left"/>
              <w:rPr>
                <w:rFonts w:ascii="宋体" w:hAnsi="宋体" w:cs="宋体" w:eastAsia="宋体" w:hint="default"/>
                <w:sz w:val="22"/>
                <w:szCs w:val="22"/>
              </w:rPr>
            </w:pPr>
            <w:r>
              <w:rPr>
                <w:rFonts w:ascii="宋体" w:hAnsi="宋体" w:cs="宋体" w:eastAsia="宋体" w:hint="default"/>
                <w:sz w:val="22"/>
                <w:szCs w:val="22"/>
              </w:rPr>
              <w:t>入百分比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13"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01" w:right="0"/>
              <w:jc w:val="left"/>
              <w:rPr>
                <w:rFonts w:ascii="宋体" w:hAnsi="宋体" w:cs="宋体" w:eastAsia="宋体" w:hint="default"/>
                <w:sz w:val="22"/>
                <w:szCs w:val="22"/>
              </w:rPr>
            </w:pPr>
            <w:r>
              <w:rPr>
                <w:rFonts w:ascii="宋体" w:hAnsi="宋体" w:cs="宋体" w:eastAsia="宋体" w:hint="default"/>
                <w:sz w:val="22"/>
                <w:szCs w:val="22"/>
              </w:rPr>
              <w:t>占营业收</w:t>
            </w:r>
          </w:p>
          <w:p>
            <w:pPr>
              <w:pStyle w:val="TableParagraph"/>
              <w:spacing w:line="286" w:lineRule="exact"/>
              <w:ind w:left="201" w:right="0"/>
              <w:jc w:val="left"/>
              <w:rPr>
                <w:rFonts w:ascii="宋体" w:hAnsi="宋体" w:cs="宋体" w:eastAsia="宋体" w:hint="default"/>
                <w:sz w:val="22"/>
                <w:szCs w:val="22"/>
              </w:rPr>
            </w:pPr>
            <w:r>
              <w:rPr>
                <w:rFonts w:ascii="宋体" w:hAnsi="宋体" w:cs="宋体" w:eastAsia="宋体" w:hint="default"/>
                <w:sz w:val="22"/>
                <w:szCs w:val="22"/>
              </w:rPr>
              <w:t>入百分比</w:t>
            </w:r>
          </w:p>
        </w:tc>
      </w:tr>
      <w:tr>
        <w:trPr>
          <w:trHeight w:val="328"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2,026.1</w:t>
            </w:r>
            <w:r>
              <w:rPr>
                <w:rFonts w:ascii="Arial"/>
                <w:sz w:val="22"/>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94.0%</w:t>
            </w:r>
            <w:r>
              <w:rPr>
                <w:rFonts w:ascii="Arial"/>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1,652.5</w:t>
            </w:r>
            <w:r>
              <w:rPr>
                <w:rFonts w:ascii="Arial"/>
                <w:sz w:val="22"/>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93.9%</w:t>
            </w:r>
            <w:r>
              <w:rPr>
                <w:rFonts w:ascii="Arial"/>
                <w:sz w:val="22"/>
              </w:rPr>
            </w:r>
          </w:p>
        </w:tc>
      </w:tr>
      <w:tr>
        <w:trPr>
          <w:trHeight w:val="326"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1" w:right="0"/>
              <w:jc w:val="left"/>
              <w:rPr>
                <w:rFonts w:ascii="宋体" w:hAnsi="宋体" w:cs="宋体" w:eastAsia="宋体" w:hint="default"/>
                <w:sz w:val="22"/>
                <w:szCs w:val="22"/>
              </w:rPr>
            </w:pPr>
            <w:r>
              <w:rPr>
                <w:rFonts w:ascii="宋体" w:hAnsi="宋体" w:cs="宋体" w:eastAsia="宋体" w:hint="default"/>
                <w:sz w:val="22"/>
                <w:szCs w:val="22"/>
              </w:rPr>
              <w:t>其中：网间结算支出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163.8</w:t>
            </w:r>
            <w:r>
              <w:rPr>
                <w:rFonts w:ascii="Arial"/>
                <w:sz w:val="22"/>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7.6%</w:t>
            </w:r>
            <w:r>
              <w:rPr>
                <w:rFonts w:ascii="Arial"/>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137.3</w:t>
            </w:r>
            <w:r>
              <w:rPr>
                <w:rFonts w:ascii="Arial"/>
                <w:sz w:val="22"/>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7.8%</w:t>
            </w:r>
            <w:r>
              <w:rPr>
                <w:rFonts w:ascii="Arial"/>
                <w:sz w:val="22"/>
              </w:rPr>
            </w:r>
          </w:p>
        </w:tc>
      </w:tr>
      <w:tr>
        <w:trPr>
          <w:trHeight w:val="328"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761" w:right="0"/>
              <w:jc w:val="left"/>
              <w:rPr>
                <w:rFonts w:ascii="宋体" w:hAnsi="宋体" w:cs="宋体" w:eastAsia="宋体" w:hint="default"/>
                <w:sz w:val="22"/>
                <w:szCs w:val="22"/>
              </w:rPr>
            </w:pPr>
            <w:r>
              <w:rPr>
                <w:rFonts w:ascii="宋体" w:hAnsi="宋体" w:cs="宋体" w:eastAsia="宋体" w:hint="default"/>
                <w:sz w:val="22"/>
                <w:szCs w:val="22"/>
              </w:rPr>
              <w:t>折旧及摊销（注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581.9</w:t>
            </w:r>
            <w:r>
              <w:rPr>
                <w:rFonts w:ascii="Arial"/>
                <w:sz w:val="22"/>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27.0%</w:t>
            </w:r>
            <w:r>
              <w:rPr>
                <w:rFonts w:ascii="Arial"/>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547.9</w:t>
            </w:r>
            <w:r>
              <w:rPr>
                <w:rFonts w:ascii="Arial"/>
                <w:sz w:val="22"/>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31.1%</w:t>
            </w:r>
            <w:r>
              <w:rPr>
                <w:rFonts w:ascii="Arial"/>
                <w:sz w:val="22"/>
              </w:rPr>
            </w:r>
          </w:p>
        </w:tc>
      </w:tr>
      <w:tr>
        <w:trPr>
          <w:trHeight w:val="326"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61" w:right="0"/>
              <w:jc w:val="left"/>
              <w:rPr>
                <w:rFonts w:ascii="宋体" w:hAnsi="宋体" w:cs="宋体" w:eastAsia="宋体" w:hint="default"/>
                <w:sz w:val="22"/>
                <w:szCs w:val="22"/>
              </w:rPr>
            </w:pPr>
            <w:r>
              <w:rPr>
                <w:rFonts w:ascii="宋体" w:hAnsi="宋体" w:cs="宋体" w:eastAsia="宋体" w:hint="default"/>
                <w:sz w:val="22"/>
                <w:szCs w:val="22"/>
              </w:rPr>
              <w:t>网络运行及支撑成本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294.5</w:t>
            </w:r>
            <w:r>
              <w:rPr>
                <w:rFonts w:ascii="Arial"/>
                <w:sz w:val="22"/>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13.7%</w:t>
            </w:r>
            <w:r>
              <w:rPr>
                <w:rFonts w:ascii="Arial"/>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263.9</w:t>
            </w:r>
            <w:r>
              <w:rPr>
                <w:rFonts w:ascii="Arial"/>
                <w:sz w:val="22"/>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15.0%</w:t>
            </w:r>
            <w:r>
              <w:rPr>
                <w:rFonts w:ascii="Arial"/>
                <w:sz w:val="22"/>
              </w:rPr>
            </w:r>
          </w:p>
        </w:tc>
      </w:tr>
      <w:tr>
        <w:trPr>
          <w:trHeight w:val="328"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761" w:right="0"/>
              <w:jc w:val="left"/>
              <w:rPr>
                <w:rFonts w:ascii="宋体" w:hAnsi="宋体" w:cs="宋体" w:eastAsia="宋体" w:hint="default"/>
                <w:sz w:val="22"/>
                <w:szCs w:val="22"/>
              </w:rPr>
            </w:pPr>
            <w:r>
              <w:rPr>
                <w:rFonts w:ascii="宋体" w:hAnsi="宋体" w:cs="宋体" w:eastAsia="宋体" w:hint="default"/>
                <w:sz w:val="22"/>
                <w:szCs w:val="22"/>
              </w:rPr>
              <w:t>人工成本（注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266.0</w:t>
            </w:r>
            <w:r>
              <w:rPr>
                <w:rFonts w:ascii="Arial"/>
                <w:sz w:val="22"/>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12.3%</w:t>
            </w:r>
            <w:r>
              <w:rPr>
                <w:rFonts w:ascii="Arial"/>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233.5</w:t>
            </w:r>
            <w:r>
              <w:rPr>
                <w:rFonts w:ascii="Arial"/>
                <w:sz w:val="22"/>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13.3%</w:t>
            </w:r>
            <w:r>
              <w:rPr>
                <w:rFonts w:ascii="Arial"/>
                <w:sz w:val="22"/>
              </w:rPr>
            </w:r>
          </w:p>
        </w:tc>
      </w:tr>
      <w:tr>
        <w:trPr>
          <w:trHeight w:val="326"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61" w:right="0"/>
              <w:jc w:val="left"/>
              <w:rPr>
                <w:rFonts w:ascii="宋体" w:hAnsi="宋体" w:cs="宋体" w:eastAsia="宋体" w:hint="default"/>
                <w:sz w:val="22"/>
                <w:szCs w:val="22"/>
              </w:rPr>
            </w:pPr>
            <w:r>
              <w:rPr>
                <w:rFonts w:ascii="宋体" w:hAnsi="宋体" w:cs="宋体" w:eastAsia="宋体" w:hint="default"/>
                <w:sz w:val="22"/>
                <w:szCs w:val="22"/>
              </w:rPr>
              <w:t>销售通信产品成本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297.4</w:t>
            </w:r>
            <w:r>
              <w:rPr>
                <w:rFonts w:ascii="Arial"/>
                <w:sz w:val="22"/>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13.8%</w:t>
            </w:r>
            <w:r>
              <w:rPr>
                <w:rFonts w:ascii="Arial"/>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106.9</w:t>
            </w:r>
            <w:r>
              <w:rPr>
                <w:rFonts w:ascii="Arial"/>
                <w:sz w:val="22"/>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6.1%</w:t>
            </w:r>
            <w:r>
              <w:rPr>
                <w:rFonts w:ascii="Arial"/>
                <w:sz w:val="22"/>
              </w:rPr>
            </w:r>
          </w:p>
        </w:tc>
      </w:tr>
      <w:tr>
        <w:trPr>
          <w:trHeight w:val="328"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761" w:right="0"/>
              <w:jc w:val="left"/>
              <w:rPr>
                <w:rFonts w:ascii="宋体" w:hAnsi="宋体" w:cs="宋体" w:eastAsia="宋体" w:hint="default"/>
                <w:sz w:val="22"/>
                <w:szCs w:val="22"/>
              </w:rPr>
            </w:pPr>
            <w:r>
              <w:rPr>
                <w:rFonts w:ascii="宋体" w:hAnsi="宋体" w:cs="宋体" w:eastAsia="宋体" w:hint="default"/>
                <w:sz w:val="22"/>
                <w:szCs w:val="22"/>
              </w:rPr>
              <w:t>其他营业成本及管理费用（注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122.6</w:t>
            </w:r>
            <w:r>
              <w:rPr>
                <w:rFonts w:ascii="Arial"/>
                <w:sz w:val="22"/>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5.7%</w:t>
            </w:r>
            <w:r>
              <w:rPr>
                <w:rFonts w:ascii="Arial"/>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109.5</w:t>
            </w:r>
            <w:r>
              <w:rPr>
                <w:rFonts w:ascii="Arial"/>
                <w:sz w:val="22"/>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6.2%</w:t>
            </w:r>
            <w:r>
              <w:rPr>
                <w:rFonts w:ascii="Arial"/>
                <w:sz w:val="22"/>
              </w:rPr>
            </w:r>
          </w:p>
        </w:tc>
      </w:tr>
      <w:tr>
        <w:trPr>
          <w:trHeight w:val="326"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61" w:right="0"/>
              <w:jc w:val="left"/>
              <w:rPr>
                <w:rFonts w:ascii="宋体" w:hAnsi="宋体" w:cs="宋体" w:eastAsia="宋体" w:hint="default"/>
                <w:sz w:val="22"/>
                <w:szCs w:val="22"/>
              </w:rPr>
            </w:pPr>
            <w:r>
              <w:rPr>
                <w:rFonts w:ascii="宋体" w:hAnsi="宋体" w:cs="宋体" w:eastAsia="宋体" w:hint="default"/>
                <w:sz w:val="22"/>
                <w:szCs w:val="22"/>
              </w:rPr>
              <w:t>营业费用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287.5</w:t>
            </w:r>
            <w:r>
              <w:rPr>
                <w:rFonts w:ascii="Arial"/>
                <w:sz w:val="22"/>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22"/>
                <w:szCs w:val="22"/>
              </w:rPr>
            </w:pPr>
            <w:r>
              <w:rPr>
                <w:rFonts w:ascii="Arial"/>
                <w:w w:val="95"/>
                <w:sz w:val="22"/>
              </w:rPr>
              <w:t>13.3%</w:t>
            </w:r>
            <w:r>
              <w:rPr>
                <w:rFonts w:ascii="Arial"/>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237.3</w:t>
            </w:r>
            <w:r>
              <w:rPr>
                <w:rFonts w:ascii="Arial"/>
                <w:sz w:val="22"/>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22"/>
                <w:szCs w:val="22"/>
              </w:rPr>
            </w:pPr>
            <w:r>
              <w:rPr>
                <w:rFonts w:ascii="Arial"/>
                <w:w w:val="95"/>
                <w:sz w:val="22"/>
              </w:rPr>
              <w:t>13.5%</w:t>
            </w:r>
            <w:r>
              <w:rPr>
                <w:rFonts w:ascii="Arial"/>
                <w:sz w:val="22"/>
              </w:rPr>
            </w:r>
          </w:p>
        </w:tc>
      </w:tr>
      <w:tr>
        <w:trPr>
          <w:trHeight w:val="328"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761"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12.4</w:t>
            </w:r>
            <w:r>
              <w:rPr>
                <w:rFonts w:ascii="Arial"/>
                <w:sz w:val="22"/>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2"/>
                <w:szCs w:val="22"/>
              </w:rPr>
            </w:pPr>
            <w:r>
              <w:rPr>
                <w:rFonts w:ascii="Arial"/>
                <w:w w:val="95"/>
                <w:sz w:val="22"/>
              </w:rPr>
              <w:t>0.6%</w:t>
            </w:r>
            <w:r>
              <w:rPr>
                <w:rFonts w:ascii="Arial"/>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16.2</w:t>
            </w:r>
            <w:r>
              <w:rPr>
                <w:rFonts w:ascii="Arial"/>
                <w:sz w:val="22"/>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2"/>
                <w:szCs w:val="22"/>
              </w:rPr>
            </w:pPr>
            <w:r>
              <w:rPr>
                <w:rFonts w:ascii="Arial"/>
                <w:w w:val="95"/>
                <w:sz w:val="22"/>
              </w:rPr>
              <w:t>0.9%</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803" w:right="0"/>
        <w:jc w:val="left"/>
      </w:pPr>
      <w:r>
        <w:rPr/>
        <w:t>注</w:t>
      </w:r>
      <w:r>
        <w:rPr>
          <w:spacing w:val="-58"/>
        </w:rPr>
        <w:t> </w:t>
      </w:r>
      <w:r>
        <w:rPr>
          <w:rFonts w:ascii="Arial" w:hAnsi="Arial" w:cs="Arial" w:eastAsia="Arial" w:hint="default"/>
          <w:spacing w:val="-3"/>
        </w:rPr>
        <w:t>1</w:t>
      </w:r>
      <w:r>
        <w:rPr>
          <w:spacing w:val="-3"/>
        </w:rPr>
        <w:t>：上述“折旧及摊销”和“人工成本”为营业成本及管理费用中相同性质的数据的总额。</w:t>
      </w:r>
    </w:p>
    <w:p>
      <w:pPr>
        <w:spacing w:line="240" w:lineRule="auto" w:before="0"/>
        <w:rPr>
          <w:rFonts w:ascii="宋体" w:hAnsi="宋体" w:cs="宋体" w:eastAsia="宋体" w:hint="default"/>
          <w:sz w:val="20"/>
          <w:szCs w:val="20"/>
        </w:rPr>
      </w:pPr>
    </w:p>
    <w:p>
      <w:pPr>
        <w:pStyle w:val="BodyText"/>
        <w:spacing w:line="286" w:lineRule="exact"/>
        <w:ind w:left="1423" w:right="419" w:hanging="621"/>
        <w:jc w:val="left"/>
      </w:pPr>
      <w:r>
        <w:rPr/>
        <w:t>注</w:t>
      </w:r>
      <w:r>
        <w:rPr>
          <w:spacing w:val="-54"/>
        </w:rPr>
        <w:t> </w:t>
      </w:r>
      <w:r>
        <w:rPr>
          <w:rFonts w:ascii="Arial" w:hAnsi="Arial" w:cs="Arial" w:eastAsia="Arial" w:hint="default"/>
        </w:rPr>
        <w:t>2</w:t>
      </w:r>
      <w:r>
        <w:rPr/>
        <w:t>：上述“其他营业成本及管理费用”为营业成本及管理费用合计扣除网间结算支出、</w:t>
      </w:r>
      <w:r>
        <w:rPr>
          <w:w w:val="99"/>
        </w:rPr>
        <w:t> </w:t>
      </w:r>
      <w:r>
        <w:rPr/>
        <w:t>折旧及摊销、网络运行及支撑成本、人工成本及销售通信产品成本后的数据。</w:t>
      </w:r>
    </w:p>
    <w:p>
      <w:pPr>
        <w:spacing w:line="240" w:lineRule="auto" w:before="2"/>
        <w:rPr>
          <w:rFonts w:ascii="宋体" w:hAnsi="宋体" w:cs="宋体" w:eastAsia="宋体" w:hint="default"/>
          <w:sz w:val="17"/>
          <w:szCs w:val="17"/>
        </w:rPr>
      </w:pPr>
    </w:p>
    <w:p>
      <w:pPr>
        <w:pStyle w:val="BodyText"/>
        <w:spacing w:line="240" w:lineRule="auto"/>
        <w:ind w:left="803" w:right="0"/>
        <w:jc w:val="left"/>
      </w:pPr>
      <w:r>
        <w:rPr/>
        <w:t>网间结算支出</w:t>
      </w:r>
    </w:p>
    <w:p>
      <w:pPr>
        <w:spacing w:line="240" w:lineRule="auto" w:before="3"/>
        <w:rPr>
          <w:rFonts w:ascii="宋体" w:hAnsi="宋体" w:cs="宋体" w:eastAsia="宋体" w:hint="default"/>
          <w:sz w:val="21"/>
          <w:szCs w:val="21"/>
        </w:rPr>
      </w:pPr>
    </w:p>
    <w:p>
      <w:pPr>
        <w:pStyle w:val="BodyText"/>
        <w:spacing w:line="286" w:lineRule="exact"/>
        <w:ind w:left="821" w:right="217" w:firstLine="6"/>
        <w:jc w:val="left"/>
      </w:pPr>
      <w:r>
        <w:rPr>
          <w:rFonts w:ascii="Arial" w:hAnsi="Arial" w:cs="Arial" w:eastAsia="Arial" w:hint="default"/>
        </w:rPr>
        <w:t>2011</w:t>
      </w:r>
      <w:r>
        <w:rPr>
          <w:rFonts w:ascii="Arial" w:hAnsi="Arial" w:cs="Arial" w:eastAsia="Arial" w:hint="default"/>
          <w:spacing w:val="-30"/>
        </w:rPr>
        <w:t> </w:t>
      </w:r>
      <w:r>
        <w:rPr/>
        <w:t>年随着本公司用户和收入的快速增长，网间去话量同步增长，全年网间结算支出发生</w:t>
      </w:r>
      <w:r>
        <w:rPr>
          <w:w w:val="99"/>
        </w:rPr>
        <w:t> </w:t>
      </w:r>
      <w:r>
        <w:rPr/>
        <w:t>人民币</w:t>
      </w:r>
      <w:r>
        <w:rPr>
          <w:spacing w:val="-55"/>
        </w:rPr>
        <w:t> </w:t>
      </w:r>
      <w:r>
        <w:rPr>
          <w:rFonts w:ascii="Arial" w:hAnsi="Arial" w:cs="Arial" w:eastAsia="Arial" w:hint="default"/>
        </w:rPr>
        <w:t>163.8</w:t>
      </w:r>
      <w:r>
        <w:rPr>
          <w:rFonts w:ascii="Arial" w:hAnsi="Arial" w:cs="Arial" w:eastAsia="Arial" w:hint="default"/>
          <w:spacing w:val="-6"/>
        </w:rPr>
        <w:t> </w:t>
      </w:r>
      <w:r>
        <w:rPr>
          <w:spacing w:val="-7"/>
        </w:rPr>
        <w:t>亿元，比上年增长</w:t>
      </w:r>
      <w:r>
        <w:rPr>
          <w:spacing w:val="-55"/>
        </w:rPr>
        <w:t> </w:t>
      </w:r>
      <w:r>
        <w:rPr>
          <w:rFonts w:ascii="Arial" w:hAnsi="Arial" w:cs="Arial" w:eastAsia="Arial" w:hint="default"/>
          <w:spacing w:val="-3"/>
        </w:rPr>
        <w:t>19.3%</w:t>
      </w:r>
      <w:r>
        <w:rPr>
          <w:spacing w:val="-3"/>
        </w:rPr>
        <w:t>，所占营业收入的比重由上年的</w:t>
      </w:r>
      <w:r>
        <w:rPr>
          <w:spacing w:val="-54"/>
        </w:rPr>
        <w:t> </w:t>
      </w:r>
      <w:r>
        <w:rPr>
          <w:rFonts w:ascii="Arial" w:hAnsi="Arial" w:cs="Arial" w:eastAsia="Arial" w:hint="default"/>
        </w:rPr>
        <w:t>7.8%</w:t>
      </w:r>
      <w:r>
        <w:rPr/>
        <w:t>变化至</w:t>
      </w:r>
      <w:r>
        <w:rPr>
          <w:spacing w:val="-54"/>
        </w:rPr>
        <w:t> </w:t>
      </w:r>
      <w:r>
        <w:rPr>
          <w:rFonts w:ascii="Arial" w:hAnsi="Arial" w:cs="Arial" w:eastAsia="Arial" w:hint="default"/>
        </w:rPr>
        <w:t>7.6%</w:t>
      </w:r>
      <w:r>
        <w:rPr/>
        <w:t>。</w:t>
      </w:r>
    </w:p>
    <w:p>
      <w:pPr>
        <w:spacing w:line="240" w:lineRule="auto" w:before="5"/>
        <w:rPr>
          <w:rFonts w:ascii="宋体" w:hAnsi="宋体" w:cs="宋体" w:eastAsia="宋体" w:hint="default"/>
          <w:sz w:val="18"/>
          <w:szCs w:val="18"/>
        </w:rPr>
      </w:pPr>
    </w:p>
    <w:p>
      <w:pPr>
        <w:pStyle w:val="BodyText"/>
        <w:spacing w:line="225" w:lineRule="auto"/>
        <w:ind w:left="821" w:right="334" w:firstLine="6"/>
        <w:jc w:val="both"/>
      </w:pPr>
      <w:r>
        <w:rPr/>
        <w:t>其中，移动业务网间结算支出发生人民币</w:t>
      </w:r>
      <w:r>
        <w:rPr>
          <w:spacing w:val="-57"/>
        </w:rPr>
        <w:t> </w:t>
      </w:r>
      <w:r>
        <w:rPr>
          <w:rFonts w:ascii="Arial" w:hAnsi="Arial" w:cs="Arial" w:eastAsia="Arial" w:hint="default"/>
        </w:rPr>
        <w:t>174.4</w:t>
      </w:r>
      <w:r>
        <w:rPr>
          <w:rFonts w:ascii="Arial" w:hAnsi="Arial" w:cs="Arial" w:eastAsia="Arial" w:hint="default"/>
          <w:spacing w:val="-8"/>
        </w:rPr>
        <w:t> </w:t>
      </w:r>
      <w:r>
        <w:rPr/>
        <w:t>亿元，比上年增长</w:t>
      </w:r>
      <w:r>
        <w:rPr>
          <w:spacing w:val="-57"/>
        </w:rPr>
        <w:t> </w:t>
      </w:r>
      <w:r>
        <w:rPr>
          <w:rFonts w:ascii="Arial" w:hAnsi="Arial" w:cs="Arial" w:eastAsia="Arial" w:hint="default"/>
        </w:rPr>
        <w:t>20.7%</w:t>
      </w:r>
      <w:r>
        <w:rPr/>
        <w:t>，所占移动业务</w:t>
      </w:r>
      <w:r>
        <w:rPr>
          <w:w w:val="99"/>
        </w:rPr>
        <w:t> </w:t>
      </w:r>
      <w:r>
        <w:rPr/>
        <w:t>营业收入（附注</w:t>
      </w:r>
      <w:r>
        <w:rPr>
          <w:spacing w:val="-57"/>
        </w:rPr>
        <w:t> </w:t>
      </w:r>
      <w:r>
        <w:rPr>
          <w:rFonts w:ascii="Arial" w:hAnsi="Arial" w:cs="Arial" w:eastAsia="Arial" w:hint="default"/>
        </w:rPr>
        <w:t>5</w:t>
      </w:r>
      <w:r>
        <w:rPr/>
        <w:t>）的比重由上年的</w:t>
      </w:r>
      <w:r>
        <w:rPr>
          <w:spacing w:val="-57"/>
        </w:rPr>
        <w:t> </w:t>
      </w:r>
      <w:r>
        <w:rPr>
          <w:rFonts w:ascii="Arial" w:hAnsi="Arial" w:cs="Arial" w:eastAsia="Arial" w:hint="default"/>
        </w:rPr>
        <w:t>15.7%</w:t>
      </w:r>
      <w:r>
        <w:rPr/>
        <w:t>变化至</w:t>
      </w:r>
      <w:r>
        <w:rPr>
          <w:spacing w:val="-57"/>
        </w:rPr>
        <w:t> </w:t>
      </w:r>
      <w:r>
        <w:rPr>
          <w:rFonts w:ascii="Arial" w:hAnsi="Arial" w:cs="Arial" w:eastAsia="Arial" w:hint="default"/>
        </w:rPr>
        <w:t>13.4%</w:t>
      </w:r>
      <w:r>
        <w:rPr/>
        <w:t>。固网业务网间结算支出发生人</w:t>
      </w:r>
      <w:r>
        <w:rPr>
          <w:w w:val="99"/>
        </w:rPr>
        <w:t> </w:t>
      </w:r>
      <w:r>
        <w:rPr/>
        <w:t>民币</w:t>
      </w:r>
      <w:r>
        <w:rPr>
          <w:spacing w:val="-56"/>
        </w:rPr>
        <w:t> </w:t>
      </w:r>
      <w:r>
        <w:rPr>
          <w:rFonts w:ascii="Arial" w:hAnsi="Arial" w:cs="Arial" w:eastAsia="Arial" w:hint="default"/>
        </w:rPr>
        <w:t>35.3</w:t>
      </w:r>
      <w:r>
        <w:rPr>
          <w:rFonts w:ascii="Arial" w:hAnsi="Arial" w:cs="Arial" w:eastAsia="Arial" w:hint="default"/>
          <w:spacing w:val="-7"/>
        </w:rPr>
        <w:t> </w:t>
      </w:r>
      <w:r>
        <w:rPr>
          <w:spacing w:val="-8"/>
        </w:rPr>
        <w:t>亿元，比上年下降</w:t>
      </w:r>
      <w:r>
        <w:rPr>
          <w:spacing w:val="-56"/>
        </w:rPr>
        <w:t> </w:t>
      </w:r>
      <w:r>
        <w:rPr>
          <w:rFonts w:ascii="Arial" w:hAnsi="Arial" w:cs="Arial" w:eastAsia="Arial" w:hint="default"/>
          <w:spacing w:val="-7"/>
        </w:rPr>
        <w:t>4.7%</w:t>
      </w:r>
      <w:r>
        <w:rPr>
          <w:spacing w:val="-7"/>
        </w:rPr>
        <w:t>，所占固网业务营业收入（附注</w:t>
      </w:r>
      <w:r>
        <w:rPr>
          <w:spacing w:val="-56"/>
        </w:rPr>
        <w:t> </w:t>
      </w:r>
      <w:r>
        <w:rPr>
          <w:rFonts w:ascii="Arial" w:hAnsi="Arial" w:cs="Arial" w:eastAsia="Arial" w:hint="default"/>
          <w:spacing w:val="-7"/>
        </w:rPr>
        <w:t>5</w:t>
      </w:r>
      <w:r>
        <w:rPr>
          <w:spacing w:val="-7"/>
        </w:rPr>
        <w:t>）的比重由上年的</w:t>
      </w:r>
      <w:r>
        <w:rPr>
          <w:spacing w:val="-56"/>
        </w:rPr>
        <w:t> </w:t>
      </w:r>
      <w:r>
        <w:rPr>
          <w:rFonts w:ascii="Arial" w:hAnsi="Arial" w:cs="Arial" w:eastAsia="Arial" w:hint="default"/>
        </w:rPr>
        <w:t>4.5%</w:t>
      </w:r>
      <w:r>
        <w:rPr>
          <w:rFonts w:ascii="Arial" w:hAnsi="Arial" w:cs="Arial" w:eastAsia="Arial" w:hint="default"/>
          <w:w w:val="99"/>
        </w:rPr>
        <w:t> </w:t>
      </w:r>
      <w:r>
        <w:rPr/>
        <w:t>变化至</w:t>
      </w:r>
      <w:r>
        <w:rPr>
          <w:spacing w:val="-57"/>
        </w:rPr>
        <w:t> </w:t>
      </w:r>
      <w:r>
        <w:rPr>
          <w:rFonts w:ascii="Arial" w:hAnsi="Arial" w:cs="Arial" w:eastAsia="Arial" w:hint="default"/>
        </w:rPr>
        <w:t>4.2%</w:t>
      </w:r>
      <w:r>
        <w:rPr/>
        <w:t>。</w:t>
      </w:r>
    </w:p>
    <w:p>
      <w:pPr>
        <w:spacing w:line="240" w:lineRule="auto" w:before="2"/>
        <w:rPr>
          <w:rFonts w:ascii="宋体" w:hAnsi="宋体" w:cs="宋体" w:eastAsia="宋体" w:hint="default"/>
          <w:sz w:val="18"/>
          <w:szCs w:val="18"/>
        </w:rPr>
      </w:pPr>
    </w:p>
    <w:p>
      <w:pPr>
        <w:pStyle w:val="BodyText"/>
        <w:spacing w:line="240" w:lineRule="auto"/>
        <w:ind w:left="803" w:right="0"/>
        <w:jc w:val="left"/>
      </w:pPr>
      <w:r>
        <w:rPr/>
        <w:t>折旧及摊销</w:t>
      </w:r>
    </w:p>
    <w:p>
      <w:pPr>
        <w:spacing w:line="240" w:lineRule="auto" w:before="3"/>
        <w:rPr>
          <w:rFonts w:ascii="宋体" w:hAnsi="宋体" w:cs="宋体" w:eastAsia="宋体" w:hint="default"/>
          <w:sz w:val="21"/>
          <w:szCs w:val="21"/>
        </w:rPr>
      </w:pPr>
    </w:p>
    <w:p>
      <w:pPr>
        <w:pStyle w:val="BodyText"/>
        <w:spacing w:line="286" w:lineRule="exact"/>
        <w:ind w:left="821" w:right="246" w:firstLine="6"/>
        <w:jc w:val="left"/>
      </w:pPr>
      <w:r>
        <w:rPr>
          <w:rFonts w:ascii="Arial" w:hAnsi="Arial" w:cs="Arial" w:eastAsia="Arial" w:hint="default"/>
        </w:rPr>
        <w:t>2011</w:t>
      </w:r>
      <w:r>
        <w:rPr>
          <w:rFonts w:ascii="Arial" w:hAnsi="Arial" w:cs="Arial" w:eastAsia="Arial" w:hint="default"/>
          <w:spacing w:val="-36"/>
        </w:rPr>
        <w:t> </w:t>
      </w:r>
      <w:r>
        <w:rPr/>
        <w:t>年本公司进一步优化移动网络覆盖、提升网络质量，加快宽带网络升级提速，随着网</w:t>
      </w:r>
      <w:r>
        <w:rPr>
          <w:w w:val="99"/>
        </w:rPr>
        <w:t> </w:t>
      </w:r>
      <w:r>
        <w:rPr/>
        <w:t>络规模扩大及网络资产增加，全年折旧及摊销发生人民币</w:t>
      </w:r>
      <w:r>
        <w:rPr>
          <w:spacing w:val="-56"/>
        </w:rPr>
        <w:t> </w:t>
      </w:r>
      <w:r>
        <w:rPr>
          <w:rFonts w:ascii="Arial" w:hAnsi="Arial" w:cs="Arial" w:eastAsia="Arial" w:hint="default"/>
        </w:rPr>
        <w:t>581.9</w:t>
      </w:r>
      <w:r>
        <w:rPr>
          <w:rFonts w:ascii="Arial" w:hAnsi="Arial" w:cs="Arial" w:eastAsia="Arial" w:hint="default"/>
          <w:spacing w:val="-8"/>
        </w:rPr>
        <w:t> </w:t>
      </w:r>
      <w:r>
        <w:rPr/>
        <w:t>亿元，比上年增长</w:t>
      </w:r>
      <w:r>
        <w:rPr>
          <w:spacing w:val="-57"/>
        </w:rPr>
        <w:t> </w:t>
      </w:r>
      <w:r>
        <w:rPr>
          <w:rFonts w:ascii="Arial" w:hAnsi="Arial" w:cs="Arial" w:eastAsia="Arial" w:hint="default"/>
        </w:rPr>
        <w:t>6.2%</w:t>
      </w:r>
      <w:r>
        <w:rPr/>
        <w:t>，</w:t>
      </w:r>
      <w:r>
        <w:rPr>
          <w:w w:val="99"/>
        </w:rPr>
        <w:t> </w:t>
      </w:r>
      <w:r>
        <w:rPr/>
        <w:t>所占营业收入的比重由上年的</w:t>
      </w:r>
      <w:r>
        <w:rPr>
          <w:spacing w:val="-57"/>
        </w:rPr>
        <w:t> </w:t>
      </w:r>
      <w:r>
        <w:rPr>
          <w:rFonts w:ascii="Arial" w:hAnsi="Arial" w:cs="Arial" w:eastAsia="Arial" w:hint="default"/>
        </w:rPr>
        <w:t>31.1%</w:t>
      </w:r>
      <w:r>
        <w:rPr/>
        <w:t>下降至</w:t>
      </w:r>
      <w:r>
        <w:rPr>
          <w:spacing w:val="-57"/>
        </w:rPr>
        <w:t> </w:t>
      </w:r>
      <w:r>
        <w:rPr>
          <w:rFonts w:ascii="Arial" w:hAnsi="Arial" w:cs="Arial" w:eastAsia="Arial" w:hint="default"/>
        </w:rPr>
        <w:t>27.0%</w:t>
      </w:r>
      <w:r>
        <w:rPr/>
        <w:t>。</w:t>
      </w:r>
    </w:p>
    <w:p>
      <w:pPr>
        <w:spacing w:line="240" w:lineRule="auto" w:before="3"/>
        <w:rPr>
          <w:rFonts w:ascii="宋体" w:hAnsi="宋体" w:cs="宋体" w:eastAsia="宋体" w:hint="default"/>
          <w:sz w:val="19"/>
          <w:szCs w:val="19"/>
        </w:rPr>
      </w:pPr>
    </w:p>
    <w:p>
      <w:pPr>
        <w:pStyle w:val="BodyText"/>
        <w:spacing w:line="286" w:lineRule="exact"/>
        <w:ind w:left="803" w:right="0" w:firstLine="24"/>
        <w:jc w:val="left"/>
      </w:pPr>
      <w:r>
        <w:rPr/>
        <w:t>其中，移动业务折旧及摊销发生人民币</w:t>
      </w:r>
      <w:r>
        <w:rPr>
          <w:spacing w:val="-57"/>
        </w:rPr>
        <w:t> </w:t>
      </w:r>
      <w:r>
        <w:rPr>
          <w:rFonts w:ascii="Arial" w:hAnsi="Arial" w:cs="Arial" w:eastAsia="Arial" w:hint="default"/>
        </w:rPr>
        <w:t>259.9</w:t>
      </w:r>
      <w:r>
        <w:rPr>
          <w:rFonts w:ascii="Arial" w:hAnsi="Arial" w:cs="Arial" w:eastAsia="Arial" w:hint="default"/>
          <w:spacing w:val="-8"/>
        </w:rPr>
        <w:t> </w:t>
      </w:r>
      <w:r>
        <w:rPr/>
        <w:t>亿元，比上年增长</w:t>
      </w:r>
      <w:r>
        <w:rPr>
          <w:spacing w:val="-57"/>
        </w:rPr>
        <w:t> </w:t>
      </w:r>
      <w:r>
        <w:rPr>
          <w:rFonts w:ascii="Arial" w:hAnsi="Arial" w:cs="Arial" w:eastAsia="Arial" w:hint="default"/>
        </w:rPr>
        <w:t>12.2%</w:t>
      </w:r>
      <w:r>
        <w:rPr/>
        <w:t>，所占移动业务营</w:t>
      </w:r>
      <w:r>
        <w:rPr>
          <w:w w:val="99"/>
        </w:rPr>
        <w:t> 业收入的比重由上年的</w:t>
      </w:r>
      <w:r>
        <w:rPr>
          <w:spacing w:val="-50"/>
          <w:w w:val="99"/>
        </w:rPr>
        <w:t> </w:t>
      </w:r>
      <w:r>
        <w:rPr>
          <w:rFonts w:ascii="Arial" w:hAnsi="Arial" w:cs="Arial" w:eastAsia="Arial" w:hint="default"/>
          <w:w w:val="99"/>
        </w:rPr>
        <w:t>25.2%</w:t>
      </w:r>
      <w:r>
        <w:rPr>
          <w:w w:val="99"/>
        </w:rPr>
        <w:t>变化至</w:t>
      </w:r>
      <w:r>
        <w:rPr>
          <w:spacing w:val="-51"/>
          <w:w w:val="99"/>
        </w:rPr>
        <w:t> </w:t>
      </w:r>
      <w:r>
        <w:rPr>
          <w:rFonts w:ascii="Arial" w:hAnsi="Arial" w:cs="Arial" w:eastAsia="Arial" w:hint="default"/>
          <w:spacing w:val="-6"/>
          <w:w w:val="99"/>
        </w:rPr>
        <w:t>20.0%</w:t>
      </w:r>
      <w:r>
        <w:rPr>
          <w:spacing w:val="-6"/>
          <w:w w:val="99"/>
        </w:rPr>
        <w:t>。固网业务折旧及摊销发生人民币</w:t>
      </w:r>
      <w:r>
        <w:rPr>
          <w:spacing w:val="-51"/>
          <w:w w:val="99"/>
        </w:rPr>
        <w:t> </w:t>
      </w:r>
      <w:r>
        <w:rPr>
          <w:rFonts w:ascii="Arial" w:hAnsi="Arial" w:cs="Arial" w:eastAsia="Arial" w:hint="default"/>
          <w:w w:val="99"/>
        </w:rPr>
        <w:t>292.5</w:t>
      </w:r>
      <w:r>
        <w:rPr>
          <w:rFonts w:ascii="Arial" w:hAnsi="Arial" w:cs="Arial" w:eastAsia="Arial" w:hint="default"/>
          <w:spacing w:val="-2"/>
          <w:w w:val="99"/>
        </w:rPr>
        <w:t> </w:t>
      </w:r>
      <w:r>
        <w:rPr>
          <w:w w:val="99"/>
        </w:rPr>
        <w:t>亿元，</w:t>
      </w:r>
      <w:r>
        <w:rPr>
          <w:spacing w:val="-108"/>
          <w:w w:val="99"/>
        </w:rPr>
        <w:t> </w:t>
      </w:r>
      <w:r>
        <w:rPr/>
        <w:t>比上年增加</w:t>
      </w:r>
      <w:r>
        <w:rPr>
          <w:spacing w:val="-58"/>
        </w:rPr>
        <w:t> </w:t>
      </w:r>
      <w:r>
        <w:rPr>
          <w:rFonts w:ascii="Arial" w:hAnsi="Arial" w:cs="Arial" w:eastAsia="Arial" w:hint="default"/>
        </w:rPr>
        <w:t>0.5%</w:t>
      </w:r>
      <w:r>
        <w:rPr/>
        <w:t>，所占固网业务营业收入的比重由上年的</w:t>
      </w:r>
      <w:r>
        <w:rPr>
          <w:spacing w:val="-58"/>
        </w:rPr>
        <w:t> </w:t>
      </w:r>
      <w:r>
        <w:rPr>
          <w:rFonts w:ascii="Arial" w:hAnsi="Arial" w:cs="Arial" w:eastAsia="Arial" w:hint="default"/>
        </w:rPr>
        <w:t>35.4%</w:t>
      </w:r>
      <w:r>
        <w:rPr/>
        <w:t>变化至</w:t>
      </w:r>
      <w:r>
        <w:rPr>
          <w:spacing w:val="-59"/>
        </w:rPr>
        <w:t> </w:t>
      </w:r>
      <w:r>
        <w:rPr>
          <w:rFonts w:ascii="Arial" w:hAnsi="Arial" w:cs="Arial" w:eastAsia="Arial" w:hint="default"/>
        </w:rPr>
        <w:t>34.6%</w:t>
      </w:r>
      <w:r>
        <w:rPr/>
        <w:t>。</w:t>
      </w:r>
    </w:p>
    <w:p>
      <w:pPr>
        <w:spacing w:line="240" w:lineRule="auto" w:before="1"/>
        <w:rPr>
          <w:rFonts w:ascii="宋体" w:hAnsi="宋体" w:cs="宋体" w:eastAsia="宋体" w:hint="default"/>
          <w:sz w:val="17"/>
          <w:szCs w:val="17"/>
        </w:rPr>
      </w:pPr>
    </w:p>
    <w:p>
      <w:pPr>
        <w:pStyle w:val="BodyText"/>
        <w:spacing w:line="240" w:lineRule="auto"/>
        <w:ind w:left="803" w:right="0"/>
        <w:jc w:val="left"/>
      </w:pPr>
      <w:r>
        <w:rPr/>
        <w:t>网络运行及支撑成本</w:t>
      </w:r>
    </w:p>
    <w:p>
      <w:pPr>
        <w:spacing w:line="240" w:lineRule="auto" w:before="5"/>
        <w:rPr>
          <w:rFonts w:ascii="宋体" w:hAnsi="宋体" w:cs="宋体" w:eastAsia="宋体" w:hint="default"/>
          <w:sz w:val="20"/>
          <w:szCs w:val="20"/>
        </w:rPr>
      </w:pPr>
    </w:p>
    <w:p>
      <w:pPr>
        <w:pStyle w:val="BodyText"/>
        <w:spacing w:line="225" w:lineRule="auto"/>
        <w:ind w:left="821" w:right="333" w:firstLine="6"/>
        <w:jc w:val="both"/>
      </w:pPr>
      <w:r>
        <w:rPr>
          <w:w w:val="95"/>
        </w:rPr>
        <w:t>受网络覆盖范围扩大、网络资产增加及能源、物业租金等基础价格上涨等因素影响，</w:t>
      </w:r>
      <w:r>
        <w:rPr>
          <w:rFonts w:ascii="Arial" w:hAnsi="Arial" w:cs="Arial" w:eastAsia="Arial" w:hint="default"/>
          <w:w w:val="95"/>
        </w:rPr>
        <w:t>2011</w:t>
      </w:r>
      <w:r>
        <w:rPr>
          <w:rFonts w:ascii="Arial" w:hAnsi="Arial" w:cs="Arial" w:eastAsia="Arial" w:hint="default"/>
          <w:spacing w:val="2"/>
          <w:w w:val="95"/>
        </w:rPr>
        <w:t> </w:t>
      </w:r>
      <w:r>
        <w:rPr/>
        <w:t>年本公司网络运行及支撑成本发生人民币</w:t>
      </w:r>
      <w:r>
        <w:rPr>
          <w:spacing w:val="-57"/>
        </w:rPr>
        <w:t> </w:t>
      </w:r>
      <w:r>
        <w:rPr>
          <w:rFonts w:ascii="Arial" w:hAnsi="Arial" w:cs="Arial" w:eastAsia="Arial" w:hint="default"/>
        </w:rPr>
        <w:t>294.5</w:t>
      </w:r>
      <w:r>
        <w:rPr>
          <w:rFonts w:ascii="Arial" w:hAnsi="Arial" w:cs="Arial" w:eastAsia="Arial" w:hint="default"/>
          <w:spacing w:val="-8"/>
        </w:rPr>
        <w:t> </w:t>
      </w:r>
      <w:r>
        <w:rPr/>
        <w:t>亿元，比上年增长</w:t>
      </w:r>
      <w:r>
        <w:rPr>
          <w:spacing w:val="-57"/>
        </w:rPr>
        <w:t> </w:t>
      </w:r>
      <w:r>
        <w:rPr>
          <w:rFonts w:ascii="Arial" w:hAnsi="Arial" w:cs="Arial" w:eastAsia="Arial" w:hint="default"/>
        </w:rPr>
        <w:t>11.6%</w:t>
      </w:r>
      <w:r>
        <w:rPr/>
        <w:t>，所占营业收入</w:t>
      </w:r>
      <w:r>
        <w:rPr>
          <w:w w:val="99"/>
        </w:rPr>
        <w:t> </w:t>
      </w:r>
      <w:r>
        <w:rPr/>
        <w:t>的比重由上年的</w:t>
      </w:r>
      <w:r>
        <w:rPr>
          <w:spacing w:val="-57"/>
        </w:rPr>
        <w:t> </w:t>
      </w:r>
      <w:r>
        <w:rPr>
          <w:rFonts w:ascii="Arial" w:hAnsi="Arial" w:cs="Arial" w:eastAsia="Arial" w:hint="default"/>
        </w:rPr>
        <w:t>15.0%</w:t>
      </w:r>
      <w:r>
        <w:rPr/>
        <w:t>下降至</w:t>
      </w:r>
      <w:r>
        <w:rPr>
          <w:spacing w:val="-57"/>
        </w:rPr>
        <w:t> </w:t>
      </w:r>
      <w:r>
        <w:rPr>
          <w:rFonts w:ascii="Arial" w:hAnsi="Arial" w:cs="Arial" w:eastAsia="Arial" w:hint="default"/>
        </w:rPr>
        <w:t>13.7%</w:t>
      </w:r>
      <w:r>
        <w:rPr/>
        <w:t>。</w:t>
      </w:r>
    </w:p>
    <w:p>
      <w:pPr>
        <w:spacing w:after="0" w:line="225" w:lineRule="auto"/>
        <w:jc w:val="both"/>
        <w:sectPr>
          <w:pgSz w:w="11900" w:h="16840"/>
          <w:pgMar w:header="927" w:footer="752" w:top="1160" w:bottom="940" w:left="1340" w:right="780"/>
        </w:sectPr>
      </w:pPr>
    </w:p>
    <w:p>
      <w:pPr>
        <w:spacing w:line="240" w:lineRule="auto" w:before="11"/>
        <w:rPr>
          <w:rFonts w:ascii="宋体" w:hAnsi="宋体" w:cs="宋体" w:eastAsia="宋体" w:hint="default"/>
          <w:sz w:val="21"/>
          <w:szCs w:val="21"/>
        </w:rPr>
      </w:pPr>
    </w:p>
    <w:p>
      <w:pPr>
        <w:pStyle w:val="BodyText"/>
        <w:spacing w:line="225" w:lineRule="auto" w:before="47"/>
        <w:ind w:left="821" w:right="204" w:firstLine="6"/>
        <w:jc w:val="left"/>
      </w:pPr>
      <w:r>
        <w:rPr/>
        <w:t>其中，移动业务网络运行及支撑成本发生人民币</w:t>
      </w:r>
      <w:r>
        <w:rPr>
          <w:spacing w:val="-64"/>
        </w:rPr>
        <w:t> </w:t>
      </w:r>
      <w:r>
        <w:rPr>
          <w:rFonts w:ascii="Arial" w:hAnsi="Arial" w:cs="Arial" w:eastAsia="Arial" w:hint="default"/>
        </w:rPr>
        <w:t>42.7</w:t>
      </w:r>
      <w:r>
        <w:rPr>
          <w:rFonts w:ascii="Arial" w:hAnsi="Arial" w:cs="Arial" w:eastAsia="Arial" w:hint="default"/>
          <w:spacing w:val="-15"/>
        </w:rPr>
        <w:t> </w:t>
      </w:r>
      <w:r>
        <w:rPr>
          <w:spacing w:val="-4"/>
        </w:rPr>
        <w:t>亿元，比上年增长</w:t>
      </w:r>
      <w:r>
        <w:rPr>
          <w:spacing w:val="-64"/>
        </w:rPr>
        <w:t> </w:t>
      </w:r>
      <w:r>
        <w:rPr>
          <w:rFonts w:ascii="Arial" w:hAnsi="Arial" w:cs="Arial" w:eastAsia="Arial" w:hint="default"/>
          <w:spacing w:val="-3"/>
        </w:rPr>
        <w:t>37.4%</w:t>
      </w:r>
      <w:r>
        <w:rPr>
          <w:spacing w:val="-3"/>
        </w:rPr>
        <w:t>，所占移动</w:t>
      </w:r>
      <w:r>
        <w:rPr>
          <w:w w:val="99"/>
        </w:rPr>
        <w:t> </w:t>
      </w:r>
      <w:r>
        <w:rPr/>
        <w:t>业务营业收入的比重由上年的</w:t>
      </w:r>
      <w:r>
        <w:rPr>
          <w:spacing w:val="-57"/>
        </w:rPr>
        <w:t> </w:t>
      </w:r>
      <w:r>
        <w:rPr>
          <w:rFonts w:ascii="Arial" w:hAnsi="Arial" w:cs="Arial" w:eastAsia="Arial" w:hint="default"/>
        </w:rPr>
        <w:t>3.4%</w:t>
      </w:r>
      <w:r>
        <w:rPr/>
        <w:t>变化至</w:t>
      </w:r>
      <w:r>
        <w:rPr>
          <w:spacing w:val="-57"/>
        </w:rPr>
        <w:t> </w:t>
      </w:r>
      <w:r>
        <w:rPr>
          <w:rFonts w:ascii="Arial" w:hAnsi="Arial" w:cs="Arial" w:eastAsia="Arial" w:hint="default"/>
        </w:rPr>
        <w:t>3.3%</w:t>
      </w:r>
      <w:r>
        <w:rPr/>
        <w:t>。固网业务网络运行及支撑成本发生人民</w:t>
      </w:r>
      <w:r>
        <w:rPr>
          <w:w w:val="99"/>
        </w:rPr>
        <w:t> </w:t>
      </w:r>
      <w:r>
        <w:rPr/>
        <w:t>币</w:t>
      </w:r>
      <w:r>
        <w:rPr>
          <w:spacing w:val="-56"/>
        </w:rPr>
        <w:t> </w:t>
      </w:r>
      <w:r>
        <w:rPr>
          <w:rFonts w:ascii="Arial" w:hAnsi="Arial" w:cs="Arial" w:eastAsia="Arial" w:hint="default"/>
        </w:rPr>
        <w:t>94.7</w:t>
      </w:r>
      <w:r>
        <w:rPr>
          <w:rFonts w:ascii="Arial" w:hAnsi="Arial" w:cs="Arial" w:eastAsia="Arial" w:hint="default"/>
          <w:spacing w:val="-7"/>
        </w:rPr>
        <w:t> </w:t>
      </w:r>
      <w:r>
        <w:rPr/>
        <w:t>亿元，比上年增长</w:t>
      </w:r>
      <w:r>
        <w:rPr>
          <w:spacing w:val="-56"/>
        </w:rPr>
        <w:t> </w:t>
      </w:r>
      <w:r>
        <w:rPr>
          <w:rFonts w:ascii="Arial" w:hAnsi="Arial" w:cs="Arial" w:eastAsia="Arial" w:hint="default"/>
        </w:rPr>
        <w:t>0.6%</w:t>
      </w:r>
      <w:r>
        <w:rPr/>
        <w:t>，所占固网业务营业收入的比重由上年的</w:t>
      </w:r>
      <w:r>
        <w:rPr>
          <w:spacing w:val="-56"/>
        </w:rPr>
        <w:t> </w:t>
      </w:r>
      <w:r>
        <w:rPr>
          <w:rFonts w:ascii="Arial" w:hAnsi="Arial" w:cs="Arial" w:eastAsia="Arial" w:hint="default"/>
        </w:rPr>
        <w:t>11.4%</w:t>
      </w:r>
      <w:r>
        <w:rPr/>
        <w:t>变化至</w:t>
      </w:r>
      <w:r>
        <w:rPr>
          <w:w w:val="99"/>
        </w:rPr>
        <w:t> </w:t>
      </w:r>
      <w:r>
        <w:rPr>
          <w:rFonts w:ascii="Arial" w:hAnsi="Arial" w:cs="Arial" w:eastAsia="Arial" w:hint="default"/>
        </w:rPr>
        <w:t>11.2%</w:t>
      </w:r>
      <w:r>
        <w:rPr/>
        <w:t>。</w:t>
      </w:r>
    </w:p>
    <w:p>
      <w:pPr>
        <w:spacing w:line="240" w:lineRule="auto" w:before="2"/>
        <w:rPr>
          <w:rFonts w:ascii="宋体" w:hAnsi="宋体" w:cs="宋体" w:eastAsia="宋体" w:hint="default"/>
          <w:sz w:val="18"/>
          <w:szCs w:val="18"/>
        </w:rPr>
      </w:pPr>
    </w:p>
    <w:p>
      <w:pPr>
        <w:pStyle w:val="BodyText"/>
        <w:spacing w:line="240" w:lineRule="auto"/>
        <w:ind w:left="803" w:right="0"/>
        <w:jc w:val="both"/>
      </w:pPr>
      <w:r>
        <w:rPr/>
        <w:t>人工成本</w:t>
      </w:r>
    </w:p>
    <w:p>
      <w:pPr>
        <w:spacing w:line="240" w:lineRule="auto" w:before="3"/>
        <w:rPr>
          <w:rFonts w:ascii="宋体" w:hAnsi="宋体" w:cs="宋体" w:eastAsia="宋体" w:hint="default"/>
          <w:sz w:val="21"/>
          <w:szCs w:val="21"/>
        </w:rPr>
      </w:pPr>
    </w:p>
    <w:p>
      <w:pPr>
        <w:pStyle w:val="BodyText"/>
        <w:spacing w:line="286" w:lineRule="exact"/>
        <w:ind w:left="821" w:right="213" w:firstLine="6"/>
        <w:jc w:val="both"/>
      </w:pPr>
      <w:r>
        <w:rPr>
          <w:spacing w:val="-2"/>
        </w:rPr>
        <w:t>随着社会用工成本的整体上升，本公司继续稳步推进正向激励考核与分配机制，</w:t>
      </w:r>
      <w:r>
        <w:rPr>
          <w:rFonts w:ascii="Arial" w:hAnsi="Arial" w:cs="Arial" w:eastAsia="Arial" w:hint="default"/>
          <w:spacing w:val="-2"/>
        </w:rPr>
        <w:t>2011</w:t>
      </w:r>
      <w:r>
        <w:rPr>
          <w:rFonts w:ascii="Arial" w:hAnsi="Arial" w:cs="Arial" w:eastAsia="Arial" w:hint="default"/>
          <w:spacing w:val="-1"/>
        </w:rPr>
        <w:t> </w:t>
      </w:r>
      <w:r>
        <w:rPr/>
        <w:t>年本</w:t>
      </w:r>
      <w:r>
        <w:rPr>
          <w:w w:val="99"/>
        </w:rPr>
        <w:t> </w:t>
      </w:r>
      <w:r>
        <w:rPr/>
        <w:t>公司人工成本发生人民币</w:t>
      </w:r>
      <w:r>
        <w:rPr>
          <w:spacing w:val="-57"/>
        </w:rPr>
        <w:t> </w:t>
      </w:r>
      <w:r>
        <w:rPr>
          <w:rFonts w:ascii="Arial" w:hAnsi="Arial" w:cs="Arial" w:eastAsia="Arial" w:hint="default"/>
        </w:rPr>
        <w:t>266.0</w:t>
      </w:r>
      <w:r>
        <w:rPr>
          <w:rFonts w:ascii="Arial" w:hAnsi="Arial" w:cs="Arial" w:eastAsia="Arial" w:hint="default"/>
          <w:spacing w:val="-8"/>
        </w:rPr>
        <w:t> </w:t>
      </w:r>
      <w:r>
        <w:rPr/>
        <w:t>亿元，比上年增长</w:t>
      </w:r>
      <w:r>
        <w:rPr>
          <w:spacing w:val="-57"/>
        </w:rPr>
        <w:t> </w:t>
      </w:r>
      <w:r>
        <w:rPr>
          <w:rFonts w:ascii="Arial" w:hAnsi="Arial" w:cs="Arial" w:eastAsia="Arial" w:hint="default"/>
        </w:rPr>
        <w:t>13.9%</w:t>
      </w:r>
      <w:r>
        <w:rPr/>
        <w:t>，所占营业收入的比重由上年的</w:t>
      </w:r>
      <w:r>
        <w:rPr>
          <w:w w:val="99"/>
        </w:rPr>
        <w:t> </w:t>
      </w:r>
      <w:r>
        <w:rPr>
          <w:rFonts w:ascii="Arial" w:hAnsi="Arial" w:cs="Arial" w:eastAsia="Arial" w:hint="default"/>
        </w:rPr>
        <w:t>13.3%</w:t>
      </w:r>
      <w:r>
        <w:rPr/>
        <w:t>变化至</w:t>
      </w:r>
      <w:r>
        <w:rPr>
          <w:spacing w:val="-60"/>
        </w:rPr>
        <w:t> </w:t>
      </w:r>
      <w:r>
        <w:rPr>
          <w:rFonts w:ascii="Arial" w:hAnsi="Arial" w:cs="Arial" w:eastAsia="Arial" w:hint="default"/>
        </w:rPr>
        <w:t>12.3%</w:t>
      </w:r>
      <w:r>
        <w:rPr/>
        <w:t>。</w:t>
      </w:r>
    </w:p>
    <w:p>
      <w:pPr>
        <w:spacing w:line="240" w:lineRule="auto" w:before="2"/>
        <w:rPr>
          <w:rFonts w:ascii="宋体" w:hAnsi="宋体" w:cs="宋体" w:eastAsia="宋体" w:hint="default"/>
          <w:sz w:val="17"/>
          <w:szCs w:val="17"/>
        </w:rPr>
      </w:pPr>
    </w:p>
    <w:p>
      <w:pPr>
        <w:pStyle w:val="BodyText"/>
        <w:spacing w:line="240" w:lineRule="auto"/>
        <w:ind w:left="803" w:right="0"/>
        <w:jc w:val="both"/>
      </w:pPr>
      <w:r>
        <w:rPr/>
        <w:t>营业费用</w:t>
      </w:r>
    </w:p>
    <w:p>
      <w:pPr>
        <w:spacing w:line="240" w:lineRule="auto" w:before="1"/>
        <w:rPr>
          <w:rFonts w:ascii="宋体" w:hAnsi="宋体" w:cs="宋体" w:eastAsia="宋体" w:hint="default"/>
          <w:sz w:val="19"/>
          <w:szCs w:val="19"/>
        </w:rPr>
      </w:pPr>
    </w:p>
    <w:p>
      <w:pPr>
        <w:pStyle w:val="BodyText"/>
        <w:spacing w:line="295" w:lineRule="exact"/>
        <w:ind w:left="827" w:right="0"/>
        <w:jc w:val="both"/>
      </w:pPr>
      <w:r>
        <w:rPr>
          <w:rFonts w:ascii="Arial" w:hAnsi="Arial" w:cs="Arial" w:eastAsia="Arial" w:hint="default"/>
          <w:w w:val="99"/>
        </w:rPr>
        <w:t>2011</w:t>
      </w:r>
      <w:r>
        <w:rPr>
          <w:rFonts w:ascii="Arial" w:hAnsi="Arial" w:cs="Arial" w:eastAsia="Arial" w:hint="default"/>
          <w:spacing w:val="-6"/>
        </w:rPr>
        <w:t> </w:t>
      </w:r>
      <w:r>
        <w:rPr>
          <w:w w:val="99"/>
        </w:rPr>
        <w:t>年本</w:t>
      </w:r>
      <w:r>
        <w:rPr>
          <w:spacing w:val="1"/>
          <w:w w:val="99"/>
        </w:rPr>
        <w:t>公</w:t>
      </w:r>
      <w:r>
        <w:rPr>
          <w:w w:val="99"/>
        </w:rPr>
        <w:t>司积极</w:t>
      </w:r>
      <w:r>
        <w:rPr>
          <w:spacing w:val="1"/>
          <w:w w:val="99"/>
        </w:rPr>
        <w:t>应对</w:t>
      </w:r>
      <w:r>
        <w:rPr>
          <w:w w:val="99"/>
        </w:rPr>
        <w:t>市场变</w:t>
      </w:r>
      <w:r>
        <w:rPr>
          <w:spacing w:val="1"/>
          <w:w w:val="99"/>
        </w:rPr>
        <w:t>化</w:t>
      </w:r>
      <w:r>
        <w:rPr>
          <w:spacing w:val="-89"/>
          <w:w w:val="99"/>
        </w:rPr>
        <w:t>，</w:t>
      </w:r>
      <w:r>
        <w:rPr>
          <w:w w:val="99"/>
        </w:rPr>
        <w:t>加快拓</w:t>
      </w:r>
      <w:r>
        <w:rPr>
          <w:spacing w:val="1"/>
          <w:w w:val="99"/>
        </w:rPr>
        <w:t>展社</w:t>
      </w:r>
      <w:r>
        <w:rPr>
          <w:w w:val="99"/>
        </w:rPr>
        <w:t>会渠道</w:t>
      </w:r>
      <w:r>
        <w:rPr>
          <w:spacing w:val="1"/>
          <w:w w:val="99"/>
        </w:rPr>
        <w:t>和电</w:t>
      </w:r>
      <w:r>
        <w:rPr>
          <w:w w:val="99"/>
        </w:rPr>
        <w:t>子渠道</w:t>
      </w:r>
      <w:r>
        <w:rPr>
          <w:spacing w:val="1"/>
          <w:w w:val="99"/>
        </w:rPr>
        <w:t>营销</w:t>
      </w:r>
      <w:r>
        <w:rPr>
          <w:spacing w:val="-91"/>
          <w:w w:val="99"/>
        </w:rPr>
        <w:t>，</w:t>
      </w:r>
      <w:r>
        <w:rPr>
          <w:w w:val="99"/>
        </w:rPr>
        <w:t>持</w:t>
      </w:r>
      <w:r>
        <w:rPr>
          <w:spacing w:val="1"/>
          <w:w w:val="99"/>
        </w:rPr>
        <w:t>续</w:t>
      </w:r>
      <w:r>
        <w:rPr>
          <w:w w:val="99"/>
        </w:rPr>
        <w:t>优</w:t>
      </w:r>
      <w:r>
        <w:rPr>
          <w:spacing w:val="1"/>
          <w:w w:val="99"/>
        </w:rPr>
        <w:t>化</w:t>
      </w:r>
      <w:r>
        <w:rPr>
          <w:w w:val="99"/>
        </w:rPr>
        <w:t>营销策</w:t>
      </w:r>
      <w:r>
        <w:rPr>
          <w:spacing w:val="1"/>
          <w:w w:val="99"/>
        </w:rPr>
        <w:t>略</w:t>
      </w:r>
      <w:r>
        <w:rPr>
          <w:w w:val="99"/>
        </w:rPr>
        <w:t>，</w:t>
      </w:r>
      <w:r>
        <w:rPr/>
      </w:r>
    </w:p>
    <w:p>
      <w:pPr>
        <w:pStyle w:val="BodyText"/>
        <w:spacing w:line="286" w:lineRule="exact" w:before="19"/>
        <w:ind w:left="821" w:right="231" w:hanging="1"/>
        <w:jc w:val="both"/>
      </w:pPr>
      <w:r>
        <w:rPr/>
        <w:t>加强客户维系，随着收入及用户规模增长，全年营业费用发生人民币</w:t>
      </w:r>
      <w:r>
        <w:rPr>
          <w:spacing w:val="-57"/>
        </w:rPr>
        <w:t> </w:t>
      </w:r>
      <w:r>
        <w:rPr>
          <w:rFonts w:ascii="Arial" w:hAnsi="Arial" w:cs="Arial" w:eastAsia="Arial" w:hint="default"/>
        </w:rPr>
        <w:t>287.5</w:t>
      </w:r>
      <w:r>
        <w:rPr>
          <w:rFonts w:ascii="Arial" w:hAnsi="Arial" w:cs="Arial" w:eastAsia="Arial" w:hint="default"/>
          <w:spacing w:val="-9"/>
        </w:rPr>
        <w:t> </w:t>
      </w:r>
      <w:r>
        <w:rPr/>
        <w:t>亿元，比上年</w:t>
      </w:r>
      <w:r>
        <w:rPr>
          <w:w w:val="99"/>
        </w:rPr>
        <w:t> </w:t>
      </w:r>
      <w:r>
        <w:rPr/>
        <w:t>增长</w:t>
      </w:r>
      <w:r>
        <w:rPr>
          <w:spacing w:val="-57"/>
        </w:rPr>
        <w:t> </w:t>
      </w:r>
      <w:r>
        <w:rPr>
          <w:rFonts w:ascii="Arial" w:hAnsi="Arial" w:cs="Arial" w:eastAsia="Arial" w:hint="default"/>
        </w:rPr>
        <w:t>21.1%</w:t>
      </w:r>
      <w:r>
        <w:rPr/>
        <w:t>，所占营业收入的比重由上年的</w:t>
      </w:r>
      <w:r>
        <w:rPr>
          <w:spacing w:val="-57"/>
        </w:rPr>
        <w:t> </w:t>
      </w:r>
      <w:r>
        <w:rPr>
          <w:rFonts w:ascii="Arial" w:hAnsi="Arial" w:cs="Arial" w:eastAsia="Arial" w:hint="default"/>
        </w:rPr>
        <w:t>13.5%</w:t>
      </w:r>
      <w:r>
        <w:rPr/>
        <w:t>变化至</w:t>
      </w:r>
      <w:r>
        <w:rPr>
          <w:spacing w:val="-57"/>
        </w:rPr>
        <w:t> </w:t>
      </w:r>
      <w:r>
        <w:rPr>
          <w:rFonts w:ascii="Arial" w:hAnsi="Arial" w:cs="Arial" w:eastAsia="Arial" w:hint="default"/>
        </w:rPr>
        <w:t>13.3%</w:t>
      </w:r>
      <w:r>
        <w:rPr/>
        <w:t>。</w:t>
      </w:r>
    </w:p>
    <w:p>
      <w:pPr>
        <w:spacing w:line="240" w:lineRule="auto" w:before="3"/>
        <w:rPr>
          <w:rFonts w:ascii="宋体" w:hAnsi="宋体" w:cs="宋体" w:eastAsia="宋体" w:hint="default"/>
          <w:sz w:val="19"/>
          <w:szCs w:val="19"/>
        </w:rPr>
      </w:pPr>
    </w:p>
    <w:p>
      <w:pPr>
        <w:pStyle w:val="BodyText"/>
        <w:spacing w:line="286" w:lineRule="exact"/>
        <w:ind w:left="803" w:right="231" w:firstLine="23"/>
        <w:jc w:val="both"/>
      </w:pPr>
      <w:r>
        <w:rPr/>
        <w:t>其中，移动业务销售费用发生人民币</w:t>
      </w:r>
      <w:r>
        <w:rPr>
          <w:spacing w:val="-57"/>
        </w:rPr>
        <w:t> </w:t>
      </w:r>
      <w:r>
        <w:rPr>
          <w:rFonts w:ascii="Arial" w:hAnsi="Arial" w:cs="Arial" w:eastAsia="Arial" w:hint="default"/>
        </w:rPr>
        <w:t>122.8</w:t>
      </w:r>
      <w:r>
        <w:rPr>
          <w:rFonts w:ascii="Arial" w:hAnsi="Arial" w:cs="Arial" w:eastAsia="Arial" w:hint="default"/>
          <w:spacing w:val="-8"/>
        </w:rPr>
        <w:t> </w:t>
      </w:r>
      <w:r>
        <w:rPr/>
        <w:t>亿元，比上年增长</w:t>
      </w:r>
      <w:r>
        <w:rPr>
          <w:spacing w:val="-57"/>
        </w:rPr>
        <w:t> </w:t>
      </w:r>
      <w:r>
        <w:rPr>
          <w:rFonts w:ascii="Arial" w:hAnsi="Arial" w:cs="Arial" w:eastAsia="Arial" w:hint="default"/>
        </w:rPr>
        <w:t>30.8%</w:t>
      </w:r>
      <w:r>
        <w:rPr/>
        <w:t>，所占移动业务营业</w:t>
      </w:r>
      <w:r>
        <w:rPr>
          <w:w w:val="99"/>
        </w:rPr>
        <w:t> </w:t>
      </w:r>
      <w:r>
        <w:rPr/>
        <w:t>收入的比重由上年的</w:t>
      </w:r>
      <w:r>
        <w:rPr>
          <w:spacing w:val="-57"/>
        </w:rPr>
        <w:t> </w:t>
      </w:r>
      <w:r>
        <w:rPr>
          <w:rFonts w:ascii="Arial" w:hAnsi="Arial" w:cs="Arial" w:eastAsia="Arial" w:hint="default"/>
        </w:rPr>
        <w:t>10.2%</w:t>
      </w:r>
      <w:r>
        <w:rPr/>
        <w:t>变化至</w:t>
      </w:r>
      <w:r>
        <w:rPr>
          <w:spacing w:val="-57"/>
        </w:rPr>
        <w:t> </w:t>
      </w:r>
      <w:r>
        <w:rPr>
          <w:rFonts w:ascii="Arial" w:hAnsi="Arial" w:cs="Arial" w:eastAsia="Arial" w:hint="default"/>
        </w:rPr>
        <w:t>9.4%</w:t>
      </w:r>
      <w:r>
        <w:rPr/>
        <w:t>。固网业务销售费用发生人民币</w:t>
      </w:r>
      <w:r>
        <w:rPr>
          <w:spacing w:val="-57"/>
        </w:rPr>
        <w:t> </w:t>
      </w:r>
      <w:r>
        <w:rPr>
          <w:rFonts w:ascii="Arial" w:hAnsi="Arial" w:cs="Arial" w:eastAsia="Arial" w:hint="default"/>
        </w:rPr>
        <w:t>74.2</w:t>
      </w:r>
      <w:r>
        <w:rPr>
          <w:rFonts w:ascii="Arial" w:hAnsi="Arial" w:cs="Arial" w:eastAsia="Arial" w:hint="default"/>
          <w:spacing w:val="-8"/>
        </w:rPr>
        <w:t> </w:t>
      </w:r>
      <w:r>
        <w:rPr/>
        <w:t>亿元，比上</w:t>
      </w:r>
      <w:r>
        <w:rPr>
          <w:w w:val="99"/>
        </w:rPr>
        <w:t> </w:t>
      </w:r>
      <w:r>
        <w:rPr/>
        <w:t>年增长</w:t>
      </w:r>
      <w:r>
        <w:rPr>
          <w:spacing w:val="-57"/>
        </w:rPr>
        <w:t> </w:t>
      </w:r>
      <w:r>
        <w:rPr>
          <w:rFonts w:ascii="Arial" w:hAnsi="Arial" w:cs="Arial" w:eastAsia="Arial" w:hint="default"/>
        </w:rPr>
        <w:t>11.6%</w:t>
      </w:r>
      <w:r>
        <w:rPr/>
        <w:t>，所占固网业务营业收入的比重由上年的</w:t>
      </w:r>
      <w:r>
        <w:rPr>
          <w:spacing w:val="-57"/>
        </w:rPr>
        <w:t> </w:t>
      </w:r>
      <w:r>
        <w:rPr>
          <w:rFonts w:ascii="Arial" w:hAnsi="Arial" w:cs="Arial" w:eastAsia="Arial" w:hint="default"/>
        </w:rPr>
        <w:t>8.1%</w:t>
      </w:r>
      <w:r>
        <w:rPr/>
        <w:t>变化至</w:t>
      </w:r>
      <w:r>
        <w:rPr>
          <w:spacing w:val="-57"/>
        </w:rPr>
        <w:t> </w:t>
      </w:r>
      <w:r>
        <w:rPr>
          <w:rFonts w:ascii="Arial" w:hAnsi="Arial" w:cs="Arial" w:eastAsia="Arial" w:hint="default"/>
        </w:rPr>
        <w:t>8.8%</w:t>
      </w:r>
      <w:r>
        <w:rPr/>
        <w:t>。</w:t>
      </w:r>
    </w:p>
    <w:p>
      <w:pPr>
        <w:spacing w:line="240" w:lineRule="auto" w:before="1"/>
        <w:rPr>
          <w:rFonts w:ascii="宋体" w:hAnsi="宋体" w:cs="宋体" w:eastAsia="宋体" w:hint="default"/>
          <w:sz w:val="17"/>
          <w:szCs w:val="17"/>
        </w:rPr>
      </w:pPr>
    </w:p>
    <w:p>
      <w:pPr>
        <w:pStyle w:val="BodyText"/>
        <w:spacing w:line="240" w:lineRule="auto"/>
        <w:ind w:left="803" w:right="0"/>
        <w:jc w:val="both"/>
      </w:pPr>
      <w:r>
        <w:rPr/>
        <w:t>其他营业成本及管理费用</w:t>
      </w:r>
    </w:p>
    <w:p>
      <w:pPr>
        <w:spacing w:line="240" w:lineRule="auto" w:before="5"/>
        <w:rPr>
          <w:rFonts w:ascii="宋体" w:hAnsi="宋体" w:cs="宋体" w:eastAsia="宋体" w:hint="default"/>
          <w:sz w:val="20"/>
          <w:szCs w:val="20"/>
        </w:rPr>
      </w:pPr>
    </w:p>
    <w:p>
      <w:pPr>
        <w:pStyle w:val="BodyText"/>
        <w:spacing w:line="225" w:lineRule="auto"/>
        <w:ind w:left="821" w:right="215" w:firstLine="6"/>
        <w:jc w:val="both"/>
      </w:pPr>
      <w:r>
        <w:rPr>
          <w:rFonts w:ascii="Arial" w:hAnsi="Arial" w:cs="Arial" w:eastAsia="Arial" w:hint="default"/>
        </w:rPr>
        <w:t>2011</w:t>
      </w:r>
      <w:r>
        <w:rPr>
          <w:rFonts w:ascii="Arial" w:hAnsi="Arial" w:cs="Arial" w:eastAsia="Arial" w:hint="default"/>
          <w:spacing w:val="-5"/>
        </w:rPr>
        <w:t> </w:t>
      </w:r>
      <w:r>
        <w:rPr/>
        <w:t>年本公司其他营业成本及管理费用为人民币</w:t>
      </w:r>
      <w:r>
        <w:rPr>
          <w:spacing w:val="-54"/>
        </w:rPr>
        <w:t> </w:t>
      </w:r>
      <w:r>
        <w:rPr>
          <w:rFonts w:ascii="Arial" w:hAnsi="Arial" w:cs="Arial" w:eastAsia="Arial" w:hint="default"/>
        </w:rPr>
        <w:t>122.6</w:t>
      </w:r>
      <w:r>
        <w:rPr>
          <w:rFonts w:ascii="Arial" w:hAnsi="Arial" w:cs="Arial" w:eastAsia="Arial" w:hint="default"/>
          <w:spacing w:val="-5"/>
        </w:rPr>
        <w:t> </w:t>
      </w:r>
      <w:r>
        <w:rPr>
          <w:spacing w:val="-6"/>
        </w:rPr>
        <w:t>亿元，比上年增长</w:t>
      </w:r>
      <w:r>
        <w:rPr>
          <w:spacing w:val="-54"/>
        </w:rPr>
        <w:t> </w:t>
      </w:r>
      <w:r>
        <w:rPr>
          <w:rFonts w:ascii="Arial" w:hAnsi="Arial" w:cs="Arial" w:eastAsia="Arial" w:hint="default"/>
          <w:spacing w:val="-6"/>
        </w:rPr>
        <w:t>12.0%</w:t>
      </w:r>
      <w:r>
        <w:rPr>
          <w:spacing w:val="-6"/>
        </w:rPr>
        <w:t>，所占营</w:t>
      </w:r>
      <w:r>
        <w:rPr>
          <w:w w:val="99"/>
        </w:rPr>
        <w:t> </w:t>
      </w:r>
      <w:r>
        <w:rPr/>
        <w:t>业收入的比重由上年的</w:t>
      </w:r>
      <w:r>
        <w:rPr>
          <w:spacing w:val="-65"/>
        </w:rPr>
        <w:t> </w:t>
      </w:r>
      <w:r>
        <w:rPr>
          <w:rFonts w:ascii="Arial" w:hAnsi="Arial" w:cs="Arial" w:eastAsia="Arial" w:hint="default"/>
        </w:rPr>
        <w:t>6.2%</w:t>
      </w:r>
      <w:r>
        <w:rPr/>
        <w:t>变化至</w:t>
      </w:r>
      <w:r>
        <w:rPr>
          <w:spacing w:val="-65"/>
        </w:rPr>
        <w:t> </w:t>
      </w:r>
      <w:r>
        <w:rPr>
          <w:rFonts w:ascii="Arial" w:hAnsi="Arial" w:cs="Arial" w:eastAsia="Arial" w:hint="default"/>
        </w:rPr>
        <w:t>5.7%</w:t>
      </w:r>
      <w:r>
        <w:rPr/>
        <w:t>。其中行政及办公费为人民币</w:t>
      </w:r>
      <w:r>
        <w:rPr>
          <w:spacing w:val="-65"/>
        </w:rPr>
        <w:t> </w:t>
      </w:r>
      <w:r>
        <w:rPr>
          <w:rFonts w:ascii="Arial" w:hAnsi="Arial" w:cs="Arial" w:eastAsia="Arial" w:hint="default"/>
        </w:rPr>
        <w:t>35.6</w:t>
      </w:r>
      <w:r>
        <w:rPr>
          <w:rFonts w:ascii="Arial" w:hAnsi="Arial" w:cs="Arial" w:eastAsia="Arial" w:hint="default"/>
          <w:spacing w:val="-17"/>
        </w:rPr>
        <w:t> </w:t>
      </w:r>
      <w:r>
        <w:rPr>
          <w:spacing w:val="-6"/>
        </w:rPr>
        <w:t>亿元，比上年</w:t>
      </w:r>
      <w:r>
        <w:rPr>
          <w:w w:val="99"/>
        </w:rPr>
        <w:t> </w:t>
      </w:r>
      <w:r>
        <w:rPr/>
        <w:t>增长</w:t>
      </w:r>
      <w:r>
        <w:rPr>
          <w:spacing w:val="-58"/>
        </w:rPr>
        <w:t> </w:t>
      </w:r>
      <w:r>
        <w:rPr>
          <w:rFonts w:ascii="Arial" w:hAnsi="Arial" w:cs="Arial" w:eastAsia="Arial" w:hint="default"/>
        </w:rPr>
        <w:t>3.9%</w:t>
      </w:r>
      <w:r>
        <w:rPr/>
        <w:t>，低于同期收入增幅。</w:t>
      </w:r>
    </w:p>
    <w:p>
      <w:pPr>
        <w:spacing w:line="240" w:lineRule="auto" w:before="5"/>
        <w:rPr>
          <w:rFonts w:ascii="宋体" w:hAnsi="宋体" w:cs="宋体" w:eastAsia="宋体" w:hint="default"/>
          <w:sz w:val="19"/>
          <w:szCs w:val="19"/>
        </w:rPr>
      </w:pPr>
    </w:p>
    <w:p>
      <w:pPr>
        <w:pStyle w:val="BodyText"/>
        <w:spacing w:line="225" w:lineRule="auto"/>
        <w:ind w:left="803" w:right="256" w:firstLine="24"/>
        <w:jc w:val="both"/>
      </w:pPr>
      <w:r>
        <w:rPr/>
        <w:t>其中，移动业务的其他营业成本发生人民币</w:t>
      </w:r>
      <w:r>
        <w:rPr>
          <w:spacing w:val="-57"/>
        </w:rPr>
        <w:t> </w:t>
      </w:r>
      <w:r>
        <w:rPr>
          <w:rFonts w:ascii="Arial" w:hAnsi="Arial" w:cs="Arial" w:eastAsia="Arial" w:hint="default"/>
        </w:rPr>
        <w:t>2.9</w:t>
      </w:r>
      <w:r>
        <w:rPr>
          <w:rFonts w:ascii="Arial" w:hAnsi="Arial" w:cs="Arial" w:eastAsia="Arial" w:hint="default"/>
          <w:spacing w:val="-8"/>
        </w:rPr>
        <w:t> </w:t>
      </w:r>
      <w:r>
        <w:rPr/>
        <w:t>亿元，比上年增长</w:t>
      </w:r>
      <w:r>
        <w:rPr>
          <w:spacing w:val="-57"/>
        </w:rPr>
        <w:t> </w:t>
      </w:r>
      <w:r>
        <w:rPr>
          <w:rFonts w:ascii="Arial" w:hAnsi="Arial" w:cs="Arial" w:eastAsia="Arial" w:hint="default"/>
        </w:rPr>
        <w:t>85.4%</w:t>
      </w:r>
      <w:r>
        <w:rPr/>
        <w:t>，所占移动业务</w:t>
      </w:r>
      <w:r>
        <w:rPr>
          <w:w w:val="99"/>
        </w:rPr>
        <w:t> </w:t>
      </w:r>
      <w:r>
        <w:rPr/>
        <w:t>营业收入的比重为</w:t>
      </w:r>
      <w:r>
        <w:rPr>
          <w:spacing w:val="-57"/>
        </w:rPr>
        <w:t> </w:t>
      </w:r>
      <w:r>
        <w:rPr>
          <w:rFonts w:ascii="Arial" w:hAnsi="Arial" w:cs="Arial" w:eastAsia="Arial" w:hint="default"/>
        </w:rPr>
        <w:t>0.2%</w:t>
      </w:r>
      <w:r>
        <w:rPr/>
        <w:t>，与上年持平。固网业务的其他营业成本发生人民币</w:t>
      </w:r>
      <w:r>
        <w:rPr>
          <w:spacing w:val="-57"/>
        </w:rPr>
        <w:t> </w:t>
      </w:r>
      <w:r>
        <w:rPr>
          <w:rFonts w:ascii="Arial" w:hAnsi="Arial" w:cs="Arial" w:eastAsia="Arial" w:hint="default"/>
        </w:rPr>
        <w:t>16.1</w:t>
      </w:r>
      <w:r>
        <w:rPr>
          <w:rFonts w:ascii="Arial" w:hAnsi="Arial" w:cs="Arial" w:eastAsia="Arial" w:hint="default"/>
          <w:spacing w:val="-8"/>
        </w:rPr>
        <w:t> </w:t>
      </w:r>
      <w:r>
        <w:rPr/>
        <w:t>亿元，</w:t>
      </w:r>
      <w:r>
        <w:rPr>
          <w:w w:val="99"/>
        </w:rPr>
        <w:t> </w:t>
      </w:r>
      <w:r>
        <w:rPr/>
        <w:t>比上年增长</w:t>
      </w:r>
      <w:r>
        <w:rPr>
          <w:spacing w:val="-57"/>
        </w:rPr>
        <w:t> </w:t>
      </w:r>
      <w:r>
        <w:rPr>
          <w:rFonts w:ascii="Arial" w:hAnsi="Arial" w:cs="Arial" w:eastAsia="Arial" w:hint="default"/>
        </w:rPr>
        <w:t>59.8%</w:t>
      </w:r>
      <w:r>
        <w:rPr/>
        <w:t>，所占固网业务营业收入的比重由上年的</w:t>
      </w:r>
      <w:r>
        <w:rPr>
          <w:spacing w:val="-58"/>
        </w:rPr>
        <w:t> </w:t>
      </w:r>
      <w:r>
        <w:rPr>
          <w:rFonts w:ascii="Arial" w:hAnsi="Arial" w:cs="Arial" w:eastAsia="Arial" w:hint="default"/>
        </w:rPr>
        <w:t>1.2%</w:t>
      </w:r>
      <w:r>
        <w:rPr/>
        <w:t>变化至</w:t>
      </w:r>
      <w:r>
        <w:rPr>
          <w:spacing w:val="-58"/>
        </w:rPr>
        <w:t> </w:t>
      </w:r>
      <w:r>
        <w:rPr>
          <w:rFonts w:ascii="Arial" w:hAnsi="Arial" w:cs="Arial" w:eastAsia="Arial" w:hint="default"/>
        </w:rPr>
        <w:t>1.9%</w:t>
      </w:r>
      <w:r>
        <w:rPr/>
        <w:t>。</w:t>
      </w:r>
    </w:p>
    <w:p>
      <w:pPr>
        <w:spacing w:line="240" w:lineRule="auto" w:before="2"/>
        <w:rPr>
          <w:rFonts w:ascii="宋体" w:hAnsi="宋体" w:cs="宋体" w:eastAsia="宋体" w:hint="default"/>
          <w:sz w:val="18"/>
          <w:szCs w:val="18"/>
        </w:rPr>
      </w:pPr>
    </w:p>
    <w:p>
      <w:pPr>
        <w:pStyle w:val="BodyText"/>
        <w:spacing w:line="240" w:lineRule="auto"/>
        <w:ind w:left="803" w:right="0"/>
        <w:jc w:val="both"/>
      </w:pPr>
      <w:r>
        <w:rPr/>
        <w:t>销售通信产品成本</w:t>
      </w:r>
    </w:p>
    <w:p>
      <w:pPr>
        <w:spacing w:line="240" w:lineRule="auto" w:before="5"/>
        <w:rPr>
          <w:rFonts w:ascii="宋体" w:hAnsi="宋体" w:cs="宋体" w:eastAsia="宋体" w:hint="default"/>
          <w:sz w:val="20"/>
          <w:szCs w:val="20"/>
        </w:rPr>
      </w:pPr>
    </w:p>
    <w:p>
      <w:pPr>
        <w:pStyle w:val="BodyText"/>
        <w:spacing w:line="225" w:lineRule="auto"/>
        <w:ind w:left="821" w:right="215" w:firstLine="5"/>
        <w:jc w:val="both"/>
      </w:pPr>
      <w:r>
        <w:rPr>
          <w:rFonts w:ascii="Arial" w:hAnsi="Arial" w:cs="Arial" w:eastAsia="Arial" w:hint="default"/>
        </w:rPr>
        <w:t>2011</w:t>
      </w:r>
      <w:r>
        <w:rPr>
          <w:rFonts w:ascii="Arial" w:hAnsi="Arial" w:cs="Arial" w:eastAsia="Arial" w:hint="default"/>
          <w:spacing w:val="-19"/>
        </w:rPr>
        <w:t> </w:t>
      </w:r>
      <w:r>
        <w:rPr/>
        <w:t>年本公司继续实施积极的</w:t>
      </w:r>
      <w:r>
        <w:rPr>
          <w:spacing w:val="-68"/>
        </w:rPr>
        <w:t> </w:t>
      </w:r>
      <w:r>
        <w:rPr>
          <w:rFonts w:ascii="Arial" w:hAnsi="Arial" w:cs="Arial" w:eastAsia="Arial" w:hint="default"/>
        </w:rPr>
        <w:t>3G</w:t>
      </w:r>
      <w:r>
        <w:rPr>
          <w:rFonts w:ascii="Arial" w:hAnsi="Arial" w:cs="Arial" w:eastAsia="Arial" w:hint="default"/>
          <w:spacing w:val="-19"/>
        </w:rPr>
        <w:t> </w:t>
      </w:r>
      <w:r>
        <w:rPr/>
        <w:t>终端补贴政策，推出多款新定义千元智能机并继续利用</w:t>
      </w:r>
      <w:r>
        <w:rPr>
          <w:w w:val="99"/>
        </w:rPr>
        <w:t> </w:t>
      </w:r>
      <w:r>
        <w:rPr>
          <w:rFonts w:ascii="Arial" w:hAnsi="Arial" w:cs="Arial" w:eastAsia="Arial" w:hint="default"/>
        </w:rPr>
        <w:t>iPhone</w:t>
      </w:r>
      <w:r>
        <w:rPr>
          <w:rFonts w:ascii="Arial" w:hAnsi="Arial" w:cs="Arial" w:eastAsia="Arial" w:hint="default"/>
          <w:spacing w:val="-9"/>
        </w:rPr>
        <w:t> </w:t>
      </w:r>
      <w:r>
        <w:rPr/>
        <w:t>等明星终端大力发展</w:t>
      </w:r>
      <w:r>
        <w:rPr>
          <w:spacing w:val="-58"/>
        </w:rPr>
        <w:t> </w:t>
      </w:r>
      <w:r>
        <w:rPr>
          <w:rFonts w:ascii="Arial" w:hAnsi="Arial" w:cs="Arial" w:eastAsia="Arial" w:hint="default"/>
        </w:rPr>
        <w:t>3G</w:t>
      </w:r>
      <w:r>
        <w:rPr>
          <w:rFonts w:ascii="Arial" w:hAnsi="Arial" w:cs="Arial" w:eastAsia="Arial" w:hint="default"/>
          <w:spacing w:val="-10"/>
        </w:rPr>
        <w:t> </w:t>
      </w:r>
      <w:r>
        <w:rPr/>
        <w:t>合约计划用户，拉动各类终端销售显著增长，全年销售通</w:t>
      </w:r>
      <w:r>
        <w:rPr>
          <w:w w:val="99"/>
        </w:rPr>
        <w:t> </w:t>
      </w:r>
      <w:r>
        <w:rPr/>
        <w:t>信产品成本发生人民币</w:t>
      </w:r>
      <w:r>
        <w:rPr>
          <w:spacing w:val="-52"/>
        </w:rPr>
        <w:t> </w:t>
      </w:r>
      <w:r>
        <w:rPr>
          <w:rFonts w:ascii="Arial" w:hAnsi="Arial" w:cs="Arial" w:eastAsia="Arial" w:hint="default"/>
        </w:rPr>
        <w:t>297.4</w:t>
      </w:r>
      <w:r>
        <w:rPr>
          <w:rFonts w:ascii="Arial" w:hAnsi="Arial" w:cs="Arial" w:eastAsia="Arial" w:hint="default"/>
          <w:spacing w:val="-4"/>
        </w:rPr>
        <w:t> </w:t>
      </w:r>
      <w:r>
        <w:rPr>
          <w:spacing w:val="-7"/>
        </w:rPr>
        <w:t>亿元，比上年增长</w:t>
      </w:r>
      <w:r>
        <w:rPr>
          <w:spacing w:val="-52"/>
        </w:rPr>
        <w:t> </w:t>
      </w:r>
      <w:r>
        <w:rPr>
          <w:rFonts w:ascii="Arial" w:hAnsi="Arial" w:cs="Arial" w:eastAsia="Arial" w:hint="default"/>
          <w:spacing w:val="-3"/>
        </w:rPr>
        <w:t>178.3%</w:t>
      </w:r>
      <w:r>
        <w:rPr>
          <w:spacing w:val="-3"/>
        </w:rPr>
        <w:t>，同期销售通信产品收入为人民币</w:t>
      </w:r>
      <w:r>
        <w:rPr>
          <w:w w:val="99"/>
        </w:rPr>
        <w:t> </w:t>
      </w:r>
      <w:r>
        <w:rPr>
          <w:rFonts w:ascii="Arial" w:hAnsi="Arial" w:cs="Arial" w:eastAsia="Arial" w:hint="default"/>
        </w:rPr>
        <w:t>237.5</w:t>
      </w:r>
      <w:r>
        <w:rPr>
          <w:rFonts w:ascii="Arial" w:hAnsi="Arial" w:cs="Arial" w:eastAsia="Arial" w:hint="default"/>
          <w:spacing w:val="-12"/>
        </w:rPr>
        <w:t> </w:t>
      </w:r>
      <w:r>
        <w:rPr>
          <w:spacing w:val="-6"/>
        </w:rPr>
        <w:t>亿元，同比增长</w:t>
      </w:r>
      <w:r>
        <w:rPr>
          <w:spacing w:val="-60"/>
        </w:rPr>
        <w:t> </w:t>
      </w:r>
      <w:r>
        <w:rPr>
          <w:rFonts w:ascii="Arial" w:hAnsi="Arial" w:cs="Arial" w:eastAsia="Arial" w:hint="default"/>
        </w:rPr>
        <w:t>218.3%</w:t>
      </w:r>
      <w:r>
        <w:rPr/>
        <w:t>，通信产品销售亏损为人民币</w:t>
      </w:r>
      <w:r>
        <w:rPr>
          <w:spacing w:val="-61"/>
        </w:rPr>
        <w:t> </w:t>
      </w:r>
      <w:r>
        <w:rPr>
          <w:rFonts w:ascii="Arial" w:hAnsi="Arial" w:cs="Arial" w:eastAsia="Arial" w:hint="default"/>
        </w:rPr>
        <w:t>59.9</w:t>
      </w:r>
      <w:r>
        <w:rPr>
          <w:rFonts w:ascii="Arial" w:hAnsi="Arial" w:cs="Arial" w:eastAsia="Arial" w:hint="default"/>
          <w:spacing w:val="-12"/>
        </w:rPr>
        <w:t> </w:t>
      </w:r>
      <w:r>
        <w:rPr>
          <w:spacing w:val="-8"/>
        </w:rPr>
        <w:t>亿元，其中</w:t>
      </w:r>
      <w:r>
        <w:rPr>
          <w:spacing w:val="-61"/>
        </w:rPr>
        <w:t> </w:t>
      </w:r>
      <w:r>
        <w:rPr>
          <w:rFonts w:ascii="Arial" w:hAnsi="Arial" w:cs="Arial" w:eastAsia="Arial" w:hint="default"/>
        </w:rPr>
        <w:t>3G</w:t>
      </w:r>
      <w:r>
        <w:rPr>
          <w:rFonts w:ascii="Arial" w:hAnsi="Arial" w:cs="Arial" w:eastAsia="Arial" w:hint="default"/>
          <w:spacing w:val="-12"/>
        </w:rPr>
        <w:t> </w:t>
      </w:r>
      <w:r>
        <w:rPr/>
        <w:t>手机补贴</w:t>
      </w:r>
      <w:r>
        <w:rPr>
          <w:w w:val="99"/>
        </w:rPr>
        <w:t> </w:t>
      </w:r>
      <w:r>
        <w:rPr/>
        <w:t>成本为人民币</w:t>
      </w:r>
      <w:r>
        <w:rPr>
          <w:spacing w:val="-57"/>
        </w:rPr>
        <w:t> </w:t>
      </w:r>
      <w:r>
        <w:rPr>
          <w:rFonts w:ascii="Arial" w:hAnsi="Arial" w:cs="Arial" w:eastAsia="Arial" w:hint="default"/>
        </w:rPr>
        <w:t>57.9</w:t>
      </w:r>
      <w:r>
        <w:rPr>
          <w:rFonts w:ascii="Arial" w:hAnsi="Arial" w:cs="Arial" w:eastAsia="Arial" w:hint="default"/>
          <w:spacing w:val="-8"/>
        </w:rPr>
        <w:t> </w:t>
      </w:r>
      <w:r>
        <w:rPr/>
        <w:t>亿元。</w:t>
      </w:r>
    </w:p>
    <w:p>
      <w:pPr>
        <w:spacing w:line="240" w:lineRule="auto" w:before="3"/>
        <w:rPr>
          <w:rFonts w:ascii="宋体" w:hAnsi="宋体" w:cs="宋体" w:eastAsia="宋体" w:hint="default"/>
          <w:sz w:val="20"/>
          <w:szCs w:val="20"/>
        </w:rPr>
      </w:pPr>
    </w:p>
    <w:p>
      <w:pPr>
        <w:pStyle w:val="BodyText"/>
        <w:spacing w:line="286" w:lineRule="exact"/>
        <w:ind w:left="821" w:right="104" w:firstLine="5"/>
        <w:jc w:val="both"/>
      </w:pPr>
      <w:r>
        <w:rPr/>
        <w:t>其中，移动业务销售通信产品成本发生人民币</w:t>
      </w:r>
      <w:r>
        <w:rPr>
          <w:spacing w:val="-60"/>
        </w:rPr>
        <w:t> </w:t>
      </w:r>
      <w:r>
        <w:rPr>
          <w:rFonts w:ascii="Arial" w:hAnsi="Arial" w:cs="Arial" w:eastAsia="Arial" w:hint="default"/>
        </w:rPr>
        <w:t>296.3</w:t>
      </w:r>
      <w:r>
        <w:rPr>
          <w:rFonts w:ascii="Arial" w:hAnsi="Arial" w:cs="Arial" w:eastAsia="Arial" w:hint="default"/>
          <w:spacing w:val="-12"/>
        </w:rPr>
        <w:t> </w:t>
      </w:r>
      <w:r>
        <w:rPr>
          <w:spacing w:val="-5"/>
        </w:rPr>
        <w:t>亿元，比上年增长</w:t>
      </w:r>
      <w:r>
        <w:rPr>
          <w:spacing w:val="-61"/>
        </w:rPr>
        <w:t> </w:t>
      </w:r>
      <w:r>
        <w:rPr>
          <w:rFonts w:ascii="Arial" w:hAnsi="Arial" w:cs="Arial" w:eastAsia="Arial" w:hint="default"/>
          <w:spacing w:val="-4"/>
        </w:rPr>
        <w:t>182.3%</w:t>
      </w:r>
      <w:r>
        <w:rPr>
          <w:spacing w:val="-4"/>
        </w:rPr>
        <w:t>，所占移动</w:t>
      </w:r>
      <w:r>
        <w:rPr>
          <w:w w:val="99"/>
        </w:rPr>
        <w:t> </w:t>
      </w:r>
      <w:r>
        <w:rPr/>
        <w:t>业务营业收入的比重由上年的</w:t>
      </w:r>
      <w:r>
        <w:rPr>
          <w:spacing w:val="-57"/>
        </w:rPr>
        <w:t> </w:t>
      </w:r>
      <w:r>
        <w:rPr>
          <w:rFonts w:ascii="Arial" w:hAnsi="Arial" w:cs="Arial" w:eastAsia="Arial" w:hint="default"/>
        </w:rPr>
        <w:t>11.4%</w:t>
      </w:r>
      <w:r>
        <w:rPr/>
        <w:t>变化至</w:t>
      </w:r>
      <w:r>
        <w:rPr>
          <w:spacing w:val="-57"/>
        </w:rPr>
        <w:t> </w:t>
      </w:r>
      <w:r>
        <w:rPr>
          <w:rFonts w:ascii="Arial" w:hAnsi="Arial" w:cs="Arial" w:eastAsia="Arial" w:hint="default"/>
        </w:rPr>
        <w:t>22.8%</w:t>
      </w:r>
      <w:r>
        <w:rPr/>
        <w:t>。固网业务销售通信产品成本发生人民</w:t>
      </w:r>
      <w:r>
        <w:rPr>
          <w:w w:val="99"/>
        </w:rPr>
        <w:t> 币</w:t>
      </w:r>
      <w:r>
        <w:rPr>
          <w:spacing w:val="-69"/>
          <w:w w:val="99"/>
        </w:rPr>
        <w:t> </w:t>
      </w:r>
      <w:r>
        <w:rPr>
          <w:rFonts w:ascii="Arial" w:hAnsi="Arial" w:cs="Arial" w:eastAsia="Arial" w:hint="default"/>
          <w:w w:val="99"/>
        </w:rPr>
        <w:t>1.1</w:t>
      </w:r>
      <w:r>
        <w:rPr>
          <w:rFonts w:ascii="Arial" w:hAnsi="Arial" w:cs="Arial" w:eastAsia="Arial" w:hint="default"/>
          <w:spacing w:val="-20"/>
          <w:w w:val="99"/>
        </w:rPr>
        <w:t> </w:t>
      </w:r>
      <w:r>
        <w:rPr>
          <w:spacing w:val="-14"/>
          <w:w w:val="99"/>
        </w:rPr>
        <w:t>亿元，比上年下降</w:t>
      </w:r>
      <w:r>
        <w:rPr>
          <w:spacing w:val="-67"/>
          <w:w w:val="99"/>
        </w:rPr>
        <w:t> </w:t>
      </w:r>
      <w:r>
        <w:rPr>
          <w:rFonts w:ascii="Arial" w:hAnsi="Arial" w:cs="Arial" w:eastAsia="Arial" w:hint="default"/>
          <w:spacing w:val="-5"/>
          <w:w w:val="99"/>
        </w:rPr>
        <w:t>41.4%</w:t>
      </w:r>
      <w:r>
        <w:rPr>
          <w:spacing w:val="-5"/>
          <w:w w:val="99"/>
        </w:rPr>
        <w:t>，所占固网业务营业收入的比重由上年的</w:t>
      </w:r>
      <w:r>
        <w:rPr>
          <w:spacing w:val="-67"/>
          <w:w w:val="99"/>
        </w:rPr>
        <w:t> </w:t>
      </w:r>
      <w:r>
        <w:rPr>
          <w:rFonts w:ascii="Arial" w:hAnsi="Arial" w:cs="Arial" w:eastAsia="Arial" w:hint="default"/>
          <w:w w:val="99"/>
        </w:rPr>
        <w:t>0.2%</w:t>
      </w:r>
      <w:r>
        <w:rPr>
          <w:w w:val="99"/>
        </w:rPr>
        <w:t>变化至</w:t>
      </w:r>
      <w:r>
        <w:rPr>
          <w:spacing w:val="-67"/>
          <w:w w:val="99"/>
        </w:rPr>
        <w:t> </w:t>
      </w:r>
      <w:r>
        <w:rPr>
          <w:rFonts w:ascii="Arial" w:hAnsi="Arial" w:cs="Arial" w:eastAsia="Arial" w:hint="default"/>
          <w:w w:val="99"/>
        </w:rPr>
        <w:t>0.1%</w:t>
      </w:r>
      <w:r>
        <w:rPr>
          <w:w w:val="99"/>
        </w:rPr>
        <w:t>。</w:t>
      </w:r>
      <w:r>
        <w:rPr/>
      </w:r>
    </w:p>
    <w:p>
      <w:pPr>
        <w:spacing w:after="0" w:line="286" w:lineRule="exact"/>
        <w:jc w:val="both"/>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1"/>
        <w:ind w:left="803" w:right="0"/>
        <w:jc w:val="both"/>
      </w:pPr>
      <w:r>
        <w:rPr/>
        <w:t>财务费用</w:t>
      </w:r>
    </w:p>
    <w:p>
      <w:pPr>
        <w:spacing w:line="240" w:lineRule="auto" w:before="3"/>
        <w:rPr>
          <w:rFonts w:ascii="宋体" w:hAnsi="宋体" w:cs="宋体" w:eastAsia="宋体" w:hint="default"/>
          <w:sz w:val="21"/>
          <w:szCs w:val="21"/>
        </w:rPr>
      </w:pPr>
    </w:p>
    <w:p>
      <w:pPr>
        <w:pStyle w:val="BodyText"/>
        <w:spacing w:line="286" w:lineRule="exact"/>
        <w:ind w:left="821" w:right="136" w:firstLine="6"/>
        <w:jc w:val="both"/>
      </w:pPr>
      <w:r>
        <w:rPr>
          <w:rFonts w:ascii="Arial" w:hAnsi="Arial" w:cs="Arial" w:eastAsia="Arial" w:hint="default"/>
        </w:rPr>
        <w:t>2011</w:t>
      </w:r>
      <w:r>
        <w:rPr>
          <w:rFonts w:ascii="Arial" w:hAnsi="Arial" w:cs="Arial" w:eastAsia="Arial" w:hint="default"/>
          <w:spacing w:val="-7"/>
        </w:rPr>
        <w:t> </w:t>
      </w:r>
      <w:r>
        <w:rPr/>
        <w:t>年本公司财务费用为人民币</w:t>
      </w:r>
      <w:r>
        <w:rPr>
          <w:spacing w:val="-56"/>
        </w:rPr>
        <w:t> </w:t>
      </w:r>
      <w:r>
        <w:rPr>
          <w:rFonts w:ascii="Arial" w:hAnsi="Arial" w:cs="Arial" w:eastAsia="Arial" w:hint="default"/>
        </w:rPr>
        <w:t>12.4</w:t>
      </w:r>
      <w:r>
        <w:rPr>
          <w:rFonts w:ascii="Arial" w:hAnsi="Arial" w:cs="Arial" w:eastAsia="Arial" w:hint="default"/>
          <w:spacing w:val="-7"/>
        </w:rPr>
        <w:t> </w:t>
      </w:r>
      <w:r>
        <w:rPr/>
        <w:t>亿元，比上年下降人民币</w:t>
      </w:r>
      <w:r>
        <w:rPr>
          <w:spacing w:val="-56"/>
        </w:rPr>
        <w:t> </w:t>
      </w:r>
      <w:r>
        <w:rPr>
          <w:rFonts w:ascii="Arial" w:hAnsi="Arial" w:cs="Arial" w:eastAsia="Arial" w:hint="default"/>
        </w:rPr>
        <w:t>3.8</w:t>
      </w:r>
      <w:r>
        <w:rPr>
          <w:rFonts w:ascii="Arial" w:hAnsi="Arial" w:cs="Arial" w:eastAsia="Arial" w:hint="default"/>
          <w:spacing w:val="-7"/>
        </w:rPr>
        <w:t> </w:t>
      </w:r>
      <w:r>
        <w:rPr/>
        <w:t>亿元。主要变动原因</w:t>
      </w:r>
      <w:r>
        <w:rPr>
          <w:w w:val="99"/>
        </w:rPr>
        <w:t> </w:t>
      </w:r>
      <w:r>
        <w:rPr>
          <w:spacing w:val="-3"/>
        </w:rPr>
        <w:t>为：（</w:t>
      </w:r>
      <w:r>
        <w:rPr>
          <w:rFonts w:ascii="Arial" w:hAnsi="Arial" w:cs="Arial" w:eastAsia="Arial" w:hint="default"/>
          <w:spacing w:val="-3"/>
        </w:rPr>
        <w:t>1</w:t>
      </w:r>
      <w:r>
        <w:rPr>
          <w:spacing w:val="-3"/>
        </w:rPr>
        <w:t>）受金融市场融资成本上涨（本公司综合融资成本由上年的</w:t>
      </w:r>
      <w:r>
        <w:rPr>
          <w:spacing w:val="-51"/>
        </w:rPr>
        <w:t> </w:t>
      </w:r>
      <w:r>
        <w:rPr>
          <w:rFonts w:ascii="Arial" w:hAnsi="Arial" w:cs="Arial" w:eastAsia="Arial" w:hint="default"/>
        </w:rPr>
        <w:t>3.1%</w:t>
      </w:r>
      <w:r>
        <w:rPr/>
        <w:t>上升至</w:t>
      </w:r>
      <w:r>
        <w:rPr>
          <w:spacing w:val="-51"/>
        </w:rPr>
        <w:t> </w:t>
      </w:r>
      <w:r>
        <w:rPr>
          <w:rFonts w:ascii="Arial" w:hAnsi="Arial" w:cs="Arial" w:eastAsia="Arial" w:hint="default"/>
          <w:spacing w:val="-7"/>
        </w:rPr>
        <w:t>3.7%</w:t>
      </w:r>
      <w:r>
        <w:rPr>
          <w:spacing w:val="-7"/>
        </w:rPr>
        <w:t>）及</w:t>
      </w:r>
      <w:r>
        <w:rPr>
          <w:spacing w:val="-108"/>
        </w:rPr>
        <w:t> </w:t>
      </w:r>
      <w:r>
        <w:rPr/>
        <w:t>带息债务规模上升双重因素影响，利息费用比上年增加人民币</w:t>
      </w:r>
      <w:r>
        <w:rPr>
          <w:spacing w:val="-65"/>
        </w:rPr>
        <w:t> </w:t>
      </w:r>
      <w:r>
        <w:rPr>
          <w:rFonts w:ascii="Arial" w:hAnsi="Arial" w:cs="Arial" w:eastAsia="Arial" w:hint="default"/>
        </w:rPr>
        <w:t>4.2</w:t>
      </w:r>
      <w:r>
        <w:rPr>
          <w:rFonts w:ascii="Arial" w:hAnsi="Arial" w:cs="Arial" w:eastAsia="Arial" w:hint="default"/>
          <w:spacing w:val="-16"/>
        </w:rPr>
        <w:t> </w:t>
      </w:r>
      <w:r>
        <w:rPr>
          <w:spacing w:val="-4"/>
        </w:rPr>
        <w:t>亿元；（</w:t>
      </w:r>
      <w:r>
        <w:rPr>
          <w:rFonts w:ascii="Arial" w:hAnsi="Arial" w:cs="Arial" w:eastAsia="Arial" w:hint="default"/>
          <w:spacing w:val="-4"/>
        </w:rPr>
        <w:t>2</w:t>
      </w:r>
      <w:r>
        <w:rPr>
          <w:spacing w:val="-4"/>
        </w:rPr>
        <w:t>）随着人民币</w:t>
      </w:r>
    </w:p>
    <w:p>
      <w:pPr>
        <w:pStyle w:val="BodyText"/>
        <w:spacing w:line="275" w:lineRule="exact"/>
        <w:ind w:left="821" w:right="0"/>
        <w:jc w:val="both"/>
      </w:pPr>
      <w:r>
        <w:rPr/>
        <w:t>继续升值，</w:t>
      </w:r>
      <w:r>
        <w:rPr>
          <w:rFonts w:ascii="Arial" w:hAnsi="Arial" w:cs="Arial" w:eastAsia="Arial" w:hint="default"/>
        </w:rPr>
        <w:t>2011</w:t>
      </w:r>
      <w:r>
        <w:rPr>
          <w:rFonts w:ascii="Arial" w:hAnsi="Arial" w:cs="Arial" w:eastAsia="Arial" w:hint="default"/>
          <w:spacing w:val="-8"/>
        </w:rPr>
        <w:t> </w:t>
      </w:r>
      <w:r>
        <w:rPr/>
        <w:t>年本公司获得汇兑收益人民币</w:t>
      </w:r>
      <w:r>
        <w:rPr>
          <w:spacing w:val="-56"/>
        </w:rPr>
        <w:t> </w:t>
      </w:r>
      <w:r>
        <w:rPr>
          <w:rFonts w:ascii="Arial" w:hAnsi="Arial" w:cs="Arial" w:eastAsia="Arial" w:hint="default"/>
        </w:rPr>
        <w:t>12.1</w:t>
      </w:r>
      <w:r>
        <w:rPr>
          <w:rFonts w:ascii="Arial" w:hAnsi="Arial" w:cs="Arial" w:eastAsia="Arial" w:hint="default"/>
          <w:spacing w:val="-8"/>
        </w:rPr>
        <w:t> </w:t>
      </w:r>
      <w:r>
        <w:rPr/>
        <w:t>亿元，比上年增加人民币</w:t>
      </w:r>
      <w:r>
        <w:rPr>
          <w:spacing w:val="-57"/>
        </w:rPr>
        <w:t> </w:t>
      </w:r>
      <w:r>
        <w:rPr>
          <w:rFonts w:ascii="Arial" w:hAnsi="Arial" w:cs="Arial" w:eastAsia="Arial" w:hint="default"/>
        </w:rPr>
        <w:t>8.4</w:t>
      </w:r>
      <w:r>
        <w:rPr>
          <w:rFonts w:ascii="Arial" w:hAnsi="Arial" w:cs="Arial" w:eastAsia="Arial" w:hint="default"/>
          <w:spacing w:val="-8"/>
        </w:rPr>
        <w:t> </w:t>
      </w:r>
      <w:r>
        <w:rPr/>
        <w:t>亿元。</w:t>
      </w:r>
    </w:p>
    <w:p>
      <w:pPr>
        <w:spacing w:line="240" w:lineRule="auto" w:before="12"/>
        <w:rPr>
          <w:rFonts w:ascii="宋体" w:hAnsi="宋体" w:cs="宋体" w:eastAsia="宋体" w:hint="default"/>
          <w:sz w:val="17"/>
          <w:szCs w:val="17"/>
        </w:rPr>
      </w:pPr>
    </w:p>
    <w:p>
      <w:pPr>
        <w:spacing w:line="424" w:lineRule="auto" w:before="0"/>
        <w:ind w:left="803" w:right="7877" w:hanging="370"/>
        <w:jc w:val="left"/>
        <w:rPr>
          <w:rFonts w:ascii="宋体" w:hAnsi="宋体" w:cs="宋体" w:eastAsia="宋体" w:hint="default"/>
          <w:sz w:val="22"/>
          <w:szCs w:val="22"/>
        </w:rPr>
      </w:pPr>
      <w:r>
        <w:rPr>
          <w:rFonts w:ascii="Arial" w:hAnsi="Arial" w:cs="Arial" w:eastAsia="Arial" w:hint="default"/>
          <w:b/>
          <w:bCs/>
          <w:sz w:val="22"/>
          <w:szCs w:val="22"/>
        </w:rPr>
        <w:t>3.4</w:t>
      </w:r>
      <w:r>
        <w:rPr>
          <w:rFonts w:ascii="Arial" w:hAnsi="Arial" w:cs="Arial" w:eastAsia="Arial" w:hint="default"/>
          <w:b/>
          <w:bCs/>
          <w:spacing w:val="-5"/>
          <w:sz w:val="22"/>
          <w:szCs w:val="22"/>
        </w:rPr>
        <w:t> </w:t>
      </w:r>
      <w:r>
        <w:rPr>
          <w:rFonts w:ascii="宋体" w:hAnsi="宋体" w:cs="宋体" w:eastAsia="宋体" w:hint="default"/>
          <w:sz w:val="22"/>
          <w:szCs w:val="22"/>
        </w:rPr>
        <w:t>盈利水平</w:t>
      </w:r>
      <w:r>
        <w:rPr>
          <w:rFonts w:ascii="宋体" w:hAnsi="宋体" w:cs="宋体" w:eastAsia="宋体" w:hint="default"/>
          <w:spacing w:val="1"/>
          <w:w w:val="99"/>
          <w:sz w:val="22"/>
          <w:szCs w:val="22"/>
        </w:rPr>
        <w:t> </w:t>
      </w:r>
      <w:r>
        <w:rPr>
          <w:rFonts w:ascii="宋体" w:hAnsi="宋体" w:cs="宋体" w:eastAsia="宋体" w:hint="default"/>
          <w:sz w:val="22"/>
          <w:szCs w:val="22"/>
        </w:rPr>
        <w:t>税前利润</w:t>
      </w:r>
    </w:p>
    <w:p>
      <w:pPr>
        <w:pStyle w:val="BodyText"/>
        <w:spacing w:line="286" w:lineRule="exact" w:before="108"/>
        <w:ind w:left="821" w:right="120" w:firstLine="6"/>
        <w:jc w:val="left"/>
      </w:pPr>
      <w:r>
        <w:rPr>
          <w:spacing w:val="-2"/>
        </w:rPr>
        <w:t>随着业务的快速发展和收入的增长，本公司盈利状况得到改善，</w:t>
      </w:r>
      <w:r>
        <w:rPr>
          <w:rFonts w:ascii="Arial" w:hAnsi="Arial" w:cs="Arial" w:eastAsia="Arial" w:hint="default"/>
          <w:spacing w:val="-2"/>
        </w:rPr>
        <w:t>2011</w:t>
      </w:r>
      <w:r>
        <w:rPr>
          <w:rFonts w:ascii="Arial" w:hAnsi="Arial" w:cs="Arial" w:eastAsia="Arial" w:hint="default"/>
          <w:spacing w:val="-14"/>
        </w:rPr>
        <w:t> </w:t>
      </w:r>
      <w:r>
        <w:rPr/>
        <w:t>年实现税前利润人民</w:t>
      </w:r>
      <w:r>
        <w:rPr>
          <w:w w:val="99"/>
        </w:rPr>
        <w:t> </w:t>
      </w:r>
      <w:r>
        <w:rPr/>
        <w:t>币</w:t>
      </w:r>
      <w:r>
        <w:rPr>
          <w:spacing w:val="-57"/>
        </w:rPr>
        <w:t> </w:t>
      </w:r>
      <w:r>
        <w:rPr>
          <w:rFonts w:ascii="Arial" w:hAnsi="Arial" w:cs="Arial" w:eastAsia="Arial" w:hint="default"/>
        </w:rPr>
        <w:t>56.5</w:t>
      </w:r>
      <w:r>
        <w:rPr>
          <w:rFonts w:ascii="Arial" w:hAnsi="Arial" w:cs="Arial" w:eastAsia="Arial" w:hint="default"/>
          <w:spacing w:val="-8"/>
        </w:rPr>
        <w:t> </w:t>
      </w:r>
      <w:r>
        <w:rPr/>
        <w:t>亿元，比上年增长</w:t>
      </w:r>
      <w:r>
        <w:rPr>
          <w:spacing w:val="-57"/>
        </w:rPr>
        <w:t> </w:t>
      </w:r>
      <w:r>
        <w:rPr>
          <w:rFonts w:ascii="Arial" w:hAnsi="Arial" w:cs="Arial" w:eastAsia="Arial" w:hint="default"/>
        </w:rPr>
        <w:t>26.1%</w:t>
      </w:r>
      <w:r>
        <w:rPr/>
        <w:t>。</w:t>
      </w:r>
    </w:p>
    <w:p>
      <w:pPr>
        <w:spacing w:line="240" w:lineRule="auto" w:before="2"/>
        <w:rPr>
          <w:rFonts w:ascii="宋体" w:hAnsi="宋体" w:cs="宋体" w:eastAsia="宋体" w:hint="default"/>
          <w:sz w:val="17"/>
          <w:szCs w:val="17"/>
        </w:rPr>
      </w:pPr>
    </w:p>
    <w:p>
      <w:pPr>
        <w:pStyle w:val="BodyText"/>
        <w:spacing w:line="240" w:lineRule="auto"/>
        <w:ind w:left="803" w:right="0"/>
        <w:jc w:val="both"/>
      </w:pPr>
      <w:r>
        <w:rPr/>
        <w:t>所得税</w:t>
      </w:r>
    </w:p>
    <w:p>
      <w:pPr>
        <w:spacing w:line="240" w:lineRule="auto" w:before="1"/>
        <w:rPr>
          <w:rFonts w:ascii="宋体" w:hAnsi="宋体" w:cs="宋体" w:eastAsia="宋体" w:hint="default"/>
          <w:sz w:val="19"/>
          <w:szCs w:val="19"/>
        </w:rPr>
      </w:pPr>
    </w:p>
    <w:p>
      <w:pPr>
        <w:pStyle w:val="BodyText"/>
        <w:spacing w:line="295" w:lineRule="exact"/>
        <w:ind w:left="827" w:right="0"/>
        <w:jc w:val="both"/>
      </w:pPr>
      <w:r>
        <w:rPr>
          <w:rFonts w:ascii="Arial" w:hAnsi="Arial" w:cs="Arial" w:eastAsia="Arial" w:hint="default"/>
        </w:rPr>
        <w:t>2011</w:t>
      </w:r>
      <w:r>
        <w:rPr>
          <w:rFonts w:ascii="Arial" w:hAnsi="Arial" w:cs="Arial" w:eastAsia="Arial" w:hint="default"/>
          <w:spacing w:val="-8"/>
        </w:rPr>
        <w:t> </w:t>
      </w:r>
      <w:r>
        <w:rPr/>
        <w:t>年本公司的所得税为人民币</w:t>
      </w:r>
      <w:r>
        <w:rPr>
          <w:spacing w:val="-57"/>
        </w:rPr>
        <w:t> </w:t>
      </w:r>
      <w:r>
        <w:rPr>
          <w:rFonts w:ascii="Arial" w:hAnsi="Arial" w:cs="Arial" w:eastAsia="Arial" w:hint="default"/>
        </w:rPr>
        <w:t>14.8</w:t>
      </w:r>
      <w:r>
        <w:rPr>
          <w:rFonts w:ascii="Arial" w:hAnsi="Arial" w:cs="Arial" w:eastAsia="Arial" w:hint="default"/>
          <w:spacing w:val="-8"/>
        </w:rPr>
        <w:t> </w:t>
      </w:r>
      <w:r>
        <w:rPr/>
        <w:t>亿元，全年实际税率为</w:t>
      </w:r>
      <w:r>
        <w:rPr>
          <w:spacing w:val="-57"/>
        </w:rPr>
        <w:t> </w:t>
      </w:r>
      <w:r>
        <w:rPr>
          <w:rFonts w:ascii="Arial" w:hAnsi="Arial" w:cs="Arial" w:eastAsia="Arial" w:hint="default"/>
        </w:rPr>
        <w:t>26.1%</w:t>
      </w:r>
      <w:r>
        <w:rPr/>
        <w:t>，比上年</w:t>
      </w:r>
      <w:r>
        <w:rPr>
          <w:spacing w:val="-57"/>
        </w:rPr>
        <w:t> </w:t>
      </w:r>
      <w:r>
        <w:rPr>
          <w:rFonts w:ascii="Arial" w:hAnsi="Arial" w:cs="Arial" w:eastAsia="Arial" w:hint="default"/>
        </w:rPr>
        <w:t>21.0%</w:t>
      </w:r>
      <w:r>
        <w:rPr/>
        <w:t>的实</w:t>
      </w:r>
    </w:p>
    <w:p>
      <w:pPr>
        <w:pStyle w:val="BodyText"/>
        <w:spacing w:line="286" w:lineRule="exact" w:before="19"/>
        <w:ind w:left="821" w:right="187"/>
        <w:jc w:val="left"/>
      </w:pPr>
      <w:r>
        <w:rPr/>
        <w:t>际税率提高了</w:t>
      </w:r>
      <w:r>
        <w:rPr>
          <w:spacing w:val="-57"/>
        </w:rPr>
        <w:t> </w:t>
      </w:r>
      <w:r>
        <w:rPr>
          <w:rFonts w:ascii="Arial" w:hAnsi="Arial" w:cs="Arial" w:eastAsia="Arial" w:hint="default"/>
        </w:rPr>
        <w:t>5.1</w:t>
      </w:r>
      <w:r>
        <w:rPr>
          <w:rFonts w:ascii="Arial" w:hAnsi="Arial" w:cs="Arial" w:eastAsia="Arial" w:hint="default"/>
          <w:spacing w:val="-8"/>
        </w:rPr>
        <w:t> </w:t>
      </w:r>
      <w:r>
        <w:rPr/>
        <w:t>个百分点，主要是本年实际税率计算中不再包含子公司以前年度亏损抵</w:t>
      </w:r>
      <w:r>
        <w:rPr>
          <w:w w:val="99"/>
        </w:rPr>
        <w:t> </w:t>
      </w:r>
      <w:r>
        <w:rPr/>
        <w:t>扣及非应纳税所得收入下降等因素影响所致。</w:t>
      </w:r>
    </w:p>
    <w:p>
      <w:pPr>
        <w:spacing w:line="240" w:lineRule="auto" w:before="1"/>
        <w:rPr>
          <w:rFonts w:ascii="宋体" w:hAnsi="宋体" w:cs="宋体" w:eastAsia="宋体" w:hint="default"/>
          <w:sz w:val="17"/>
          <w:szCs w:val="17"/>
        </w:rPr>
      </w:pPr>
    </w:p>
    <w:p>
      <w:pPr>
        <w:pStyle w:val="BodyText"/>
        <w:spacing w:line="240" w:lineRule="auto"/>
        <w:ind w:left="803" w:right="0"/>
        <w:jc w:val="both"/>
      </w:pPr>
      <w:r>
        <w:rPr/>
        <w:t>年度盈利</w:t>
      </w:r>
    </w:p>
    <w:p>
      <w:pPr>
        <w:spacing w:line="240" w:lineRule="auto" w:before="2"/>
        <w:rPr>
          <w:rFonts w:ascii="宋体" w:hAnsi="宋体" w:cs="宋体" w:eastAsia="宋体" w:hint="default"/>
          <w:sz w:val="19"/>
          <w:szCs w:val="19"/>
        </w:rPr>
      </w:pPr>
    </w:p>
    <w:p>
      <w:pPr>
        <w:pStyle w:val="BodyText"/>
        <w:spacing w:line="295" w:lineRule="exact"/>
        <w:ind w:left="827" w:right="0"/>
        <w:jc w:val="both"/>
      </w:pPr>
      <w:r>
        <w:rPr>
          <w:rFonts w:ascii="Arial" w:hAnsi="Arial" w:cs="Arial" w:eastAsia="Arial" w:hint="default"/>
        </w:rPr>
        <w:t>2011</w:t>
      </w:r>
      <w:r>
        <w:rPr>
          <w:rFonts w:ascii="Arial" w:hAnsi="Arial" w:cs="Arial" w:eastAsia="Arial" w:hint="default"/>
          <w:spacing w:val="-6"/>
        </w:rPr>
        <w:t> </w:t>
      </w:r>
      <w:r>
        <w:rPr/>
        <w:t>年本公司实现利润总额为人民币</w:t>
      </w:r>
      <w:r>
        <w:rPr>
          <w:spacing w:val="-55"/>
        </w:rPr>
        <w:t> </w:t>
      </w:r>
      <w:r>
        <w:rPr>
          <w:rFonts w:ascii="Arial" w:hAnsi="Arial" w:cs="Arial" w:eastAsia="Arial" w:hint="default"/>
        </w:rPr>
        <w:t>56.5</w:t>
      </w:r>
      <w:r>
        <w:rPr>
          <w:rFonts w:ascii="Arial" w:hAnsi="Arial" w:cs="Arial" w:eastAsia="Arial" w:hint="default"/>
          <w:spacing w:val="-6"/>
        </w:rPr>
        <w:t> </w:t>
      </w:r>
      <w:r>
        <w:rPr>
          <w:spacing w:val="-3"/>
        </w:rPr>
        <w:t>亿元，净利润为人民币</w:t>
      </w:r>
      <w:r>
        <w:rPr>
          <w:spacing w:val="-55"/>
        </w:rPr>
        <w:t> </w:t>
      </w:r>
      <w:r>
        <w:rPr>
          <w:rFonts w:ascii="Arial" w:hAnsi="Arial" w:cs="Arial" w:eastAsia="Arial" w:hint="default"/>
        </w:rPr>
        <w:t>41.7</w:t>
      </w:r>
      <w:r>
        <w:rPr>
          <w:rFonts w:ascii="Arial" w:hAnsi="Arial" w:cs="Arial" w:eastAsia="Arial" w:hint="default"/>
          <w:spacing w:val="-6"/>
        </w:rPr>
        <w:t> </w:t>
      </w:r>
      <w:r>
        <w:rPr>
          <w:spacing w:val="-3"/>
        </w:rPr>
        <w:t>亿元，比上年增长</w:t>
      </w:r>
    </w:p>
    <w:p>
      <w:pPr>
        <w:pStyle w:val="BodyText"/>
        <w:spacing w:line="286" w:lineRule="exact"/>
        <w:ind w:left="821" w:right="0"/>
        <w:jc w:val="both"/>
      </w:pPr>
      <w:r>
        <w:rPr>
          <w:rFonts w:ascii="Arial" w:hAnsi="Arial" w:cs="Arial" w:eastAsia="Arial" w:hint="default"/>
        </w:rPr>
        <w:t>19.2%</w:t>
      </w:r>
      <w:r>
        <w:rPr/>
        <w:t>，其中归属于母公司的净利润（附注</w:t>
      </w:r>
      <w:r>
        <w:rPr>
          <w:spacing w:val="-58"/>
        </w:rPr>
        <w:t> </w:t>
      </w:r>
      <w:r>
        <w:rPr>
          <w:rFonts w:ascii="Arial" w:hAnsi="Arial" w:cs="Arial" w:eastAsia="Arial" w:hint="default"/>
        </w:rPr>
        <w:t>1</w:t>
      </w:r>
      <w:r>
        <w:rPr/>
        <w:t>）为人民币</w:t>
      </w:r>
      <w:r>
        <w:rPr>
          <w:spacing w:val="-57"/>
        </w:rPr>
        <w:t> </w:t>
      </w:r>
      <w:r>
        <w:rPr>
          <w:rFonts w:ascii="Arial" w:hAnsi="Arial" w:cs="Arial" w:eastAsia="Arial" w:hint="default"/>
        </w:rPr>
        <w:t>14.1</w:t>
      </w:r>
      <w:r>
        <w:rPr>
          <w:rFonts w:ascii="Arial" w:hAnsi="Arial" w:cs="Arial" w:eastAsia="Arial" w:hint="default"/>
          <w:spacing w:val="-9"/>
        </w:rPr>
        <w:t> </w:t>
      </w:r>
      <w:r>
        <w:rPr/>
        <w:t>亿元，基本每股收益（附注</w:t>
      </w:r>
    </w:p>
    <w:p>
      <w:pPr>
        <w:pStyle w:val="BodyText"/>
        <w:spacing w:line="295" w:lineRule="exact"/>
        <w:ind w:left="821" w:right="0"/>
        <w:jc w:val="both"/>
      </w:pPr>
      <w:r>
        <w:rPr>
          <w:rFonts w:ascii="Arial" w:hAnsi="Arial" w:cs="Arial" w:eastAsia="Arial" w:hint="default"/>
        </w:rPr>
        <w:t>1</w:t>
      </w:r>
      <w:r>
        <w:rPr/>
        <w:t>）为</w:t>
      </w:r>
      <w:r>
        <w:rPr>
          <w:spacing w:val="-57"/>
        </w:rPr>
        <w:t> </w:t>
      </w:r>
      <w:r>
        <w:rPr>
          <w:rFonts w:ascii="Arial" w:hAnsi="Arial" w:cs="Arial" w:eastAsia="Arial" w:hint="default"/>
        </w:rPr>
        <w:t>0.067</w:t>
      </w:r>
      <w:r>
        <w:rPr>
          <w:rFonts w:ascii="Arial" w:hAnsi="Arial" w:cs="Arial" w:eastAsia="Arial" w:hint="default"/>
          <w:spacing w:val="-8"/>
        </w:rPr>
        <w:t> </w:t>
      </w:r>
      <w:r>
        <w:rPr/>
        <w:t>元。</w:t>
      </w:r>
    </w:p>
    <w:p>
      <w:pPr>
        <w:spacing w:line="240" w:lineRule="auto" w:before="7"/>
        <w:rPr>
          <w:rFonts w:ascii="宋体" w:hAnsi="宋体" w:cs="宋体" w:eastAsia="宋体" w:hint="default"/>
          <w:sz w:val="20"/>
          <w:szCs w:val="20"/>
        </w:rPr>
      </w:pPr>
    </w:p>
    <w:p>
      <w:pPr>
        <w:pStyle w:val="ListParagraph"/>
        <w:numPr>
          <w:ilvl w:val="1"/>
          <w:numId w:val="1"/>
        </w:numPr>
        <w:tabs>
          <w:tab w:pos="801" w:val="left" w:leader="none"/>
        </w:tabs>
        <w:spacing w:line="240" w:lineRule="auto" w:before="0" w:after="0"/>
        <w:ind w:left="800" w:right="0" w:hanging="367"/>
        <w:jc w:val="left"/>
        <w:rPr>
          <w:rFonts w:ascii="Arial" w:hAnsi="Arial" w:cs="Arial" w:eastAsia="Arial" w:hint="default"/>
          <w:sz w:val="22"/>
          <w:szCs w:val="22"/>
        </w:rPr>
      </w:pPr>
      <w:r>
        <w:rPr>
          <w:rFonts w:ascii="Arial"/>
          <w:b/>
          <w:sz w:val="22"/>
        </w:rPr>
        <w:t>EBITDA</w:t>
      </w:r>
      <w:r>
        <w:rPr>
          <w:rFonts w:ascii="Arial"/>
          <w:sz w:val="22"/>
        </w:rPr>
      </w:r>
    </w:p>
    <w:p>
      <w:pPr>
        <w:spacing w:line="240" w:lineRule="auto" w:before="11"/>
        <w:rPr>
          <w:rFonts w:ascii="Arial" w:hAnsi="Arial" w:cs="Arial" w:eastAsia="Arial" w:hint="default"/>
          <w:b/>
          <w:bCs/>
          <w:sz w:val="18"/>
          <w:szCs w:val="18"/>
        </w:rPr>
      </w:pPr>
    </w:p>
    <w:p>
      <w:pPr>
        <w:pStyle w:val="BodyText"/>
        <w:spacing w:line="294" w:lineRule="exact"/>
        <w:ind w:left="827" w:right="0"/>
        <w:jc w:val="both"/>
        <w:rPr>
          <w:rFonts w:ascii="Arial" w:hAnsi="Arial" w:cs="Arial" w:eastAsia="Arial" w:hint="default"/>
        </w:rPr>
      </w:pPr>
      <w:r>
        <w:rPr>
          <w:rFonts w:ascii="Arial" w:hAnsi="Arial" w:cs="Arial" w:eastAsia="Arial" w:hint="default"/>
        </w:rPr>
        <w:t>2011</w:t>
      </w:r>
      <w:r>
        <w:rPr>
          <w:rFonts w:ascii="Arial" w:hAnsi="Arial" w:cs="Arial" w:eastAsia="Arial" w:hint="default"/>
          <w:spacing w:val="-7"/>
        </w:rPr>
        <w:t> </w:t>
      </w:r>
      <w:r>
        <w:rPr/>
        <w:t>年本公司</w:t>
      </w:r>
      <w:r>
        <w:rPr>
          <w:spacing w:val="-56"/>
        </w:rPr>
        <w:t> </w:t>
      </w:r>
      <w:r>
        <w:rPr>
          <w:rFonts w:ascii="Arial" w:hAnsi="Arial" w:cs="Arial" w:eastAsia="Arial" w:hint="default"/>
        </w:rPr>
        <w:t>EBITDA</w:t>
      </w:r>
      <w:r>
        <w:rPr>
          <w:rFonts w:ascii="Arial" w:hAnsi="Arial" w:cs="Arial" w:eastAsia="Arial" w:hint="default"/>
          <w:spacing w:val="-6"/>
        </w:rPr>
        <w:t> </w:t>
      </w:r>
      <w:r>
        <w:rPr/>
        <w:t>为人民币</w:t>
      </w:r>
      <w:r>
        <w:rPr>
          <w:spacing w:val="-56"/>
        </w:rPr>
        <w:t> </w:t>
      </w:r>
      <w:r>
        <w:rPr>
          <w:rFonts w:ascii="Arial" w:hAnsi="Arial" w:cs="Arial" w:eastAsia="Arial" w:hint="default"/>
        </w:rPr>
        <w:t>636.4</w:t>
      </w:r>
      <w:r>
        <w:rPr>
          <w:rFonts w:ascii="Arial" w:hAnsi="Arial" w:cs="Arial" w:eastAsia="Arial" w:hint="default"/>
          <w:spacing w:val="-7"/>
        </w:rPr>
        <w:t> </w:t>
      </w:r>
      <w:r>
        <w:rPr>
          <w:spacing w:val="-7"/>
        </w:rPr>
        <w:t>亿元，比上年增长</w:t>
      </w:r>
      <w:r>
        <w:rPr>
          <w:spacing w:val="-56"/>
        </w:rPr>
        <w:t> </w:t>
      </w:r>
      <w:r>
        <w:rPr>
          <w:rFonts w:ascii="Arial" w:hAnsi="Arial" w:cs="Arial" w:eastAsia="Arial" w:hint="default"/>
          <w:spacing w:val="-5"/>
        </w:rPr>
        <w:t>7.0%</w:t>
      </w:r>
      <w:r>
        <w:rPr>
          <w:spacing w:val="-5"/>
        </w:rPr>
        <w:t>，</w:t>
      </w:r>
      <w:r>
        <w:rPr>
          <w:rFonts w:ascii="Arial" w:hAnsi="Arial" w:cs="Arial" w:eastAsia="Arial" w:hint="default"/>
          <w:spacing w:val="-5"/>
        </w:rPr>
        <w:t>EBITDA</w:t>
      </w:r>
      <w:r>
        <w:rPr>
          <w:rFonts w:ascii="Arial" w:hAnsi="Arial" w:cs="Arial" w:eastAsia="Arial" w:hint="default"/>
          <w:spacing w:val="-8"/>
        </w:rPr>
        <w:t> </w:t>
      </w:r>
      <w:r>
        <w:rPr>
          <w:spacing w:val="-18"/>
        </w:rPr>
        <w:t>率（即</w:t>
      </w:r>
      <w:r>
        <w:rPr>
          <w:spacing w:val="-56"/>
        </w:rPr>
        <w:t> </w:t>
      </w:r>
      <w:r>
        <w:rPr>
          <w:rFonts w:ascii="Arial" w:hAnsi="Arial" w:cs="Arial" w:eastAsia="Arial" w:hint="default"/>
        </w:rPr>
        <w:t>EBITDA</w:t>
      </w:r>
    </w:p>
    <w:p>
      <w:pPr>
        <w:pStyle w:val="BodyText"/>
        <w:spacing w:line="294" w:lineRule="exact"/>
        <w:ind w:left="821" w:right="0"/>
        <w:jc w:val="both"/>
      </w:pPr>
      <w:r>
        <w:rPr/>
        <w:t>所占营业收入的百分比）为</w:t>
      </w:r>
      <w:r>
        <w:rPr>
          <w:spacing w:val="-58"/>
        </w:rPr>
        <w:t> </w:t>
      </w:r>
      <w:r>
        <w:rPr>
          <w:rFonts w:ascii="Arial" w:hAnsi="Arial" w:cs="Arial" w:eastAsia="Arial" w:hint="default"/>
        </w:rPr>
        <w:t>29.5%</w:t>
      </w:r>
      <w:r>
        <w:rPr/>
        <w:t>。</w:t>
      </w:r>
    </w:p>
    <w:p>
      <w:pPr>
        <w:spacing w:line="240" w:lineRule="auto" w:before="13"/>
        <w:rPr>
          <w:rFonts w:ascii="宋体" w:hAnsi="宋体" w:cs="宋体" w:eastAsia="宋体" w:hint="default"/>
          <w:sz w:val="17"/>
          <w:szCs w:val="17"/>
        </w:rPr>
      </w:pPr>
    </w:p>
    <w:p>
      <w:pPr>
        <w:spacing w:before="0"/>
        <w:ind w:left="433" w:right="0" w:firstLine="0"/>
        <w:jc w:val="left"/>
        <w:rPr>
          <w:rFonts w:ascii="宋体" w:hAnsi="宋体" w:cs="宋体" w:eastAsia="宋体" w:hint="default"/>
          <w:sz w:val="22"/>
          <w:szCs w:val="22"/>
        </w:rPr>
      </w:pPr>
      <w:r>
        <w:rPr>
          <w:rFonts w:ascii="Arial" w:hAnsi="Arial" w:cs="Arial" w:eastAsia="Arial" w:hint="default"/>
          <w:b/>
          <w:bCs/>
          <w:sz w:val="22"/>
          <w:szCs w:val="22"/>
        </w:rPr>
        <w:t>3.6</w:t>
      </w:r>
      <w:r>
        <w:rPr>
          <w:rFonts w:ascii="Arial" w:hAnsi="Arial" w:cs="Arial" w:eastAsia="Arial" w:hint="default"/>
          <w:b/>
          <w:bCs/>
          <w:spacing w:val="-2"/>
          <w:sz w:val="22"/>
          <w:szCs w:val="22"/>
        </w:rPr>
        <w:t> </w:t>
      </w:r>
      <w:r>
        <w:rPr>
          <w:rFonts w:ascii="宋体" w:hAnsi="宋体" w:cs="宋体" w:eastAsia="宋体" w:hint="default"/>
          <w:sz w:val="22"/>
          <w:szCs w:val="22"/>
        </w:rPr>
        <w:t>资本开支及现金流</w:t>
      </w:r>
    </w:p>
    <w:p>
      <w:pPr>
        <w:spacing w:line="240" w:lineRule="auto" w:before="3"/>
        <w:rPr>
          <w:rFonts w:ascii="宋体" w:hAnsi="宋体" w:cs="宋体" w:eastAsia="宋体" w:hint="default"/>
          <w:sz w:val="20"/>
          <w:szCs w:val="20"/>
        </w:rPr>
      </w:pPr>
    </w:p>
    <w:p>
      <w:pPr>
        <w:pStyle w:val="BodyText"/>
        <w:spacing w:line="284" w:lineRule="exact"/>
        <w:ind w:left="821" w:right="141" w:firstLine="5"/>
        <w:jc w:val="left"/>
      </w:pPr>
      <w:r>
        <w:rPr>
          <w:rFonts w:ascii="Arial" w:hAnsi="Arial" w:cs="Arial" w:eastAsia="Arial" w:hint="default"/>
        </w:rPr>
        <w:t>2011</w:t>
      </w:r>
      <w:r>
        <w:rPr>
          <w:rFonts w:ascii="Arial" w:hAnsi="Arial" w:cs="Arial" w:eastAsia="Arial" w:hint="default"/>
          <w:spacing w:val="-7"/>
        </w:rPr>
        <w:t> </w:t>
      </w:r>
      <w:r>
        <w:rPr/>
        <w:t>年本公司的各项资本开支合计人民币</w:t>
      </w:r>
      <w:r>
        <w:rPr>
          <w:spacing w:val="-56"/>
        </w:rPr>
        <w:t> </w:t>
      </w:r>
      <w:r>
        <w:rPr>
          <w:rFonts w:ascii="Arial" w:hAnsi="Arial" w:cs="Arial" w:eastAsia="Arial" w:hint="default"/>
        </w:rPr>
        <w:t>766.6</w:t>
      </w:r>
      <w:r>
        <w:rPr>
          <w:rFonts w:ascii="Arial" w:hAnsi="Arial" w:cs="Arial" w:eastAsia="Arial" w:hint="default"/>
          <w:spacing w:val="-7"/>
        </w:rPr>
        <w:t> </w:t>
      </w:r>
      <w:r>
        <w:rPr/>
        <w:t>亿元，主要用于</w:t>
      </w:r>
      <w:r>
        <w:rPr>
          <w:spacing w:val="-56"/>
        </w:rPr>
        <w:t> </w:t>
      </w:r>
      <w:r>
        <w:rPr>
          <w:rFonts w:ascii="Arial" w:hAnsi="Arial" w:cs="Arial" w:eastAsia="Arial" w:hint="default"/>
        </w:rPr>
        <w:t>3G</w:t>
      </w:r>
      <w:r>
        <w:rPr>
          <w:rFonts w:ascii="Arial" w:hAnsi="Arial" w:cs="Arial" w:eastAsia="Arial" w:hint="default"/>
          <w:spacing w:val="-7"/>
        </w:rPr>
        <w:t> </w:t>
      </w:r>
      <w:r>
        <w:rPr/>
        <w:t>及</w:t>
      </w:r>
      <w:r>
        <w:rPr>
          <w:spacing w:val="-56"/>
        </w:rPr>
        <w:t> </w:t>
      </w:r>
      <w:r>
        <w:rPr>
          <w:rFonts w:ascii="Arial" w:hAnsi="Arial" w:cs="Arial" w:eastAsia="Arial" w:hint="default"/>
        </w:rPr>
        <w:t>GSM</w:t>
      </w:r>
      <w:r>
        <w:rPr>
          <w:rFonts w:ascii="Arial" w:hAnsi="Arial" w:cs="Arial" w:eastAsia="Arial" w:hint="default"/>
          <w:spacing w:val="-8"/>
        </w:rPr>
        <w:t> </w:t>
      </w:r>
      <w:r>
        <w:rPr/>
        <w:t>网络、宽带</w:t>
      </w:r>
      <w:r>
        <w:rPr>
          <w:w w:val="99"/>
        </w:rPr>
        <w:t> </w:t>
      </w:r>
      <w:r>
        <w:rPr/>
        <w:t>及数据、基础设施及传送网建设等方面。其中，移动网络资本开支为人民币</w:t>
      </w:r>
      <w:r>
        <w:rPr>
          <w:spacing w:val="-57"/>
        </w:rPr>
        <w:t> </w:t>
      </w:r>
      <w:r>
        <w:rPr>
          <w:rFonts w:ascii="Arial" w:hAnsi="Arial" w:cs="Arial" w:eastAsia="Arial" w:hint="default"/>
        </w:rPr>
        <w:t>259.9</w:t>
      </w:r>
      <w:r>
        <w:rPr>
          <w:rFonts w:ascii="Arial" w:hAnsi="Arial" w:cs="Arial" w:eastAsia="Arial" w:hint="default"/>
          <w:spacing w:val="-8"/>
        </w:rPr>
        <w:t> </w:t>
      </w:r>
      <w:r>
        <w:rPr/>
        <w:t>亿元，</w:t>
      </w:r>
    </w:p>
    <w:p>
      <w:pPr>
        <w:pStyle w:val="BodyText"/>
        <w:spacing w:line="266" w:lineRule="exact"/>
        <w:ind w:left="821" w:right="0"/>
        <w:jc w:val="both"/>
        <w:rPr>
          <w:rFonts w:ascii="Arial" w:hAnsi="Arial" w:cs="Arial" w:eastAsia="Arial" w:hint="default"/>
        </w:rPr>
      </w:pPr>
      <w:r>
        <w:rPr>
          <w:w w:val="99"/>
        </w:rPr>
        <w:t>宽带及</w:t>
      </w:r>
      <w:r>
        <w:rPr>
          <w:spacing w:val="1"/>
          <w:w w:val="99"/>
        </w:rPr>
        <w:t>数据</w:t>
      </w:r>
      <w:r>
        <w:rPr>
          <w:w w:val="99"/>
        </w:rPr>
        <w:t>业务资</w:t>
      </w:r>
      <w:r>
        <w:rPr>
          <w:spacing w:val="1"/>
          <w:w w:val="99"/>
        </w:rPr>
        <w:t>本开</w:t>
      </w:r>
      <w:r>
        <w:rPr>
          <w:w w:val="99"/>
        </w:rPr>
        <w:t>支为人</w:t>
      </w:r>
      <w:r>
        <w:rPr>
          <w:spacing w:val="1"/>
          <w:w w:val="99"/>
        </w:rPr>
        <w:t>民</w:t>
      </w:r>
      <w:r>
        <w:rPr>
          <w:w w:val="99"/>
        </w:rPr>
        <w:t>币</w:t>
      </w:r>
      <w:r>
        <w:rPr>
          <w:spacing w:val="-59"/>
        </w:rPr>
        <w:t> </w:t>
      </w:r>
      <w:r>
        <w:rPr>
          <w:rFonts w:ascii="Arial" w:hAnsi="Arial" w:cs="Arial" w:eastAsia="Arial" w:hint="default"/>
          <w:w w:val="99"/>
        </w:rPr>
        <w:t>257.1</w:t>
      </w:r>
      <w:r>
        <w:rPr>
          <w:rFonts w:ascii="Arial" w:hAnsi="Arial" w:cs="Arial" w:eastAsia="Arial" w:hint="default"/>
          <w:spacing w:val="-11"/>
        </w:rPr>
        <w:t> </w:t>
      </w:r>
      <w:r>
        <w:rPr>
          <w:w w:val="99"/>
        </w:rPr>
        <w:t>亿元</w:t>
      </w:r>
      <w:r>
        <w:rPr>
          <w:spacing w:val="-110"/>
          <w:w w:val="99"/>
        </w:rPr>
        <w:t>，</w:t>
      </w:r>
      <w:r>
        <w:rPr>
          <w:w w:val="99"/>
        </w:rPr>
        <w:t>基础设</w:t>
      </w:r>
      <w:r>
        <w:rPr>
          <w:spacing w:val="1"/>
          <w:w w:val="99"/>
        </w:rPr>
        <w:t>施及</w:t>
      </w:r>
      <w:r>
        <w:rPr>
          <w:w w:val="99"/>
        </w:rPr>
        <w:t>传送网</w:t>
      </w:r>
      <w:r>
        <w:rPr>
          <w:spacing w:val="1"/>
          <w:w w:val="99"/>
        </w:rPr>
        <w:t>资本</w:t>
      </w:r>
      <w:r>
        <w:rPr>
          <w:w w:val="99"/>
        </w:rPr>
        <w:t>开支为</w:t>
      </w:r>
      <w:r>
        <w:rPr>
          <w:spacing w:val="1"/>
          <w:w w:val="99"/>
        </w:rPr>
        <w:t>人民</w:t>
      </w:r>
      <w:r>
        <w:rPr>
          <w:w w:val="99"/>
        </w:rPr>
        <w:t>币</w:t>
      </w:r>
      <w:r>
        <w:rPr>
          <w:spacing w:val="-60"/>
        </w:rPr>
        <w:t> </w:t>
      </w:r>
      <w:r>
        <w:rPr>
          <w:rFonts w:ascii="Arial" w:hAnsi="Arial" w:cs="Arial" w:eastAsia="Arial" w:hint="default"/>
          <w:w w:val="99"/>
        </w:rPr>
        <w:t>154</w:t>
      </w:r>
      <w:r>
        <w:rPr>
          <w:rFonts w:ascii="Arial" w:hAnsi="Arial" w:cs="Arial" w:eastAsia="Arial" w:hint="default"/>
          <w:spacing w:val="-1"/>
          <w:w w:val="99"/>
        </w:rPr>
        <w:t>.</w:t>
      </w:r>
      <w:r>
        <w:rPr>
          <w:rFonts w:ascii="Arial" w:hAnsi="Arial" w:cs="Arial" w:eastAsia="Arial" w:hint="default"/>
          <w:w w:val="99"/>
        </w:rPr>
        <w:t>2</w:t>
      </w:r>
      <w:r>
        <w:rPr>
          <w:rFonts w:ascii="Arial" w:hAnsi="Arial" w:cs="Arial" w:eastAsia="Arial" w:hint="default"/>
        </w:rPr>
      </w:r>
    </w:p>
    <w:p>
      <w:pPr>
        <w:pStyle w:val="BodyText"/>
        <w:spacing w:line="279" w:lineRule="exact"/>
        <w:ind w:left="821" w:right="0"/>
        <w:jc w:val="both"/>
      </w:pPr>
      <w:r>
        <w:rPr/>
        <w:t>亿元。</w:t>
      </w:r>
    </w:p>
    <w:p>
      <w:pPr>
        <w:spacing w:line="240" w:lineRule="auto" w:before="3"/>
        <w:rPr>
          <w:rFonts w:ascii="宋体" w:hAnsi="宋体" w:cs="宋体" w:eastAsia="宋体" w:hint="default"/>
          <w:sz w:val="21"/>
          <w:szCs w:val="21"/>
        </w:rPr>
      </w:pPr>
    </w:p>
    <w:p>
      <w:pPr>
        <w:pStyle w:val="BodyText"/>
        <w:spacing w:line="286" w:lineRule="exact"/>
        <w:ind w:left="821" w:right="180" w:firstLine="6"/>
        <w:jc w:val="left"/>
      </w:pPr>
      <w:r>
        <w:rPr>
          <w:rFonts w:ascii="Arial" w:hAnsi="Arial" w:cs="Arial" w:eastAsia="Arial" w:hint="default"/>
        </w:rPr>
        <w:t>2011</w:t>
      </w:r>
      <w:r>
        <w:rPr>
          <w:rFonts w:ascii="Arial" w:hAnsi="Arial" w:cs="Arial" w:eastAsia="Arial" w:hint="default"/>
          <w:spacing w:val="-8"/>
        </w:rPr>
        <w:t> </w:t>
      </w:r>
      <w:r>
        <w:rPr/>
        <w:t>年本公司经营活动现金流量净额保持平稳，</w:t>
      </w:r>
      <w:r>
        <w:rPr>
          <w:rFonts w:ascii="Arial" w:hAnsi="Arial" w:cs="Arial" w:eastAsia="Arial" w:hint="default"/>
        </w:rPr>
        <w:t>2011</w:t>
      </w:r>
      <w:r>
        <w:rPr>
          <w:rFonts w:ascii="Arial" w:hAnsi="Arial" w:cs="Arial" w:eastAsia="Arial" w:hint="default"/>
          <w:spacing w:val="-8"/>
        </w:rPr>
        <w:t> </w:t>
      </w:r>
      <w:r>
        <w:rPr/>
        <w:t>年实现人民币</w:t>
      </w:r>
      <w:r>
        <w:rPr>
          <w:spacing w:val="-57"/>
        </w:rPr>
        <w:t> </w:t>
      </w:r>
      <w:r>
        <w:rPr>
          <w:rFonts w:ascii="Arial" w:hAnsi="Arial" w:cs="Arial" w:eastAsia="Arial" w:hint="default"/>
        </w:rPr>
        <w:t>694.5</w:t>
      </w:r>
      <w:r>
        <w:rPr>
          <w:rFonts w:ascii="Arial" w:hAnsi="Arial" w:cs="Arial" w:eastAsia="Arial" w:hint="default"/>
          <w:spacing w:val="-8"/>
        </w:rPr>
        <w:t> </w:t>
      </w:r>
      <w:r>
        <w:rPr/>
        <w:t>亿元，扣除本</w:t>
      </w:r>
      <w:r>
        <w:rPr>
          <w:w w:val="99"/>
        </w:rPr>
        <w:t> </w:t>
      </w:r>
      <w:r>
        <w:rPr/>
        <w:t>年资本开支后自由现金流为人民币</w:t>
      </w:r>
      <w:r>
        <w:rPr>
          <w:rFonts w:ascii="Arial" w:hAnsi="Arial" w:cs="Arial" w:eastAsia="Arial" w:hint="default"/>
        </w:rPr>
        <w:t>-72.1</w:t>
      </w:r>
      <w:r>
        <w:rPr>
          <w:rFonts w:ascii="Arial" w:hAnsi="Arial" w:cs="Arial" w:eastAsia="Arial" w:hint="default"/>
          <w:spacing w:val="-11"/>
        </w:rPr>
        <w:t> </w:t>
      </w:r>
      <w:r>
        <w:rPr/>
        <w:t>亿元。</w:t>
      </w:r>
    </w:p>
    <w:p>
      <w:pPr>
        <w:spacing w:after="0" w:line="286" w:lineRule="exact"/>
        <w:jc w:val="left"/>
        <w:sectPr>
          <w:pgSz w:w="11900" w:h="16840"/>
          <w:pgMar w:header="927" w:footer="752" w:top="1160" w:bottom="940" w:left="1340" w:right="980"/>
        </w:sectPr>
      </w:pPr>
    </w:p>
    <w:p>
      <w:pPr>
        <w:spacing w:line="240" w:lineRule="auto" w:before="11"/>
        <w:rPr>
          <w:rFonts w:ascii="宋体" w:hAnsi="宋体" w:cs="宋体" w:eastAsia="宋体" w:hint="default"/>
          <w:sz w:val="21"/>
          <w:szCs w:val="21"/>
        </w:rPr>
      </w:pPr>
    </w:p>
    <w:p>
      <w:pPr>
        <w:pStyle w:val="BodyText"/>
        <w:spacing w:line="240" w:lineRule="auto" w:before="31"/>
        <w:ind w:left="829" w:right="91"/>
        <w:jc w:val="left"/>
      </w:pPr>
      <w:r>
        <w:rPr/>
        <w:t>下表列出了本公司</w:t>
      </w:r>
      <w:r>
        <w:rPr>
          <w:spacing w:val="-57"/>
        </w:rPr>
        <w:t> </w:t>
      </w:r>
      <w:r>
        <w:rPr>
          <w:rFonts w:ascii="Arial" w:hAnsi="Arial" w:cs="Arial" w:eastAsia="Arial" w:hint="default"/>
        </w:rPr>
        <w:t>2011</w:t>
      </w:r>
      <w:r>
        <w:rPr>
          <w:rFonts w:ascii="Arial" w:hAnsi="Arial" w:cs="Arial" w:eastAsia="Arial" w:hint="default"/>
          <w:spacing w:val="-8"/>
        </w:rPr>
        <w:t> </w:t>
      </w:r>
      <w:r>
        <w:rPr/>
        <w:t>年主要资本开支项目情况。</w:t>
      </w:r>
    </w:p>
    <w:p>
      <w:pPr>
        <w:spacing w:line="240" w:lineRule="auto" w:before="6"/>
        <w:rPr>
          <w:rFonts w:ascii="宋体" w:hAnsi="宋体" w:cs="宋体" w:eastAsia="宋体" w:hint="default"/>
          <w:sz w:val="23"/>
          <w:szCs w:val="23"/>
        </w:rPr>
      </w:pPr>
    </w:p>
    <w:tbl>
      <w:tblPr>
        <w:tblW w:w="0" w:type="auto"/>
        <w:jc w:val="left"/>
        <w:tblInd w:w="814" w:type="dxa"/>
        <w:tblLayout w:type="fixed"/>
        <w:tblCellMar>
          <w:top w:w="0" w:type="dxa"/>
          <w:left w:w="0" w:type="dxa"/>
          <w:bottom w:w="0" w:type="dxa"/>
          <w:right w:w="0" w:type="dxa"/>
        </w:tblCellMar>
        <w:tblLook w:val="01E0"/>
      </w:tblPr>
      <w:tblGrid>
        <w:gridCol w:w="4636"/>
        <w:gridCol w:w="2088"/>
        <w:gridCol w:w="1800"/>
      </w:tblGrid>
      <w:tr>
        <w:trPr>
          <w:trHeight w:val="295" w:hRule="exact"/>
        </w:trPr>
        <w:tc>
          <w:tcPr>
            <w:tcW w:w="4636" w:type="dxa"/>
            <w:vMerge w:val="restart"/>
            <w:tcBorders>
              <w:top w:val="single" w:sz="4" w:space="0" w:color="000000"/>
              <w:left w:val="single" w:sz="4" w:space="0" w:color="000000"/>
              <w:right w:val="single" w:sz="4" w:space="0" w:color="000000"/>
            </w:tcBorders>
          </w:tcPr>
          <w:p>
            <w:pPr>
              <w:pStyle w:val="TableParagraph"/>
              <w:spacing w:line="240" w:lineRule="auto" w:before="111"/>
              <w:ind w:left="1541" w:right="0"/>
              <w:jc w:val="left"/>
              <w:rPr>
                <w:rFonts w:ascii="宋体" w:hAnsi="宋体" w:cs="宋体" w:eastAsia="宋体" w:hint="default"/>
                <w:sz w:val="22"/>
                <w:szCs w:val="22"/>
              </w:rPr>
            </w:pPr>
            <w:r>
              <w:rPr>
                <w:rFonts w:ascii="宋体" w:hAnsi="宋体" w:cs="宋体" w:eastAsia="宋体" w:hint="default"/>
                <w:sz w:val="22"/>
                <w:szCs w:val="22"/>
              </w:rPr>
              <w:t>（人民币亿元）</w:t>
            </w:r>
          </w:p>
        </w:tc>
        <w:tc>
          <w:tcPr>
            <w:tcW w:w="3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295" w:hRule="exact"/>
        </w:trPr>
        <w:tc>
          <w:tcPr>
            <w:tcW w:w="4636" w:type="dxa"/>
            <w:vMerge/>
            <w:tcBorders>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98" w:right="0"/>
              <w:jc w:val="left"/>
              <w:rPr>
                <w:rFonts w:ascii="宋体" w:hAnsi="宋体" w:cs="宋体" w:eastAsia="宋体" w:hint="default"/>
                <w:sz w:val="22"/>
                <w:szCs w:val="22"/>
              </w:rPr>
            </w:pPr>
            <w:r>
              <w:rPr>
                <w:rFonts w:ascii="宋体" w:hAnsi="宋体" w:cs="宋体" w:eastAsia="宋体" w:hint="default"/>
                <w:sz w:val="22"/>
                <w:szCs w:val="22"/>
              </w:rPr>
              <w:t>累计支出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占比</w:t>
            </w:r>
          </w:p>
        </w:tc>
      </w:tr>
      <w:tr>
        <w:trPr>
          <w:trHeight w:val="295" w:hRule="exact"/>
        </w:trPr>
        <w:tc>
          <w:tcPr>
            <w:tcW w:w="463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766.6</w:t>
            </w:r>
            <w:r>
              <w:rPr>
                <w:rFonts w:ascii="Arial"/>
                <w:sz w:val="22"/>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100.0%</w:t>
            </w:r>
            <w:r>
              <w:rPr>
                <w:rFonts w:ascii="Arial"/>
                <w:sz w:val="22"/>
              </w:rPr>
            </w:r>
          </w:p>
        </w:tc>
      </w:tr>
      <w:tr>
        <w:trPr>
          <w:trHeight w:val="295" w:hRule="exact"/>
        </w:trPr>
        <w:tc>
          <w:tcPr>
            <w:tcW w:w="463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其中：移动网络</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259.9</w:t>
            </w:r>
            <w:r>
              <w:rPr>
                <w:rFonts w:ascii="Arial"/>
                <w:sz w:val="22"/>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33.9%</w:t>
            </w:r>
            <w:r>
              <w:rPr>
                <w:rFonts w:ascii="Arial"/>
                <w:sz w:val="22"/>
              </w:rPr>
            </w:r>
          </w:p>
        </w:tc>
      </w:tr>
      <w:tr>
        <w:trPr>
          <w:trHeight w:val="295" w:hRule="exact"/>
        </w:trPr>
        <w:tc>
          <w:tcPr>
            <w:tcW w:w="463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3" w:right="0"/>
              <w:jc w:val="left"/>
              <w:rPr>
                <w:rFonts w:ascii="宋体" w:hAnsi="宋体" w:cs="宋体" w:eastAsia="宋体" w:hint="default"/>
                <w:sz w:val="22"/>
                <w:szCs w:val="22"/>
              </w:rPr>
            </w:pPr>
            <w:r>
              <w:rPr>
                <w:rFonts w:ascii="宋体" w:hAnsi="宋体" w:cs="宋体" w:eastAsia="宋体" w:hint="default"/>
                <w:sz w:val="22"/>
                <w:szCs w:val="22"/>
              </w:rPr>
              <w:t>宽带及数据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257.1</w:t>
            </w:r>
            <w:r>
              <w:rPr>
                <w:rFonts w:ascii="Arial"/>
                <w:sz w:val="22"/>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33.5%</w:t>
            </w:r>
            <w:r>
              <w:rPr>
                <w:rFonts w:ascii="Arial"/>
                <w:sz w:val="22"/>
              </w:rPr>
            </w:r>
          </w:p>
        </w:tc>
      </w:tr>
      <w:tr>
        <w:trPr>
          <w:trHeight w:val="295" w:hRule="exact"/>
        </w:trPr>
        <w:tc>
          <w:tcPr>
            <w:tcW w:w="463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3" w:right="0"/>
              <w:jc w:val="left"/>
              <w:rPr>
                <w:rFonts w:ascii="宋体" w:hAnsi="宋体" w:cs="宋体" w:eastAsia="宋体" w:hint="default"/>
                <w:sz w:val="22"/>
                <w:szCs w:val="22"/>
              </w:rPr>
            </w:pPr>
            <w:r>
              <w:rPr>
                <w:rFonts w:ascii="宋体" w:hAnsi="宋体" w:cs="宋体" w:eastAsia="宋体" w:hint="default"/>
                <w:sz w:val="22"/>
                <w:szCs w:val="22"/>
              </w:rPr>
              <w:t>基础设施及传输网</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154.2</w:t>
            </w:r>
            <w:r>
              <w:rPr>
                <w:rFonts w:ascii="Arial"/>
                <w:sz w:val="22"/>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20.1%</w:t>
            </w:r>
            <w:r>
              <w:rPr>
                <w:rFonts w:ascii="Arial"/>
                <w:sz w:val="22"/>
              </w:rPr>
            </w:r>
          </w:p>
        </w:tc>
      </w:tr>
      <w:tr>
        <w:trPr>
          <w:trHeight w:val="296" w:hRule="exact"/>
        </w:trPr>
        <w:tc>
          <w:tcPr>
            <w:tcW w:w="463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95.4</w:t>
            </w:r>
            <w:r>
              <w:rPr>
                <w:rFonts w:ascii="Arial"/>
                <w:sz w:val="22"/>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12.5%</w:t>
            </w:r>
            <w:r>
              <w:rPr>
                <w:rFonts w:ascii="Arial"/>
                <w:sz w:val="22"/>
              </w:rPr>
            </w:r>
          </w:p>
        </w:tc>
      </w:tr>
    </w:tbl>
    <w:p>
      <w:pPr>
        <w:spacing w:line="240" w:lineRule="auto" w:before="11"/>
        <w:rPr>
          <w:rFonts w:ascii="宋体" w:hAnsi="宋体" w:cs="宋体" w:eastAsia="宋体" w:hint="default"/>
          <w:sz w:val="18"/>
          <w:szCs w:val="18"/>
        </w:rPr>
      </w:pPr>
    </w:p>
    <w:p>
      <w:pPr>
        <w:spacing w:before="0"/>
        <w:ind w:left="433" w:right="91" w:firstLine="0"/>
        <w:jc w:val="left"/>
        <w:rPr>
          <w:rFonts w:ascii="宋体" w:hAnsi="宋体" w:cs="宋体" w:eastAsia="宋体" w:hint="default"/>
          <w:sz w:val="22"/>
          <w:szCs w:val="22"/>
        </w:rPr>
      </w:pPr>
      <w:r>
        <w:rPr>
          <w:rFonts w:ascii="Arial" w:hAnsi="Arial" w:cs="Arial" w:eastAsia="Arial" w:hint="default"/>
          <w:b/>
          <w:bCs/>
          <w:sz w:val="22"/>
          <w:szCs w:val="22"/>
        </w:rPr>
        <w:t>3.7</w:t>
      </w:r>
      <w:r>
        <w:rPr>
          <w:rFonts w:ascii="Arial" w:hAnsi="Arial" w:cs="Arial" w:eastAsia="Arial" w:hint="default"/>
          <w:b/>
          <w:bCs/>
          <w:spacing w:val="-3"/>
          <w:sz w:val="22"/>
          <w:szCs w:val="22"/>
        </w:rPr>
        <w:t> </w:t>
      </w:r>
      <w:r>
        <w:rPr>
          <w:rFonts w:ascii="宋体" w:hAnsi="宋体" w:cs="宋体" w:eastAsia="宋体" w:hint="default"/>
          <w:sz w:val="22"/>
          <w:szCs w:val="22"/>
        </w:rPr>
        <w:t>资产负债情况</w:t>
      </w:r>
    </w:p>
    <w:p>
      <w:pPr>
        <w:spacing w:line="240" w:lineRule="auto" w:before="12"/>
        <w:rPr>
          <w:rFonts w:ascii="宋体" w:hAnsi="宋体" w:cs="宋体" w:eastAsia="宋体" w:hint="default"/>
          <w:sz w:val="17"/>
          <w:szCs w:val="17"/>
        </w:rPr>
      </w:pPr>
    </w:p>
    <w:p>
      <w:pPr>
        <w:pStyle w:val="BodyText"/>
        <w:spacing w:line="295" w:lineRule="exact"/>
        <w:ind w:left="827" w:right="91"/>
        <w:jc w:val="left"/>
      </w:pPr>
      <w:r>
        <w:rPr/>
        <w:t>截至</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日，本公司的资产总额由上年底的人民币</w:t>
      </w:r>
      <w:r>
        <w:rPr>
          <w:spacing w:val="-56"/>
        </w:rPr>
        <w:t> </w:t>
      </w:r>
      <w:r>
        <w:rPr>
          <w:rFonts w:ascii="Arial" w:hAnsi="Arial" w:cs="Arial" w:eastAsia="Arial" w:hint="default"/>
        </w:rPr>
        <w:t>4,436.1</w:t>
      </w:r>
      <w:r>
        <w:rPr>
          <w:rFonts w:ascii="Arial" w:hAnsi="Arial" w:cs="Arial" w:eastAsia="Arial" w:hint="default"/>
          <w:spacing w:val="-7"/>
        </w:rPr>
        <w:t> </w:t>
      </w:r>
      <w:r>
        <w:rPr/>
        <w:t>亿元增至人民币</w:t>
      </w:r>
    </w:p>
    <w:p>
      <w:pPr>
        <w:pStyle w:val="BodyText"/>
        <w:spacing w:line="286" w:lineRule="exact" w:before="19"/>
        <w:ind w:left="821" w:right="210"/>
        <w:jc w:val="left"/>
      </w:pPr>
      <w:r>
        <w:rPr>
          <w:rFonts w:ascii="Arial" w:hAnsi="Arial" w:cs="Arial" w:eastAsia="Arial" w:hint="default"/>
        </w:rPr>
        <w:t>4,585.2</w:t>
      </w:r>
      <w:r>
        <w:rPr>
          <w:rFonts w:ascii="Arial" w:hAnsi="Arial" w:cs="Arial" w:eastAsia="Arial" w:hint="default"/>
          <w:spacing w:val="-12"/>
        </w:rPr>
        <w:t> </w:t>
      </w:r>
      <w:r>
        <w:rPr/>
        <w:t>亿元，负债总额由上年底的人民币</w:t>
      </w:r>
      <w:r>
        <w:rPr>
          <w:spacing w:val="-61"/>
        </w:rPr>
        <w:t> </w:t>
      </w:r>
      <w:r>
        <w:rPr>
          <w:rFonts w:ascii="Arial" w:hAnsi="Arial" w:cs="Arial" w:eastAsia="Arial" w:hint="default"/>
        </w:rPr>
        <w:t>2,352.8</w:t>
      </w:r>
      <w:r>
        <w:rPr>
          <w:rFonts w:ascii="Arial" w:hAnsi="Arial" w:cs="Arial" w:eastAsia="Arial" w:hint="default"/>
          <w:spacing w:val="-12"/>
        </w:rPr>
        <w:t> </w:t>
      </w:r>
      <w:r>
        <w:rPr/>
        <w:t>亿元增至人民币</w:t>
      </w:r>
      <w:r>
        <w:rPr>
          <w:spacing w:val="-60"/>
        </w:rPr>
        <w:t> </w:t>
      </w:r>
      <w:r>
        <w:rPr>
          <w:rFonts w:ascii="Arial" w:hAnsi="Arial" w:cs="Arial" w:eastAsia="Arial" w:hint="default"/>
        </w:rPr>
        <w:t>2,499.1</w:t>
      </w:r>
      <w:r>
        <w:rPr>
          <w:rFonts w:ascii="Arial" w:hAnsi="Arial" w:cs="Arial" w:eastAsia="Arial" w:hint="default"/>
          <w:spacing w:val="-12"/>
        </w:rPr>
        <w:t> </w:t>
      </w:r>
      <w:r>
        <w:rPr/>
        <w:t>亿元，资产负</w:t>
      </w:r>
      <w:r>
        <w:rPr>
          <w:w w:val="99"/>
        </w:rPr>
        <w:t> </w:t>
      </w:r>
      <w:r>
        <w:rPr/>
        <w:t>债率由上年底的</w:t>
      </w:r>
      <w:r>
        <w:rPr>
          <w:spacing w:val="-57"/>
        </w:rPr>
        <w:t> </w:t>
      </w:r>
      <w:r>
        <w:rPr>
          <w:rFonts w:ascii="Arial" w:hAnsi="Arial" w:cs="Arial" w:eastAsia="Arial" w:hint="default"/>
        </w:rPr>
        <w:t>53.0%</w:t>
      </w:r>
      <w:r>
        <w:rPr/>
        <w:t>变化至</w:t>
      </w:r>
      <w:r>
        <w:rPr>
          <w:spacing w:val="-57"/>
        </w:rPr>
        <w:t> </w:t>
      </w:r>
      <w:r>
        <w:rPr>
          <w:rFonts w:ascii="Arial" w:hAnsi="Arial" w:cs="Arial" w:eastAsia="Arial" w:hint="default"/>
        </w:rPr>
        <w:t>54.5%</w:t>
      </w:r>
      <w:r>
        <w:rPr/>
        <w:t>。</w:t>
      </w:r>
    </w:p>
    <w:p>
      <w:pPr>
        <w:spacing w:line="240" w:lineRule="auto" w:before="2"/>
        <w:rPr>
          <w:rFonts w:ascii="宋体" w:hAnsi="宋体" w:cs="宋体" w:eastAsia="宋体" w:hint="default"/>
          <w:sz w:val="17"/>
          <w:szCs w:val="17"/>
        </w:rPr>
      </w:pPr>
    </w:p>
    <w:p>
      <w:pPr>
        <w:pStyle w:val="BodyText"/>
        <w:spacing w:line="294" w:lineRule="exact"/>
        <w:ind w:left="827" w:right="91"/>
        <w:jc w:val="left"/>
      </w:pPr>
      <w:r>
        <w:rPr/>
        <w:t>截至</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日，本公司的流动负债净额（即流动负债减流动资产）由上年底的</w:t>
      </w:r>
    </w:p>
    <w:p>
      <w:pPr>
        <w:pStyle w:val="BodyText"/>
        <w:spacing w:line="286" w:lineRule="exact" w:before="18"/>
        <w:ind w:left="821" w:right="207"/>
        <w:jc w:val="left"/>
      </w:pPr>
      <w:r>
        <w:rPr>
          <w:w w:val="99"/>
        </w:rPr>
        <w:t>人民币</w:t>
      </w:r>
      <w:r>
        <w:rPr>
          <w:spacing w:val="-54"/>
          <w:w w:val="99"/>
        </w:rPr>
        <w:t> </w:t>
      </w:r>
      <w:r>
        <w:rPr>
          <w:rFonts w:ascii="Arial" w:hAnsi="Arial" w:cs="Arial" w:eastAsia="Arial" w:hint="default"/>
          <w:w w:val="99"/>
        </w:rPr>
        <w:t>1,554.8</w:t>
      </w:r>
      <w:r>
        <w:rPr>
          <w:rFonts w:ascii="Arial" w:hAnsi="Arial" w:cs="Arial" w:eastAsia="Arial" w:hint="default"/>
          <w:spacing w:val="-5"/>
          <w:w w:val="99"/>
        </w:rPr>
        <w:t> </w:t>
      </w:r>
      <w:r>
        <w:rPr>
          <w:w w:val="99"/>
        </w:rPr>
        <w:t>亿元变化至人民币</w:t>
      </w:r>
      <w:r>
        <w:rPr>
          <w:spacing w:val="-53"/>
          <w:w w:val="99"/>
        </w:rPr>
        <w:t> </w:t>
      </w:r>
      <w:r>
        <w:rPr>
          <w:rFonts w:ascii="Arial" w:hAnsi="Arial" w:cs="Arial" w:eastAsia="Arial" w:hint="default"/>
          <w:w w:val="99"/>
        </w:rPr>
        <w:t>1,746.2</w:t>
      </w:r>
      <w:r>
        <w:rPr>
          <w:rFonts w:ascii="Arial" w:hAnsi="Arial" w:cs="Arial" w:eastAsia="Arial" w:hint="default"/>
          <w:spacing w:val="-5"/>
          <w:w w:val="99"/>
        </w:rPr>
        <w:t> </w:t>
      </w:r>
      <w:r>
        <w:rPr>
          <w:spacing w:val="-5"/>
          <w:w w:val="99"/>
        </w:rPr>
        <w:t>亿元。考虑到本公司经营活动净现金流入保持稳</w:t>
      </w:r>
      <w:r>
        <w:rPr>
          <w:w w:val="99"/>
        </w:rPr>
        <w:t> </w:t>
      </w:r>
      <w:r>
        <w:rPr/>
        <w:t>定以及良好的信贷信用，我们相信本公司应有足够的运营资金满足生产经营需要。</w:t>
      </w:r>
    </w:p>
    <w:p>
      <w:pPr>
        <w:spacing w:line="240" w:lineRule="auto" w:before="2"/>
        <w:rPr>
          <w:rFonts w:ascii="宋体" w:hAnsi="宋体" w:cs="宋体" w:eastAsia="宋体" w:hint="default"/>
          <w:sz w:val="17"/>
          <w:szCs w:val="17"/>
        </w:rPr>
      </w:pPr>
    </w:p>
    <w:p>
      <w:pPr>
        <w:pStyle w:val="BodyText"/>
        <w:spacing w:line="240" w:lineRule="auto"/>
        <w:ind w:left="433" w:right="91"/>
        <w:jc w:val="left"/>
      </w:pPr>
      <w:r>
        <w:rPr>
          <w:rFonts w:ascii="Arial" w:hAnsi="Arial" w:cs="Arial" w:eastAsia="Arial" w:hint="default"/>
          <w:b/>
          <w:bCs/>
        </w:rPr>
        <w:t>4</w:t>
      </w:r>
      <w:r>
        <w:rPr/>
        <w:t>、发展与展望</w:t>
      </w:r>
    </w:p>
    <w:p>
      <w:pPr>
        <w:spacing w:line="240" w:lineRule="auto" w:before="4"/>
        <w:rPr>
          <w:rFonts w:ascii="宋体" w:hAnsi="宋体" w:cs="宋体" w:eastAsia="宋体" w:hint="default"/>
          <w:sz w:val="18"/>
          <w:szCs w:val="18"/>
        </w:rPr>
      </w:pPr>
    </w:p>
    <w:p>
      <w:pPr>
        <w:pStyle w:val="BodyText"/>
        <w:spacing w:line="235" w:lineRule="auto"/>
        <w:ind w:left="821" w:right="214" w:firstLine="6"/>
        <w:jc w:val="both"/>
      </w:pPr>
      <w:r>
        <w:rPr/>
        <w:t>面对复杂多变的宏观经济环境，伴随信息通信业新技术新业态的不断涌现和产业加速跨界</w:t>
      </w:r>
      <w:r>
        <w:rPr>
          <w:w w:val="99"/>
        </w:rPr>
        <w:t> </w:t>
      </w:r>
      <w:r>
        <w:rPr/>
        <w:t>融合，中国的通信业总体仍有望保持较快发展。随着网络的完善与终端的丰富，</w:t>
      </w:r>
      <w:r>
        <w:rPr>
          <w:rFonts w:ascii="Arial" w:hAnsi="Arial" w:cs="Arial" w:eastAsia="Arial" w:hint="default"/>
        </w:rPr>
        <w:t>WCDMA</w:t>
      </w:r>
      <w:r>
        <w:rPr>
          <w:rFonts w:ascii="Arial" w:hAnsi="Arial" w:cs="Arial" w:eastAsia="Arial" w:hint="default"/>
          <w:w w:val="99"/>
        </w:rPr>
        <w:t> </w:t>
      </w:r>
      <w:r>
        <w:rPr>
          <w:spacing w:val="-2"/>
        </w:rPr>
        <w:t>在国内实现更快发展的条件越来越成熟，</w:t>
      </w:r>
      <w:r>
        <w:rPr>
          <w:rFonts w:ascii="Arial" w:hAnsi="Arial" w:cs="Arial" w:eastAsia="Arial" w:hint="default"/>
          <w:spacing w:val="-2"/>
        </w:rPr>
        <w:t>3G</w:t>
      </w:r>
      <w:r>
        <w:rPr>
          <w:rFonts w:ascii="Arial" w:hAnsi="Arial" w:cs="Arial" w:eastAsia="Arial" w:hint="default"/>
          <w:spacing w:val="-17"/>
        </w:rPr>
        <w:t> </w:t>
      </w:r>
      <w:r>
        <w:rPr>
          <w:spacing w:val="-2"/>
        </w:rPr>
        <w:t>的渗透率将进一步加速提高，移动互联网的应</w:t>
      </w:r>
      <w:r>
        <w:rPr>
          <w:w w:val="99"/>
        </w:rPr>
        <w:t> </w:t>
      </w:r>
      <w:r>
        <w:rPr/>
        <w:t>用市场将持续升温；国家加强网络基础设施建设，明确实施宽带中国战略，将推动宽带业</w:t>
      </w:r>
      <w:r>
        <w:rPr>
          <w:w w:val="99"/>
        </w:rPr>
        <w:t> </w:t>
      </w:r>
      <w:r>
        <w:rPr/>
        <w:t>务持续保持较快增长。中国联通在移动宽带数据业务领域已确立了一定的差异化优势，积</w:t>
      </w:r>
      <w:r>
        <w:rPr>
          <w:w w:val="99"/>
        </w:rPr>
        <w:t> </w:t>
      </w:r>
      <w:r>
        <w:rPr/>
        <w:t>累了较为丰富的运营经验，并逐步建立了良好口碑。公司有信心抓住宝贵的战略机遇和时</w:t>
      </w:r>
      <w:r>
        <w:rPr>
          <w:w w:val="99"/>
        </w:rPr>
        <w:t> </w:t>
      </w:r>
      <w:r>
        <w:rPr/>
        <w:t>间窗口，加快重点业务的规模发展，实现收入与市场份额的更快提升，带动盈利增长，为</w:t>
      </w:r>
      <w:r>
        <w:rPr>
          <w:w w:val="99"/>
        </w:rPr>
        <w:t> </w:t>
      </w:r>
      <w:r>
        <w:rPr/>
        <w:t>股东创造更大价值。</w:t>
      </w:r>
    </w:p>
    <w:p>
      <w:pPr>
        <w:spacing w:line="240" w:lineRule="auto" w:before="4"/>
        <w:rPr>
          <w:rFonts w:ascii="宋体" w:hAnsi="宋体" w:cs="宋体" w:eastAsia="宋体" w:hint="default"/>
          <w:sz w:val="21"/>
          <w:szCs w:val="21"/>
        </w:rPr>
      </w:pPr>
    </w:p>
    <w:p>
      <w:pPr>
        <w:pStyle w:val="BodyText"/>
        <w:spacing w:line="286" w:lineRule="exact"/>
        <w:ind w:left="821" w:right="91" w:firstLine="6"/>
        <w:jc w:val="left"/>
      </w:pPr>
      <w:r>
        <w:rPr>
          <w:rFonts w:ascii="Arial" w:hAnsi="Arial" w:cs="Arial" w:eastAsia="Arial" w:hint="default"/>
        </w:rPr>
        <w:t>2012</w:t>
      </w:r>
      <w:r>
        <w:rPr>
          <w:rFonts w:ascii="Arial" w:hAnsi="Arial" w:cs="Arial" w:eastAsia="Arial" w:hint="default"/>
          <w:spacing w:val="-7"/>
        </w:rPr>
        <w:t> </w:t>
      </w:r>
      <w:r>
        <w:rPr/>
        <w:t>年，本公司将进一步加大对</w:t>
      </w:r>
      <w:r>
        <w:rPr>
          <w:spacing w:val="-56"/>
        </w:rPr>
        <w:t> </w:t>
      </w:r>
      <w:r>
        <w:rPr>
          <w:rFonts w:ascii="Arial" w:hAnsi="Arial" w:cs="Arial" w:eastAsia="Arial" w:hint="default"/>
        </w:rPr>
        <w:t>WCDMA</w:t>
      </w:r>
      <w:r>
        <w:rPr>
          <w:rFonts w:ascii="Arial" w:hAnsi="Arial" w:cs="Arial" w:eastAsia="Arial" w:hint="default"/>
          <w:spacing w:val="-7"/>
        </w:rPr>
        <w:t> </w:t>
      </w:r>
      <w:r>
        <w:rPr/>
        <w:t>网络投资，保障增长型业务的资源投入，继续</w:t>
      </w:r>
      <w:r>
        <w:rPr>
          <w:w w:val="99"/>
        </w:rPr>
        <w:t> </w:t>
      </w:r>
      <w:r>
        <w:rPr/>
        <w:t>推进管理创新与变革，在确保盈利水平更快增长的同时，实现业务发展和收入规模的更大</w:t>
      </w:r>
      <w:r>
        <w:rPr>
          <w:w w:val="99"/>
        </w:rPr>
        <w:t> </w:t>
      </w:r>
      <w:r>
        <w:rPr/>
        <w:t>突破，进一步提升公司的发展水平、效益水平和管理水平。主要经营目标和措施包括：</w:t>
      </w:r>
    </w:p>
    <w:p>
      <w:pPr>
        <w:spacing w:line="240" w:lineRule="auto" w:before="3"/>
        <w:rPr>
          <w:rFonts w:ascii="宋体" w:hAnsi="宋体" w:cs="宋体" w:eastAsia="宋体" w:hint="default"/>
          <w:sz w:val="18"/>
          <w:szCs w:val="18"/>
        </w:rPr>
      </w:pPr>
    </w:p>
    <w:p>
      <w:pPr>
        <w:pStyle w:val="BodyText"/>
        <w:spacing w:line="225" w:lineRule="auto"/>
        <w:ind w:left="821" w:right="98" w:firstLine="6"/>
        <w:jc w:val="left"/>
      </w:pPr>
      <w:r>
        <w:rPr/>
        <w:t>加快</w:t>
      </w:r>
      <w:r>
        <w:rPr>
          <w:spacing w:val="-60"/>
        </w:rPr>
        <w:t> </w:t>
      </w:r>
      <w:r>
        <w:rPr>
          <w:rFonts w:ascii="Arial" w:hAnsi="Arial" w:cs="Arial" w:eastAsia="Arial" w:hint="default"/>
          <w:b/>
          <w:bCs/>
        </w:rPr>
        <w:t>WCDMA</w:t>
      </w:r>
      <w:r>
        <w:rPr>
          <w:rFonts w:ascii="Arial" w:hAnsi="Arial" w:cs="Arial" w:eastAsia="Arial" w:hint="default"/>
          <w:b/>
          <w:bCs/>
          <w:spacing w:val="-13"/>
        </w:rPr>
        <w:t> </w:t>
      </w:r>
      <w:r>
        <w:rPr/>
        <w:t>目标网建设，保障市场发展需求。</w:t>
      </w:r>
      <w:r>
        <w:rPr>
          <w:rFonts w:ascii="Arial" w:hAnsi="Arial" w:cs="Arial" w:eastAsia="Arial" w:hint="default"/>
        </w:rPr>
        <w:t>2012</w:t>
      </w:r>
      <w:r>
        <w:rPr>
          <w:rFonts w:ascii="Arial" w:hAnsi="Arial" w:cs="Arial" w:eastAsia="Arial" w:hint="default"/>
          <w:spacing w:val="-12"/>
        </w:rPr>
        <w:t> </w:t>
      </w:r>
      <w:r>
        <w:rPr/>
        <w:t>年，本公司将加快</w:t>
      </w:r>
      <w:r>
        <w:rPr>
          <w:spacing w:val="-61"/>
        </w:rPr>
        <w:t> </w:t>
      </w:r>
      <w:r>
        <w:rPr>
          <w:rFonts w:ascii="Arial" w:hAnsi="Arial" w:cs="Arial" w:eastAsia="Arial" w:hint="default"/>
        </w:rPr>
        <w:t>3G</w:t>
      </w:r>
      <w:r>
        <w:rPr>
          <w:rFonts w:ascii="Arial" w:hAnsi="Arial" w:cs="Arial" w:eastAsia="Arial" w:hint="default"/>
          <w:spacing w:val="-13"/>
        </w:rPr>
        <w:t> </w:t>
      </w:r>
      <w:r>
        <w:rPr/>
        <w:t>目标网建设，</w:t>
      </w:r>
      <w:r>
        <w:rPr>
          <w:w w:val="99"/>
        </w:rPr>
        <w:t> </w:t>
      </w:r>
      <w:r>
        <w:rPr/>
        <w:t>进一步扩大</w:t>
      </w:r>
      <w:r>
        <w:rPr>
          <w:spacing w:val="-56"/>
        </w:rPr>
        <w:t> </w:t>
      </w:r>
      <w:r>
        <w:rPr>
          <w:rFonts w:ascii="Arial" w:hAnsi="Arial" w:cs="Arial" w:eastAsia="Arial" w:hint="default"/>
        </w:rPr>
        <w:t>HSPA</w:t>
      </w:r>
      <w:r>
        <w:rPr/>
        <w:t>＋覆盖范围，基本消除城市区域</w:t>
      </w:r>
      <w:r>
        <w:rPr>
          <w:spacing w:val="-57"/>
        </w:rPr>
        <w:t> </w:t>
      </w:r>
      <w:r>
        <w:rPr>
          <w:rFonts w:ascii="Arial" w:hAnsi="Arial" w:cs="Arial" w:eastAsia="Arial" w:hint="default"/>
        </w:rPr>
        <w:t>3G</w:t>
      </w:r>
      <w:r>
        <w:rPr>
          <w:rFonts w:ascii="Arial" w:hAnsi="Arial" w:cs="Arial" w:eastAsia="Arial" w:hint="default"/>
          <w:spacing w:val="-9"/>
        </w:rPr>
        <w:t> </w:t>
      </w:r>
      <w:r>
        <w:rPr/>
        <w:t>网络覆盖盲、弱区，完成东中部乡</w:t>
      </w:r>
      <w:r>
        <w:rPr>
          <w:w w:val="99"/>
        </w:rPr>
        <w:t> </w:t>
      </w:r>
      <w:r>
        <w:rPr/>
        <w:t>镇和西部发达乡镇、重点旅游景点和交通干线的</w:t>
      </w:r>
      <w:r>
        <w:rPr>
          <w:spacing w:val="-56"/>
        </w:rPr>
        <w:t> </w:t>
      </w:r>
      <w:r>
        <w:rPr>
          <w:rFonts w:ascii="Arial" w:hAnsi="Arial" w:cs="Arial" w:eastAsia="Arial" w:hint="default"/>
        </w:rPr>
        <w:t>3G</w:t>
      </w:r>
      <w:r>
        <w:rPr>
          <w:rFonts w:ascii="Arial" w:hAnsi="Arial" w:cs="Arial" w:eastAsia="Arial" w:hint="default"/>
          <w:spacing w:val="-8"/>
        </w:rPr>
        <w:t> </w:t>
      </w:r>
      <w:r>
        <w:rPr/>
        <w:t>网络全覆盖。同时，本公司将以宽带</w:t>
      </w:r>
      <w:r>
        <w:rPr>
          <w:w w:val="99"/>
        </w:rPr>
        <w:t> </w:t>
      </w:r>
      <w:r>
        <w:rPr/>
        <w:t>中国战略的实施为契机，继续大力推进以</w:t>
      </w:r>
      <w:r>
        <w:rPr>
          <w:spacing w:val="-56"/>
        </w:rPr>
        <w:t> </w:t>
      </w:r>
      <w:r>
        <w:rPr>
          <w:rFonts w:ascii="Arial" w:hAnsi="Arial" w:cs="Arial" w:eastAsia="Arial" w:hint="default"/>
        </w:rPr>
        <w:t>FTTH/B</w:t>
      </w:r>
      <w:r>
        <w:rPr>
          <w:rFonts w:ascii="Arial" w:hAnsi="Arial" w:cs="Arial" w:eastAsia="Arial" w:hint="default"/>
          <w:spacing w:val="-8"/>
        </w:rPr>
        <w:t> </w:t>
      </w:r>
      <w:r>
        <w:rPr/>
        <w:t>为主的光纤接入网建设，实现城市主要</w:t>
      </w:r>
      <w:r>
        <w:rPr>
          <w:w w:val="99"/>
        </w:rPr>
        <w:t> </w:t>
      </w:r>
      <w:r>
        <w:rPr/>
        <w:t>竞争区域</w:t>
      </w:r>
      <w:r>
        <w:rPr>
          <w:spacing w:val="-56"/>
        </w:rPr>
        <w:t> </w:t>
      </w:r>
      <w:r>
        <w:rPr>
          <w:rFonts w:ascii="Arial" w:hAnsi="Arial" w:cs="Arial" w:eastAsia="Arial" w:hint="default"/>
        </w:rPr>
        <w:t>10M</w:t>
      </w:r>
      <w:r>
        <w:rPr>
          <w:rFonts w:ascii="Arial" w:hAnsi="Arial" w:cs="Arial" w:eastAsia="Arial" w:hint="default"/>
          <w:spacing w:val="-8"/>
        </w:rPr>
        <w:t> </w:t>
      </w:r>
      <w:r>
        <w:rPr/>
        <w:t>及以上速率接入、农村</w:t>
      </w:r>
      <w:r>
        <w:rPr>
          <w:spacing w:val="-56"/>
        </w:rPr>
        <w:t> </w:t>
      </w:r>
      <w:r>
        <w:rPr>
          <w:rFonts w:ascii="Arial" w:hAnsi="Arial" w:cs="Arial" w:eastAsia="Arial" w:hint="default"/>
        </w:rPr>
        <w:t>2M</w:t>
      </w:r>
      <w:r>
        <w:rPr>
          <w:rFonts w:ascii="Arial" w:hAnsi="Arial" w:cs="Arial" w:eastAsia="Arial" w:hint="default"/>
          <w:spacing w:val="-8"/>
        </w:rPr>
        <w:t> </w:t>
      </w:r>
      <w:r>
        <w:rPr/>
        <w:t>及以上速率接入。</w:t>
      </w:r>
    </w:p>
    <w:p>
      <w:pPr>
        <w:spacing w:after="0" w:line="225" w:lineRule="auto"/>
        <w:jc w:val="left"/>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32" w:lineRule="auto" w:before="39"/>
        <w:ind w:left="821" w:right="90" w:firstLine="6"/>
        <w:jc w:val="left"/>
      </w:pPr>
      <w:r>
        <w:rPr/>
        <w:t>推动重点业务规模增长，实现收入和市场份额更快提升。本公司将集中各类资源，发挥终</w:t>
      </w:r>
      <w:r>
        <w:rPr>
          <w:spacing w:val="-104"/>
        </w:rPr>
        <w:t> </w:t>
      </w:r>
      <w:r>
        <w:rPr>
          <w:spacing w:val="-104"/>
        </w:rPr>
      </w:r>
      <w:r>
        <w:rPr/>
        <w:t>端、渠道及应用优势，进一步提升合约用户渗透率，确保</w:t>
      </w:r>
      <w:r>
        <w:rPr>
          <w:spacing w:val="-72"/>
        </w:rPr>
        <w:t> </w:t>
      </w:r>
      <w:r>
        <w:rPr>
          <w:rFonts w:ascii="Arial" w:hAnsi="Arial" w:cs="Arial" w:eastAsia="Arial" w:hint="default"/>
        </w:rPr>
        <w:t>3G</w:t>
      </w:r>
      <w:r>
        <w:rPr>
          <w:rFonts w:ascii="Arial" w:hAnsi="Arial" w:cs="Arial" w:eastAsia="Arial" w:hint="default"/>
          <w:spacing w:val="-24"/>
        </w:rPr>
        <w:t> </w:t>
      </w:r>
      <w:r>
        <w:rPr/>
        <w:t>业务发展实现新的规模突破；</w:t>
      </w:r>
      <w:r>
        <w:rPr>
          <w:w w:val="99"/>
        </w:rPr>
        <w:t> </w:t>
      </w:r>
      <w:r>
        <w:rPr/>
        <w:t>全面加速固网宽带升级提速，发挥全业务等优势，实现宽带业务持续快速增长，固网业务</w:t>
      </w:r>
      <w:r>
        <w:rPr>
          <w:w w:val="99"/>
        </w:rPr>
        <w:t> </w:t>
      </w:r>
      <w:r>
        <w:rPr/>
        <w:t>结构持续改善；推动融合业务深入发展，积极推进</w:t>
      </w:r>
      <w:r>
        <w:rPr>
          <w:spacing w:val="-56"/>
        </w:rPr>
        <w:t> </w:t>
      </w:r>
      <w:r>
        <w:rPr>
          <w:rFonts w:ascii="Arial" w:hAnsi="Arial" w:cs="Arial" w:eastAsia="Arial" w:hint="default"/>
        </w:rPr>
        <w:t>GSM</w:t>
      </w:r>
      <w:r>
        <w:rPr>
          <w:rFonts w:ascii="Arial" w:hAnsi="Arial" w:cs="Arial" w:eastAsia="Arial" w:hint="default"/>
          <w:spacing w:val="-7"/>
        </w:rPr>
        <w:t> </w:t>
      </w:r>
      <w:r>
        <w:rPr/>
        <w:t>业务营销模式转型，在转型中保</w:t>
      </w:r>
      <w:r>
        <w:rPr>
          <w:w w:val="99"/>
        </w:rPr>
        <w:t> </w:t>
      </w:r>
      <w:r>
        <w:rPr/>
        <w:t>持</w:t>
      </w:r>
      <w:r>
        <w:rPr>
          <w:spacing w:val="-56"/>
        </w:rPr>
        <w:t> </w:t>
      </w:r>
      <w:r>
        <w:rPr>
          <w:rFonts w:ascii="Arial" w:hAnsi="Arial" w:cs="Arial" w:eastAsia="Arial" w:hint="default"/>
        </w:rPr>
        <w:t>GSM</w:t>
      </w:r>
      <w:r>
        <w:rPr>
          <w:rFonts w:ascii="Arial" w:hAnsi="Arial" w:cs="Arial" w:eastAsia="Arial" w:hint="default"/>
          <w:spacing w:val="-8"/>
        </w:rPr>
        <w:t> </w:t>
      </w:r>
      <w:r>
        <w:rPr/>
        <w:t>业务稳定发展。</w:t>
      </w:r>
    </w:p>
    <w:p>
      <w:pPr>
        <w:spacing w:line="240" w:lineRule="auto" w:before="5"/>
        <w:rPr>
          <w:rFonts w:ascii="宋体" w:hAnsi="宋体" w:cs="宋体" w:eastAsia="宋体" w:hint="default"/>
          <w:sz w:val="18"/>
          <w:szCs w:val="18"/>
        </w:rPr>
      </w:pPr>
    </w:p>
    <w:p>
      <w:pPr>
        <w:pStyle w:val="BodyText"/>
        <w:spacing w:line="235" w:lineRule="auto"/>
        <w:ind w:left="821" w:right="99" w:firstLine="6"/>
        <w:jc w:val="left"/>
      </w:pPr>
      <w:r>
        <w:rPr/>
        <w:t>大胆推进创新变革，进一步夯实基础管理。本公司将积极适应业务发展模式的变化，持续</w:t>
      </w:r>
      <w:r>
        <w:rPr>
          <w:spacing w:val="-107"/>
        </w:rPr>
        <w:t> </w:t>
      </w:r>
      <w:r>
        <w:rPr>
          <w:spacing w:val="-107"/>
        </w:rPr>
      </w:r>
      <w:r>
        <w:rPr/>
        <w:t>优化营销组织体系，加快推进电子化销售和服务进程，全面提升市场销售能力；深入推进</w:t>
      </w:r>
      <w:r>
        <w:rPr>
          <w:w w:val="99"/>
        </w:rPr>
        <w:t> </w:t>
      </w:r>
      <w:r>
        <w:rPr/>
        <w:t>网络建设与运维、</w:t>
      </w:r>
      <w:r>
        <w:rPr>
          <w:rFonts w:ascii="Arial" w:hAnsi="Arial" w:cs="Arial" w:eastAsia="Arial" w:hint="default"/>
        </w:rPr>
        <w:t>IT</w:t>
      </w:r>
      <w:r>
        <w:rPr>
          <w:rFonts w:ascii="Arial" w:hAnsi="Arial" w:cs="Arial" w:eastAsia="Arial" w:hint="default"/>
          <w:spacing w:val="-8"/>
        </w:rPr>
        <w:t> </w:t>
      </w:r>
      <w:r>
        <w:rPr/>
        <w:t>支撑的专业化运营改革，增强业务支撑能力；推动以本地网为核心、</w:t>
      </w:r>
      <w:r>
        <w:rPr>
          <w:w w:val="99"/>
        </w:rPr>
        <w:t> </w:t>
      </w:r>
      <w:r>
        <w:rPr>
          <w:spacing w:val="-2"/>
        </w:rPr>
        <w:t>强化专业线管控的预算管理体系，实施与业务发展和收入规模相配比的动态资源分配机制，</w:t>
      </w:r>
      <w:r>
        <w:rPr>
          <w:spacing w:val="-102"/>
        </w:rPr>
        <w:t> </w:t>
      </w:r>
      <w:r>
        <w:rPr>
          <w:spacing w:val="-102"/>
        </w:rPr>
      </w:r>
      <w:r>
        <w:rPr/>
        <w:t>不断提升资源配置的科学性和透明度；持续完善薪酬和激励机制，激发企业经营活力。</w:t>
      </w:r>
    </w:p>
    <w:p>
      <w:pPr>
        <w:spacing w:line="240" w:lineRule="auto" w:before="7"/>
        <w:rPr>
          <w:rFonts w:ascii="宋体" w:hAnsi="宋体" w:cs="宋体" w:eastAsia="宋体" w:hint="default"/>
          <w:sz w:val="21"/>
          <w:szCs w:val="21"/>
        </w:rPr>
      </w:pPr>
    </w:p>
    <w:p>
      <w:pPr>
        <w:spacing w:line="260" w:lineRule="exact" w:before="0"/>
        <w:ind w:left="847" w:right="214" w:hanging="702"/>
        <w:jc w:val="both"/>
        <w:rPr>
          <w:rFonts w:ascii="宋体" w:hAnsi="宋体" w:cs="宋体" w:eastAsia="宋体" w:hint="default"/>
          <w:sz w:val="20"/>
          <w:szCs w:val="20"/>
        </w:rPr>
      </w:pPr>
      <w:r>
        <w:rPr>
          <w:rFonts w:ascii="宋体" w:hAnsi="宋体" w:cs="宋体" w:eastAsia="宋体" w:hint="default"/>
          <w:sz w:val="20"/>
          <w:szCs w:val="20"/>
        </w:rPr>
        <w:t>附注 </w:t>
      </w:r>
      <w:r>
        <w:rPr>
          <w:rFonts w:ascii="Arial" w:hAnsi="Arial" w:cs="Arial" w:eastAsia="Arial" w:hint="default"/>
          <w:spacing w:val="-3"/>
          <w:sz w:val="20"/>
          <w:szCs w:val="20"/>
        </w:rPr>
        <w:t>1</w:t>
      </w:r>
      <w:r>
        <w:rPr>
          <w:rFonts w:ascii="宋体" w:hAnsi="宋体" w:cs="宋体" w:eastAsia="宋体" w:hint="default"/>
          <w:spacing w:val="-3"/>
          <w:sz w:val="20"/>
          <w:szCs w:val="20"/>
        </w:rPr>
        <w:t>：全文除归属于母公司的净利润及基本每股收益外，收入及盈利等其他数据均剔除固话初装费递延收</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入因素影响（</w:t>
      </w: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年为人民币</w:t>
      </w:r>
      <w:r>
        <w:rPr>
          <w:rFonts w:ascii="宋体" w:hAnsi="宋体" w:cs="宋体" w:eastAsia="宋体" w:hint="default"/>
          <w:spacing w:val="-53"/>
          <w:sz w:val="20"/>
          <w:szCs w:val="20"/>
        </w:rPr>
        <w:t> </w:t>
      </w:r>
      <w:r>
        <w:rPr>
          <w:rFonts w:ascii="Arial" w:hAnsi="Arial" w:cs="Arial" w:eastAsia="Arial" w:hint="default"/>
          <w:sz w:val="20"/>
          <w:szCs w:val="20"/>
        </w:rPr>
        <w:t>0.15</w:t>
      </w:r>
      <w:r>
        <w:rPr>
          <w:rFonts w:ascii="Arial" w:hAnsi="Arial" w:cs="Arial" w:eastAsia="Arial" w:hint="default"/>
          <w:spacing w:val="-8"/>
          <w:sz w:val="20"/>
          <w:szCs w:val="20"/>
        </w:rPr>
        <w:t> </w:t>
      </w:r>
      <w:r>
        <w:rPr>
          <w:rFonts w:ascii="宋体" w:hAnsi="宋体" w:cs="宋体" w:eastAsia="宋体" w:hint="default"/>
          <w:sz w:val="20"/>
          <w:szCs w:val="20"/>
        </w:rPr>
        <w:t>亿元，上年为人民币</w:t>
      </w:r>
      <w:r>
        <w:rPr>
          <w:rFonts w:ascii="宋体" w:hAnsi="宋体" w:cs="宋体" w:eastAsia="宋体" w:hint="default"/>
          <w:spacing w:val="-53"/>
          <w:sz w:val="20"/>
          <w:szCs w:val="20"/>
        </w:rPr>
        <w:t> </w:t>
      </w:r>
      <w:r>
        <w:rPr>
          <w:rFonts w:ascii="Arial" w:hAnsi="Arial" w:cs="Arial" w:eastAsia="Arial" w:hint="default"/>
          <w:sz w:val="20"/>
          <w:szCs w:val="20"/>
        </w:rPr>
        <w:t>1.92</w:t>
      </w:r>
      <w:r>
        <w:rPr>
          <w:rFonts w:ascii="Arial" w:hAnsi="Arial" w:cs="Arial" w:eastAsia="Arial" w:hint="default"/>
          <w:spacing w:val="-8"/>
          <w:sz w:val="20"/>
          <w:szCs w:val="20"/>
        </w:rPr>
        <w:t> </w:t>
      </w:r>
      <w:r>
        <w:rPr>
          <w:rFonts w:ascii="宋体" w:hAnsi="宋体" w:cs="宋体" w:eastAsia="宋体" w:hint="default"/>
          <w:sz w:val="20"/>
          <w:szCs w:val="20"/>
        </w:rPr>
        <w:t>亿元）</w:t>
      </w:r>
    </w:p>
    <w:p>
      <w:pPr>
        <w:spacing w:line="240" w:lineRule="auto" w:before="7"/>
        <w:rPr>
          <w:rFonts w:ascii="宋体" w:hAnsi="宋体" w:cs="宋体" w:eastAsia="宋体" w:hint="default"/>
          <w:sz w:val="17"/>
          <w:szCs w:val="17"/>
        </w:rPr>
      </w:pPr>
    </w:p>
    <w:p>
      <w:pPr>
        <w:spacing w:line="260" w:lineRule="exact" w:before="0"/>
        <w:ind w:left="891" w:right="213" w:hanging="747"/>
        <w:jc w:val="both"/>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spacing w:val="-71"/>
          <w:sz w:val="20"/>
          <w:szCs w:val="20"/>
        </w:rPr>
        <w:t> </w:t>
      </w:r>
      <w:r>
        <w:rPr>
          <w:rFonts w:ascii="Arial" w:hAnsi="Arial" w:cs="Arial" w:eastAsia="Arial" w:hint="default"/>
          <w:sz w:val="20"/>
          <w:szCs w:val="20"/>
        </w:rPr>
        <w:t>2</w:t>
      </w:r>
      <w:r>
        <w:rPr>
          <w:rFonts w:ascii="宋体" w:hAnsi="宋体" w:cs="宋体" w:eastAsia="宋体" w:hint="default"/>
          <w:sz w:val="20"/>
          <w:szCs w:val="20"/>
        </w:rPr>
        <w:t>：</w:t>
      </w:r>
      <w:r>
        <w:rPr>
          <w:rFonts w:ascii="Arial" w:hAnsi="Arial" w:cs="Arial" w:eastAsia="Arial" w:hint="default"/>
          <w:sz w:val="20"/>
          <w:szCs w:val="20"/>
        </w:rPr>
        <w:t>EBITDA</w:t>
      </w:r>
      <w:r>
        <w:rPr>
          <w:rFonts w:ascii="Arial" w:hAnsi="Arial" w:cs="Arial" w:eastAsia="Arial" w:hint="default"/>
          <w:spacing w:val="-27"/>
          <w:sz w:val="20"/>
          <w:szCs w:val="20"/>
        </w:rPr>
        <w:t> </w:t>
      </w:r>
      <w:r>
        <w:rPr>
          <w:rFonts w:ascii="宋体" w:hAnsi="宋体" w:cs="宋体" w:eastAsia="宋体" w:hint="default"/>
          <w:sz w:val="20"/>
          <w:szCs w:val="20"/>
        </w:rPr>
        <w:t>反映了加回（减去）财务费用（收入）、所得税、营业成本及管理费用中的折旧及摊销以</w:t>
      </w:r>
      <w:r>
        <w:rPr>
          <w:rFonts w:ascii="宋体" w:hAnsi="宋体" w:cs="宋体" w:eastAsia="宋体" w:hint="default"/>
          <w:w w:val="100"/>
          <w:sz w:val="20"/>
          <w:szCs w:val="20"/>
        </w:rPr>
        <w:t> </w:t>
      </w:r>
      <w:r>
        <w:rPr>
          <w:rFonts w:ascii="宋体" w:hAnsi="宋体" w:cs="宋体" w:eastAsia="宋体" w:hint="default"/>
          <w:spacing w:val="-2"/>
          <w:sz w:val="20"/>
          <w:szCs w:val="20"/>
        </w:rPr>
        <w:t>及减去投资收益的营业利润。由于电信业是资本密集型产业，资本开支和财务费用可能对具有类似</w:t>
      </w:r>
      <w:r>
        <w:rPr>
          <w:rFonts w:ascii="宋体" w:hAnsi="宋体" w:cs="宋体" w:eastAsia="宋体" w:hint="default"/>
          <w:w w:val="100"/>
          <w:sz w:val="20"/>
          <w:szCs w:val="20"/>
        </w:rPr>
        <w:t> </w:t>
      </w:r>
      <w:r>
        <w:rPr>
          <w:rFonts w:ascii="宋体" w:hAnsi="宋体" w:cs="宋体" w:eastAsia="宋体" w:hint="default"/>
          <w:spacing w:val="-9"/>
          <w:w w:val="100"/>
          <w:sz w:val="20"/>
          <w:szCs w:val="20"/>
        </w:rPr>
        <w:t>经营成果的公司年度盈利产生重大影响。因此，我们认为，对于像我们这样的电信公司而言，</w:t>
      </w:r>
      <w:r>
        <w:rPr>
          <w:rFonts w:ascii="Arial" w:hAnsi="Arial" w:cs="Arial" w:eastAsia="Arial" w:hint="default"/>
          <w:spacing w:val="-9"/>
          <w:w w:val="100"/>
          <w:sz w:val="20"/>
          <w:szCs w:val="20"/>
        </w:rPr>
        <w:t>EBITDA</w:t>
      </w:r>
      <w:r>
        <w:rPr>
          <w:rFonts w:ascii="Arial" w:hAnsi="Arial" w:cs="Arial" w:eastAsia="Arial" w:hint="default"/>
          <w:spacing w:val="-1"/>
          <w:w w:val="100"/>
          <w:sz w:val="20"/>
          <w:szCs w:val="20"/>
        </w:rPr>
        <w:t> </w:t>
      </w:r>
      <w:r>
        <w:rPr>
          <w:rFonts w:ascii="宋体" w:hAnsi="宋体" w:cs="宋体" w:eastAsia="宋体" w:hint="default"/>
          <w:sz w:val="20"/>
          <w:szCs w:val="20"/>
        </w:rPr>
        <w:t>有助于对公司经营成果分析。</w:t>
      </w:r>
    </w:p>
    <w:p>
      <w:pPr>
        <w:spacing w:line="240" w:lineRule="auto" w:before="8"/>
        <w:rPr>
          <w:rFonts w:ascii="宋体" w:hAnsi="宋体" w:cs="宋体" w:eastAsia="宋体" w:hint="default"/>
          <w:sz w:val="15"/>
          <w:szCs w:val="15"/>
        </w:rPr>
      </w:pPr>
    </w:p>
    <w:p>
      <w:pPr>
        <w:spacing w:line="424" w:lineRule="auto" w:before="0"/>
        <w:ind w:left="145" w:right="3140" w:firstLine="0"/>
        <w:jc w:val="left"/>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spacing w:val="-57"/>
          <w:sz w:val="20"/>
          <w:szCs w:val="20"/>
        </w:rPr>
        <w:t> </w:t>
      </w:r>
      <w:r>
        <w:rPr>
          <w:rFonts w:ascii="Arial" w:hAnsi="Arial" w:cs="Arial" w:eastAsia="Arial" w:hint="default"/>
          <w:sz w:val="20"/>
          <w:szCs w:val="20"/>
        </w:rPr>
        <w:t>3</w:t>
      </w:r>
      <w:r>
        <w:rPr>
          <w:rFonts w:ascii="宋体" w:hAnsi="宋体" w:cs="宋体" w:eastAsia="宋体" w:hint="default"/>
          <w:sz w:val="20"/>
          <w:szCs w:val="20"/>
        </w:rPr>
        <w:t>：本地电话业务包含本地语音、长途、固网增值和网间结算业务。</w:t>
      </w:r>
      <w:r>
        <w:rPr>
          <w:rFonts w:ascii="宋体" w:hAnsi="宋体" w:cs="宋体" w:eastAsia="宋体" w:hint="default"/>
          <w:w w:val="100"/>
          <w:sz w:val="20"/>
          <w:szCs w:val="20"/>
        </w:rPr>
        <w:t> </w:t>
      </w:r>
      <w:r>
        <w:rPr>
          <w:rFonts w:ascii="宋体" w:hAnsi="宋体" w:cs="宋体" w:eastAsia="宋体" w:hint="default"/>
          <w:sz w:val="20"/>
          <w:szCs w:val="20"/>
        </w:rPr>
        <w:t>附注</w:t>
      </w:r>
      <w:r>
        <w:rPr>
          <w:rFonts w:ascii="宋体" w:hAnsi="宋体" w:cs="宋体" w:eastAsia="宋体" w:hint="default"/>
          <w:spacing w:val="-52"/>
          <w:sz w:val="20"/>
          <w:szCs w:val="20"/>
        </w:rPr>
        <w:t> </w:t>
      </w:r>
      <w:r>
        <w:rPr>
          <w:rFonts w:ascii="Arial" w:hAnsi="Arial" w:cs="Arial" w:eastAsia="Arial" w:hint="default"/>
          <w:sz w:val="20"/>
          <w:szCs w:val="20"/>
        </w:rPr>
        <w:t>4</w:t>
      </w:r>
      <w:r>
        <w:rPr>
          <w:rFonts w:ascii="宋体" w:hAnsi="宋体" w:cs="宋体" w:eastAsia="宋体" w:hint="default"/>
          <w:sz w:val="20"/>
          <w:szCs w:val="20"/>
        </w:rPr>
        <w:t>：包含财务费用及利息收入。</w:t>
      </w:r>
    </w:p>
    <w:p>
      <w:pPr>
        <w:spacing w:before="41"/>
        <w:ind w:left="145" w:right="91" w:firstLine="0"/>
        <w:jc w:val="left"/>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spacing w:val="-60"/>
          <w:sz w:val="20"/>
          <w:szCs w:val="20"/>
        </w:rPr>
        <w:t> </w:t>
      </w:r>
      <w:r>
        <w:rPr>
          <w:rFonts w:ascii="Arial" w:hAnsi="Arial" w:cs="Arial" w:eastAsia="Arial" w:hint="default"/>
          <w:sz w:val="20"/>
          <w:szCs w:val="20"/>
        </w:rPr>
        <w:t>5</w:t>
      </w:r>
      <w:r>
        <w:rPr>
          <w:rFonts w:ascii="宋体" w:hAnsi="宋体" w:cs="宋体" w:eastAsia="宋体" w:hint="default"/>
          <w:sz w:val="20"/>
          <w:szCs w:val="20"/>
        </w:rPr>
        <w:t>：移动业务营业收入、固网业务营业收入即从外部顾客取得的收入，不包括分部间收入。</w:t>
      </w:r>
    </w:p>
    <w:p>
      <w:pPr>
        <w:spacing w:after="0"/>
        <w:jc w:val="left"/>
        <w:rPr>
          <w:rFonts w:ascii="宋体" w:hAnsi="宋体" w:cs="宋体" w:eastAsia="宋体" w:hint="default"/>
          <w:sz w:val="20"/>
          <w:szCs w:val="20"/>
        </w:rPr>
        <w:sectPr>
          <w:pgSz w:w="11900" w:h="16840"/>
          <w:pgMar w:header="927" w:footer="752" w:top="1160" w:bottom="940" w:left="13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1"/>
        <w:ind w:left="145" w:right="0"/>
        <w:jc w:val="left"/>
      </w:pPr>
      <w:r>
        <w:rPr>
          <w:rFonts w:ascii="Arial" w:hAnsi="Arial" w:cs="Arial" w:eastAsia="Arial" w:hint="default"/>
        </w:rPr>
        <w:t>1</w:t>
      </w:r>
      <w:r>
        <w:rPr/>
        <w:t>、公司主营业务及其经营状况</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927" w:footer="752" w:top="1160" w:bottom="940" w:left="1340" w:right="980"/>
        </w:sectPr>
      </w:pPr>
    </w:p>
    <w:p>
      <w:pPr>
        <w:pStyle w:val="BodyText"/>
        <w:spacing w:line="240" w:lineRule="auto" w:before="31"/>
        <w:ind w:left="145" w:right="-18"/>
        <w:jc w:val="left"/>
      </w:pPr>
      <w:r>
        <w:rPr>
          <w:rFonts w:ascii="Arial" w:hAnsi="Arial" w:cs="Arial" w:eastAsia="Arial" w:hint="default"/>
        </w:rPr>
        <w:t>(1)</w:t>
      </w:r>
      <w:r>
        <w:rPr>
          <w:rFonts w:ascii="Arial" w:hAnsi="Arial" w:cs="Arial" w:eastAsia="Arial" w:hint="default"/>
          <w:spacing w:val="46"/>
        </w:rPr>
        <w:t> </w:t>
      </w:r>
      <w:r>
        <w:rPr/>
        <w:t>主营业务分行业、分产品情况</w:t>
      </w:r>
    </w:p>
    <w:p>
      <w:pPr>
        <w:spacing w:line="240" w:lineRule="auto" w:before="7"/>
        <w:rPr>
          <w:rFonts w:ascii="宋体" w:hAnsi="宋体" w:cs="宋体" w:eastAsia="宋体" w:hint="default"/>
          <w:sz w:val="24"/>
          <w:szCs w:val="24"/>
        </w:rPr>
      </w:pPr>
      <w:r>
        <w:rPr/>
        <w:br w:type="column"/>
      </w:r>
      <w:r>
        <w:rPr>
          <w:rFonts w:ascii="宋体"/>
          <w:sz w:val="24"/>
        </w:rPr>
      </w:r>
    </w:p>
    <w:p>
      <w:pPr>
        <w:spacing w:before="0"/>
        <w:ind w:left="145" w:right="0" w:firstLine="0"/>
        <w:jc w:val="left"/>
        <w:rPr>
          <w:rFonts w:ascii="宋体" w:hAnsi="宋体" w:cs="宋体" w:eastAsia="宋体" w:hint="default"/>
          <w:sz w:val="20"/>
          <w:szCs w:val="20"/>
        </w:rPr>
      </w:pPr>
      <w:r>
        <w:rPr>
          <w:rFonts w:ascii="宋体" w:hAnsi="宋体" w:cs="宋体" w:eastAsia="宋体" w:hint="default"/>
          <w:sz w:val="20"/>
          <w:szCs w:val="20"/>
        </w:rPr>
        <w:t>单位：百万元</w:t>
      </w:r>
      <w:r>
        <w:rPr>
          <w:rFonts w:ascii="宋体" w:hAnsi="宋体" w:cs="宋体" w:eastAsia="宋体" w:hint="default"/>
          <w:spacing w:val="-2"/>
          <w:sz w:val="20"/>
          <w:szCs w:val="20"/>
        </w:rPr>
        <w:t> </w:t>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00" w:h="16840"/>
          <w:pgMar w:top="1600" w:bottom="280" w:left="1340" w:right="980"/>
          <w:cols w:num="2" w:equalWidth="0">
            <w:col w:w="3384" w:space="3413"/>
            <w:col w:w="2783"/>
          </w:cols>
        </w:sectPr>
      </w:pPr>
    </w:p>
    <w:p>
      <w:pPr>
        <w:spacing w:line="240" w:lineRule="auto" w:before="3"/>
        <w:rPr>
          <w:rFonts w:ascii="宋体" w:hAnsi="宋体" w:cs="宋体" w:eastAsia="宋体" w:hint="default"/>
          <w:sz w:val="2"/>
          <w:szCs w:val="2"/>
        </w:rPr>
      </w:pPr>
    </w:p>
    <w:tbl>
      <w:tblPr>
        <w:tblW w:w="0" w:type="auto"/>
        <w:jc w:val="left"/>
        <w:tblInd w:w="498" w:type="dxa"/>
        <w:tblLayout w:type="fixed"/>
        <w:tblCellMar>
          <w:top w:w="0" w:type="dxa"/>
          <w:left w:w="0" w:type="dxa"/>
          <w:bottom w:w="0" w:type="dxa"/>
          <w:right w:w="0" w:type="dxa"/>
        </w:tblCellMar>
        <w:tblLook w:val="01E0"/>
      </w:tblPr>
      <w:tblGrid>
        <w:gridCol w:w="1818"/>
        <w:gridCol w:w="1008"/>
        <w:gridCol w:w="1126"/>
        <w:gridCol w:w="989"/>
        <w:gridCol w:w="1074"/>
        <w:gridCol w:w="1132"/>
        <w:gridCol w:w="1796"/>
      </w:tblGrid>
      <w:tr>
        <w:trPr>
          <w:trHeight w:val="910"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69" w:right="0"/>
              <w:jc w:val="left"/>
              <w:rPr>
                <w:rFonts w:ascii="宋体" w:hAnsi="宋体" w:cs="宋体" w:eastAsia="宋体" w:hint="default"/>
                <w:sz w:val="20"/>
                <w:szCs w:val="20"/>
              </w:rPr>
            </w:pPr>
            <w:r>
              <w:rPr>
                <w:rFonts w:ascii="宋体" w:hAnsi="宋体" w:cs="宋体" w:eastAsia="宋体" w:hint="default"/>
                <w:sz w:val="20"/>
                <w:szCs w:val="20"/>
              </w:rPr>
              <w:t>分产品</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84"/>
              <w:jc w:val="right"/>
              <w:rPr>
                <w:rFonts w:ascii="宋体" w:hAnsi="宋体" w:cs="宋体" w:eastAsia="宋体" w:hint="default"/>
                <w:sz w:val="20"/>
                <w:szCs w:val="20"/>
              </w:rPr>
            </w:pPr>
            <w:r>
              <w:rPr>
                <w:rFonts w:ascii="宋体" w:hAnsi="宋体" w:cs="宋体" w:eastAsia="宋体" w:hint="default"/>
                <w:sz w:val="20"/>
                <w:szCs w:val="20"/>
              </w:rPr>
              <w:t>营业收入</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4"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18"/>
              <w:ind w:left="129" w:right="130" w:firstLine="56"/>
              <w:jc w:val="left"/>
              <w:rPr>
                <w:rFonts w:ascii="Arial" w:hAnsi="Arial" w:cs="Arial" w:eastAsia="Arial" w:hint="default"/>
                <w:sz w:val="20"/>
                <w:szCs w:val="20"/>
              </w:rPr>
            </w:pPr>
            <w:r>
              <w:rPr>
                <w:rFonts w:ascii="宋体" w:hAnsi="宋体" w:cs="宋体" w:eastAsia="宋体" w:hint="default"/>
                <w:sz w:val="20"/>
                <w:szCs w:val="20"/>
              </w:rPr>
              <w:t>营业利</w:t>
            </w:r>
            <w:r>
              <w:rPr>
                <w:rFonts w:ascii="宋体" w:hAnsi="宋体" w:cs="宋体" w:eastAsia="宋体" w:hint="default"/>
                <w:w w:val="100"/>
                <w:sz w:val="20"/>
                <w:szCs w:val="20"/>
              </w:rPr>
              <w:t> </w:t>
            </w:r>
            <w:r>
              <w:rPr>
                <w:rFonts w:ascii="宋体" w:hAnsi="宋体" w:cs="宋体" w:eastAsia="宋体" w:hint="default"/>
                <w:sz w:val="20"/>
                <w:szCs w:val="20"/>
              </w:rPr>
              <w:t>润率</w:t>
            </w:r>
            <w:r>
              <w:rPr>
                <w:rFonts w:ascii="Arial" w:hAnsi="Arial" w:cs="Arial" w:eastAsia="Arial" w:hint="default"/>
                <w:sz w:val="20"/>
                <w:szCs w:val="20"/>
              </w:rPr>
              <w:t>(%)</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28" w:right="0"/>
              <w:jc w:val="left"/>
              <w:rPr>
                <w:rFonts w:ascii="宋体" w:hAnsi="宋体" w:cs="宋体" w:eastAsia="宋体" w:hint="default"/>
                <w:sz w:val="20"/>
                <w:szCs w:val="20"/>
              </w:rPr>
            </w:pPr>
            <w:r>
              <w:rPr>
                <w:rFonts w:ascii="宋体" w:hAnsi="宋体" w:cs="宋体" w:eastAsia="宋体" w:hint="default"/>
                <w:sz w:val="20"/>
                <w:szCs w:val="20"/>
              </w:rPr>
              <w:t>营业收入</w:t>
            </w:r>
          </w:p>
          <w:p>
            <w:pPr>
              <w:pStyle w:val="TableParagraph"/>
              <w:spacing w:line="273" w:lineRule="auto" w:before="36"/>
              <w:ind w:left="272" w:right="127" w:hanging="144"/>
              <w:jc w:val="left"/>
              <w:rPr>
                <w:rFonts w:ascii="Arial" w:hAnsi="Arial" w:cs="Arial" w:eastAsia="Arial" w:hint="default"/>
                <w:sz w:val="20"/>
                <w:szCs w:val="20"/>
              </w:rPr>
            </w:pPr>
            <w:r>
              <w:rPr>
                <w:rFonts w:ascii="宋体" w:hAnsi="宋体" w:cs="宋体" w:eastAsia="宋体" w:hint="default"/>
                <w:sz w:val="20"/>
                <w:szCs w:val="20"/>
              </w:rPr>
              <w:t>比上年增</w:t>
            </w:r>
            <w:r>
              <w:rPr>
                <w:rFonts w:ascii="宋体" w:hAnsi="宋体" w:cs="宋体" w:eastAsia="宋体" w:hint="default"/>
                <w:w w:val="100"/>
                <w:sz w:val="20"/>
                <w:szCs w:val="20"/>
              </w:rPr>
              <w:t> </w:t>
            </w:r>
            <w:r>
              <w:rPr>
                <w:rFonts w:ascii="宋体" w:hAnsi="宋体" w:cs="宋体" w:eastAsia="宋体" w:hint="default"/>
                <w:sz w:val="20"/>
                <w:szCs w:val="20"/>
              </w:rPr>
              <w:t>减</w:t>
            </w:r>
            <w:r>
              <w:rPr>
                <w:rFonts w:ascii="Arial" w:hAnsi="Arial" w:cs="Arial" w:eastAsia="Arial" w:hint="default"/>
                <w:sz w:val="20"/>
                <w:szCs w:val="20"/>
              </w:rPr>
              <w:t>(%)</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57" w:right="0"/>
              <w:jc w:val="left"/>
              <w:rPr>
                <w:rFonts w:ascii="宋体" w:hAnsi="宋体" w:cs="宋体" w:eastAsia="宋体" w:hint="default"/>
                <w:sz w:val="20"/>
                <w:szCs w:val="20"/>
              </w:rPr>
            </w:pPr>
            <w:r>
              <w:rPr>
                <w:rFonts w:ascii="宋体" w:hAnsi="宋体" w:cs="宋体" w:eastAsia="宋体" w:hint="default"/>
                <w:sz w:val="20"/>
                <w:szCs w:val="20"/>
              </w:rPr>
              <w:t>营业成本</w:t>
            </w:r>
          </w:p>
          <w:p>
            <w:pPr>
              <w:pStyle w:val="TableParagraph"/>
              <w:spacing w:line="273" w:lineRule="auto" w:before="36"/>
              <w:ind w:left="301" w:right="156" w:hanging="144"/>
              <w:jc w:val="left"/>
              <w:rPr>
                <w:rFonts w:ascii="Arial" w:hAnsi="Arial" w:cs="Arial" w:eastAsia="Arial" w:hint="default"/>
                <w:sz w:val="20"/>
                <w:szCs w:val="20"/>
              </w:rPr>
            </w:pPr>
            <w:r>
              <w:rPr>
                <w:rFonts w:ascii="宋体" w:hAnsi="宋体" w:cs="宋体" w:eastAsia="宋体" w:hint="default"/>
                <w:sz w:val="20"/>
                <w:szCs w:val="20"/>
              </w:rPr>
              <w:t>比上年增</w:t>
            </w:r>
            <w:r>
              <w:rPr>
                <w:rFonts w:ascii="宋体" w:hAnsi="宋体" w:cs="宋体" w:eastAsia="宋体" w:hint="default"/>
                <w:w w:val="100"/>
                <w:sz w:val="20"/>
                <w:szCs w:val="20"/>
              </w:rPr>
              <w:t> </w:t>
            </w:r>
            <w:r>
              <w:rPr>
                <w:rFonts w:ascii="宋体" w:hAnsi="宋体" w:cs="宋体" w:eastAsia="宋体" w:hint="default"/>
                <w:sz w:val="20"/>
                <w:szCs w:val="20"/>
              </w:rPr>
              <w:t>减</w:t>
            </w:r>
            <w:r>
              <w:rPr>
                <w:rFonts w:ascii="Arial" w:hAnsi="Arial" w:cs="Arial" w:eastAsia="Arial" w:hint="default"/>
                <w:sz w:val="20"/>
                <w:szCs w:val="20"/>
              </w:rPr>
              <w:t>(%)</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18"/>
              <w:ind w:left="446" w:right="43" w:hanging="311"/>
              <w:jc w:val="left"/>
              <w:rPr>
                <w:rFonts w:ascii="宋体" w:hAnsi="宋体" w:cs="宋体" w:eastAsia="宋体" w:hint="default"/>
                <w:sz w:val="20"/>
                <w:szCs w:val="20"/>
              </w:rPr>
            </w:pPr>
            <w:r>
              <w:rPr>
                <w:rFonts w:ascii="宋体" w:hAnsi="宋体" w:cs="宋体" w:eastAsia="宋体" w:hint="default"/>
                <w:sz w:val="20"/>
                <w:szCs w:val="20"/>
              </w:rPr>
              <w:t>营业利润率比上年</w:t>
            </w:r>
            <w:r>
              <w:rPr>
                <w:rFonts w:ascii="宋体" w:hAnsi="宋体" w:cs="宋体" w:eastAsia="宋体" w:hint="default"/>
                <w:w w:val="100"/>
                <w:sz w:val="20"/>
                <w:szCs w:val="20"/>
              </w:rPr>
              <w:t> </w:t>
            </w:r>
            <w:r>
              <w:rPr>
                <w:rFonts w:ascii="宋体" w:hAnsi="宋体" w:cs="宋体" w:eastAsia="宋体" w:hint="default"/>
                <w:sz w:val="20"/>
                <w:szCs w:val="20"/>
              </w:rPr>
              <w:t>增减（</w:t>
            </w:r>
            <w:r>
              <w:rPr>
                <w:rFonts w:ascii="Arial" w:hAnsi="Arial" w:cs="Arial" w:eastAsia="Arial" w:hint="default"/>
                <w:sz w:val="20"/>
                <w:szCs w:val="20"/>
              </w:rPr>
              <w:t>%</w:t>
            </w:r>
            <w:r>
              <w:rPr>
                <w:rFonts w:ascii="宋体" w:hAnsi="宋体" w:cs="宋体" w:eastAsia="宋体" w:hint="default"/>
                <w:sz w:val="20"/>
                <w:szCs w:val="20"/>
              </w:rPr>
              <w:t>）</w:t>
            </w:r>
          </w:p>
        </w:tc>
      </w:tr>
      <w:tr>
        <w:trPr>
          <w:trHeight w:val="33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分行业</w:t>
            </w:r>
          </w:p>
        </w:tc>
        <w:tc>
          <w:tcPr>
            <w:tcW w:w="100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07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r>
      <w:tr>
        <w:trPr>
          <w:trHeight w:val="33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62" w:right="0"/>
              <w:jc w:val="left"/>
              <w:rPr>
                <w:rFonts w:ascii="宋体" w:hAnsi="宋体" w:cs="宋体" w:eastAsia="宋体" w:hint="default"/>
                <w:sz w:val="20"/>
                <w:szCs w:val="20"/>
              </w:rPr>
            </w:pPr>
            <w:r>
              <w:rPr>
                <w:rFonts w:ascii="宋体" w:hAnsi="宋体" w:cs="宋体" w:eastAsia="宋体" w:hint="default"/>
                <w:sz w:val="20"/>
                <w:szCs w:val="20"/>
              </w:rPr>
              <w:t>电信业</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6"/>
              <w:jc w:val="right"/>
              <w:rPr>
                <w:rFonts w:ascii="Arial" w:hAnsi="Arial" w:cs="Arial" w:eastAsia="Arial" w:hint="default"/>
                <w:sz w:val="20"/>
                <w:szCs w:val="20"/>
              </w:rPr>
            </w:pPr>
            <w:r>
              <w:rPr>
                <w:rFonts w:ascii="Arial"/>
                <w:spacing w:val="-1"/>
                <w:sz w:val="20"/>
              </w:rPr>
              <w:t>215,519</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35"/>
              <w:jc w:val="right"/>
              <w:rPr>
                <w:rFonts w:ascii="Arial" w:hAnsi="Arial" w:cs="Arial" w:eastAsia="Arial" w:hint="default"/>
                <w:sz w:val="20"/>
                <w:szCs w:val="20"/>
              </w:rPr>
            </w:pPr>
            <w:r>
              <w:rPr>
                <w:rFonts w:ascii="Arial"/>
                <w:spacing w:val="-1"/>
                <w:sz w:val="20"/>
              </w:rPr>
              <w:t>160,766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spacing w:val="-1"/>
                <w:sz w:val="20"/>
              </w:rPr>
              <w:t>25.4</w:t>
            </w:r>
            <w:r>
              <w:rPr>
                <w:rFonts w:ascii="Arial"/>
                <w:sz w:val="20"/>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23"/>
              <w:jc w:val="right"/>
              <w:rPr>
                <w:rFonts w:ascii="Arial" w:hAnsi="Arial" w:cs="Arial" w:eastAsia="Arial" w:hint="default"/>
                <w:sz w:val="20"/>
                <w:szCs w:val="20"/>
              </w:rPr>
            </w:pPr>
            <w:r>
              <w:rPr>
                <w:rFonts w:ascii="Arial"/>
                <w:spacing w:val="-1"/>
                <w:sz w:val="20"/>
              </w:rPr>
              <w:t>22.3</w:t>
            </w:r>
            <w:r>
              <w:rPr>
                <w:rFonts w:ascii="Arial"/>
                <w:sz w:val="20"/>
              </w:rPr>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spacing w:val="-1"/>
                <w:sz w:val="20"/>
              </w:rPr>
              <w:t>25.0</w:t>
            </w:r>
            <w:r>
              <w:rPr>
                <w:rFonts w:ascii="Arial"/>
                <w:sz w:val="20"/>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1"/>
              <w:jc w:val="righ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1"/>
                <w:sz w:val="20"/>
                <w:szCs w:val="20"/>
              </w:rPr>
              <w:t> </w:t>
            </w:r>
            <w:r>
              <w:rPr>
                <w:rFonts w:ascii="Arial" w:hAnsi="Arial" w:cs="Arial" w:eastAsia="Arial" w:hint="default"/>
                <w:sz w:val="20"/>
                <w:szCs w:val="20"/>
              </w:rPr>
              <w:t>1.6</w:t>
            </w:r>
            <w:r>
              <w:rPr>
                <w:rFonts w:ascii="Arial" w:hAnsi="Arial" w:cs="Arial" w:eastAsia="Arial" w:hint="default"/>
                <w:spacing w:val="-6"/>
                <w:sz w:val="20"/>
                <w:szCs w:val="20"/>
              </w:rPr>
              <w:t> </w:t>
            </w:r>
            <w:r>
              <w:rPr>
                <w:rFonts w:ascii="宋体" w:hAnsi="宋体" w:cs="宋体" w:eastAsia="宋体" w:hint="default"/>
                <w:sz w:val="20"/>
                <w:szCs w:val="20"/>
              </w:rPr>
              <w:t>个百分点</w:t>
            </w:r>
          </w:p>
        </w:tc>
      </w:tr>
      <w:tr>
        <w:trPr>
          <w:trHeight w:val="33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0"/>
                <w:szCs w:val="20"/>
              </w:rPr>
            </w:pPr>
            <w:r>
              <w:rPr>
                <w:rFonts w:ascii="宋体" w:hAnsi="宋体" w:cs="宋体" w:eastAsia="宋体" w:hint="default"/>
                <w:sz w:val="20"/>
                <w:szCs w:val="20"/>
              </w:rPr>
              <w:t>分产品</w:t>
            </w:r>
          </w:p>
        </w:tc>
        <w:tc>
          <w:tcPr>
            <w:tcW w:w="100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07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337"/>
              <w:jc w:val="right"/>
              <w:rPr>
                <w:rFonts w:ascii="宋体" w:hAnsi="宋体" w:cs="宋体" w:eastAsia="宋体" w:hint="default"/>
                <w:sz w:val="20"/>
                <w:szCs w:val="20"/>
              </w:rPr>
            </w:pPr>
            <w:r>
              <w:rPr>
                <w:rFonts w:ascii="宋体" w:hAnsi="宋体" w:cs="宋体" w:eastAsia="宋体" w:hint="default"/>
                <w:spacing w:val="-1"/>
                <w:sz w:val="20"/>
                <w:szCs w:val="20"/>
              </w:rPr>
              <w:t>移动通信业务</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16"/>
              <w:jc w:val="right"/>
              <w:rPr>
                <w:rFonts w:ascii="Arial" w:hAnsi="Arial" w:cs="Arial" w:eastAsia="Arial" w:hint="default"/>
                <w:sz w:val="20"/>
                <w:szCs w:val="20"/>
              </w:rPr>
            </w:pPr>
            <w:r>
              <w:rPr>
                <w:rFonts w:ascii="Arial"/>
                <w:spacing w:val="-1"/>
                <w:sz w:val="20"/>
              </w:rPr>
              <w:t>130,222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35"/>
              <w:jc w:val="right"/>
              <w:rPr>
                <w:rFonts w:ascii="Arial" w:hAnsi="Arial" w:cs="Arial" w:eastAsia="Arial" w:hint="default"/>
                <w:sz w:val="20"/>
                <w:szCs w:val="20"/>
              </w:rPr>
            </w:pPr>
            <w:r>
              <w:rPr>
                <w:rFonts w:ascii="Arial"/>
                <w:spacing w:val="-1"/>
                <w:sz w:val="20"/>
              </w:rPr>
              <w:t>81,105</w:t>
            </w:r>
            <w:r>
              <w:rPr>
                <w:rFonts w:ascii="Arial"/>
                <w:sz w:val="20"/>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20"/>
                <w:szCs w:val="20"/>
              </w:rPr>
            </w:pPr>
            <w:r>
              <w:rPr>
                <w:rFonts w:ascii="Arial"/>
                <w:spacing w:val="-1"/>
                <w:sz w:val="20"/>
              </w:rPr>
              <w:t>37.7</w:t>
            </w:r>
            <w:r>
              <w:rPr>
                <w:rFonts w:ascii="Arial"/>
                <w:sz w:val="20"/>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23"/>
              <w:jc w:val="right"/>
              <w:rPr>
                <w:rFonts w:ascii="Arial" w:hAnsi="Arial" w:cs="Arial" w:eastAsia="Arial" w:hint="default"/>
                <w:sz w:val="20"/>
                <w:szCs w:val="20"/>
              </w:rPr>
            </w:pPr>
            <w:r>
              <w:rPr>
                <w:rFonts w:ascii="Arial"/>
                <w:spacing w:val="-1"/>
                <w:sz w:val="20"/>
              </w:rPr>
              <w:t>41.3</w:t>
            </w:r>
            <w:r>
              <w:rPr>
                <w:rFonts w:ascii="Arial"/>
                <w:sz w:val="20"/>
              </w:rPr>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20"/>
                <w:szCs w:val="20"/>
              </w:rPr>
            </w:pPr>
            <w:r>
              <w:rPr>
                <w:rFonts w:ascii="Arial"/>
                <w:spacing w:val="-1"/>
                <w:sz w:val="20"/>
              </w:rPr>
              <w:t>51.0</w:t>
            </w:r>
            <w:r>
              <w:rPr>
                <w:rFonts w:ascii="Arial"/>
                <w:sz w:val="20"/>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61"/>
              <w:jc w:val="righ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1"/>
                <w:sz w:val="20"/>
                <w:szCs w:val="20"/>
              </w:rPr>
              <w:t> </w:t>
            </w:r>
            <w:r>
              <w:rPr>
                <w:rFonts w:ascii="Arial" w:hAnsi="Arial" w:cs="Arial" w:eastAsia="Arial" w:hint="default"/>
                <w:sz w:val="20"/>
                <w:szCs w:val="20"/>
              </w:rPr>
              <w:t>4.0</w:t>
            </w:r>
            <w:r>
              <w:rPr>
                <w:rFonts w:ascii="Arial" w:hAnsi="Arial" w:cs="Arial" w:eastAsia="Arial" w:hint="default"/>
                <w:spacing w:val="-6"/>
                <w:sz w:val="20"/>
                <w:szCs w:val="20"/>
              </w:rPr>
              <w:t> </w:t>
            </w:r>
            <w:r>
              <w:rPr>
                <w:rFonts w:ascii="宋体" w:hAnsi="宋体" w:cs="宋体" w:eastAsia="宋体" w:hint="default"/>
                <w:sz w:val="20"/>
                <w:szCs w:val="20"/>
              </w:rPr>
              <w:t>个百分点</w:t>
            </w:r>
          </w:p>
        </w:tc>
      </w:tr>
      <w:tr>
        <w:trPr>
          <w:trHeight w:val="33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62" w:right="0"/>
              <w:jc w:val="left"/>
              <w:rPr>
                <w:rFonts w:ascii="宋体" w:hAnsi="宋体" w:cs="宋体" w:eastAsia="宋体" w:hint="default"/>
                <w:sz w:val="20"/>
                <w:szCs w:val="20"/>
              </w:rPr>
            </w:pPr>
            <w:r>
              <w:rPr>
                <w:rFonts w:ascii="宋体" w:hAnsi="宋体" w:cs="宋体" w:eastAsia="宋体" w:hint="default"/>
                <w:sz w:val="20"/>
                <w:szCs w:val="20"/>
              </w:rPr>
              <w:t>固网业务</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7"/>
              <w:jc w:val="right"/>
              <w:rPr>
                <w:rFonts w:ascii="Arial" w:hAnsi="Arial" w:cs="Arial" w:eastAsia="Arial" w:hint="default"/>
                <w:sz w:val="20"/>
                <w:szCs w:val="20"/>
              </w:rPr>
            </w:pPr>
            <w:r>
              <w:rPr>
                <w:rFonts w:ascii="Arial"/>
                <w:sz w:val="20"/>
              </w:rPr>
              <w:t>88,864</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35"/>
              <w:jc w:val="right"/>
              <w:rPr>
                <w:rFonts w:ascii="Arial" w:hAnsi="Arial" w:cs="Arial" w:eastAsia="Arial" w:hint="default"/>
                <w:sz w:val="20"/>
                <w:szCs w:val="20"/>
              </w:rPr>
            </w:pPr>
            <w:r>
              <w:rPr>
                <w:rFonts w:ascii="Arial"/>
                <w:sz w:val="20"/>
              </w:rPr>
              <w:t>46,729</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sz w:val="20"/>
              </w:rPr>
              <w:t>47.4</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22"/>
              <w:jc w:val="right"/>
              <w:rPr>
                <w:rFonts w:ascii="Arial" w:hAnsi="Arial" w:cs="Arial" w:eastAsia="Arial" w:hint="default"/>
                <w:sz w:val="20"/>
                <w:szCs w:val="20"/>
              </w:rPr>
            </w:pPr>
            <w:r>
              <w:rPr>
                <w:rFonts w:ascii="Arial"/>
                <w:sz w:val="20"/>
              </w:rPr>
              <w:t>2.5</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sz w:val="20"/>
              </w:rPr>
              <w:t>1.9</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1"/>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1"/>
                <w:sz w:val="20"/>
                <w:szCs w:val="20"/>
              </w:rPr>
              <w:t> </w:t>
            </w:r>
            <w:r>
              <w:rPr>
                <w:rFonts w:ascii="Arial" w:hAnsi="Arial" w:cs="Arial" w:eastAsia="Arial" w:hint="default"/>
                <w:sz w:val="20"/>
                <w:szCs w:val="20"/>
              </w:rPr>
              <w:t>0.3</w:t>
            </w:r>
            <w:r>
              <w:rPr>
                <w:rFonts w:ascii="Arial" w:hAnsi="Arial" w:cs="Arial" w:eastAsia="Arial" w:hint="default"/>
                <w:spacing w:val="-6"/>
                <w:sz w:val="20"/>
                <w:szCs w:val="20"/>
              </w:rPr>
              <w:t> </w:t>
            </w:r>
            <w:r>
              <w:rPr>
                <w:rFonts w:ascii="宋体" w:hAnsi="宋体" w:cs="宋体" w:eastAsia="宋体" w:hint="default"/>
                <w:sz w:val="20"/>
                <w:szCs w:val="20"/>
              </w:rPr>
              <w:t>个百分点</w:t>
            </w:r>
          </w:p>
        </w:tc>
      </w:tr>
      <w:tr>
        <w:trPr>
          <w:trHeight w:val="33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337"/>
              <w:jc w:val="right"/>
              <w:rPr>
                <w:rFonts w:ascii="宋体" w:hAnsi="宋体" w:cs="宋体" w:eastAsia="宋体" w:hint="default"/>
                <w:sz w:val="20"/>
                <w:szCs w:val="20"/>
              </w:rPr>
            </w:pPr>
            <w:r>
              <w:rPr>
                <w:rFonts w:ascii="宋体" w:hAnsi="宋体" w:cs="宋体" w:eastAsia="宋体" w:hint="default"/>
                <w:spacing w:val="-1"/>
                <w:sz w:val="20"/>
                <w:szCs w:val="20"/>
              </w:rPr>
              <w:t>不可分摊项目</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5"/>
              <w:jc w:val="right"/>
              <w:rPr>
                <w:rFonts w:ascii="Arial" w:hAnsi="Arial" w:cs="Arial" w:eastAsia="Arial" w:hint="default"/>
                <w:sz w:val="20"/>
                <w:szCs w:val="20"/>
              </w:rPr>
            </w:pPr>
            <w:r>
              <w:rPr>
                <w:rFonts w:ascii="Arial"/>
                <w:sz w:val="20"/>
              </w:rPr>
              <w:t>1,819</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35"/>
              <w:jc w:val="right"/>
              <w:rPr>
                <w:rFonts w:ascii="Arial" w:hAnsi="Arial" w:cs="Arial" w:eastAsia="Arial" w:hint="default"/>
                <w:sz w:val="20"/>
                <w:szCs w:val="20"/>
              </w:rPr>
            </w:pPr>
            <w:r>
              <w:rPr>
                <w:rFonts w:ascii="Arial"/>
                <w:sz w:val="20"/>
              </w:rPr>
              <w:t>38,152</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0"/>
                <w:szCs w:val="20"/>
              </w:rPr>
            </w:pPr>
            <w:r>
              <w:rPr>
                <w:rFonts w:ascii="宋体" w:hAnsi="宋体" w:cs="宋体" w:eastAsia="宋体" w:hint="default"/>
                <w:sz w:val="20"/>
                <w:szCs w:val="20"/>
              </w:rPr>
              <w:t>不适用</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57"/>
              <w:jc w:val="right"/>
              <w:rPr>
                <w:rFonts w:ascii="Arial" w:hAnsi="Arial" w:cs="Arial" w:eastAsia="Arial" w:hint="default"/>
                <w:sz w:val="20"/>
                <w:szCs w:val="20"/>
              </w:rPr>
            </w:pPr>
            <w:r>
              <w:rPr>
                <w:rFonts w:ascii="Arial"/>
                <w:spacing w:val="-1"/>
                <w:sz w:val="20"/>
              </w:rPr>
              <w:t>(28.5)</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Arial" w:hAnsi="Arial" w:cs="Arial" w:eastAsia="Arial" w:hint="default"/>
                <w:sz w:val="20"/>
                <w:szCs w:val="20"/>
              </w:rPr>
            </w:pPr>
            <w:r>
              <w:rPr>
                <w:rFonts w:ascii="Arial"/>
                <w:sz w:val="20"/>
              </w:rPr>
              <w:t>12.1</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61"/>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33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62" w:right="0"/>
              <w:jc w:val="left"/>
              <w:rPr>
                <w:rFonts w:ascii="宋体" w:hAnsi="宋体" w:cs="宋体" w:eastAsia="宋体" w:hint="default"/>
                <w:sz w:val="20"/>
                <w:szCs w:val="20"/>
              </w:rPr>
            </w:pPr>
            <w:r>
              <w:rPr>
                <w:rFonts w:ascii="宋体" w:hAnsi="宋体" w:cs="宋体" w:eastAsia="宋体" w:hint="default"/>
                <w:sz w:val="20"/>
                <w:szCs w:val="20"/>
              </w:rPr>
              <w:t>专业间抵销</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0"/>
              <w:jc w:val="right"/>
              <w:rPr>
                <w:rFonts w:ascii="Arial" w:hAnsi="Arial" w:cs="Arial" w:eastAsia="Arial" w:hint="default"/>
                <w:sz w:val="20"/>
                <w:szCs w:val="20"/>
              </w:rPr>
            </w:pPr>
            <w:r>
              <w:rPr>
                <w:rFonts w:ascii="Arial"/>
                <w:spacing w:val="-1"/>
                <w:sz w:val="20"/>
              </w:rPr>
              <w:t>(5,386)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9"/>
              <w:jc w:val="right"/>
              <w:rPr>
                <w:rFonts w:ascii="Arial" w:hAnsi="Arial" w:cs="Arial" w:eastAsia="Arial" w:hint="default"/>
                <w:sz w:val="20"/>
                <w:szCs w:val="20"/>
              </w:rPr>
            </w:pPr>
            <w:r>
              <w:rPr>
                <w:rFonts w:ascii="Arial"/>
                <w:spacing w:val="-1"/>
                <w:sz w:val="20"/>
              </w:rPr>
              <w:t>(5,220)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0"/>
                <w:szCs w:val="20"/>
              </w:rPr>
            </w:pPr>
            <w:r>
              <w:rPr>
                <w:rFonts w:ascii="宋体" w:hAnsi="宋体" w:cs="宋体" w:eastAsia="宋体" w:hint="default"/>
                <w:sz w:val="20"/>
                <w:szCs w:val="20"/>
              </w:rPr>
              <w:t>不适用</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0"/>
                <w:szCs w:val="20"/>
              </w:rPr>
            </w:pPr>
            <w:r>
              <w:rPr>
                <w:rFonts w:ascii="宋体" w:hAnsi="宋体" w:cs="宋体" w:eastAsia="宋体" w:hint="default"/>
                <w:sz w:val="20"/>
                <w:szCs w:val="20"/>
              </w:rPr>
              <w:t>不适用</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0"/>
                <w:szCs w:val="20"/>
              </w:rPr>
            </w:pPr>
            <w:r>
              <w:rPr>
                <w:rFonts w:ascii="宋体" w:hAnsi="宋体" w:cs="宋体" w:eastAsia="宋体" w:hint="default"/>
                <w:sz w:val="20"/>
                <w:szCs w:val="20"/>
              </w:rPr>
              <w:t>不适用</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61"/>
              <w:jc w:val="right"/>
              <w:rPr>
                <w:rFonts w:ascii="宋体" w:hAnsi="宋体" w:cs="宋体" w:eastAsia="宋体" w:hint="default"/>
                <w:sz w:val="20"/>
                <w:szCs w:val="20"/>
              </w:rPr>
            </w:pPr>
            <w:r>
              <w:rPr>
                <w:rFonts w:ascii="宋体" w:hAnsi="宋体" w:cs="宋体" w:eastAsia="宋体" w:hint="default"/>
                <w:sz w:val="20"/>
                <w:szCs w:val="20"/>
              </w:rPr>
              <w:t>不适用</w:t>
            </w:r>
          </w:p>
        </w:tc>
      </w:tr>
    </w:tbl>
    <w:p>
      <w:pPr>
        <w:spacing w:line="240" w:lineRule="auto" w:before="1"/>
        <w:rPr>
          <w:rFonts w:ascii="宋体" w:hAnsi="宋体" w:cs="宋体" w:eastAsia="宋体" w:hint="default"/>
          <w:sz w:val="14"/>
          <w:szCs w:val="14"/>
        </w:rPr>
      </w:pPr>
    </w:p>
    <w:p>
      <w:pPr>
        <w:pStyle w:val="BodyText"/>
        <w:spacing w:line="240" w:lineRule="auto" w:before="31"/>
        <w:ind w:left="505" w:right="0"/>
        <w:jc w:val="left"/>
      </w:pPr>
      <w:r>
        <w:rPr>
          <w:rFonts w:ascii="Arial" w:hAnsi="Arial" w:cs="Arial" w:eastAsia="Arial" w:hint="default"/>
        </w:rPr>
        <w:t>1)</w:t>
      </w:r>
      <w:r>
        <w:rPr>
          <w:rFonts w:ascii="Arial" w:hAnsi="Arial" w:cs="Arial" w:eastAsia="Arial" w:hint="default"/>
          <w:spacing w:val="46"/>
        </w:rPr>
        <w:t> </w:t>
      </w:r>
      <w:r>
        <w:rPr/>
        <w:t>上述资料分产品信息所列各项产品的“营业成本”包括营业税金及附加；</w:t>
      </w:r>
    </w:p>
    <w:p>
      <w:pPr>
        <w:spacing w:line="240" w:lineRule="auto" w:before="2"/>
        <w:rPr>
          <w:rFonts w:ascii="宋体" w:hAnsi="宋体" w:cs="宋体" w:eastAsia="宋体" w:hint="default"/>
          <w:sz w:val="20"/>
          <w:szCs w:val="20"/>
        </w:rPr>
      </w:pPr>
    </w:p>
    <w:p>
      <w:pPr>
        <w:pStyle w:val="BodyText"/>
        <w:spacing w:line="286" w:lineRule="exact"/>
        <w:ind w:left="793" w:right="137" w:hanging="288"/>
        <w:jc w:val="both"/>
      </w:pPr>
      <w:r>
        <w:rPr>
          <w:rFonts w:ascii="Arial" w:hAnsi="Arial" w:cs="Arial" w:eastAsia="Arial" w:hint="default"/>
        </w:rPr>
        <w:t>2)</w:t>
      </w:r>
      <w:r>
        <w:rPr>
          <w:rFonts w:ascii="Arial" w:hAnsi="Arial" w:cs="Arial" w:eastAsia="Arial" w:hint="default"/>
          <w:spacing w:val="21"/>
        </w:rPr>
        <w:t> </w:t>
      </w:r>
      <w:r>
        <w:rPr/>
        <w:t>上述资料分产品信息所列各项产品的“营业收入”和“营业成本”包括本公司内部分部业</w:t>
      </w:r>
      <w:r>
        <w:rPr>
          <w:spacing w:val="-106"/>
        </w:rPr>
        <w:t> </w:t>
      </w:r>
      <w:r>
        <w:rPr>
          <w:spacing w:val="-106"/>
        </w:rPr>
      </w:r>
      <w:r>
        <w:rPr/>
        <w:t>务间结算收入和结算支出；</w:t>
      </w:r>
    </w:p>
    <w:p>
      <w:pPr>
        <w:spacing w:line="240" w:lineRule="auto" w:before="6"/>
        <w:rPr>
          <w:rFonts w:ascii="宋体" w:hAnsi="宋体" w:cs="宋体" w:eastAsia="宋体" w:hint="default"/>
          <w:sz w:val="17"/>
          <w:szCs w:val="17"/>
        </w:rPr>
      </w:pPr>
    </w:p>
    <w:p>
      <w:pPr>
        <w:pStyle w:val="BodyText"/>
        <w:spacing w:line="235" w:lineRule="auto"/>
        <w:ind w:left="793" w:right="136" w:hanging="288"/>
        <w:jc w:val="both"/>
      </w:pPr>
      <w:r>
        <w:rPr>
          <w:rFonts w:ascii="Arial" w:hAnsi="Arial" w:cs="Arial" w:eastAsia="Arial" w:hint="default"/>
        </w:rPr>
        <w:t>3)</w:t>
      </w:r>
      <w:r>
        <w:rPr>
          <w:rFonts w:ascii="Arial" w:hAnsi="Arial" w:cs="Arial" w:eastAsia="Arial" w:hint="default"/>
          <w:spacing w:val="21"/>
        </w:rPr>
        <w:t> </w:t>
      </w:r>
      <w:r>
        <w:rPr/>
        <w:t>根据本集团内部的管理和考核体系，本集团的各个业务分部列报相关业务分部的收入和直</w:t>
      </w:r>
      <w:r>
        <w:rPr>
          <w:spacing w:val="-106"/>
        </w:rPr>
        <w:t> </w:t>
      </w:r>
      <w:r>
        <w:rPr>
          <w:spacing w:val="-106"/>
        </w:rPr>
      </w:r>
      <w:r>
        <w:rPr/>
        <w:t>接成本费用，而其他成本费用项目，包括部分营业成本，如人工成本及管理费用等被列报</w:t>
      </w:r>
      <w:r>
        <w:rPr>
          <w:w w:val="99"/>
        </w:rPr>
        <w:t> </w:t>
      </w:r>
      <w:r>
        <w:rPr/>
        <w:t>于不可分摊项目。因此，由于这部分不可分摊的成本并未反映在上表所列示的移动业务分</w:t>
      </w:r>
      <w:r>
        <w:rPr>
          <w:w w:val="99"/>
        </w:rPr>
        <w:t> </w:t>
      </w:r>
      <w:r>
        <w:rPr/>
        <w:t>部和固网业务分部的营业成本中，导致本集团的移动业务分部、固网业务分部的分部营业</w:t>
      </w:r>
      <w:r>
        <w:rPr>
          <w:w w:val="99"/>
        </w:rPr>
        <w:t> </w:t>
      </w:r>
      <w:r>
        <w:rPr/>
        <w:t>利润率明显高于合并后的营业利润率；</w:t>
      </w:r>
    </w:p>
    <w:p>
      <w:pPr>
        <w:spacing w:line="240" w:lineRule="auto" w:before="3"/>
        <w:rPr>
          <w:rFonts w:ascii="宋体" w:hAnsi="宋体" w:cs="宋体" w:eastAsia="宋体" w:hint="default"/>
          <w:sz w:val="19"/>
          <w:szCs w:val="19"/>
        </w:rPr>
      </w:pPr>
    </w:p>
    <w:p>
      <w:pPr>
        <w:pStyle w:val="BodyText"/>
        <w:spacing w:line="240" w:lineRule="auto"/>
        <w:ind w:left="505" w:right="0"/>
        <w:jc w:val="left"/>
      </w:pPr>
      <w:r>
        <w:rPr>
          <w:rFonts w:ascii="Arial" w:hAnsi="Arial" w:cs="Arial" w:eastAsia="Arial" w:hint="default"/>
        </w:rPr>
        <w:t>4)</w:t>
      </w:r>
      <w:r>
        <w:rPr>
          <w:rFonts w:ascii="Arial" w:hAnsi="Arial" w:cs="Arial" w:eastAsia="Arial" w:hint="default"/>
          <w:spacing w:val="43"/>
        </w:rPr>
        <w:t> </w:t>
      </w:r>
      <w:r>
        <w:rPr/>
        <w:t>营业利润率＝（营业收入－营业成本－营业税金）</w:t>
      </w:r>
      <w:r>
        <w:rPr>
          <w:rFonts w:ascii="Arial" w:hAnsi="Arial" w:cs="Arial" w:eastAsia="Arial" w:hint="default"/>
        </w:rPr>
        <w:t>/</w:t>
      </w:r>
      <w:r>
        <w:rPr/>
        <w:t>营业收入</w:t>
      </w:r>
      <w:r>
        <w:rPr>
          <w:rFonts w:ascii="Arial" w:hAnsi="Arial" w:cs="Arial" w:eastAsia="Arial" w:hint="default"/>
        </w:rPr>
        <w:t>*100</w:t>
      </w:r>
      <w:r>
        <w:rPr/>
        <w:t>。</w:t>
      </w:r>
    </w:p>
    <w:p>
      <w:pPr>
        <w:spacing w:line="240" w:lineRule="auto" w:before="7"/>
        <w:rPr>
          <w:rFonts w:ascii="宋体" w:hAnsi="宋体" w:cs="宋体" w:eastAsia="宋体" w:hint="default"/>
          <w:sz w:val="15"/>
          <w:szCs w:val="15"/>
        </w:rPr>
      </w:pPr>
    </w:p>
    <w:p>
      <w:pPr>
        <w:pStyle w:val="BodyText"/>
        <w:spacing w:line="294" w:lineRule="exact" w:before="31"/>
        <w:ind w:left="145" w:right="0"/>
        <w:jc w:val="left"/>
      </w:pPr>
      <w:r>
        <w:rPr>
          <w:rFonts w:ascii="Arial" w:hAnsi="Arial" w:cs="Arial" w:eastAsia="Arial" w:hint="default"/>
        </w:rPr>
        <w:t>(2)</w:t>
      </w:r>
      <w:r>
        <w:rPr>
          <w:rFonts w:ascii="Arial" w:hAnsi="Arial" w:cs="Arial" w:eastAsia="Arial" w:hint="default"/>
          <w:spacing w:val="46"/>
        </w:rPr>
        <w:t> </w:t>
      </w:r>
      <w:r>
        <w:rPr/>
        <w:t>主营业务分地区情况</w:t>
      </w:r>
    </w:p>
    <w:p>
      <w:pPr>
        <w:pStyle w:val="BodyText"/>
        <w:spacing w:line="278" w:lineRule="exact"/>
        <w:ind w:left="0" w:right="199"/>
        <w:jc w:val="right"/>
      </w:pPr>
      <w:r>
        <w:rPr/>
        <w:t>单位：百万元</w:t>
      </w:r>
      <w:r>
        <w:rPr>
          <w:spacing w:val="-2"/>
        </w:rPr>
        <w:t> </w:t>
      </w:r>
      <w:r>
        <w:rPr/>
        <w:t>币种：人民币</w:t>
      </w:r>
    </w:p>
    <w:p>
      <w:pPr>
        <w:spacing w:line="240" w:lineRule="auto" w:before="8"/>
        <w:rPr>
          <w:rFonts w:ascii="宋体" w:hAnsi="宋体" w:cs="宋体" w:eastAsia="宋体" w:hint="default"/>
          <w:sz w:val="2"/>
          <w:szCs w:val="2"/>
        </w:rPr>
      </w:pPr>
    </w:p>
    <w:tbl>
      <w:tblPr>
        <w:tblW w:w="0" w:type="auto"/>
        <w:jc w:val="left"/>
        <w:tblInd w:w="498" w:type="dxa"/>
        <w:tblLayout w:type="fixed"/>
        <w:tblCellMar>
          <w:top w:w="0" w:type="dxa"/>
          <w:left w:w="0" w:type="dxa"/>
          <w:bottom w:w="0" w:type="dxa"/>
          <w:right w:w="0" w:type="dxa"/>
        </w:tblCellMar>
        <w:tblLook w:val="01E0"/>
      </w:tblPr>
      <w:tblGrid>
        <w:gridCol w:w="2584"/>
        <w:gridCol w:w="3006"/>
        <w:gridCol w:w="3361"/>
      </w:tblGrid>
      <w:tr>
        <w:trPr>
          <w:trHeight w:val="332"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
              <w:jc w:val="center"/>
              <w:rPr>
                <w:rFonts w:ascii="宋体" w:hAnsi="宋体" w:cs="宋体" w:eastAsia="宋体" w:hint="default"/>
                <w:sz w:val="22"/>
                <w:szCs w:val="22"/>
              </w:rPr>
            </w:pPr>
            <w:r>
              <w:rPr>
                <w:rFonts w:ascii="宋体" w:hAnsi="宋体" w:cs="宋体" w:eastAsia="宋体" w:hint="default"/>
                <w:sz w:val="22"/>
                <w:szCs w:val="22"/>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
              <w:jc w:val="center"/>
              <w:rPr>
                <w:rFonts w:ascii="宋体" w:hAnsi="宋体" w:cs="宋体" w:eastAsia="宋体" w:hint="default"/>
                <w:sz w:val="22"/>
                <w:szCs w:val="22"/>
              </w:rPr>
            </w:pPr>
            <w:r>
              <w:rPr>
                <w:rFonts w:ascii="宋体" w:hAnsi="宋体" w:cs="宋体" w:eastAsia="宋体" w:hint="default"/>
                <w:sz w:val="22"/>
                <w:szCs w:val="22"/>
              </w:rPr>
              <w:t>营业收入</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364" w:right="0"/>
              <w:jc w:val="left"/>
              <w:rPr>
                <w:rFonts w:ascii="宋体" w:hAnsi="宋体" w:cs="宋体" w:eastAsia="宋体" w:hint="default"/>
                <w:sz w:val="22"/>
                <w:szCs w:val="22"/>
              </w:rPr>
            </w:pPr>
            <w:r>
              <w:rPr>
                <w:rFonts w:ascii="宋体" w:hAnsi="宋体" w:cs="宋体" w:eastAsia="宋体" w:hint="default"/>
                <w:sz w:val="22"/>
                <w:szCs w:val="22"/>
              </w:rPr>
              <w:t>营业收入比上年增减（</w:t>
            </w:r>
            <w:r>
              <w:rPr>
                <w:rFonts w:ascii="Arial" w:hAnsi="Arial" w:cs="Arial" w:eastAsia="Arial" w:hint="default"/>
                <w:sz w:val="22"/>
                <w:szCs w:val="22"/>
              </w:rPr>
              <w:t>%</w:t>
            </w:r>
            <w:r>
              <w:rPr>
                <w:rFonts w:ascii="宋体" w:hAnsi="宋体" w:cs="宋体" w:eastAsia="宋体" w:hint="default"/>
                <w:sz w:val="22"/>
                <w:szCs w:val="22"/>
              </w:rPr>
              <w:t>）</w:t>
            </w:r>
          </w:p>
        </w:tc>
      </w:tr>
      <w:tr>
        <w:trPr>
          <w:trHeight w:val="332"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2"/>
                <w:szCs w:val="22"/>
              </w:rPr>
            </w:pPr>
            <w:r>
              <w:rPr>
                <w:rFonts w:ascii="宋体" w:hAnsi="宋体" w:cs="宋体" w:eastAsia="宋体" w:hint="default"/>
                <w:sz w:val="22"/>
                <w:szCs w:val="22"/>
              </w:rPr>
              <w:t>全国范围内</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215,519</w:t>
            </w:r>
            <w:r>
              <w:rPr>
                <w:rFonts w:ascii="Arial"/>
                <w:sz w:val="22"/>
              </w:rPr>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Arial" w:hAnsi="Arial" w:cs="Arial" w:eastAsia="Arial" w:hint="default"/>
                <w:sz w:val="22"/>
                <w:szCs w:val="22"/>
              </w:rPr>
            </w:pPr>
            <w:r>
              <w:rPr>
                <w:rFonts w:ascii="Arial"/>
                <w:w w:val="95"/>
                <w:sz w:val="22"/>
              </w:rPr>
              <w:t>22.3</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45" w:right="0"/>
        <w:jc w:val="left"/>
      </w:pPr>
      <w:r>
        <w:rPr>
          <w:rFonts w:ascii="Arial" w:hAnsi="Arial" w:cs="Arial" w:eastAsia="Arial" w:hint="default"/>
        </w:rPr>
        <w:t>2</w:t>
      </w:r>
      <w:r>
        <w:rPr/>
        <w:t>、本公司于报告期内并未披露过任何盈利预测或经营计划。</w:t>
      </w:r>
    </w:p>
    <w:p>
      <w:pPr>
        <w:spacing w:after="0" w:line="240" w:lineRule="auto"/>
        <w:jc w:val="left"/>
        <w:sectPr>
          <w:type w:val="continuous"/>
          <w:pgSz w:w="11900" w:h="16840"/>
          <w:pgMar w:top="1600" w:bottom="280" w:left="1340" w:right="980"/>
        </w:sectPr>
      </w:pPr>
    </w:p>
    <w:p>
      <w:pPr>
        <w:spacing w:line="240" w:lineRule="auto" w:before="11"/>
        <w:rPr>
          <w:rFonts w:ascii="宋体" w:hAnsi="宋体" w:cs="宋体" w:eastAsia="宋体" w:hint="default"/>
          <w:sz w:val="21"/>
          <w:szCs w:val="21"/>
        </w:rPr>
      </w:pPr>
    </w:p>
    <w:p>
      <w:pPr>
        <w:pStyle w:val="BodyText"/>
        <w:spacing w:line="240" w:lineRule="auto" w:before="31"/>
        <w:ind w:left="145" w:right="0"/>
        <w:jc w:val="left"/>
      </w:pPr>
      <w:r>
        <w:rPr/>
        <w:t>（二）公司投资情况</w:t>
      </w:r>
    </w:p>
    <w:p>
      <w:pPr>
        <w:spacing w:line="240" w:lineRule="auto" w:before="2"/>
        <w:rPr>
          <w:rFonts w:ascii="宋体" w:hAnsi="宋体" w:cs="宋体" w:eastAsia="宋体" w:hint="default"/>
          <w:sz w:val="19"/>
          <w:szCs w:val="19"/>
        </w:rPr>
      </w:pPr>
    </w:p>
    <w:p>
      <w:pPr>
        <w:pStyle w:val="BodyText"/>
        <w:spacing w:line="240" w:lineRule="auto"/>
        <w:ind w:left="481" w:right="0"/>
        <w:jc w:val="left"/>
      </w:pPr>
      <w:r>
        <w:rPr>
          <w:rFonts w:ascii="Arial" w:hAnsi="Arial" w:cs="Arial" w:eastAsia="Arial" w:hint="default"/>
        </w:rPr>
        <w:t>1</w:t>
      </w:r>
      <w:r>
        <w:rPr/>
        <w:t>、委托理财及委托贷款情况</w:t>
      </w:r>
    </w:p>
    <w:p>
      <w:pPr>
        <w:spacing w:line="240" w:lineRule="auto" w:before="12"/>
        <w:rPr>
          <w:rFonts w:ascii="宋体" w:hAnsi="宋体" w:cs="宋体" w:eastAsia="宋体" w:hint="default"/>
          <w:sz w:val="17"/>
          <w:szCs w:val="17"/>
        </w:rPr>
      </w:pPr>
    </w:p>
    <w:p>
      <w:pPr>
        <w:pStyle w:val="BodyText"/>
        <w:spacing w:line="240" w:lineRule="auto"/>
        <w:ind w:left="803" w:right="0"/>
        <w:jc w:val="left"/>
      </w:pPr>
      <w:r>
        <w:rPr>
          <w:rFonts w:ascii="Arial" w:hAnsi="Arial" w:cs="Arial" w:eastAsia="Arial" w:hint="default"/>
        </w:rPr>
        <w:t>(1)</w:t>
      </w:r>
      <w:r>
        <w:rPr>
          <w:rFonts w:ascii="Arial" w:hAnsi="Arial" w:cs="Arial" w:eastAsia="Arial" w:hint="default"/>
          <w:spacing w:val="47"/>
        </w:rPr>
        <w:t> </w:t>
      </w:r>
      <w:r>
        <w:rPr/>
        <w:t>本年度公司无委托理财事项。</w:t>
      </w:r>
    </w:p>
    <w:p>
      <w:pPr>
        <w:spacing w:line="240" w:lineRule="auto" w:before="13"/>
        <w:rPr>
          <w:rFonts w:ascii="宋体" w:hAnsi="宋体" w:cs="宋体" w:eastAsia="宋体" w:hint="default"/>
          <w:sz w:val="17"/>
          <w:szCs w:val="17"/>
        </w:rPr>
      </w:pPr>
    </w:p>
    <w:p>
      <w:pPr>
        <w:pStyle w:val="BodyText"/>
        <w:spacing w:line="240" w:lineRule="auto"/>
        <w:ind w:left="803" w:right="0"/>
        <w:jc w:val="left"/>
      </w:pPr>
      <w:r>
        <w:rPr>
          <w:rFonts w:ascii="Arial" w:hAnsi="Arial" w:cs="Arial" w:eastAsia="Arial" w:hint="default"/>
        </w:rPr>
        <w:t>(2)</w:t>
      </w:r>
      <w:r>
        <w:rPr>
          <w:rFonts w:ascii="Arial" w:hAnsi="Arial" w:cs="Arial" w:eastAsia="Arial" w:hint="default"/>
          <w:spacing w:val="47"/>
        </w:rPr>
        <w:t> </w:t>
      </w:r>
      <w:r>
        <w:rPr/>
        <w:t>本年度公司无委托贷款事项。</w:t>
      </w:r>
    </w:p>
    <w:p>
      <w:pPr>
        <w:spacing w:line="240" w:lineRule="auto" w:before="0"/>
        <w:rPr>
          <w:rFonts w:ascii="宋体" w:hAnsi="宋体" w:cs="宋体" w:eastAsia="宋体" w:hint="default"/>
          <w:sz w:val="20"/>
          <w:szCs w:val="20"/>
        </w:rPr>
      </w:pPr>
    </w:p>
    <w:p>
      <w:pPr>
        <w:pStyle w:val="BodyText"/>
        <w:spacing w:line="286" w:lineRule="exact"/>
        <w:ind w:left="817" w:right="1503" w:hanging="336"/>
        <w:jc w:val="left"/>
      </w:pPr>
      <w:r>
        <w:rPr>
          <w:rFonts w:ascii="Arial" w:hAnsi="Arial" w:cs="Arial" w:eastAsia="Arial" w:hint="default"/>
        </w:rPr>
        <w:t>2</w:t>
      </w:r>
      <w:r>
        <w:rPr/>
        <w:t>、募集资金总体使用情况</w:t>
      </w:r>
      <w:r>
        <w:rPr>
          <w:w w:val="99"/>
        </w:rPr>
        <w:t> </w:t>
      </w:r>
      <w:r>
        <w:rPr/>
        <w:t>报告期内，本公司不存在募集资金或前期募集资金使用延续到本年的情况。</w:t>
      </w:r>
    </w:p>
    <w:p>
      <w:pPr>
        <w:spacing w:line="240" w:lineRule="auto" w:before="2"/>
        <w:rPr>
          <w:rFonts w:ascii="宋体" w:hAnsi="宋体" w:cs="宋体" w:eastAsia="宋体" w:hint="default"/>
          <w:sz w:val="17"/>
          <w:szCs w:val="17"/>
        </w:rPr>
      </w:pPr>
    </w:p>
    <w:p>
      <w:pPr>
        <w:pStyle w:val="BodyText"/>
        <w:spacing w:line="294" w:lineRule="exact"/>
        <w:ind w:left="481" w:right="0"/>
        <w:jc w:val="left"/>
      </w:pPr>
      <w:r>
        <w:rPr>
          <w:rFonts w:ascii="Arial" w:hAnsi="Arial" w:cs="Arial" w:eastAsia="Arial" w:hint="default"/>
        </w:rPr>
        <w:t>3</w:t>
      </w:r>
      <w:r>
        <w:rPr/>
        <w:t>、非募集资金项目情况</w:t>
      </w:r>
    </w:p>
    <w:p>
      <w:pPr>
        <w:pStyle w:val="BodyText"/>
        <w:spacing w:line="286" w:lineRule="exact" w:before="18"/>
        <w:ind w:left="817" w:right="167"/>
        <w:jc w:val="left"/>
      </w:pPr>
      <w:r>
        <w:rPr>
          <w:rFonts w:ascii="Arial" w:hAnsi="Arial" w:cs="Arial" w:eastAsia="Arial" w:hint="default"/>
        </w:rPr>
        <w:t>2011</w:t>
      </w:r>
      <w:r>
        <w:rPr>
          <w:rFonts w:ascii="Arial" w:hAnsi="Arial" w:cs="Arial" w:eastAsia="Arial" w:hint="default"/>
          <w:spacing w:val="-11"/>
        </w:rPr>
        <w:t> </w:t>
      </w:r>
      <w:r>
        <w:rPr/>
        <w:t>年本公司各项业务资本开支详见本节“管理层讨论与分析</w:t>
      </w:r>
      <w:r>
        <w:rPr>
          <w:rFonts w:ascii="Arial" w:hAnsi="Arial" w:cs="Arial" w:eastAsia="Arial" w:hint="default"/>
        </w:rPr>
        <w:t>-</w:t>
      </w:r>
      <w:r>
        <w:rPr/>
        <w:t>第三部分财务状况分析</w:t>
      </w:r>
      <w:r>
        <w:rPr>
          <w:rFonts w:ascii="Arial" w:hAnsi="Arial" w:cs="Arial" w:eastAsia="Arial" w:hint="default"/>
        </w:rPr>
        <w:t>-</w:t>
      </w:r>
      <w:r>
        <w:rPr/>
        <w:t>盈</w:t>
      </w:r>
      <w:r>
        <w:rPr>
          <w:w w:val="99"/>
        </w:rPr>
        <w:t> </w:t>
      </w:r>
      <w:r>
        <w:rPr/>
        <w:t>利水平</w:t>
      </w:r>
      <w:r>
        <w:rPr>
          <w:rFonts w:ascii="Arial" w:hAnsi="Arial" w:cs="Arial" w:eastAsia="Arial" w:hint="default"/>
        </w:rPr>
        <w:t>-</w:t>
      </w:r>
      <w:r>
        <w:rPr/>
        <w:t>资本开支及现金流”。</w:t>
      </w:r>
    </w:p>
    <w:p>
      <w:pPr>
        <w:spacing w:line="240" w:lineRule="auto" w:before="2"/>
        <w:rPr>
          <w:rFonts w:ascii="宋体" w:hAnsi="宋体" w:cs="宋体" w:eastAsia="宋体" w:hint="default"/>
          <w:sz w:val="17"/>
          <w:szCs w:val="17"/>
        </w:rPr>
      </w:pPr>
    </w:p>
    <w:p>
      <w:pPr>
        <w:pStyle w:val="BodyText"/>
        <w:spacing w:line="448" w:lineRule="auto"/>
        <w:ind w:left="803" w:right="2175" w:hanging="658"/>
        <w:jc w:val="left"/>
      </w:pPr>
      <w:r>
        <w:rPr/>
        <w:t>（三）陈述董事会对公司会计政策、会计估计变更的原因及影响的讨论结果</w:t>
      </w:r>
      <w:r>
        <w:rPr>
          <w:w w:val="99"/>
        </w:rPr>
        <w:t> </w:t>
      </w:r>
      <w:r>
        <w:rPr/>
        <w:t>报告期内，本公司不存在重大会计政策、会计估计变更事项。</w:t>
      </w:r>
    </w:p>
    <w:p>
      <w:pPr>
        <w:pStyle w:val="BodyText"/>
        <w:spacing w:line="240" w:lineRule="auto" w:before="59"/>
        <w:ind w:left="145" w:right="0"/>
        <w:jc w:val="left"/>
      </w:pPr>
      <w:r>
        <w:rPr/>
        <w:t>（四）董事会日常工作情况</w:t>
      </w:r>
    </w:p>
    <w:p>
      <w:pPr>
        <w:spacing w:line="240" w:lineRule="auto" w:before="1"/>
        <w:rPr>
          <w:rFonts w:ascii="宋体" w:hAnsi="宋体" w:cs="宋体" w:eastAsia="宋体" w:hint="default"/>
          <w:sz w:val="19"/>
          <w:szCs w:val="19"/>
        </w:rPr>
      </w:pPr>
    </w:p>
    <w:p>
      <w:pPr>
        <w:pStyle w:val="BodyText"/>
        <w:spacing w:line="240" w:lineRule="auto"/>
        <w:ind w:left="467" w:right="0"/>
        <w:jc w:val="left"/>
      </w:pPr>
      <w:r>
        <w:rPr>
          <w:rFonts w:ascii="Arial" w:hAnsi="Arial" w:cs="Arial" w:eastAsia="Arial" w:hint="default"/>
        </w:rPr>
        <w:t>1</w:t>
      </w:r>
      <w:r>
        <w:rPr/>
        <w:t>、董事会会议情况及决议内容</w:t>
      </w:r>
    </w:p>
    <w:p>
      <w:pPr>
        <w:spacing w:line="240" w:lineRule="auto" w:before="10"/>
        <w:rPr>
          <w:rFonts w:ascii="宋体" w:hAnsi="宋体" w:cs="宋体" w:eastAsia="宋体" w:hint="default"/>
          <w:sz w:val="20"/>
          <w:szCs w:val="20"/>
        </w:rPr>
      </w:pPr>
    </w:p>
    <w:tbl>
      <w:tblPr>
        <w:tblW w:w="0" w:type="auto"/>
        <w:jc w:val="left"/>
        <w:tblInd w:w="768" w:type="dxa"/>
        <w:tblLayout w:type="fixed"/>
        <w:tblCellMar>
          <w:top w:w="0" w:type="dxa"/>
          <w:left w:w="0" w:type="dxa"/>
          <w:bottom w:w="0" w:type="dxa"/>
          <w:right w:w="0" w:type="dxa"/>
        </w:tblCellMar>
        <w:tblLook w:val="01E0"/>
      </w:tblPr>
      <w:tblGrid>
        <w:gridCol w:w="3138"/>
        <w:gridCol w:w="1993"/>
        <w:gridCol w:w="1692"/>
        <w:gridCol w:w="1880"/>
      </w:tblGrid>
      <w:tr>
        <w:trPr>
          <w:trHeight w:val="534"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20"/>
                <w:szCs w:val="20"/>
              </w:rPr>
            </w:pPr>
            <w:r>
              <w:rPr>
                <w:rFonts w:ascii="宋体" w:hAnsi="宋体" w:cs="宋体" w:eastAsia="宋体" w:hint="default"/>
                <w:sz w:val="20"/>
                <w:szCs w:val="20"/>
              </w:rPr>
              <w:t>会议届次</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89"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决议刊登的信息</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披露报纸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决议刊登的信息披</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露日期</w:t>
            </w:r>
          </w:p>
        </w:tc>
      </w:tr>
      <w:tr>
        <w:trPr>
          <w:trHeight w:val="344"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第三届董事会第七次董事会会议</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53"/>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28</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16" w:right="0"/>
              <w:jc w:val="left"/>
              <w:rPr>
                <w:rFonts w:ascii="宋体" w:hAnsi="宋体" w:cs="宋体" w:eastAsia="宋体" w:hint="default"/>
                <w:sz w:val="20"/>
                <w:szCs w:val="20"/>
              </w:rPr>
            </w:pPr>
            <w:r>
              <w:rPr>
                <w:rFonts w:ascii="宋体" w:hAnsi="宋体" w:cs="宋体" w:eastAsia="宋体" w:hint="default"/>
                <w:sz w:val="20"/>
                <w:szCs w:val="20"/>
              </w:rPr>
              <w:t>见下附注</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7"/>
              <w:jc w:val="center"/>
              <w:rPr>
                <w:rFonts w:ascii="宋体" w:hAnsi="宋体" w:cs="宋体" w:eastAsia="宋体" w:hint="default"/>
                <w:sz w:val="20"/>
                <w:szCs w:val="20"/>
              </w:rPr>
            </w:pPr>
            <w:r>
              <w:rPr>
                <w:rFonts w:ascii="宋体" w:hAnsi="宋体" w:cs="宋体" w:eastAsia="宋体" w:hint="default"/>
                <w:sz w:val="20"/>
                <w:szCs w:val="20"/>
              </w:rPr>
              <w:t>见下附注</w:t>
            </w:r>
          </w:p>
        </w:tc>
      </w:tr>
      <w:tr>
        <w:trPr>
          <w:trHeight w:val="534"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第三届董事会第八次董事会会议</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53"/>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29</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 w:right="0"/>
              <w:jc w:val="left"/>
              <w:rPr>
                <w:rFonts w:ascii="宋体" w:hAnsi="宋体" w:cs="宋体" w:eastAsia="宋体" w:hint="default"/>
                <w:sz w:val="20"/>
                <w:szCs w:val="20"/>
              </w:rPr>
            </w:pPr>
            <w:r>
              <w:rPr>
                <w:rFonts w:ascii="宋体" w:hAnsi="宋体" w:cs="宋体" w:eastAsia="宋体" w:hint="default"/>
                <w:sz w:val="20"/>
                <w:szCs w:val="20"/>
              </w:rPr>
              <w:t>《中国证券报》、</w:t>
            </w:r>
          </w:p>
          <w:p>
            <w:pPr>
              <w:pStyle w:val="TableParagraph"/>
              <w:spacing w:line="260" w:lineRule="exact"/>
              <w:ind w:left="-8" w:right="0"/>
              <w:jc w:val="left"/>
              <w:rPr>
                <w:rFonts w:ascii="宋体" w:hAnsi="宋体" w:cs="宋体" w:eastAsia="宋体" w:hint="default"/>
                <w:sz w:val="20"/>
                <w:szCs w:val="20"/>
              </w:rPr>
            </w:pPr>
            <w:r>
              <w:rPr>
                <w:rFonts w:ascii="宋体" w:hAnsi="宋体" w:cs="宋体" w:eastAsia="宋体" w:hint="default"/>
                <w:sz w:val="20"/>
                <w:szCs w:val="20"/>
              </w:rPr>
              <w:t>《上海证券报》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66" w:right="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第三届董事会第九次董事会会议</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53"/>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26</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 w:right="0"/>
              <w:jc w:val="left"/>
              <w:rPr>
                <w:rFonts w:ascii="宋体" w:hAnsi="宋体" w:cs="宋体" w:eastAsia="宋体" w:hint="default"/>
                <w:sz w:val="20"/>
                <w:szCs w:val="20"/>
              </w:rPr>
            </w:pPr>
            <w:r>
              <w:rPr>
                <w:rFonts w:ascii="宋体" w:hAnsi="宋体" w:cs="宋体" w:eastAsia="宋体" w:hint="default"/>
                <w:sz w:val="20"/>
                <w:szCs w:val="20"/>
              </w:rPr>
              <w:t>《中国证券报》、</w:t>
            </w:r>
          </w:p>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《上海证券报》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66" w:right="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27</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第三届董事会第十次董事会会议</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53"/>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24</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left"/>
              <w:rPr>
                <w:rFonts w:ascii="宋体" w:hAnsi="宋体" w:cs="宋体" w:eastAsia="宋体" w:hint="default"/>
                <w:sz w:val="20"/>
                <w:szCs w:val="20"/>
              </w:rPr>
            </w:pPr>
            <w:r>
              <w:rPr>
                <w:rFonts w:ascii="宋体" w:hAnsi="宋体" w:cs="宋体" w:eastAsia="宋体" w:hint="default"/>
                <w:sz w:val="20"/>
                <w:szCs w:val="20"/>
              </w:rPr>
              <w:t>《中国证券报》、</w:t>
            </w:r>
          </w:p>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《上海证券报》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66" w:right="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25</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第三届董事会第十一次董事会会议</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27</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4" w:right="0"/>
              <w:jc w:val="left"/>
              <w:rPr>
                <w:rFonts w:ascii="宋体" w:hAnsi="宋体" w:cs="宋体" w:eastAsia="宋体" w:hint="default"/>
                <w:sz w:val="20"/>
                <w:szCs w:val="20"/>
              </w:rPr>
            </w:pPr>
            <w:r>
              <w:rPr>
                <w:rFonts w:ascii="宋体" w:hAnsi="宋体" w:cs="宋体" w:eastAsia="宋体" w:hint="default"/>
                <w:sz w:val="20"/>
                <w:szCs w:val="20"/>
              </w:rPr>
              <w:t>《中国证券报》、</w:t>
            </w:r>
          </w:p>
          <w:p>
            <w:pPr>
              <w:pStyle w:val="TableParagraph"/>
              <w:spacing w:line="260" w:lineRule="exact"/>
              <w:ind w:left="4" w:right="0"/>
              <w:jc w:val="left"/>
              <w:rPr>
                <w:rFonts w:ascii="宋体" w:hAnsi="宋体" w:cs="宋体" w:eastAsia="宋体" w:hint="default"/>
                <w:sz w:val="20"/>
                <w:szCs w:val="20"/>
              </w:rPr>
            </w:pPr>
            <w:r>
              <w:rPr>
                <w:rFonts w:ascii="宋体" w:hAnsi="宋体" w:cs="宋体" w:eastAsia="宋体" w:hint="default"/>
                <w:sz w:val="20"/>
                <w:szCs w:val="20"/>
              </w:rPr>
              <w:t>《上海证券报》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67" w:right="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28</w:t>
            </w:r>
            <w:r>
              <w:rPr>
                <w:rFonts w:ascii="Arial" w:hAnsi="Arial" w:cs="Arial" w:eastAsia="Arial" w:hint="default"/>
                <w:spacing w:val="-6"/>
                <w:sz w:val="20"/>
                <w:szCs w:val="20"/>
              </w:rPr>
              <w:t> </w:t>
            </w:r>
            <w:r>
              <w:rPr>
                <w:rFonts w:ascii="宋体" w:hAnsi="宋体" w:cs="宋体" w:eastAsia="宋体" w:hint="default"/>
                <w:sz w:val="20"/>
                <w:szCs w:val="20"/>
              </w:rPr>
              <w:t>日</w:t>
            </w:r>
          </w:p>
        </w:tc>
      </w:tr>
    </w:tbl>
    <w:p>
      <w:pPr>
        <w:spacing w:line="240" w:lineRule="auto" w:before="2"/>
        <w:rPr>
          <w:rFonts w:ascii="宋体" w:hAnsi="宋体" w:cs="宋体" w:eastAsia="宋体" w:hint="default"/>
          <w:sz w:val="14"/>
          <w:szCs w:val="14"/>
        </w:rPr>
      </w:pPr>
    </w:p>
    <w:p>
      <w:pPr>
        <w:pStyle w:val="BodyText"/>
        <w:spacing w:line="295" w:lineRule="exact" w:before="31"/>
        <w:ind w:left="757" w:right="0"/>
        <w:jc w:val="left"/>
      </w:pPr>
      <w:r>
        <w:rPr/>
        <w:t>董事会会议情况说明：本公司第三届董事会第七次董事会会议于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28</w:t>
      </w:r>
      <w:r>
        <w:rPr>
          <w:rFonts w:ascii="Arial" w:hAnsi="Arial" w:cs="Arial" w:eastAsia="Arial" w:hint="default"/>
          <w:spacing w:val="-7"/>
        </w:rPr>
        <w:t> </w:t>
      </w:r>
      <w:r>
        <w:rPr/>
        <w:t>日在北京</w:t>
      </w:r>
    </w:p>
    <w:p>
      <w:pPr>
        <w:pStyle w:val="BodyText"/>
        <w:spacing w:line="295" w:lineRule="exact"/>
        <w:ind w:left="757" w:right="0"/>
        <w:jc w:val="left"/>
      </w:pPr>
      <w:r>
        <w:rPr/>
        <w:t>召开。会议讨论了</w:t>
      </w:r>
      <w:r>
        <w:rPr>
          <w:spacing w:val="-57"/>
        </w:rPr>
        <w:t> </w:t>
      </w:r>
      <w:r>
        <w:rPr>
          <w:rFonts w:ascii="Arial" w:hAnsi="Arial" w:cs="Arial" w:eastAsia="Arial" w:hint="default"/>
        </w:rPr>
        <w:t>2011</w:t>
      </w:r>
      <w:r>
        <w:rPr>
          <w:rFonts w:ascii="Arial" w:hAnsi="Arial" w:cs="Arial" w:eastAsia="Arial" w:hint="default"/>
          <w:spacing w:val="-8"/>
        </w:rPr>
        <w:t> </w:t>
      </w:r>
      <w:r>
        <w:rPr/>
        <w:t>年度财务预算草案和公司业绩预告等其他事项。</w:t>
      </w:r>
    </w:p>
    <w:p>
      <w:pPr>
        <w:spacing w:line="240" w:lineRule="auto" w:before="12"/>
        <w:rPr>
          <w:rFonts w:ascii="宋体" w:hAnsi="宋体" w:cs="宋体" w:eastAsia="宋体" w:hint="default"/>
          <w:sz w:val="17"/>
          <w:szCs w:val="17"/>
        </w:rPr>
      </w:pPr>
    </w:p>
    <w:p>
      <w:pPr>
        <w:pStyle w:val="BodyText"/>
        <w:spacing w:line="424" w:lineRule="auto"/>
        <w:ind w:left="803" w:right="4597" w:hanging="336"/>
        <w:jc w:val="left"/>
      </w:pPr>
      <w:r>
        <w:rPr>
          <w:rFonts w:ascii="Arial" w:hAnsi="Arial" w:cs="Arial" w:eastAsia="Arial" w:hint="default"/>
        </w:rPr>
        <w:t>2</w:t>
      </w:r>
      <w:r>
        <w:rPr/>
        <w:t>、董事会对股东大会决议的执行情况</w:t>
      </w:r>
      <w:r>
        <w:rPr>
          <w:w w:val="99"/>
        </w:rPr>
        <w:t> </w:t>
      </w:r>
      <w:r>
        <w:rPr/>
        <w:t>股东大会所通过的决议全部得到执行落实。</w:t>
      </w:r>
    </w:p>
    <w:p>
      <w:pPr>
        <w:pStyle w:val="BodyText"/>
        <w:spacing w:line="240" w:lineRule="auto" w:before="80"/>
        <w:ind w:left="467" w:right="0"/>
        <w:jc w:val="left"/>
      </w:pPr>
      <w:r>
        <w:rPr>
          <w:rFonts w:ascii="Arial" w:hAnsi="Arial" w:cs="Arial" w:eastAsia="Arial" w:hint="default"/>
        </w:rPr>
        <w:t>3</w:t>
      </w:r>
      <w:r>
        <w:rPr/>
        <w:t>、董事会下设的审计委员会相关工作制度的建立健全情况、主要内容以及履职情况汇总报告</w:t>
      </w:r>
    </w:p>
    <w:p>
      <w:pPr>
        <w:spacing w:line="240" w:lineRule="auto" w:before="13"/>
        <w:rPr>
          <w:rFonts w:ascii="宋体" w:hAnsi="宋体" w:cs="宋体" w:eastAsia="宋体" w:hint="default"/>
          <w:sz w:val="17"/>
          <w:szCs w:val="17"/>
        </w:rPr>
      </w:pPr>
    </w:p>
    <w:p>
      <w:pPr>
        <w:pStyle w:val="BodyText"/>
        <w:spacing w:line="240" w:lineRule="auto"/>
        <w:ind w:left="757" w:right="0"/>
        <w:jc w:val="left"/>
      </w:pPr>
      <w:r>
        <w:rPr>
          <w:rFonts w:ascii="Arial" w:hAnsi="Arial" w:cs="Arial" w:eastAsia="Arial" w:hint="default"/>
        </w:rPr>
        <w:t>2011</w:t>
      </w:r>
      <w:r>
        <w:rPr>
          <w:rFonts w:ascii="Arial" w:hAnsi="Arial" w:cs="Arial" w:eastAsia="Arial" w:hint="default"/>
          <w:spacing w:val="-9"/>
        </w:rPr>
        <w:t> </w:t>
      </w:r>
      <w:r>
        <w:rPr/>
        <w:t>年董事会下设的审计委员会的履职情况汇总：</w:t>
      </w:r>
    </w:p>
    <w:p>
      <w:pPr>
        <w:spacing w:after="0" w:line="240" w:lineRule="auto"/>
        <w:jc w:val="left"/>
        <w:sectPr>
          <w:pgSz w:w="11900" w:h="16840"/>
          <w:pgMar w:header="927" w:footer="752" w:top="1160" w:bottom="940" w:left="1340" w:right="960"/>
        </w:sectPr>
      </w:pPr>
    </w:p>
    <w:p>
      <w:pPr>
        <w:spacing w:line="240" w:lineRule="auto" w:before="11"/>
        <w:rPr>
          <w:rFonts w:ascii="宋体" w:hAnsi="宋体" w:cs="宋体" w:eastAsia="宋体" w:hint="default"/>
          <w:sz w:val="21"/>
          <w:szCs w:val="21"/>
        </w:rPr>
      </w:pPr>
    </w:p>
    <w:p>
      <w:pPr>
        <w:pStyle w:val="BodyText"/>
        <w:spacing w:line="286" w:lineRule="exact" w:before="60"/>
        <w:ind w:left="865" w:right="206" w:hanging="378"/>
        <w:jc w:val="left"/>
      </w:pPr>
      <w:r>
        <w:rPr>
          <w:rFonts w:ascii="Arial" w:hAnsi="Arial" w:cs="Arial" w:eastAsia="Arial" w:hint="default"/>
          <w:w w:val="99"/>
        </w:rPr>
        <w:t>(1)</w:t>
      </w:r>
      <w:r>
        <w:rPr>
          <w:rFonts w:ascii="Arial" w:hAnsi="Arial" w:cs="Arial" w:eastAsia="Arial" w:hint="default"/>
          <w:spacing w:val="51"/>
          <w:w w:val="99"/>
        </w:rPr>
        <w:t> </w:t>
      </w:r>
      <w:r>
        <w:rPr>
          <w:w w:val="99"/>
        </w:rPr>
        <w:t>第三届董事会审计委员会第五次会议于</w:t>
      </w:r>
      <w:r>
        <w:rPr>
          <w:spacing w:val="-54"/>
          <w:w w:val="99"/>
        </w:rPr>
        <w:t> </w:t>
      </w:r>
      <w:r>
        <w:rPr>
          <w:rFonts w:ascii="Arial" w:hAnsi="Arial" w:cs="Arial" w:eastAsia="Arial" w:hint="default"/>
          <w:w w:val="99"/>
        </w:rPr>
        <w:t>2011</w:t>
      </w:r>
      <w:r>
        <w:rPr>
          <w:rFonts w:ascii="Arial" w:hAnsi="Arial" w:cs="Arial" w:eastAsia="Arial" w:hint="default"/>
          <w:spacing w:val="-5"/>
          <w:w w:val="99"/>
        </w:rPr>
        <w:t> </w:t>
      </w:r>
      <w:r>
        <w:rPr>
          <w:w w:val="99"/>
        </w:rPr>
        <w:t>年</w:t>
      </w:r>
      <w:r>
        <w:rPr>
          <w:spacing w:val="-54"/>
          <w:w w:val="99"/>
        </w:rPr>
        <w:t> </w:t>
      </w:r>
      <w:r>
        <w:rPr>
          <w:rFonts w:ascii="Arial" w:hAnsi="Arial" w:cs="Arial" w:eastAsia="Arial" w:hint="default"/>
          <w:w w:val="99"/>
        </w:rPr>
        <w:t>3</w:t>
      </w:r>
      <w:r>
        <w:rPr>
          <w:rFonts w:ascii="Arial" w:hAnsi="Arial" w:cs="Arial" w:eastAsia="Arial" w:hint="default"/>
          <w:spacing w:val="-5"/>
          <w:w w:val="99"/>
        </w:rPr>
        <w:t> </w:t>
      </w:r>
      <w:r>
        <w:rPr>
          <w:w w:val="99"/>
        </w:rPr>
        <w:t>月</w:t>
      </w:r>
      <w:r>
        <w:rPr>
          <w:spacing w:val="-54"/>
          <w:w w:val="99"/>
        </w:rPr>
        <w:t> </w:t>
      </w:r>
      <w:r>
        <w:rPr>
          <w:rFonts w:ascii="Arial" w:hAnsi="Arial" w:cs="Arial" w:eastAsia="Arial" w:hint="default"/>
          <w:w w:val="99"/>
        </w:rPr>
        <w:t>28</w:t>
      </w:r>
      <w:r>
        <w:rPr>
          <w:rFonts w:ascii="Arial" w:hAnsi="Arial" w:cs="Arial" w:eastAsia="Arial" w:hint="default"/>
          <w:spacing w:val="-5"/>
          <w:w w:val="99"/>
        </w:rPr>
        <w:t> </w:t>
      </w:r>
      <w:r>
        <w:rPr>
          <w:spacing w:val="-6"/>
          <w:w w:val="99"/>
        </w:rPr>
        <w:t>日在北京召开，审议并通过了以下</w:t>
      </w:r>
      <w:r>
        <w:rPr>
          <w:w w:val="99"/>
        </w:rPr>
        <w:t> </w:t>
      </w:r>
      <w:r>
        <w:rPr/>
        <w:t>事项：</w:t>
      </w:r>
    </w:p>
    <w:p>
      <w:pPr>
        <w:spacing w:line="240" w:lineRule="auto" w:before="1"/>
        <w:rPr>
          <w:rFonts w:ascii="宋体" w:hAnsi="宋体" w:cs="宋体" w:eastAsia="宋体" w:hint="default"/>
          <w:sz w:val="17"/>
          <w:szCs w:val="17"/>
        </w:rPr>
      </w:pPr>
    </w:p>
    <w:p>
      <w:pPr>
        <w:pStyle w:val="BodyText"/>
        <w:spacing w:line="295" w:lineRule="exact"/>
        <w:ind w:left="865" w:right="91"/>
        <w:jc w:val="left"/>
      </w:pPr>
      <w:r>
        <w:rPr>
          <w:rFonts w:ascii="Arial" w:hAnsi="Arial" w:cs="Arial" w:eastAsia="Arial" w:hint="default"/>
        </w:rPr>
        <w:t>&lt;1&gt;</w:t>
      </w:r>
      <w:r>
        <w:rPr/>
        <w:t>公司</w:t>
      </w:r>
      <w:r>
        <w:rPr>
          <w:spacing w:val="-58"/>
        </w:rPr>
        <w:t> </w:t>
      </w:r>
      <w:r>
        <w:rPr>
          <w:rFonts w:ascii="Arial" w:hAnsi="Arial" w:cs="Arial" w:eastAsia="Arial" w:hint="default"/>
        </w:rPr>
        <w:t>2010</w:t>
      </w:r>
      <w:r>
        <w:rPr>
          <w:rFonts w:ascii="Arial" w:hAnsi="Arial" w:cs="Arial" w:eastAsia="Arial" w:hint="default"/>
          <w:spacing w:val="-9"/>
        </w:rPr>
        <w:t> </w:t>
      </w:r>
      <w:r>
        <w:rPr/>
        <w:t>年年度报告中的财务报告、财务决算报告</w:t>
      </w:r>
    </w:p>
    <w:p>
      <w:pPr>
        <w:pStyle w:val="BodyText"/>
        <w:spacing w:line="286" w:lineRule="exact"/>
        <w:ind w:left="865" w:right="91"/>
        <w:jc w:val="left"/>
      </w:pPr>
      <w:r>
        <w:rPr>
          <w:rFonts w:ascii="Arial" w:hAnsi="Arial" w:cs="Arial" w:eastAsia="Arial" w:hint="default"/>
        </w:rPr>
        <w:t>&lt;2&gt;</w:t>
      </w:r>
      <w:r>
        <w:rPr/>
        <w:t>公司</w:t>
      </w:r>
      <w:r>
        <w:rPr>
          <w:spacing w:val="-57"/>
        </w:rPr>
        <w:t> </w:t>
      </w:r>
      <w:r>
        <w:rPr>
          <w:rFonts w:ascii="Arial" w:hAnsi="Arial" w:cs="Arial" w:eastAsia="Arial" w:hint="default"/>
        </w:rPr>
        <w:t>2010</w:t>
      </w:r>
      <w:r>
        <w:rPr>
          <w:rFonts w:ascii="Arial" w:hAnsi="Arial" w:cs="Arial" w:eastAsia="Arial" w:hint="default"/>
          <w:spacing w:val="-8"/>
        </w:rPr>
        <w:t> </w:t>
      </w:r>
      <w:r>
        <w:rPr/>
        <w:t>年度计提资产减值准备及核销资产损失的议案</w:t>
      </w:r>
    </w:p>
    <w:p>
      <w:pPr>
        <w:pStyle w:val="BodyText"/>
        <w:spacing w:line="286" w:lineRule="exact"/>
        <w:ind w:left="865" w:right="91"/>
        <w:jc w:val="left"/>
      </w:pPr>
      <w:r>
        <w:rPr>
          <w:rFonts w:ascii="Arial" w:hAnsi="Arial" w:cs="Arial" w:eastAsia="Arial" w:hint="default"/>
        </w:rPr>
        <w:t>&lt;3&gt;</w:t>
      </w:r>
      <w:r>
        <w:rPr/>
        <w:t>关于公司会计政策调整的议案</w:t>
      </w:r>
    </w:p>
    <w:p>
      <w:pPr>
        <w:pStyle w:val="BodyText"/>
        <w:spacing w:line="285" w:lineRule="exact"/>
        <w:ind w:left="865" w:right="91"/>
        <w:jc w:val="left"/>
      </w:pPr>
      <w:r>
        <w:rPr>
          <w:rFonts w:ascii="Arial" w:hAnsi="Arial" w:cs="Arial" w:eastAsia="Arial" w:hint="default"/>
        </w:rPr>
        <w:t>&lt;4&gt;</w:t>
      </w:r>
      <w:r>
        <w:rPr/>
        <w:t>关于公司内部控制规范实施工作方案的议案</w:t>
      </w:r>
    </w:p>
    <w:p>
      <w:pPr>
        <w:pStyle w:val="BodyText"/>
        <w:spacing w:line="285" w:lineRule="exact"/>
        <w:ind w:left="865" w:right="91"/>
        <w:jc w:val="left"/>
      </w:pPr>
      <w:r>
        <w:rPr>
          <w:rFonts w:ascii="Arial" w:hAnsi="Arial" w:cs="Arial" w:eastAsia="Arial" w:hint="default"/>
        </w:rPr>
        <w:t>&lt;5&gt;</w:t>
      </w:r>
      <w:r>
        <w:rPr/>
        <w:t>关于公司</w:t>
      </w:r>
      <w:r>
        <w:rPr>
          <w:spacing w:val="-57"/>
        </w:rPr>
        <w:t> </w:t>
      </w:r>
      <w:r>
        <w:rPr>
          <w:rFonts w:ascii="Arial" w:hAnsi="Arial" w:cs="Arial" w:eastAsia="Arial" w:hint="default"/>
        </w:rPr>
        <w:t>2010</w:t>
      </w:r>
      <w:r>
        <w:rPr>
          <w:rFonts w:ascii="Arial" w:hAnsi="Arial" w:cs="Arial" w:eastAsia="Arial" w:hint="default"/>
          <w:spacing w:val="-8"/>
        </w:rPr>
        <w:t> </w:t>
      </w:r>
      <w:r>
        <w:rPr/>
        <w:t>年内控总体情况和</w:t>
      </w:r>
      <w:r>
        <w:rPr>
          <w:spacing w:val="-57"/>
        </w:rPr>
        <w:t> </w:t>
      </w:r>
      <w:r>
        <w:rPr>
          <w:rFonts w:ascii="Arial" w:hAnsi="Arial" w:cs="Arial" w:eastAsia="Arial" w:hint="default"/>
        </w:rPr>
        <w:t>2011</w:t>
      </w:r>
      <w:r>
        <w:rPr>
          <w:rFonts w:ascii="Arial" w:hAnsi="Arial" w:cs="Arial" w:eastAsia="Arial" w:hint="default"/>
          <w:spacing w:val="-8"/>
        </w:rPr>
        <w:t> </w:t>
      </w:r>
      <w:r>
        <w:rPr/>
        <w:t>年工作计划</w:t>
      </w:r>
    </w:p>
    <w:p>
      <w:pPr>
        <w:pStyle w:val="BodyText"/>
        <w:spacing w:line="286" w:lineRule="exact"/>
        <w:ind w:left="865" w:right="91"/>
        <w:jc w:val="left"/>
      </w:pPr>
      <w:r>
        <w:rPr>
          <w:rFonts w:ascii="Arial" w:hAnsi="Arial" w:cs="Arial" w:eastAsia="Arial" w:hint="default"/>
        </w:rPr>
        <w:t>&lt;6&gt;</w:t>
      </w:r>
      <w:r>
        <w:rPr/>
        <w:t>公司</w:t>
      </w:r>
      <w:r>
        <w:rPr>
          <w:spacing w:val="-58"/>
        </w:rPr>
        <w:t> </w:t>
      </w:r>
      <w:r>
        <w:rPr>
          <w:rFonts w:ascii="Arial" w:hAnsi="Arial" w:cs="Arial" w:eastAsia="Arial" w:hint="default"/>
        </w:rPr>
        <w:t>2010</w:t>
      </w:r>
      <w:r>
        <w:rPr>
          <w:rFonts w:ascii="Arial" w:hAnsi="Arial" w:cs="Arial" w:eastAsia="Arial" w:hint="default"/>
          <w:spacing w:val="-9"/>
        </w:rPr>
        <w:t> </w:t>
      </w:r>
      <w:r>
        <w:rPr/>
        <w:t>年内控自我评估报告的议案</w:t>
      </w:r>
    </w:p>
    <w:p>
      <w:pPr>
        <w:pStyle w:val="BodyText"/>
        <w:spacing w:line="424" w:lineRule="auto"/>
        <w:ind w:left="865" w:right="3935"/>
        <w:jc w:val="left"/>
      </w:pPr>
      <w:r>
        <w:rPr>
          <w:rFonts w:ascii="Arial" w:hAnsi="Arial" w:cs="Arial" w:eastAsia="Arial" w:hint="default"/>
        </w:rPr>
        <w:t>&lt;7&gt;</w:t>
      </w:r>
      <w:r>
        <w:rPr/>
        <w:t>关于聘请会计师事务所的议案</w:t>
      </w:r>
      <w:r>
        <w:rPr>
          <w:w w:val="99"/>
        </w:rPr>
        <w:t> </w:t>
      </w:r>
      <w:r>
        <w:rPr/>
        <w:t>会议经表决一致同意上述议案并提交董事会审议。</w:t>
      </w:r>
    </w:p>
    <w:p>
      <w:pPr>
        <w:pStyle w:val="BodyText"/>
        <w:spacing w:line="286" w:lineRule="exact" w:before="109"/>
        <w:ind w:left="865" w:right="91"/>
        <w:jc w:val="left"/>
      </w:pPr>
      <w:r>
        <w:rPr>
          <w:w w:val="95"/>
        </w:rPr>
        <w:t>与会的委员还就公司会计政策调整发表了意见，认为公司此次作出的调整是恰当的，符合</w:t>
      </w:r>
      <w:r>
        <w:rPr>
          <w:spacing w:val="4"/>
          <w:w w:val="95"/>
        </w:rPr>
        <w:t> </w:t>
      </w:r>
      <w:r>
        <w:rPr>
          <w:spacing w:val="4"/>
          <w:w w:val="95"/>
        </w:rPr>
      </w:r>
      <w:r>
        <w:rPr/>
        <w:t>会计准则的实质。</w:t>
      </w:r>
    </w:p>
    <w:p>
      <w:pPr>
        <w:spacing w:line="240" w:lineRule="auto" w:before="3"/>
        <w:rPr>
          <w:rFonts w:ascii="宋体" w:hAnsi="宋体" w:cs="宋体" w:eastAsia="宋体" w:hint="default"/>
          <w:sz w:val="19"/>
          <w:szCs w:val="19"/>
        </w:rPr>
      </w:pPr>
    </w:p>
    <w:p>
      <w:pPr>
        <w:pStyle w:val="BodyText"/>
        <w:spacing w:line="286" w:lineRule="exact"/>
        <w:ind w:left="865" w:right="259"/>
        <w:jc w:val="left"/>
      </w:pPr>
      <w:r>
        <w:rPr/>
        <w:t>会议还听取并讨论了年审注册会计师有关</w:t>
      </w:r>
      <w:r>
        <w:rPr>
          <w:spacing w:val="-57"/>
        </w:rPr>
        <w:t> </w:t>
      </w:r>
      <w:r>
        <w:rPr>
          <w:rFonts w:ascii="Arial" w:hAnsi="Arial" w:cs="Arial" w:eastAsia="Arial" w:hint="default"/>
        </w:rPr>
        <w:t>2010</w:t>
      </w:r>
      <w:r>
        <w:rPr>
          <w:rFonts w:ascii="Arial" w:hAnsi="Arial" w:cs="Arial" w:eastAsia="Arial" w:hint="default"/>
          <w:spacing w:val="-8"/>
        </w:rPr>
        <w:t> </w:t>
      </w:r>
      <w:r>
        <w:rPr/>
        <w:t>年年报审计及有关问题的汇报及本公司财</w:t>
      </w:r>
      <w:r>
        <w:rPr>
          <w:w w:val="99"/>
        </w:rPr>
        <w:t> </w:t>
      </w:r>
      <w:r>
        <w:rPr/>
        <w:t>务部关于审计师所提问题的改进措施的汇报。</w:t>
      </w:r>
    </w:p>
    <w:p>
      <w:pPr>
        <w:spacing w:line="240" w:lineRule="auto" w:before="12"/>
        <w:rPr>
          <w:rFonts w:ascii="宋体" w:hAnsi="宋体" w:cs="宋体" w:eastAsia="宋体" w:hint="default"/>
          <w:sz w:val="17"/>
          <w:szCs w:val="17"/>
        </w:rPr>
      </w:pPr>
    </w:p>
    <w:p>
      <w:pPr>
        <w:pStyle w:val="BodyText"/>
        <w:spacing w:line="230" w:lineRule="auto"/>
        <w:ind w:left="865" w:right="95"/>
        <w:jc w:val="left"/>
      </w:pPr>
      <w:r>
        <w:rPr/>
        <w:t>会议认为公司管理层对内部控制和外部审计过程中所发现的问题及提出的审计建议给予</w:t>
      </w:r>
      <w:r>
        <w:rPr>
          <w:w w:val="99"/>
        </w:rPr>
        <w:t> </w:t>
      </w:r>
      <w:r>
        <w:rPr/>
        <w:t>了高度重视，制定的改进措施是可行的，希望公司在</w:t>
      </w:r>
      <w:r>
        <w:rPr>
          <w:spacing w:val="-56"/>
        </w:rPr>
        <w:t> </w:t>
      </w:r>
      <w:r>
        <w:rPr>
          <w:rFonts w:ascii="Arial" w:hAnsi="Arial" w:cs="Arial" w:eastAsia="Arial" w:hint="default"/>
        </w:rPr>
        <w:t>2011</w:t>
      </w:r>
      <w:r>
        <w:rPr>
          <w:rFonts w:ascii="Arial" w:hAnsi="Arial" w:cs="Arial" w:eastAsia="Arial" w:hint="default"/>
          <w:spacing w:val="-7"/>
        </w:rPr>
        <w:t> </w:t>
      </w:r>
      <w:r>
        <w:rPr/>
        <w:t>年度对外部审计师所提问题在</w:t>
      </w:r>
      <w:r>
        <w:rPr>
          <w:w w:val="99"/>
        </w:rPr>
        <w:t> </w:t>
      </w:r>
      <w:r>
        <w:rPr>
          <w:spacing w:val="-3"/>
        </w:rPr>
        <w:t>下一年度予以跟进，对改进措施切实加以落实，强化内控，不断提高公司的各项管理水平。</w:t>
      </w:r>
    </w:p>
    <w:p>
      <w:pPr>
        <w:spacing w:line="240" w:lineRule="auto" w:before="4"/>
        <w:rPr>
          <w:rFonts w:ascii="宋体" w:hAnsi="宋体" w:cs="宋体" w:eastAsia="宋体" w:hint="default"/>
          <w:sz w:val="19"/>
          <w:szCs w:val="19"/>
        </w:rPr>
      </w:pPr>
    </w:p>
    <w:p>
      <w:pPr>
        <w:pStyle w:val="BodyText"/>
        <w:spacing w:line="295" w:lineRule="exact"/>
        <w:ind w:left="487" w:right="91"/>
        <w:jc w:val="left"/>
        <w:rPr>
          <w:rFonts w:ascii="Arial" w:hAnsi="Arial" w:cs="Arial" w:eastAsia="Arial" w:hint="default"/>
        </w:rPr>
      </w:pPr>
      <w:r>
        <w:rPr>
          <w:rFonts w:ascii="Arial" w:hAnsi="Arial" w:cs="Arial" w:eastAsia="Arial" w:hint="default"/>
          <w:w w:val="99"/>
        </w:rPr>
        <w:t>(2)</w:t>
      </w:r>
      <w:r>
        <w:rPr>
          <w:rFonts w:ascii="Arial" w:hAnsi="Arial" w:cs="Arial" w:eastAsia="Arial" w:hint="default"/>
        </w:rPr>
        <w:t> </w:t>
      </w:r>
      <w:r>
        <w:rPr>
          <w:rFonts w:ascii="Arial" w:hAnsi="Arial" w:cs="Arial" w:eastAsia="Arial" w:hint="default"/>
          <w:spacing w:val="-12"/>
        </w:rPr>
        <w:t> </w:t>
      </w:r>
      <w:r>
        <w:rPr>
          <w:w w:val="99"/>
        </w:rPr>
        <w:t>第三</w:t>
      </w:r>
      <w:r>
        <w:rPr>
          <w:spacing w:val="1"/>
          <w:w w:val="99"/>
        </w:rPr>
        <w:t>届</w:t>
      </w:r>
      <w:r>
        <w:rPr>
          <w:w w:val="99"/>
        </w:rPr>
        <w:t>董事会</w:t>
      </w:r>
      <w:r>
        <w:rPr>
          <w:spacing w:val="1"/>
          <w:w w:val="99"/>
        </w:rPr>
        <w:t>审计</w:t>
      </w:r>
      <w:r>
        <w:rPr>
          <w:w w:val="99"/>
        </w:rPr>
        <w:t>委员会</w:t>
      </w:r>
      <w:r>
        <w:rPr>
          <w:spacing w:val="1"/>
          <w:w w:val="99"/>
        </w:rPr>
        <w:t>第六</w:t>
      </w:r>
      <w:r>
        <w:rPr>
          <w:w w:val="99"/>
        </w:rPr>
        <w:t>次会议于</w:t>
      </w:r>
      <w:r>
        <w:rPr>
          <w:spacing w:val="-55"/>
        </w:rPr>
        <w:t> </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11</w:t>
      </w:r>
      <w:r>
        <w:rPr>
          <w:rFonts w:ascii="Arial" w:hAnsi="Arial" w:cs="Arial" w:eastAsia="Arial" w:hint="default"/>
          <w:spacing w:val="-6"/>
        </w:rPr>
        <w:t> </w:t>
      </w:r>
      <w:r>
        <w:rPr>
          <w:w w:val="99"/>
        </w:rPr>
        <w:t>年</w:t>
      </w:r>
      <w:r>
        <w:rPr>
          <w:spacing w:val="-55"/>
        </w:rPr>
        <w:t> </w:t>
      </w:r>
      <w:r>
        <w:rPr>
          <w:rFonts w:ascii="Arial" w:hAnsi="Arial" w:cs="Arial" w:eastAsia="Arial" w:hint="default"/>
          <w:w w:val="99"/>
        </w:rPr>
        <w:t>4</w:t>
      </w:r>
      <w:r>
        <w:rPr>
          <w:rFonts w:ascii="Arial" w:hAnsi="Arial" w:cs="Arial" w:eastAsia="Arial" w:hint="default"/>
          <w:spacing w:val="-6"/>
        </w:rPr>
        <w:t> </w:t>
      </w:r>
      <w:r>
        <w:rPr>
          <w:w w:val="99"/>
        </w:rPr>
        <w:t>月</w:t>
      </w:r>
      <w:r>
        <w:rPr>
          <w:spacing w:val="-55"/>
        </w:rPr>
        <w:t> </w:t>
      </w:r>
      <w:r>
        <w:rPr>
          <w:rFonts w:ascii="Arial" w:hAnsi="Arial" w:cs="Arial" w:eastAsia="Arial" w:hint="default"/>
          <w:w w:val="99"/>
        </w:rPr>
        <w:t>25</w:t>
      </w:r>
      <w:r>
        <w:rPr>
          <w:rFonts w:ascii="Arial" w:hAnsi="Arial" w:cs="Arial" w:eastAsia="Arial" w:hint="default"/>
          <w:spacing w:val="-6"/>
        </w:rPr>
        <w:t> </w:t>
      </w:r>
      <w:r>
        <w:rPr>
          <w:w w:val="99"/>
        </w:rPr>
        <w:t>日召开</w:t>
      </w:r>
      <w:r>
        <w:rPr>
          <w:spacing w:val="-98"/>
          <w:w w:val="99"/>
        </w:rPr>
        <w:t>，</w:t>
      </w:r>
      <w:r>
        <w:rPr>
          <w:spacing w:val="1"/>
          <w:w w:val="99"/>
        </w:rPr>
        <w:t>审</w:t>
      </w:r>
      <w:r>
        <w:rPr>
          <w:w w:val="99"/>
        </w:rPr>
        <w:t>议并同</w:t>
      </w:r>
      <w:r>
        <w:rPr>
          <w:spacing w:val="1"/>
          <w:w w:val="99"/>
        </w:rPr>
        <w:t>意</w:t>
      </w:r>
      <w:r>
        <w:rPr>
          <w:spacing w:val="-98"/>
          <w:w w:val="99"/>
        </w:rPr>
        <w:t>将</w:t>
      </w:r>
      <w:r>
        <w:rPr>
          <w:spacing w:val="1"/>
          <w:w w:val="99"/>
        </w:rPr>
        <w:t>《</w:t>
      </w:r>
      <w:r>
        <w:rPr>
          <w:w w:val="99"/>
        </w:rPr>
        <w:t>公司</w:t>
      </w:r>
      <w:r>
        <w:rPr>
          <w:spacing w:val="-55"/>
        </w:rPr>
        <w:t> </w:t>
      </w:r>
      <w:r>
        <w:rPr>
          <w:rFonts w:ascii="Arial" w:hAnsi="Arial" w:cs="Arial" w:eastAsia="Arial" w:hint="default"/>
          <w:w w:val="99"/>
        </w:rPr>
        <w:t>2011</w:t>
      </w:r>
      <w:r>
        <w:rPr>
          <w:rFonts w:ascii="Arial" w:hAnsi="Arial" w:cs="Arial" w:eastAsia="Arial" w:hint="default"/>
        </w:rPr>
      </w:r>
    </w:p>
    <w:p>
      <w:pPr>
        <w:pStyle w:val="BodyText"/>
        <w:spacing w:line="279" w:lineRule="exact"/>
        <w:ind w:left="865" w:right="91"/>
        <w:jc w:val="left"/>
      </w:pPr>
      <w:r>
        <w:rPr/>
        <w:t>年第一季度报告（草案）》提交董事会审议。</w:t>
      </w:r>
    </w:p>
    <w:p>
      <w:pPr>
        <w:spacing w:line="240" w:lineRule="auto" w:before="3"/>
        <w:rPr>
          <w:rFonts w:ascii="宋体" w:hAnsi="宋体" w:cs="宋体" w:eastAsia="宋体" w:hint="default"/>
          <w:sz w:val="21"/>
          <w:szCs w:val="21"/>
        </w:rPr>
      </w:pPr>
    </w:p>
    <w:p>
      <w:pPr>
        <w:pStyle w:val="BodyText"/>
        <w:spacing w:line="286" w:lineRule="exact"/>
        <w:ind w:left="865" w:right="206" w:hanging="378"/>
        <w:jc w:val="left"/>
      </w:pPr>
      <w:r>
        <w:rPr>
          <w:rFonts w:ascii="Arial" w:hAnsi="Arial" w:cs="Arial" w:eastAsia="Arial" w:hint="default"/>
          <w:w w:val="99"/>
        </w:rPr>
        <w:t>(3)</w:t>
      </w:r>
      <w:r>
        <w:rPr>
          <w:rFonts w:ascii="Arial" w:hAnsi="Arial" w:cs="Arial" w:eastAsia="Arial" w:hint="default"/>
          <w:spacing w:val="51"/>
          <w:w w:val="99"/>
        </w:rPr>
        <w:t> </w:t>
      </w:r>
      <w:r>
        <w:rPr>
          <w:w w:val="99"/>
        </w:rPr>
        <w:t>第三届董事会审计委员会第七次会议于</w:t>
      </w:r>
      <w:r>
        <w:rPr>
          <w:spacing w:val="-54"/>
          <w:w w:val="99"/>
        </w:rPr>
        <w:t> </w:t>
      </w:r>
      <w:r>
        <w:rPr>
          <w:rFonts w:ascii="Arial" w:hAnsi="Arial" w:cs="Arial" w:eastAsia="Arial" w:hint="default"/>
          <w:w w:val="99"/>
        </w:rPr>
        <w:t>2011</w:t>
      </w:r>
      <w:r>
        <w:rPr>
          <w:rFonts w:ascii="Arial" w:hAnsi="Arial" w:cs="Arial" w:eastAsia="Arial" w:hint="default"/>
          <w:spacing w:val="-5"/>
          <w:w w:val="99"/>
        </w:rPr>
        <w:t> </w:t>
      </w:r>
      <w:r>
        <w:rPr>
          <w:w w:val="99"/>
        </w:rPr>
        <w:t>年</w:t>
      </w:r>
      <w:r>
        <w:rPr>
          <w:spacing w:val="-54"/>
          <w:w w:val="99"/>
        </w:rPr>
        <w:t> </w:t>
      </w:r>
      <w:r>
        <w:rPr>
          <w:rFonts w:ascii="Arial" w:hAnsi="Arial" w:cs="Arial" w:eastAsia="Arial" w:hint="default"/>
          <w:w w:val="99"/>
        </w:rPr>
        <w:t>8</w:t>
      </w:r>
      <w:r>
        <w:rPr>
          <w:rFonts w:ascii="Arial" w:hAnsi="Arial" w:cs="Arial" w:eastAsia="Arial" w:hint="default"/>
          <w:spacing w:val="-5"/>
          <w:w w:val="99"/>
        </w:rPr>
        <w:t> </w:t>
      </w:r>
      <w:r>
        <w:rPr>
          <w:w w:val="99"/>
        </w:rPr>
        <w:t>月</w:t>
      </w:r>
      <w:r>
        <w:rPr>
          <w:spacing w:val="-54"/>
          <w:w w:val="99"/>
        </w:rPr>
        <w:t> </w:t>
      </w:r>
      <w:r>
        <w:rPr>
          <w:rFonts w:ascii="Arial" w:hAnsi="Arial" w:cs="Arial" w:eastAsia="Arial" w:hint="default"/>
          <w:w w:val="99"/>
        </w:rPr>
        <w:t>22</w:t>
      </w:r>
      <w:r>
        <w:rPr>
          <w:rFonts w:ascii="Arial" w:hAnsi="Arial" w:cs="Arial" w:eastAsia="Arial" w:hint="default"/>
          <w:spacing w:val="-5"/>
          <w:w w:val="99"/>
        </w:rPr>
        <w:t> </w:t>
      </w:r>
      <w:r>
        <w:rPr>
          <w:spacing w:val="-6"/>
          <w:w w:val="99"/>
        </w:rPr>
        <w:t>日在北京召开，审议并通过以下事</w:t>
      </w:r>
      <w:r>
        <w:rPr>
          <w:w w:val="99"/>
        </w:rPr>
        <w:t> </w:t>
      </w:r>
      <w:r>
        <w:rPr/>
        <w:t>项：</w:t>
      </w:r>
    </w:p>
    <w:p>
      <w:pPr>
        <w:spacing w:line="240" w:lineRule="auto" w:before="1"/>
        <w:rPr>
          <w:rFonts w:ascii="宋体" w:hAnsi="宋体" w:cs="宋体" w:eastAsia="宋体" w:hint="default"/>
          <w:sz w:val="17"/>
          <w:szCs w:val="17"/>
        </w:rPr>
      </w:pPr>
    </w:p>
    <w:p>
      <w:pPr>
        <w:pStyle w:val="BodyText"/>
        <w:spacing w:line="295" w:lineRule="exact"/>
        <w:ind w:left="865" w:right="91"/>
        <w:jc w:val="left"/>
      </w:pPr>
      <w:r>
        <w:rPr>
          <w:rFonts w:ascii="Arial" w:hAnsi="Arial" w:cs="Arial" w:eastAsia="Arial" w:hint="default"/>
        </w:rPr>
        <w:t>&lt;1&gt;</w:t>
      </w:r>
      <w:r>
        <w:rPr/>
        <w:t>审议《公司</w:t>
      </w:r>
      <w:r>
        <w:rPr>
          <w:spacing w:val="-57"/>
        </w:rPr>
        <w:t> </w:t>
      </w:r>
      <w:r>
        <w:rPr>
          <w:rFonts w:ascii="Arial" w:hAnsi="Arial" w:cs="Arial" w:eastAsia="Arial" w:hint="default"/>
        </w:rPr>
        <w:t>2011</w:t>
      </w:r>
      <w:r>
        <w:rPr>
          <w:rFonts w:ascii="Arial" w:hAnsi="Arial" w:cs="Arial" w:eastAsia="Arial" w:hint="default"/>
          <w:spacing w:val="-8"/>
        </w:rPr>
        <w:t> </w:t>
      </w:r>
      <w:r>
        <w:rPr/>
        <w:t>年半年度报告》</w:t>
      </w:r>
    </w:p>
    <w:p>
      <w:pPr>
        <w:pStyle w:val="BodyText"/>
        <w:spacing w:line="295" w:lineRule="exact"/>
        <w:ind w:left="865" w:right="91"/>
        <w:jc w:val="left"/>
      </w:pPr>
      <w:r>
        <w:rPr>
          <w:rFonts w:ascii="Arial" w:hAnsi="Arial" w:cs="Arial" w:eastAsia="Arial" w:hint="default"/>
        </w:rPr>
        <w:t>&lt;2&gt;2011</w:t>
      </w:r>
      <w:r>
        <w:rPr>
          <w:rFonts w:ascii="Arial" w:hAnsi="Arial" w:cs="Arial" w:eastAsia="Arial" w:hint="default"/>
          <w:spacing w:val="-9"/>
        </w:rPr>
        <w:t> </w:t>
      </w:r>
      <w:r>
        <w:rPr/>
        <w:t>年上半年内控评审工作的汇报</w:t>
      </w:r>
    </w:p>
    <w:p>
      <w:pPr>
        <w:spacing w:line="240" w:lineRule="auto" w:before="13"/>
        <w:rPr>
          <w:rFonts w:ascii="宋体" w:hAnsi="宋体" w:cs="宋体" w:eastAsia="宋体" w:hint="default"/>
          <w:sz w:val="17"/>
          <w:szCs w:val="17"/>
        </w:rPr>
      </w:pPr>
    </w:p>
    <w:p>
      <w:pPr>
        <w:pStyle w:val="BodyText"/>
        <w:spacing w:line="240" w:lineRule="auto"/>
        <w:ind w:left="865" w:right="91"/>
        <w:jc w:val="left"/>
      </w:pPr>
      <w:r>
        <w:rPr/>
        <w:t>会议经表决一致同意《公司</w:t>
      </w:r>
      <w:r>
        <w:rPr>
          <w:spacing w:val="-57"/>
        </w:rPr>
        <w:t> </w:t>
      </w:r>
      <w:r>
        <w:rPr>
          <w:rFonts w:ascii="Arial" w:hAnsi="Arial" w:cs="Arial" w:eastAsia="Arial" w:hint="default"/>
        </w:rPr>
        <w:t>2011</w:t>
      </w:r>
      <w:r>
        <w:rPr>
          <w:rFonts w:ascii="Arial" w:hAnsi="Arial" w:cs="Arial" w:eastAsia="Arial" w:hint="default"/>
          <w:spacing w:val="-8"/>
        </w:rPr>
        <w:t> </w:t>
      </w:r>
      <w:r>
        <w:rPr/>
        <w:t>年半年度报告》并同意提交董事会审议。</w:t>
      </w:r>
    </w:p>
    <w:p>
      <w:pPr>
        <w:spacing w:line="240" w:lineRule="auto" w:before="12"/>
        <w:rPr>
          <w:rFonts w:ascii="宋体" w:hAnsi="宋体" w:cs="宋体" w:eastAsia="宋体" w:hint="default"/>
          <w:sz w:val="17"/>
          <w:szCs w:val="17"/>
        </w:rPr>
      </w:pPr>
    </w:p>
    <w:p>
      <w:pPr>
        <w:pStyle w:val="BodyText"/>
        <w:spacing w:line="295" w:lineRule="exact"/>
        <w:ind w:left="865" w:right="91"/>
        <w:jc w:val="left"/>
      </w:pPr>
      <w:r>
        <w:rPr/>
        <w:t>会议听取和讨论了年审注册会计师有关</w:t>
      </w:r>
      <w:r>
        <w:rPr>
          <w:spacing w:val="-57"/>
        </w:rPr>
        <w:t> </w:t>
      </w:r>
      <w:r>
        <w:rPr>
          <w:rFonts w:ascii="Arial" w:hAnsi="Arial" w:cs="Arial" w:eastAsia="Arial" w:hint="default"/>
        </w:rPr>
        <w:t>2011</w:t>
      </w:r>
      <w:r>
        <w:rPr>
          <w:rFonts w:ascii="Arial" w:hAnsi="Arial" w:cs="Arial" w:eastAsia="Arial" w:hint="default"/>
          <w:spacing w:val="-8"/>
        </w:rPr>
        <w:t> </w:t>
      </w:r>
      <w:r>
        <w:rPr/>
        <w:t>年中期审阅情况及发现的问题、及财务部关</w:t>
      </w:r>
    </w:p>
    <w:p>
      <w:pPr>
        <w:pStyle w:val="BodyText"/>
        <w:spacing w:line="295" w:lineRule="exact"/>
        <w:ind w:left="865" w:right="91"/>
        <w:jc w:val="left"/>
      </w:pPr>
      <w:r>
        <w:rPr/>
        <w:t>于对</w:t>
      </w:r>
      <w:r>
        <w:rPr>
          <w:spacing w:val="-57"/>
        </w:rPr>
        <w:t> </w:t>
      </w:r>
      <w:r>
        <w:rPr>
          <w:rFonts w:ascii="Arial" w:hAnsi="Arial" w:cs="Arial" w:eastAsia="Arial" w:hint="default"/>
        </w:rPr>
        <w:t>2011</w:t>
      </w:r>
      <w:r>
        <w:rPr>
          <w:rFonts w:ascii="Arial" w:hAnsi="Arial" w:cs="Arial" w:eastAsia="Arial" w:hint="default"/>
          <w:spacing w:val="-8"/>
        </w:rPr>
        <w:t> </w:t>
      </w:r>
      <w:r>
        <w:rPr/>
        <w:t>年中期审阅发现的问题整改落实汇报。</w:t>
      </w:r>
    </w:p>
    <w:p>
      <w:pPr>
        <w:spacing w:line="240" w:lineRule="auto" w:before="2"/>
        <w:rPr>
          <w:rFonts w:ascii="宋体" w:hAnsi="宋体" w:cs="宋体" w:eastAsia="宋体" w:hint="default"/>
          <w:sz w:val="18"/>
          <w:szCs w:val="18"/>
        </w:rPr>
      </w:pPr>
    </w:p>
    <w:p>
      <w:pPr>
        <w:pStyle w:val="BodyText"/>
        <w:spacing w:line="237" w:lineRule="auto"/>
        <w:ind w:left="865" w:right="91"/>
        <w:jc w:val="left"/>
      </w:pPr>
      <w:r>
        <w:rPr/>
        <w:t>会议认为公司管理层对内控评审和中期审阅过程中所发现的问题及提出的审计建议给予</w:t>
      </w:r>
      <w:r>
        <w:rPr>
          <w:w w:val="99"/>
        </w:rPr>
        <w:t> </w:t>
      </w:r>
      <w:r>
        <w:rPr>
          <w:w w:val="95"/>
        </w:rPr>
        <w:t>了高度重视，制定的改进措施是可行的，希望公司在下半年的工作中切实加以落实。同时</w:t>
      </w:r>
      <w:r>
        <w:rPr>
          <w:spacing w:val="3"/>
          <w:w w:val="95"/>
        </w:rPr>
        <w:t> </w:t>
      </w:r>
      <w:r>
        <w:rPr>
          <w:spacing w:val="3"/>
          <w:w w:val="95"/>
        </w:rPr>
      </w:r>
      <w:r>
        <w:rPr>
          <w:w w:val="95"/>
        </w:rPr>
        <w:t>对于改进意见希望公司能持续跟进，从而推动公司内控制度的持续优化和经营效率的有效 </w:t>
      </w:r>
      <w:r>
        <w:rPr>
          <w:spacing w:val="5"/>
          <w:w w:val="95"/>
        </w:rPr>
        <w:t> </w:t>
      </w:r>
      <w:r>
        <w:rPr>
          <w:spacing w:val="5"/>
          <w:w w:val="95"/>
        </w:rPr>
      </w:r>
      <w:r>
        <w:rPr/>
        <w:t>提高。</w:t>
      </w:r>
    </w:p>
    <w:p>
      <w:pPr>
        <w:spacing w:line="240" w:lineRule="auto" w:before="3"/>
        <w:rPr>
          <w:rFonts w:ascii="宋体" w:hAnsi="宋体" w:cs="宋体" w:eastAsia="宋体" w:hint="default"/>
          <w:sz w:val="19"/>
          <w:szCs w:val="19"/>
        </w:rPr>
      </w:pPr>
    </w:p>
    <w:p>
      <w:pPr>
        <w:pStyle w:val="BodyText"/>
        <w:spacing w:line="294" w:lineRule="exact"/>
        <w:ind w:left="487" w:right="91"/>
        <w:jc w:val="left"/>
      </w:pPr>
      <w:r>
        <w:rPr>
          <w:rFonts w:ascii="Arial" w:hAnsi="Arial" w:cs="Arial" w:eastAsia="Arial" w:hint="default"/>
        </w:rPr>
        <w:t>(4)</w:t>
      </w:r>
      <w:r>
        <w:rPr>
          <w:rFonts w:ascii="Arial" w:hAnsi="Arial" w:cs="Arial" w:eastAsia="Arial" w:hint="default"/>
          <w:spacing w:val="46"/>
        </w:rPr>
        <w:t> </w:t>
      </w:r>
      <w:r>
        <w:rPr/>
        <w:t>第三届董事会审计委员会第八次会议于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26</w:t>
      </w:r>
      <w:r>
        <w:rPr>
          <w:rFonts w:ascii="Arial" w:hAnsi="Arial" w:cs="Arial" w:eastAsia="Arial" w:hint="default"/>
          <w:spacing w:val="-7"/>
        </w:rPr>
        <w:t> </w:t>
      </w:r>
      <w:r>
        <w:rPr/>
        <w:t>日以电话会议方式召开，审议并</w:t>
      </w:r>
    </w:p>
    <w:p>
      <w:pPr>
        <w:pStyle w:val="BodyText"/>
        <w:spacing w:line="285" w:lineRule="exact"/>
        <w:ind w:left="865" w:right="91"/>
        <w:jc w:val="left"/>
      </w:pPr>
      <w:r>
        <w:rPr/>
        <w:t>同意将《公司</w:t>
      </w:r>
      <w:r>
        <w:rPr>
          <w:spacing w:val="-57"/>
        </w:rPr>
        <w:t> </w:t>
      </w:r>
      <w:r>
        <w:rPr>
          <w:rFonts w:ascii="Arial" w:hAnsi="Arial" w:cs="Arial" w:eastAsia="Arial" w:hint="default"/>
        </w:rPr>
        <w:t>2011</w:t>
      </w:r>
      <w:r>
        <w:rPr>
          <w:rFonts w:ascii="Arial" w:hAnsi="Arial" w:cs="Arial" w:eastAsia="Arial" w:hint="default"/>
          <w:spacing w:val="-8"/>
        </w:rPr>
        <w:t> </w:t>
      </w:r>
      <w:r>
        <w:rPr/>
        <w:t>年第三季度报告（草案）》提交董事会审议，同时听取了年审注册会</w:t>
      </w:r>
    </w:p>
    <w:p>
      <w:pPr>
        <w:pStyle w:val="BodyText"/>
        <w:spacing w:line="295" w:lineRule="exact"/>
        <w:ind w:left="865" w:right="91"/>
        <w:jc w:val="left"/>
      </w:pPr>
      <w:r>
        <w:rPr/>
        <w:t>计师对于</w:t>
      </w:r>
      <w:r>
        <w:rPr>
          <w:spacing w:val="-57"/>
        </w:rPr>
        <w:t> </w:t>
      </w:r>
      <w:r>
        <w:rPr>
          <w:rFonts w:ascii="Arial" w:hAnsi="Arial" w:cs="Arial" w:eastAsia="Arial" w:hint="default"/>
        </w:rPr>
        <w:t>2011</w:t>
      </w:r>
      <w:r>
        <w:rPr>
          <w:rFonts w:ascii="Arial" w:hAnsi="Arial" w:cs="Arial" w:eastAsia="Arial" w:hint="default"/>
          <w:spacing w:val="-8"/>
        </w:rPr>
        <w:t> </w:t>
      </w:r>
      <w:r>
        <w:rPr/>
        <w:t>年度综合审计计划的汇报。</w:t>
      </w:r>
    </w:p>
    <w:p>
      <w:pPr>
        <w:spacing w:after="0" w:line="295" w:lineRule="exact"/>
        <w:jc w:val="left"/>
        <w:sectPr>
          <w:pgSz w:w="11900" w:h="16840"/>
          <w:pgMar w:header="927" w:footer="752" w:top="1160" w:bottom="940" w:left="1340" w:right="900"/>
        </w:sectPr>
      </w:pPr>
    </w:p>
    <w:p>
      <w:pPr>
        <w:spacing w:line="240" w:lineRule="auto" w:before="11"/>
        <w:rPr>
          <w:rFonts w:ascii="宋体" w:hAnsi="宋体" w:cs="宋体" w:eastAsia="宋体" w:hint="default"/>
          <w:sz w:val="21"/>
          <w:szCs w:val="21"/>
        </w:rPr>
      </w:pPr>
    </w:p>
    <w:p>
      <w:pPr>
        <w:pStyle w:val="BodyText"/>
        <w:spacing w:line="240" w:lineRule="auto" w:before="31"/>
        <w:ind w:left="145" w:right="91"/>
        <w:jc w:val="left"/>
      </w:pPr>
      <w:r>
        <w:rPr>
          <w:rFonts w:ascii="Arial" w:hAnsi="Arial" w:cs="Arial" w:eastAsia="Arial" w:hint="default"/>
        </w:rPr>
        <w:t>4</w:t>
      </w:r>
      <w:r>
        <w:rPr/>
        <w:t>、董事会下设的薪酬委员会的履职情况汇总报告</w:t>
      </w:r>
    </w:p>
    <w:p>
      <w:pPr>
        <w:spacing w:line="240" w:lineRule="auto" w:before="13"/>
        <w:rPr>
          <w:rFonts w:ascii="宋体" w:hAnsi="宋体" w:cs="宋体" w:eastAsia="宋体" w:hint="default"/>
          <w:sz w:val="17"/>
          <w:szCs w:val="17"/>
        </w:rPr>
      </w:pPr>
    </w:p>
    <w:p>
      <w:pPr>
        <w:pStyle w:val="BodyText"/>
        <w:spacing w:line="240" w:lineRule="auto"/>
        <w:ind w:left="478" w:right="91"/>
        <w:jc w:val="left"/>
      </w:pPr>
      <w:r>
        <w:rPr>
          <w:rFonts w:ascii="Arial" w:hAnsi="Arial" w:cs="Arial" w:eastAsia="Arial" w:hint="default"/>
        </w:rPr>
        <w:t>2011</w:t>
      </w:r>
      <w:r>
        <w:rPr>
          <w:rFonts w:ascii="Arial" w:hAnsi="Arial" w:cs="Arial" w:eastAsia="Arial" w:hint="default"/>
          <w:spacing w:val="-9"/>
        </w:rPr>
        <w:t> </w:t>
      </w:r>
      <w:r>
        <w:rPr/>
        <w:t>年董事会下设的薪酬委员会的履职情况汇总报告</w:t>
      </w:r>
    </w:p>
    <w:p>
      <w:pPr>
        <w:spacing w:line="240" w:lineRule="auto" w:before="12"/>
        <w:rPr>
          <w:rFonts w:ascii="宋体" w:hAnsi="宋体" w:cs="宋体" w:eastAsia="宋体" w:hint="default"/>
          <w:sz w:val="17"/>
          <w:szCs w:val="17"/>
        </w:rPr>
      </w:pPr>
    </w:p>
    <w:p>
      <w:pPr>
        <w:pStyle w:val="BodyText"/>
        <w:spacing w:line="295" w:lineRule="exact"/>
        <w:ind w:left="478" w:right="91"/>
        <w:jc w:val="left"/>
      </w:pPr>
      <w:r>
        <w:rPr>
          <w:rFonts w:ascii="Arial" w:hAnsi="Arial" w:cs="Arial" w:eastAsia="Arial" w:hint="default"/>
          <w:w w:val="99"/>
        </w:rPr>
        <w:t>2011</w:t>
      </w:r>
      <w:r>
        <w:rPr>
          <w:rFonts w:ascii="Arial" w:hAnsi="Arial" w:cs="Arial" w:eastAsia="Arial" w:hint="default"/>
          <w:spacing w:val="-6"/>
        </w:rPr>
        <w:t> </w:t>
      </w:r>
      <w:r>
        <w:rPr>
          <w:w w:val="99"/>
        </w:rPr>
        <w:t>年</w:t>
      </w:r>
      <w:r>
        <w:rPr>
          <w:spacing w:val="-55"/>
        </w:rPr>
        <w:t> </w:t>
      </w:r>
      <w:r>
        <w:rPr>
          <w:rFonts w:ascii="Arial" w:hAnsi="Arial" w:cs="Arial" w:eastAsia="Arial" w:hint="default"/>
          <w:w w:val="99"/>
        </w:rPr>
        <w:t>3</w:t>
      </w:r>
      <w:r>
        <w:rPr>
          <w:rFonts w:ascii="Arial" w:hAnsi="Arial" w:cs="Arial" w:eastAsia="Arial" w:hint="default"/>
          <w:spacing w:val="-6"/>
        </w:rPr>
        <w:t> </w:t>
      </w:r>
      <w:r>
        <w:rPr>
          <w:w w:val="99"/>
        </w:rPr>
        <w:t>月</w:t>
      </w:r>
      <w:r>
        <w:rPr>
          <w:spacing w:val="-55"/>
        </w:rPr>
        <w:t> </w:t>
      </w:r>
      <w:r>
        <w:rPr>
          <w:rFonts w:ascii="Arial" w:hAnsi="Arial" w:cs="Arial" w:eastAsia="Arial" w:hint="default"/>
          <w:w w:val="99"/>
        </w:rPr>
        <w:t>28</w:t>
      </w:r>
      <w:r>
        <w:rPr>
          <w:rFonts w:ascii="Arial" w:hAnsi="Arial" w:cs="Arial" w:eastAsia="Arial" w:hint="default"/>
          <w:spacing w:val="-6"/>
        </w:rPr>
        <w:t> </w:t>
      </w:r>
      <w:r>
        <w:rPr>
          <w:w w:val="99"/>
        </w:rPr>
        <w:t>日</w:t>
      </w:r>
      <w:r>
        <w:rPr>
          <w:spacing w:val="1"/>
          <w:w w:val="99"/>
        </w:rPr>
        <w:t>公</w:t>
      </w:r>
      <w:r>
        <w:rPr>
          <w:w w:val="99"/>
        </w:rPr>
        <w:t>司在北</w:t>
      </w:r>
      <w:r>
        <w:rPr>
          <w:spacing w:val="1"/>
          <w:w w:val="99"/>
        </w:rPr>
        <w:t>京召</w:t>
      </w:r>
      <w:r>
        <w:rPr>
          <w:w w:val="99"/>
        </w:rPr>
        <w:t>开第三</w:t>
      </w:r>
      <w:r>
        <w:rPr>
          <w:spacing w:val="1"/>
          <w:w w:val="99"/>
        </w:rPr>
        <w:t>届董</w:t>
      </w:r>
      <w:r>
        <w:rPr>
          <w:w w:val="99"/>
        </w:rPr>
        <w:t>事会薪</w:t>
      </w:r>
      <w:r>
        <w:rPr>
          <w:spacing w:val="1"/>
          <w:w w:val="99"/>
        </w:rPr>
        <w:t>酬与</w:t>
      </w:r>
      <w:r>
        <w:rPr>
          <w:w w:val="99"/>
        </w:rPr>
        <w:t>考核委</w:t>
      </w:r>
      <w:r>
        <w:rPr>
          <w:spacing w:val="1"/>
          <w:w w:val="99"/>
        </w:rPr>
        <w:t>员会</w:t>
      </w:r>
      <w:r>
        <w:rPr>
          <w:w w:val="99"/>
        </w:rPr>
        <w:t>第二次</w:t>
      </w:r>
      <w:r>
        <w:rPr>
          <w:spacing w:val="1"/>
          <w:w w:val="99"/>
        </w:rPr>
        <w:t>会议</w:t>
      </w:r>
      <w:r>
        <w:rPr>
          <w:spacing w:val="-88"/>
          <w:w w:val="99"/>
        </w:rPr>
        <w:t>，</w:t>
      </w:r>
      <w:r>
        <w:rPr>
          <w:w w:val="99"/>
        </w:rPr>
        <w:t>会议</w:t>
      </w:r>
      <w:r>
        <w:rPr>
          <w:spacing w:val="1"/>
          <w:w w:val="99"/>
        </w:rPr>
        <w:t>审议</w:t>
      </w:r>
      <w:r>
        <w:rPr>
          <w:spacing w:val="-2"/>
          <w:w w:val="99"/>
        </w:rPr>
        <w:t>通</w:t>
      </w:r>
      <w:r>
        <w:rPr>
          <w:w w:val="99"/>
        </w:rPr>
        <w:t>过</w:t>
      </w:r>
      <w:r>
        <w:rPr/>
      </w:r>
    </w:p>
    <w:p>
      <w:pPr>
        <w:pStyle w:val="BodyText"/>
        <w:spacing w:line="295" w:lineRule="exact"/>
        <w:ind w:left="478" w:right="91"/>
        <w:jc w:val="left"/>
      </w:pPr>
      <w:r>
        <w:rPr/>
        <w:t>了《关于公司高级管理人员</w:t>
      </w:r>
      <w:r>
        <w:rPr>
          <w:spacing w:val="-57"/>
        </w:rPr>
        <w:t> </w:t>
      </w:r>
      <w:r>
        <w:rPr>
          <w:rFonts w:ascii="Arial" w:hAnsi="Arial" w:cs="Arial" w:eastAsia="Arial" w:hint="default"/>
        </w:rPr>
        <w:t>2010</w:t>
      </w:r>
      <w:r>
        <w:rPr>
          <w:rFonts w:ascii="Arial" w:hAnsi="Arial" w:cs="Arial" w:eastAsia="Arial" w:hint="default"/>
          <w:spacing w:val="-8"/>
        </w:rPr>
        <w:t> </w:t>
      </w:r>
      <w:r>
        <w:rPr/>
        <w:t>年度薪酬考核情况的议案》并同意提交董事会审议。</w:t>
      </w:r>
    </w:p>
    <w:p>
      <w:pPr>
        <w:spacing w:line="240" w:lineRule="auto" w:before="12"/>
        <w:rPr>
          <w:rFonts w:ascii="宋体" w:hAnsi="宋体" w:cs="宋体" w:eastAsia="宋体" w:hint="default"/>
          <w:sz w:val="17"/>
          <w:szCs w:val="17"/>
        </w:rPr>
      </w:pPr>
    </w:p>
    <w:p>
      <w:pPr>
        <w:pStyle w:val="BodyText"/>
        <w:spacing w:line="240" w:lineRule="auto"/>
        <w:ind w:left="145" w:right="91"/>
        <w:jc w:val="left"/>
      </w:pPr>
      <w:r>
        <w:rPr>
          <w:rFonts w:ascii="Arial" w:hAnsi="Arial" w:cs="Arial" w:eastAsia="Arial" w:hint="default"/>
        </w:rPr>
        <w:t>5</w:t>
      </w:r>
      <w:r>
        <w:rPr/>
        <w:t>、公司对外部信息使用人管理制度的建立健全情况</w:t>
      </w:r>
    </w:p>
    <w:p>
      <w:pPr>
        <w:spacing w:line="240" w:lineRule="auto" w:before="5"/>
        <w:rPr>
          <w:rFonts w:ascii="宋体" w:hAnsi="宋体" w:cs="宋体" w:eastAsia="宋体" w:hint="default"/>
          <w:sz w:val="18"/>
          <w:szCs w:val="18"/>
        </w:rPr>
      </w:pPr>
    </w:p>
    <w:p>
      <w:pPr>
        <w:pStyle w:val="BodyText"/>
        <w:spacing w:line="235" w:lineRule="auto"/>
        <w:ind w:left="523" w:right="213" w:hanging="378"/>
        <w:jc w:val="both"/>
      </w:pPr>
      <w:r>
        <w:rPr>
          <w:rFonts w:ascii="Arial" w:hAnsi="Arial" w:cs="Arial" w:eastAsia="Arial" w:hint="default"/>
        </w:rPr>
        <w:t>(1)</w:t>
      </w:r>
      <w:r>
        <w:rPr>
          <w:rFonts w:ascii="Arial" w:hAnsi="Arial" w:cs="Arial" w:eastAsia="Arial" w:hint="default"/>
          <w:spacing w:val="3"/>
        </w:rPr>
        <w:t> </w:t>
      </w:r>
      <w:r>
        <w:rPr>
          <w:spacing w:val="-3"/>
        </w:rPr>
        <w:t>目的：为规范公司股价敏感信息的披露工作，统一信息披露工作流程，加强对信息披露的内部</w:t>
      </w:r>
      <w:r>
        <w:rPr>
          <w:w w:val="99"/>
        </w:rPr>
        <w:t> </w:t>
      </w:r>
      <w:r>
        <w:rPr>
          <w:spacing w:val="-3"/>
        </w:rPr>
        <w:t>控制，保证公司按相关法律法规和监管机构的要求，向资本市场、公众媒体及时、合规、透明</w:t>
      </w:r>
      <w:r>
        <w:rPr>
          <w:w w:val="99"/>
        </w:rPr>
        <w:t> </w:t>
      </w:r>
      <w:r>
        <w:rPr>
          <w:spacing w:val="-3"/>
        </w:rPr>
        <w:t>地提供准确无误且完整一致的公司信息，本公司根据《上海证券交易所股票上市规则》、中国</w:t>
      </w:r>
      <w:r>
        <w:rPr>
          <w:w w:val="99"/>
        </w:rPr>
        <w:t> </w:t>
      </w:r>
      <w:r>
        <w:rPr>
          <w:spacing w:val="-3"/>
        </w:rPr>
        <w:t>证监会《上市公司信息披露管理办法》等相关规定，结合公司内部实际情况，特制定了《公司</w:t>
      </w:r>
      <w:r>
        <w:rPr>
          <w:w w:val="99"/>
        </w:rPr>
        <w:t> </w:t>
      </w:r>
      <w:r>
        <w:rPr/>
        <w:t>信息披露管理办法》</w:t>
      </w:r>
    </w:p>
    <w:p>
      <w:pPr>
        <w:spacing w:line="240" w:lineRule="auto" w:before="3"/>
        <w:rPr>
          <w:rFonts w:ascii="宋体" w:hAnsi="宋体" w:cs="宋体" w:eastAsia="宋体" w:hint="default"/>
          <w:sz w:val="19"/>
          <w:szCs w:val="19"/>
        </w:rPr>
      </w:pPr>
    </w:p>
    <w:p>
      <w:pPr>
        <w:pStyle w:val="BodyText"/>
        <w:spacing w:line="240" w:lineRule="auto"/>
        <w:ind w:left="145" w:right="91"/>
        <w:jc w:val="left"/>
      </w:pPr>
      <w:r>
        <w:rPr>
          <w:rFonts w:ascii="Arial" w:hAnsi="Arial" w:cs="Arial" w:eastAsia="Arial" w:hint="default"/>
        </w:rPr>
        <w:t>(2)</w:t>
      </w:r>
      <w:r>
        <w:rPr>
          <w:rFonts w:ascii="Arial" w:hAnsi="Arial" w:cs="Arial" w:eastAsia="Arial" w:hint="default"/>
          <w:spacing w:val="47"/>
        </w:rPr>
        <w:t> </w:t>
      </w:r>
      <w:r>
        <w:rPr/>
        <w:t>《公司信息披露管理办法》所指信息包括但不限于：</w:t>
      </w:r>
    </w:p>
    <w:p>
      <w:pPr>
        <w:spacing w:line="240" w:lineRule="auto" w:before="12"/>
        <w:rPr>
          <w:rFonts w:ascii="宋体" w:hAnsi="宋体" w:cs="宋体" w:eastAsia="宋体" w:hint="default"/>
          <w:sz w:val="17"/>
          <w:szCs w:val="17"/>
        </w:rPr>
      </w:pPr>
    </w:p>
    <w:p>
      <w:pPr>
        <w:pStyle w:val="BodyText"/>
        <w:spacing w:line="295" w:lineRule="exact"/>
        <w:ind w:left="523" w:right="91"/>
        <w:jc w:val="left"/>
      </w:pPr>
      <w:r>
        <w:rPr>
          <w:rFonts w:ascii="Arial" w:hAnsi="Arial" w:cs="Arial" w:eastAsia="Arial" w:hint="default"/>
        </w:rPr>
        <w:t>2.1</w:t>
      </w:r>
      <w:r>
        <w:rPr>
          <w:rFonts w:ascii="Arial" w:hAnsi="Arial" w:cs="Arial" w:eastAsia="Arial" w:hint="default"/>
          <w:spacing w:val="46"/>
        </w:rPr>
        <w:t> </w:t>
      </w:r>
      <w:r>
        <w:rPr/>
        <w:t>公司定期发生的事项（如财务资料、股息分派等）；</w:t>
      </w:r>
    </w:p>
    <w:p>
      <w:pPr>
        <w:pStyle w:val="BodyText"/>
        <w:spacing w:line="286" w:lineRule="exact"/>
        <w:ind w:left="523" w:right="91"/>
        <w:jc w:val="left"/>
      </w:pPr>
      <w:r>
        <w:rPr>
          <w:rFonts w:ascii="Arial" w:hAnsi="Arial" w:cs="Arial" w:eastAsia="Arial" w:hint="default"/>
        </w:rPr>
        <w:t>2.2</w:t>
      </w:r>
      <w:r>
        <w:rPr>
          <w:rFonts w:ascii="Arial" w:hAnsi="Arial" w:cs="Arial" w:eastAsia="Arial" w:hint="default"/>
          <w:spacing w:val="46"/>
        </w:rPr>
        <w:t> </w:t>
      </w:r>
      <w:r>
        <w:rPr/>
        <w:t>公司面临的重要监管政策的变化；</w:t>
      </w:r>
    </w:p>
    <w:p>
      <w:pPr>
        <w:pStyle w:val="BodyText"/>
        <w:spacing w:line="286" w:lineRule="exact"/>
        <w:ind w:left="523" w:right="91"/>
        <w:jc w:val="left"/>
      </w:pPr>
      <w:r>
        <w:rPr>
          <w:rFonts w:ascii="Arial" w:hAnsi="Arial" w:cs="Arial" w:eastAsia="Arial" w:hint="default"/>
        </w:rPr>
        <w:t>2.3</w:t>
      </w:r>
      <w:r>
        <w:rPr>
          <w:rFonts w:ascii="Arial" w:hAnsi="Arial" w:cs="Arial" w:eastAsia="Arial" w:hint="default"/>
          <w:spacing w:val="46"/>
        </w:rPr>
        <w:t> </w:t>
      </w:r>
      <w:r>
        <w:rPr/>
        <w:t>公司重大经营性或非经营性盈利或亏损；</w:t>
      </w:r>
    </w:p>
    <w:p>
      <w:pPr>
        <w:pStyle w:val="BodyText"/>
        <w:spacing w:line="285" w:lineRule="exact"/>
        <w:ind w:left="523" w:right="91"/>
        <w:jc w:val="left"/>
      </w:pPr>
      <w:r>
        <w:rPr>
          <w:rFonts w:ascii="Arial" w:hAnsi="Arial" w:cs="Arial" w:eastAsia="Arial" w:hint="default"/>
        </w:rPr>
        <w:t>2.4</w:t>
      </w:r>
      <w:r>
        <w:rPr>
          <w:rFonts w:ascii="Arial" w:hAnsi="Arial" w:cs="Arial" w:eastAsia="Arial" w:hint="default"/>
          <w:spacing w:val="45"/>
        </w:rPr>
        <w:t> </w:t>
      </w:r>
      <w:r>
        <w:rPr/>
        <w:t>公司经营范围及主要业务种类的变更；</w:t>
      </w:r>
    </w:p>
    <w:p>
      <w:pPr>
        <w:pStyle w:val="BodyText"/>
        <w:spacing w:line="285" w:lineRule="exact"/>
        <w:ind w:left="523" w:right="91"/>
        <w:jc w:val="left"/>
      </w:pPr>
      <w:r>
        <w:rPr>
          <w:rFonts w:ascii="Arial" w:hAnsi="Arial" w:cs="Arial" w:eastAsia="Arial" w:hint="default"/>
        </w:rPr>
        <w:t>2.5</w:t>
      </w:r>
      <w:r>
        <w:rPr>
          <w:rFonts w:ascii="Arial" w:hAnsi="Arial" w:cs="Arial" w:eastAsia="Arial" w:hint="default"/>
          <w:spacing w:val="45"/>
        </w:rPr>
        <w:t> </w:t>
      </w:r>
      <w:r>
        <w:rPr/>
        <w:t>公司合并、分立、重组、重大兼并及收购、出售等相关信息；</w:t>
      </w:r>
    </w:p>
    <w:p>
      <w:pPr>
        <w:pStyle w:val="BodyText"/>
        <w:spacing w:line="286" w:lineRule="exact" w:before="19"/>
        <w:ind w:left="928" w:right="124" w:hanging="405"/>
        <w:jc w:val="left"/>
      </w:pPr>
      <w:r>
        <w:rPr>
          <w:rFonts w:ascii="Arial" w:hAnsi="Arial" w:cs="Arial" w:eastAsia="Arial" w:hint="default"/>
        </w:rPr>
        <w:t>2.6</w:t>
      </w:r>
      <w:r>
        <w:rPr>
          <w:rFonts w:ascii="Arial" w:hAnsi="Arial" w:cs="Arial" w:eastAsia="Arial" w:hint="default"/>
          <w:spacing w:val="46"/>
        </w:rPr>
        <w:t> </w:t>
      </w:r>
      <w:r>
        <w:rPr/>
        <w:t>公司重大合同及协议（如借贷、委托经营、受托经营、委托理财、捐赠、承包、租赁等）</w:t>
      </w:r>
      <w:r>
        <w:rPr>
          <w:w w:val="99"/>
        </w:rPr>
        <w:t> </w:t>
      </w:r>
      <w:r>
        <w:rPr>
          <w:w w:val="95"/>
        </w:rPr>
        <w:t>的订立、变更和终止，或上述内容以外的可能对公司的资产负债权益和经营结果产生重大</w:t>
      </w:r>
      <w:r>
        <w:rPr>
          <w:w w:val="99"/>
        </w:rPr>
        <w:t> </w:t>
      </w:r>
      <w:r>
        <w:rPr/>
        <w:t>影响的合同及协议的订立、变更和终止；</w:t>
      </w:r>
    </w:p>
    <w:p>
      <w:pPr>
        <w:pStyle w:val="BodyText"/>
        <w:spacing w:line="265" w:lineRule="exact"/>
        <w:ind w:left="523" w:right="91"/>
        <w:jc w:val="left"/>
      </w:pPr>
      <w:r>
        <w:rPr>
          <w:rFonts w:ascii="Arial" w:hAnsi="Arial" w:cs="Arial" w:eastAsia="Arial" w:hint="default"/>
        </w:rPr>
        <w:t>2.7</w:t>
      </w:r>
      <w:r>
        <w:rPr>
          <w:rFonts w:ascii="Arial" w:hAnsi="Arial" w:cs="Arial" w:eastAsia="Arial" w:hint="default"/>
          <w:spacing w:val="46"/>
        </w:rPr>
        <w:t> </w:t>
      </w:r>
      <w:r>
        <w:rPr/>
        <w:t>公司对外提供担保的相关信息；</w:t>
      </w:r>
    </w:p>
    <w:p>
      <w:pPr>
        <w:pStyle w:val="BodyText"/>
        <w:spacing w:line="286" w:lineRule="exact"/>
        <w:ind w:left="523" w:right="91"/>
        <w:jc w:val="left"/>
      </w:pPr>
      <w:r>
        <w:rPr>
          <w:rFonts w:ascii="Arial" w:hAnsi="Arial" w:cs="Arial" w:eastAsia="Arial" w:hint="default"/>
        </w:rPr>
        <w:t>2.8</w:t>
      </w:r>
      <w:r>
        <w:rPr>
          <w:rFonts w:ascii="Arial" w:hAnsi="Arial" w:cs="Arial" w:eastAsia="Arial" w:hint="default"/>
          <w:spacing w:val="46"/>
        </w:rPr>
        <w:t> </w:t>
      </w:r>
      <w:r>
        <w:rPr/>
        <w:t>公司正在遭受的重大法律诉讼及目前的状态、可能依法承担的赔偿责任及遭受的损失等；</w:t>
      </w:r>
    </w:p>
    <w:p>
      <w:pPr>
        <w:pStyle w:val="BodyText"/>
        <w:spacing w:line="286" w:lineRule="exact"/>
        <w:ind w:left="523" w:right="91"/>
        <w:jc w:val="left"/>
      </w:pPr>
      <w:r>
        <w:rPr>
          <w:rFonts w:ascii="Arial" w:hAnsi="Arial" w:cs="Arial" w:eastAsia="Arial" w:hint="default"/>
        </w:rPr>
        <w:t>2.9</w:t>
      </w:r>
      <w:r>
        <w:rPr>
          <w:rFonts w:ascii="Arial" w:hAnsi="Arial" w:cs="Arial" w:eastAsia="Arial" w:hint="default"/>
          <w:spacing w:val="46"/>
        </w:rPr>
        <w:t> </w:t>
      </w:r>
      <w:r>
        <w:rPr/>
        <w:t>公司控制范围以外，但对其运营或财务表现有重大影响的事件；</w:t>
      </w:r>
    </w:p>
    <w:p>
      <w:pPr>
        <w:pStyle w:val="BodyText"/>
        <w:spacing w:line="284" w:lineRule="exact" w:before="20"/>
        <w:ind w:left="1027" w:right="221" w:hanging="504"/>
        <w:jc w:val="left"/>
      </w:pPr>
      <w:r>
        <w:rPr>
          <w:rFonts w:ascii="Arial" w:hAnsi="Arial" w:cs="Arial" w:eastAsia="Arial" w:hint="default"/>
        </w:rPr>
        <w:t>2.10</w:t>
      </w:r>
      <w:r>
        <w:rPr>
          <w:rFonts w:ascii="Arial" w:hAnsi="Arial" w:cs="Arial" w:eastAsia="Arial" w:hint="default"/>
          <w:spacing w:val="46"/>
        </w:rPr>
        <w:t> </w:t>
      </w:r>
      <w:r>
        <w:rPr/>
        <w:t>据公司董事所知，在公司有大量业务或交易的行业、国家或地区出现市场大混乱，或人</w:t>
      </w:r>
      <w:r>
        <w:rPr>
          <w:w w:val="99"/>
        </w:rPr>
        <w:t> </w:t>
      </w:r>
      <w:r>
        <w:rPr/>
        <w:t>民币汇率出现重大波动；</w:t>
      </w:r>
    </w:p>
    <w:p>
      <w:pPr>
        <w:pStyle w:val="BodyText"/>
        <w:spacing w:line="286" w:lineRule="exact"/>
        <w:ind w:left="1045" w:right="221" w:hanging="522"/>
        <w:jc w:val="left"/>
      </w:pPr>
      <w:r>
        <w:rPr>
          <w:rFonts w:ascii="Arial" w:hAnsi="Arial" w:cs="Arial" w:eastAsia="Arial" w:hint="default"/>
        </w:rPr>
        <w:t>2.11</w:t>
      </w:r>
      <w:r>
        <w:rPr>
          <w:rFonts w:ascii="Arial" w:hAnsi="Arial" w:cs="Arial" w:eastAsia="Arial" w:hint="default"/>
          <w:spacing w:val="46"/>
        </w:rPr>
        <w:t> </w:t>
      </w:r>
      <w:r>
        <w:rPr/>
        <w:t>据公司董事所知，公司的财政状况或业务表现或公司对本身表现的预期有所转变，而若</w:t>
      </w:r>
      <w:r>
        <w:rPr>
          <w:w w:val="99"/>
        </w:rPr>
        <w:t> </w:t>
      </w:r>
      <w:r>
        <w:rPr/>
        <w:t>市场得悉此等转变很可能会导致公司上市证券价格大幅波动；</w:t>
      </w:r>
    </w:p>
    <w:p>
      <w:pPr>
        <w:pStyle w:val="BodyText"/>
        <w:spacing w:line="265" w:lineRule="exact"/>
        <w:ind w:left="523" w:right="91"/>
        <w:jc w:val="left"/>
      </w:pPr>
      <w:r>
        <w:rPr>
          <w:rFonts w:ascii="Arial" w:hAnsi="Arial" w:cs="Arial" w:eastAsia="Arial" w:hint="default"/>
        </w:rPr>
        <w:t>2.12</w:t>
      </w:r>
      <w:r>
        <w:rPr>
          <w:rFonts w:ascii="Arial" w:hAnsi="Arial" w:cs="Arial" w:eastAsia="Arial" w:hint="default"/>
          <w:spacing w:val="45"/>
        </w:rPr>
        <w:t> </w:t>
      </w:r>
      <w:r>
        <w:rPr/>
        <w:t>公司调拨了大量资源往非核心业务的活动，而事前对此未有作任何披露；</w:t>
      </w:r>
    </w:p>
    <w:p>
      <w:pPr>
        <w:pStyle w:val="BodyText"/>
        <w:spacing w:line="294" w:lineRule="exact"/>
        <w:ind w:left="523" w:right="91"/>
        <w:jc w:val="left"/>
      </w:pPr>
      <w:r>
        <w:rPr>
          <w:rFonts w:ascii="Arial" w:hAnsi="Arial" w:cs="Arial" w:eastAsia="Arial" w:hint="default"/>
        </w:rPr>
        <w:t>2.13</w:t>
      </w:r>
      <w:r>
        <w:rPr>
          <w:rFonts w:ascii="Arial" w:hAnsi="Arial" w:cs="Arial" w:eastAsia="Arial" w:hint="default"/>
          <w:spacing w:val="45"/>
        </w:rPr>
        <w:t> </w:t>
      </w:r>
      <w:r>
        <w:rPr/>
        <w:t>或公司上市地证券监管机构要求对外发布的其他任何资料。</w:t>
      </w:r>
    </w:p>
    <w:p>
      <w:pPr>
        <w:spacing w:line="240" w:lineRule="auto" w:before="13"/>
        <w:rPr>
          <w:rFonts w:ascii="宋体" w:hAnsi="宋体" w:cs="宋体" w:eastAsia="宋体" w:hint="default"/>
          <w:sz w:val="17"/>
          <w:szCs w:val="17"/>
        </w:rPr>
      </w:pPr>
    </w:p>
    <w:p>
      <w:pPr>
        <w:pStyle w:val="BodyText"/>
        <w:spacing w:line="240" w:lineRule="auto"/>
        <w:ind w:left="145" w:right="91"/>
        <w:jc w:val="left"/>
      </w:pPr>
      <w:r>
        <w:rPr>
          <w:rFonts w:ascii="Arial" w:hAnsi="Arial" w:cs="Arial" w:eastAsia="Arial" w:hint="default"/>
        </w:rPr>
        <w:t>(3)</w:t>
      </w:r>
      <w:r>
        <w:rPr>
          <w:rFonts w:ascii="Arial" w:hAnsi="Arial" w:cs="Arial" w:eastAsia="Arial" w:hint="default"/>
          <w:spacing w:val="47"/>
        </w:rPr>
        <w:t> </w:t>
      </w:r>
      <w:r>
        <w:rPr/>
        <w:t>信息的保密</w:t>
      </w:r>
    </w:p>
    <w:p>
      <w:pPr>
        <w:spacing w:line="240" w:lineRule="auto" w:before="2"/>
        <w:rPr>
          <w:rFonts w:ascii="宋体" w:hAnsi="宋体" w:cs="宋体" w:eastAsia="宋体" w:hint="default"/>
          <w:sz w:val="18"/>
          <w:szCs w:val="18"/>
        </w:rPr>
      </w:pPr>
    </w:p>
    <w:p>
      <w:pPr>
        <w:pStyle w:val="BodyText"/>
        <w:spacing w:line="237" w:lineRule="auto"/>
        <w:ind w:left="505" w:right="91" w:firstLine="18"/>
        <w:jc w:val="left"/>
      </w:pPr>
      <w:r>
        <w:rPr>
          <w:spacing w:val="-3"/>
          <w:w w:val="99"/>
        </w:rPr>
        <w:t>为防止公司重大信息泄露，公司授权的信息披露负责人及公司内部知情人士对未公开披露的公</w:t>
      </w:r>
      <w:r>
        <w:rPr>
          <w:spacing w:val="-92"/>
          <w:w w:val="99"/>
        </w:rPr>
        <w:t> </w:t>
      </w:r>
      <w:r>
        <w:rPr>
          <w:spacing w:val="-92"/>
          <w:w w:val="99"/>
        </w:rPr>
      </w:r>
      <w:r>
        <w:rPr>
          <w:spacing w:val="-3"/>
        </w:rPr>
        <w:t>司信息负有保密责任。同时，公司应与聘请的会计师、律师等外部知情人士订立保密条款或制</w:t>
      </w:r>
      <w:r>
        <w:rPr>
          <w:spacing w:val="-91"/>
        </w:rPr>
        <w:t> </w:t>
      </w:r>
      <w:r>
        <w:rPr>
          <w:spacing w:val="-91"/>
        </w:rPr>
      </w:r>
      <w:r>
        <w:rPr/>
        <w:t>订严格的保密措施，确保信息在公开披露前不会对外泄露。在公司向公众披露有关信息之前，</w:t>
      </w:r>
      <w:r>
        <w:rPr>
          <w:w w:val="99"/>
        </w:rPr>
        <w:t> </w:t>
      </w:r>
      <w:r>
        <w:rPr/>
        <w:t>不应向董事、雇员及公司聘请的第三方顾问以外的人士透露该等信息。</w:t>
      </w:r>
    </w:p>
    <w:p>
      <w:pPr>
        <w:spacing w:line="240" w:lineRule="auto" w:before="3"/>
        <w:rPr>
          <w:rFonts w:ascii="宋体" w:hAnsi="宋体" w:cs="宋体" w:eastAsia="宋体" w:hint="default"/>
          <w:sz w:val="21"/>
          <w:szCs w:val="21"/>
        </w:rPr>
      </w:pPr>
    </w:p>
    <w:p>
      <w:pPr>
        <w:pStyle w:val="BodyText"/>
        <w:spacing w:line="286" w:lineRule="exact"/>
        <w:ind w:left="505" w:right="197"/>
        <w:jc w:val="left"/>
      </w:pPr>
      <w:r>
        <w:rPr>
          <w:spacing w:val="-2"/>
        </w:rPr>
        <w:t>公司内部人士接触的公司信息不应超过其需要知悉的程度。公司内部刊物或其他由公司负责的</w:t>
      </w:r>
      <w:r>
        <w:rPr>
          <w:w w:val="99"/>
        </w:rPr>
        <w:t> </w:t>
      </w:r>
      <w:r>
        <w:rPr/>
        <w:t>媒体中也不应包含未公开披露的公司信息。</w:t>
      </w:r>
    </w:p>
    <w:p>
      <w:pPr>
        <w:spacing w:after="0" w:line="286" w:lineRule="exact"/>
        <w:jc w:val="left"/>
        <w:sectPr>
          <w:pgSz w:w="11900" w:h="16840"/>
          <w:pgMar w:header="927" w:footer="752" w:top="1160" w:bottom="940" w:left="1340" w:right="900"/>
        </w:sectPr>
      </w:pPr>
    </w:p>
    <w:p>
      <w:pPr>
        <w:spacing w:line="240" w:lineRule="auto" w:before="11"/>
        <w:rPr>
          <w:rFonts w:ascii="宋体" w:hAnsi="宋体" w:cs="宋体" w:eastAsia="宋体" w:hint="default"/>
          <w:sz w:val="21"/>
          <w:szCs w:val="21"/>
        </w:rPr>
      </w:pPr>
    </w:p>
    <w:p>
      <w:pPr>
        <w:pStyle w:val="BodyText"/>
        <w:spacing w:line="240" w:lineRule="auto" w:before="31"/>
        <w:ind w:left="245" w:right="97"/>
        <w:jc w:val="left"/>
      </w:pPr>
      <w:r>
        <w:rPr>
          <w:rFonts w:ascii="Arial" w:hAnsi="Arial" w:cs="Arial" w:eastAsia="Arial" w:hint="default"/>
        </w:rPr>
        <w:t>(4)</w:t>
      </w:r>
      <w:r>
        <w:rPr>
          <w:rFonts w:ascii="Arial" w:hAnsi="Arial" w:cs="Arial" w:eastAsia="Arial" w:hint="default"/>
          <w:spacing w:val="47"/>
        </w:rPr>
        <w:t> </w:t>
      </w:r>
      <w:r>
        <w:rPr/>
        <w:t>处罚</w:t>
      </w:r>
    </w:p>
    <w:p>
      <w:pPr>
        <w:spacing w:line="240" w:lineRule="auto" w:before="3"/>
        <w:rPr>
          <w:rFonts w:ascii="宋体" w:hAnsi="宋体" w:cs="宋体" w:eastAsia="宋体" w:hint="default"/>
          <w:sz w:val="20"/>
          <w:szCs w:val="20"/>
        </w:rPr>
      </w:pPr>
    </w:p>
    <w:p>
      <w:pPr>
        <w:pStyle w:val="BodyText"/>
        <w:spacing w:line="284" w:lineRule="exact"/>
        <w:ind w:left="623" w:right="213"/>
        <w:jc w:val="both"/>
      </w:pPr>
      <w:r>
        <w:rPr>
          <w:spacing w:val="-3"/>
        </w:rPr>
        <w:t>对于违反公司保密规定，擅自发布公司信息造成重大影响的，按照公司保密管理相关规定进行</w:t>
      </w:r>
      <w:r>
        <w:rPr>
          <w:spacing w:val="-91"/>
        </w:rPr>
        <w:t> </w:t>
      </w:r>
      <w:r>
        <w:rPr>
          <w:spacing w:val="-91"/>
        </w:rPr>
      </w:r>
      <w:r>
        <w:rPr/>
        <w:t>处理。</w:t>
      </w:r>
    </w:p>
    <w:p>
      <w:pPr>
        <w:spacing w:line="240" w:lineRule="auto" w:before="5"/>
        <w:rPr>
          <w:rFonts w:ascii="宋体" w:hAnsi="宋体" w:cs="宋体" w:eastAsia="宋体" w:hint="default"/>
          <w:sz w:val="19"/>
          <w:szCs w:val="19"/>
        </w:rPr>
      </w:pPr>
    </w:p>
    <w:p>
      <w:pPr>
        <w:pStyle w:val="BodyText"/>
        <w:spacing w:line="286" w:lineRule="exact"/>
        <w:ind w:left="623" w:right="97"/>
        <w:jc w:val="left"/>
      </w:pPr>
      <w:r>
        <w:rPr>
          <w:spacing w:val="-3"/>
        </w:rPr>
        <w:t>由于工作失职或者在信息披露过程中不严格按照工作流程操作，导致公司信息披露违规，给公</w:t>
      </w:r>
      <w:r>
        <w:rPr>
          <w:spacing w:val="-91"/>
        </w:rPr>
        <w:t> </w:t>
      </w:r>
      <w:r>
        <w:rPr>
          <w:spacing w:val="-91"/>
        </w:rPr>
      </w:r>
      <w:r>
        <w:rPr/>
        <w:t>司造成严重影响或损失的，公司将对该责任人给予内部批评、警告，甚至解除其职务等处分。</w:t>
      </w:r>
    </w:p>
    <w:p>
      <w:pPr>
        <w:spacing w:line="240" w:lineRule="auto" w:before="3"/>
        <w:rPr>
          <w:rFonts w:ascii="宋体" w:hAnsi="宋体" w:cs="宋体" w:eastAsia="宋体" w:hint="default"/>
          <w:sz w:val="19"/>
          <w:szCs w:val="19"/>
        </w:rPr>
      </w:pPr>
    </w:p>
    <w:p>
      <w:pPr>
        <w:pStyle w:val="BodyText"/>
        <w:spacing w:line="286" w:lineRule="exact"/>
        <w:ind w:left="623" w:right="213"/>
        <w:jc w:val="both"/>
      </w:pPr>
      <w:r>
        <w:rPr>
          <w:spacing w:val="-3"/>
        </w:rPr>
        <w:t>根据该制度，公司加强了定期报告及重大事项在编制、审议和披露期间的对外信息报送和使用</w:t>
      </w:r>
      <w:r>
        <w:rPr>
          <w:spacing w:val="-91"/>
        </w:rPr>
        <w:t> </w:t>
      </w:r>
      <w:r>
        <w:rPr>
          <w:spacing w:val="-91"/>
        </w:rPr>
      </w:r>
      <w:r>
        <w:rPr>
          <w:spacing w:val="-3"/>
          <w:w w:val="99"/>
        </w:rPr>
        <w:t>的管理，明确规定公司授权的信息披露负责人及公司内部知情人士对未公开披露的公司信息负</w:t>
      </w:r>
      <w:r>
        <w:rPr>
          <w:spacing w:val="-74"/>
          <w:w w:val="99"/>
        </w:rPr>
        <w:t> </w:t>
      </w:r>
      <w:r>
        <w:rPr>
          <w:spacing w:val="-74"/>
          <w:w w:val="99"/>
        </w:rPr>
      </w:r>
      <w:r>
        <w:rPr>
          <w:spacing w:val="-3"/>
        </w:rPr>
        <w:t>有保密责任。本报告期内，公司在定期报告、临时公告编制过程中及重大事项筹划期间，未发</w:t>
      </w:r>
      <w:r>
        <w:rPr>
          <w:spacing w:val="-91"/>
        </w:rPr>
        <w:t> </w:t>
      </w:r>
      <w:r>
        <w:rPr>
          <w:spacing w:val="-91"/>
        </w:rPr>
      </w:r>
      <w:r>
        <w:rPr/>
        <w:t>生泄密事件。</w:t>
      </w:r>
    </w:p>
    <w:p>
      <w:pPr>
        <w:spacing w:line="240" w:lineRule="auto" w:before="1"/>
        <w:rPr>
          <w:rFonts w:ascii="宋体" w:hAnsi="宋体" w:cs="宋体" w:eastAsia="宋体" w:hint="default"/>
          <w:sz w:val="17"/>
          <w:szCs w:val="17"/>
        </w:rPr>
      </w:pPr>
    </w:p>
    <w:p>
      <w:pPr>
        <w:pStyle w:val="BodyText"/>
        <w:spacing w:line="240" w:lineRule="auto"/>
        <w:ind w:left="245" w:right="97"/>
        <w:jc w:val="left"/>
      </w:pPr>
      <w:r>
        <w:rPr>
          <w:rFonts w:ascii="Arial" w:hAnsi="Arial" w:cs="Arial" w:eastAsia="Arial" w:hint="default"/>
        </w:rPr>
        <w:t>6</w:t>
      </w:r>
      <w:r>
        <w:rPr/>
        <w:t>、董事会对于内部控制责任的声明</w:t>
      </w:r>
    </w:p>
    <w:p>
      <w:pPr>
        <w:spacing w:line="240" w:lineRule="auto" w:before="3"/>
        <w:rPr>
          <w:rFonts w:ascii="宋体" w:hAnsi="宋体" w:cs="宋体" w:eastAsia="宋体" w:hint="default"/>
          <w:sz w:val="20"/>
          <w:szCs w:val="20"/>
        </w:rPr>
      </w:pPr>
    </w:p>
    <w:p>
      <w:pPr>
        <w:pStyle w:val="BodyText"/>
        <w:spacing w:line="284" w:lineRule="exact"/>
        <w:ind w:left="623" w:right="214"/>
        <w:jc w:val="both"/>
      </w:pPr>
      <w:r>
        <w:rPr>
          <w:spacing w:val="-3"/>
          <w:w w:val="99"/>
        </w:rPr>
        <w:t>建立和维护充分的与财务报告相关内部控制制度是公司董事会责任。财务报告相关内部控制的</w:t>
      </w:r>
      <w:r>
        <w:rPr>
          <w:spacing w:val="-74"/>
          <w:w w:val="99"/>
        </w:rPr>
        <w:t> </w:t>
      </w:r>
      <w:r>
        <w:rPr>
          <w:spacing w:val="-74"/>
          <w:w w:val="99"/>
        </w:rPr>
      </w:r>
      <w:r>
        <w:rPr/>
        <w:t>目标是保证财务报告信息真实完整和可靠、防范重大错报风险。</w:t>
      </w:r>
    </w:p>
    <w:p>
      <w:pPr>
        <w:spacing w:line="240" w:lineRule="auto" w:before="3"/>
        <w:rPr>
          <w:rFonts w:ascii="宋体" w:hAnsi="宋体" w:cs="宋体" w:eastAsia="宋体" w:hint="default"/>
          <w:sz w:val="17"/>
          <w:szCs w:val="17"/>
        </w:rPr>
      </w:pPr>
    </w:p>
    <w:p>
      <w:pPr>
        <w:pStyle w:val="BodyText"/>
        <w:spacing w:line="295" w:lineRule="exact"/>
        <w:ind w:left="623" w:right="0"/>
        <w:jc w:val="both"/>
        <w:rPr>
          <w:rFonts w:ascii="Arial" w:hAnsi="Arial" w:cs="Arial" w:eastAsia="Arial" w:hint="default"/>
        </w:rPr>
      </w:pPr>
      <w:r>
        <w:rPr>
          <w:w w:val="99"/>
        </w:rPr>
        <w:t>通过持</w:t>
      </w:r>
      <w:r>
        <w:rPr>
          <w:spacing w:val="1"/>
          <w:w w:val="99"/>
        </w:rPr>
        <w:t>续的</w:t>
      </w:r>
      <w:r>
        <w:rPr>
          <w:w w:val="99"/>
        </w:rPr>
        <w:t>内控审</w:t>
      </w:r>
      <w:r>
        <w:rPr>
          <w:spacing w:val="1"/>
          <w:w w:val="99"/>
        </w:rPr>
        <w:t>计及</w:t>
      </w:r>
      <w:r>
        <w:rPr>
          <w:w w:val="99"/>
        </w:rPr>
        <w:t>自我评</w:t>
      </w:r>
      <w:r>
        <w:rPr>
          <w:spacing w:val="1"/>
          <w:w w:val="99"/>
        </w:rPr>
        <w:t>价</w:t>
      </w:r>
      <w:r>
        <w:rPr>
          <w:spacing w:val="-104"/>
          <w:w w:val="99"/>
        </w:rPr>
        <w:t>，</w:t>
      </w:r>
      <w:r>
        <w:rPr>
          <w:spacing w:val="1"/>
          <w:w w:val="99"/>
        </w:rPr>
        <w:t>本</w:t>
      </w:r>
      <w:r>
        <w:rPr>
          <w:w w:val="99"/>
        </w:rPr>
        <w:t>公司董</w:t>
      </w:r>
      <w:r>
        <w:rPr>
          <w:spacing w:val="1"/>
          <w:w w:val="99"/>
        </w:rPr>
        <w:t>事会</w:t>
      </w:r>
      <w:r>
        <w:rPr>
          <w:w w:val="99"/>
        </w:rPr>
        <w:t>认为</w:t>
      </w:r>
      <w:r>
        <w:rPr>
          <w:spacing w:val="-103"/>
          <w:w w:val="99"/>
        </w:rPr>
        <w:t>，</w:t>
      </w:r>
      <w:r>
        <w:rPr>
          <w:w w:val="99"/>
        </w:rPr>
        <w:t>公司</w:t>
      </w:r>
      <w:r>
        <w:rPr>
          <w:spacing w:val="1"/>
          <w:w w:val="99"/>
        </w:rPr>
        <w:t>与</w:t>
      </w:r>
      <w:r>
        <w:rPr>
          <w:w w:val="99"/>
        </w:rPr>
        <w:t>财务报</w:t>
      </w:r>
      <w:r>
        <w:rPr>
          <w:spacing w:val="1"/>
          <w:w w:val="99"/>
        </w:rPr>
        <w:t>告相</w:t>
      </w:r>
      <w:r>
        <w:rPr>
          <w:w w:val="99"/>
        </w:rPr>
        <w:t>关的内</w:t>
      </w:r>
      <w:r>
        <w:rPr>
          <w:spacing w:val="1"/>
          <w:w w:val="99"/>
        </w:rPr>
        <w:t>部控</w:t>
      </w:r>
      <w:r>
        <w:rPr>
          <w:w w:val="99"/>
        </w:rPr>
        <w:t>制在</w:t>
      </w:r>
      <w:r>
        <w:rPr>
          <w:spacing w:val="-55"/>
        </w:rPr>
        <w:t> </w:t>
      </w:r>
      <w:r>
        <w:rPr>
          <w:rFonts w:ascii="Arial" w:hAnsi="Arial" w:cs="Arial" w:eastAsia="Arial" w:hint="default"/>
          <w:w w:val="99"/>
        </w:rPr>
        <w:t>2011</w:t>
      </w:r>
      <w:r>
        <w:rPr>
          <w:rFonts w:ascii="Arial" w:hAnsi="Arial" w:cs="Arial" w:eastAsia="Arial" w:hint="default"/>
        </w:rPr>
      </w:r>
    </w:p>
    <w:p>
      <w:pPr>
        <w:pStyle w:val="BodyText"/>
        <w:spacing w:line="295" w:lineRule="exact"/>
        <w:ind w:left="623" w:right="0"/>
        <w:jc w:val="both"/>
      </w:pP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日有效；也未发现与非财务报告相关内部控制存在重大缺陷</w:t>
      </w:r>
      <w:r>
        <w:rPr>
          <w:spacing w:val="-1"/>
        </w:rPr>
        <w:t> </w:t>
      </w:r>
      <w:r>
        <w:rPr/>
        <w:t>。</w:t>
      </w:r>
    </w:p>
    <w:p>
      <w:pPr>
        <w:spacing w:line="240" w:lineRule="auto" w:before="12"/>
        <w:rPr>
          <w:rFonts w:ascii="宋体" w:hAnsi="宋体" w:cs="宋体" w:eastAsia="宋体" w:hint="default"/>
          <w:sz w:val="17"/>
          <w:szCs w:val="17"/>
        </w:rPr>
      </w:pPr>
    </w:p>
    <w:p>
      <w:pPr>
        <w:pStyle w:val="BodyText"/>
        <w:spacing w:line="240" w:lineRule="auto"/>
        <w:ind w:left="245" w:right="97"/>
        <w:jc w:val="left"/>
      </w:pPr>
      <w:r>
        <w:rPr>
          <w:rFonts w:ascii="Arial" w:hAnsi="Arial" w:cs="Arial" w:eastAsia="Arial" w:hint="default"/>
        </w:rPr>
        <w:t>7</w:t>
      </w:r>
      <w:r>
        <w:rPr/>
        <w:t>、内幕信息知情人登记管理制度的建立和执行情况</w:t>
      </w:r>
    </w:p>
    <w:p>
      <w:pPr>
        <w:spacing w:line="240" w:lineRule="auto" w:before="2"/>
        <w:rPr>
          <w:rFonts w:ascii="宋体" w:hAnsi="宋体" w:cs="宋体" w:eastAsia="宋体" w:hint="default"/>
          <w:sz w:val="18"/>
          <w:szCs w:val="18"/>
        </w:rPr>
      </w:pPr>
    </w:p>
    <w:p>
      <w:pPr>
        <w:pStyle w:val="BodyText"/>
        <w:spacing w:line="237" w:lineRule="auto"/>
        <w:ind w:left="623" w:right="213"/>
        <w:jc w:val="both"/>
      </w:pPr>
      <w:r>
        <w:rPr>
          <w:spacing w:val="-3"/>
        </w:rPr>
        <w:t>为进一步加强公司信息的保密管理，有效防控利用内幕信息进行的内幕交易，降低公司及公司</w:t>
      </w:r>
      <w:r>
        <w:rPr>
          <w:spacing w:val="-91"/>
        </w:rPr>
        <w:t> </w:t>
      </w:r>
      <w:r>
        <w:rPr>
          <w:spacing w:val="-91"/>
        </w:rPr>
      </w:r>
      <w:r>
        <w:rPr>
          <w:spacing w:val="-3"/>
        </w:rPr>
        <w:t>有关人员与内幕交易相关的法律风险，维护信息披露的公平原则，保护投资者的合法权益，公</w:t>
      </w:r>
      <w:r>
        <w:rPr>
          <w:spacing w:val="-91"/>
        </w:rPr>
        <w:t> </w:t>
      </w:r>
      <w:r>
        <w:rPr>
          <w:spacing w:val="-91"/>
        </w:rPr>
      </w:r>
      <w:r>
        <w:rPr/>
        <w:t>司制定了《内幕信息知情人登记制度》。</w:t>
      </w:r>
    </w:p>
    <w:p>
      <w:pPr>
        <w:spacing w:line="240" w:lineRule="auto" w:before="5"/>
        <w:rPr>
          <w:rFonts w:ascii="宋体" w:hAnsi="宋体" w:cs="宋体" w:eastAsia="宋体" w:hint="default"/>
          <w:sz w:val="21"/>
          <w:szCs w:val="21"/>
        </w:rPr>
      </w:pPr>
    </w:p>
    <w:p>
      <w:pPr>
        <w:pStyle w:val="BodyText"/>
        <w:spacing w:line="286" w:lineRule="exact"/>
        <w:ind w:left="623" w:right="214"/>
        <w:jc w:val="both"/>
      </w:pPr>
      <w:r>
        <w:rPr>
          <w:spacing w:val="-3"/>
          <w:w w:val="99"/>
        </w:rPr>
        <w:t>报告期内，公司未发生内幕信息知情人在影响公司股价的重大敏感信息披露前利用内幕信息买</w:t>
      </w:r>
      <w:r>
        <w:rPr>
          <w:spacing w:val="-74"/>
          <w:w w:val="99"/>
        </w:rPr>
        <w:t> </w:t>
      </w:r>
      <w:r>
        <w:rPr>
          <w:spacing w:val="-74"/>
          <w:w w:val="99"/>
        </w:rPr>
      </w:r>
      <w:r>
        <w:rPr/>
        <w:t>卖公司股份的情况。</w:t>
      </w:r>
    </w:p>
    <w:p>
      <w:pPr>
        <w:spacing w:line="240" w:lineRule="auto" w:before="3"/>
        <w:rPr>
          <w:rFonts w:ascii="宋体" w:hAnsi="宋体" w:cs="宋体" w:eastAsia="宋体" w:hint="default"/>
          <w:sz w:val="19"/>
          <w:szCs w:val="19"/>
        </w:rPr>
      </w:pPr>
    </w:p>
    <w:p>
      <w:pPr>
        <w:pStyle w:val="BodyText"/>
        <w:spacing w:line="286" w:lineRule="exact"/>
        <w:ind w:left="605" w:right="97" w:hanging="360"/>
        <w:jc w:val="left"/>
      </w:pPr>
      <w:r>
        <w:rPr>
          <w:rFonts w:ascii="Arial" w:hAnsi="Arial" w:cs="Arial" w:eastAsia="Arial" w:hint="default"/>
        </w:rPr>
        <w:t>8</w:t>
      </w:r>
      <w:r>
        <w:rPr/>
        <w:t>、公司通过自查未发现内幕信息知情人在影响公司股价的重大敏感信息披露前利用内幕信息买</w:t>
      </w:r>
      <w:r>
        <w:rPr>
          <w:spacing w:val="-94"/>
        </w:rPr>
        <w:t> </w:t>
      </w:r>
      <w:r>
        <w:rPr>
          <w:spacing w:val="-94"/>
        </w:rPr>
      </w:r>
      <w:r>
        <w:rPr/>
        <w:t>卖公司股份的情况。</w:t>
      </w:r>
    </w:p>
    <w:p>
      <w:pPr>
        <w:spacing w:line="240" w:lineRule="auto" w:before="2"/>
        <w:rPr>
          <w:rFonts w:ascii="宋体" w:hAnsi="宋体" w:cs="宋体" w:eastAsia="宋体" w:hint="default"/>
          <w:sz w:val="17"/>
          <w:szCs w:val="17"/>
        </w:rPr>
      </w:pPr>
    </w:p>
    <w:p>
      <w:pPr>
        <w:pStyle w:val="BodyText"/>
        <w:spacing w:line="240" w:lineRule="auto"/>
        <w:ind w:left="623" w:right="0"/>
        <w:jc w:val="both"/>
      </w:pPr>
      <w:r>
        <w:rPr/>
        <w:t>在报告期内，公司没有发生被监管部门采取监管措施及行政处罚的情况。</w:t>
      </w:r>
    </w:p>
    <w:p>
      <w:pPr>
        <w:spacing w:line="240" w:lineRule="auto" w:before="1"/>
        <w:rPr>
          <w:rFonts w:ascii="宋体" w:hAnsi="宋体" w:cs="宋体" w:eastAsia="宋体" w:hint="default"/>
          <w:sz w:val="19"/>
          <w:szCs w:val="19"/>
        </w:rPr>
      </w:pPr>
    </w:p>
    <w:p>
      <w:pPr>
        <w:pStyle w:val="BodyText"/>
        <w:spacing w:line="424" w:lineRule="auto"/>
        <w:ind w:left="623" w:right="2957" w:hanging="378"/>
        <w:jc w:val="left"/>
      </w:pPr>
      <w:r>
        <w:rPr>
          <w:rFonts w:ascii="Arial" w:hAnsi="Arial" w:cs="Arial" w:eastAsia="Arial" w:hint="default"/>
        </w:rPr>
        <w:t>9</w:t>
      </w:r>
      <w:r>
        <w:rPr/>
        <w:t>、公司及其子公司未被列入环保部门公布的污染严重企业名单。</w:t>
      </w:r>
      <w:r>
        <w:rPr>
          <w:w w:val="99"/>
        </w:rPr>
        <w:t> </w:t>
      </w:r>
      <w:r>
        <w:rPr/>
        <w:t>公司不存在重大环保问题，公司不存在其他重大社会安全问题。</w:t>
      </w:r>
    </w:p>
    <w:p>
      <w:pPr>
        <w:pStyle w:val="BodyText"/>
        <w:spacing w:line="240" w:lineRule="auto" w:before="80"/>
        <w:ind w:left="103" w:right="97"/>
        <w:jc w:val="left"/>
      </w:pPr>
      <w:r>
        <w:rPr/>
        <w:t>（五）现金分红政策的制定及执行情况</w:t>
      </w:r>
    </w:p>
    <w:p>
      <w:pPr>
        <w:spacing w:line="240" w:lineRule="auto" w:before="4"/>
        <w:rPr>
          <w:rFonts w:ascii="宋体" w:hAnsi="宋体" w:cs="宋体" w:eastAsia="宋体" w:hint="default"/>
          <w:sz w:val="21"/>
          <w:szCs w:val="21"/>
        </w:rPr>
      </w:pPr>
    </w:p>
    <w:p>
      <w:pPr>
        <w:pStyle w:val="BodyText"/>
        <w:spacing w:line="286" w:lineRule="exact"/>
        <w:ind w:left="667" w:right="287"/>
        <w:jc w:val="both"/>
      </w:pPr>
      <w:r>
        <w:rPr/>
        <w:t>本公司股东（包括少数股东）目前通过股东投票的渗透机制，参与本公司子公司联通红筹公</w:t>
      </w:r>
      <w:r>
        <w:rPr>
          <w:w w:val="99"/>
        </w:rPr>
        <w:t> </w:t>
      </w:r>
      <w:r>
        <w:rPr/>
        <w:t>司的股利分配决策。</w:t>
      </w:r>
    </w:p>
    <w:p>
      <w:pPr>
        <w:spacing w:line="240" w:lineRule="auto" w:before="9"/>
        <w:rPr>
          <w:rFonts w:ascii="宋体" w:hAnsi="宋体" w:cs="宋体" w:eastAsia="宋体" w:hint="default"/>
          <w:sz w:val="17"/>
          <w:szCs w:val="17"/>
        </w:rPr>
      </w:pPr>
    </w:p>
    <w:p>
      <w:pPr>
        <w:pStyle w:val="BodyText"/>
        <w:spacing w:line="232" w:lineRule="auto"/>
        <w:ind w:left="667" w:right="202"/>
        <w:jc w:val="left"/>
      </w:pPr>
      <w:r>
        <w:rPr/>
        <w:t>根据本公司《公司章程》第</w:t>
      </w:r>
      <w:r>
        <w:rPr>
          <w:spacing w:val="-56"/>
        </w:rPr>
        <w:t> </w:t>
      </w:r>
      <w:r>
        <w:rPr>
          <w:rFonts w:ascii="Arial" w:hAnsi="Arial" w:cs="Arial" w:eastAsia="Arial" w:hint="default"/>
        </w:rPr>
        <w:t>157</w:t>
      </w:r>
      <w:r>
        <w:rPr>
          <w:rFonts w:ascii="Arial" w:hAnsi="Arial" w:cs="Arial" w:eastAsia="Arial" w:hint="default"/>
          <w:spacing w:val="-7"/>
        </w:rPr>
        <w:t> </w:t>
      </w:r>
      <w:r>
        <w:rPr/>
        <w:t>条的规定，“本公司应当将自联通红筹公司分红所得的现金</w:t>
      </w:r>
      <w:r>
        <w:rPr>
          <w:w w:val="99"/>
        </w:rPr>
        <w:t> </w:t>
      </w:r>
      <w:r>
        <w:rPr/>
        <w:t>在扣除日常现金开支、税费及法律法规规定应当提取的各项基金后以现金方式全额分配给股</w:t>
      </w:r>
      <w:r>
        <w:rPr>
          <w:w w:val="99"/>
        </w:rPr>
        <w:t> </w:t>
      </w:r>
      <w:r>
        <w:rPr>
          <w:spacing w:val="-9"/>
        </w:rPr>
        <w:t>东。”本公司自</w:t>
      </w:r>
      <w:r>
        <w:rPr>
          <w:spacing w:val="-68"/>
        </w:rPr>
        <w:t> </w:t>
      </w:r>
      <w:r>
        <w:rPr>
          <w:rFonts w:ascii="Arial" w:hAnsi="Arial" w:cs="Arial" w:eastAsia="Arial" w:hint="default"/>
        </w:rPr>
        <w:t>2003</w:t>
      </w:r>
      <w:r>
        <w:rPr>
          <w:rFonts w:ascii="Arial" w:hAnsi="Arial" w:cs="Arial" w:eastAsia="Arial" w:hint="default"/>
          <w:spacing w:val="-19"/>
        </w:rPr>
        <w:t> </w:t>
      </w:r>
      <w:r>
        <w:rPr/>
        <w:t>年起至今每年均严格按照上述公司的股利分配政策，将每年获得的联通</w:t>
      </w:r>
      <w:r>
        <w:rPr>
          <w:w w:val="99"/>
        </w:rPr>
        <w:t> </w:t>
      </w:r>
      <w:r>
        <w:rPr/>
        <w:t>红筹公司派发的现金股利在扣除本公司自身的日常现金开支、税费及应当提取的法定盈余公</w:t>
      </w:r>
      <w:r>
        <w:rPr>
          <w:w w:val="99"/>
        </w:rPr>
        <w:t> </w:t>
      </w:r>
      <w:r>
        <w:rPr/>
        <w:t>积后全部分配给本公司股东。</w:t>
      </w:r>
    </w:p>
    <w:p>
      <w:pPr>
        <w:spacing w:after="0" w:line="232" w:lineRule="auto"/>
        <w:jc w:val="left"/>
        <w:sectPr>
          <w:pgSz w:w="11900" w:h="16840"/>
          <w:pgMar w:header="927" w:footer="752" w:top="1160" w:bottom="940" w:left="124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95" w:lineRule="exact" w:before="31"/>
        <w:ind w:left="788" w:right="0"/>
        <w:jc w:val="left"/>
      </w:pPr>
      <w:r>
        <w:rPr/>
        <w:t>本公司</w:t>
      </w:r>
      <w:r>
        <w:rPr>
          <w:spacing w:val="-56"/>
        </w:rPr>
        <w:t> </w:t>
      </w:r>
      <w:r>
        <w:rPr>
          <w:rFonts w:ascii="Arial" w:hAnsi="Arial" w:cs="Arial" w:eastAsia="Arial" w:hint="default"/>
        </w:rPr>
        <w:t>2010</w:t>
      </w:r>
      <w:r>
        <w:rPr>
          <w:rFonts w:ascii="Arial" w:hAnsi="Arial" w:cs="Arial" w:eastAsia="Arial" w:hint="default"/>
          <w:spacing w:val="-7"/>
        </w:rPr>
        <w:t> </w:t>
      </w:r>
      <w:r>
        <w:rPr/>
        <w:t>年度利润分配方案为：按本公司</w:t>
      </w:r>
      <w:r>
        <w:rPr>
          <w:spacing w:val="-55"/>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日总股本</w:t>
      </w:r>
      <w:r>
        <w:rPr>
          <w:spacing w:val="-56"/>
        </w:rPr>
        <w:t> </w:t>
      </w:r>
      <w:r>
        <w:rPr>
          <w:rFonts w:ascii="Arial" w:hAnsi="Arial" w:cs="Arial" w:eastAsia="Arial" w:hint="default"/>
        </w:rPr>
        <w:t>211.97</w:t>
      </w:r>
      <w:r>
        <w:rPr>
          <w:rFonts w:ascii="Arial" w:hAnsi="Arial" w:cs="Arial" w:eastAsia="Arial" w:hint="default"/>
          <w:spacing w:val="-7"/>
        </w:rPr>
        <w:t> </w:t>
      </w:r>
      <w:r>
        <w:rPr/>
        <w:t>亿股计，每</w:t>
      </w:r>
    </w:p>
    <w:p>
      <w:pPr>
        <w:pStyle w:val="BodyText"/>
        <w:spacing w:line="285" w:lineRule="exact"/>
        <w:ind w:left="788" w:right="0"/>
        <w:jc w:val="left"/>
      </w:pPr>
      <w:r>
        <w:rPr>
          <w:rFonts w:ascii="Arial" w:hAnsi="Arial" w:cs="Arial" w:eastAsia="Arial" w:hint="default"/>
        </w:rPr>
        <w:t>10</w:t>
      </w:r>
      <w:r>
        <w:rPr>
          <w:rFonts w:ascii="Arial" w:hAnsi="Arial" w:cs="Arial" w:eastAsia="Arial" w:hint="default"/>
          <w:spacing w:val="-9"/>
        </w:rPr>
        <w:t> </w:t>
      </w:r>
      <w:r>
        <w:rPr/>
        <w:t>股派发现金股息</w:t>
      </w:r>
      <w:r>
        <w:rPr>
          <w:spacing w:val="-58"/>
        </w:rPr>
        <w:t> </w:t>
      </w:r>
      <w:r>
        <w:rPr>
          <w:rFonts w:ascii="Arial" w:hAnsi="Arial" w:cs="Arial" w:eastAsia="Arial" w:hint="default"/>
        </w:rPr>
        <w:t>0.26</w:t>
      </w:r>
      <w:r>
        <w:rPr>
          <w:rFonts w:ascii="Arial" w:hAnsi="Arial" w:cs="Arial" w:eastAsia="Arial" w:hint="default"/>
          <w:spacing w:val="-9"/>
        </w:rPr>
        <w:t> </w:t>
      </w:r>
      <w:r>
        <w:rPr>
          <w:spacing w:val="-7"/>
        </w:rPr>
        <w:t>元（含税），共计</w:t>
      </w:r>
      <w:r>
        <w:rPr>
          <w:spacing w:val="-58"/>
        </w:rPr>
        <w:t> </w:t>
      </w:r>
      <w:r>
        <w:rPr>
          <w:rFonts w:ascii="Arial" w:hAnsi="Arial" w:cs="Arial" w:eastAsia="Arial" w:hint="default"/>
        </w:rPr>
        <w:t>5.51</w:t>
      </w:r>
      <w:r>
        <w:rPr>
          <w:rFonts w:ascii="Arial" w:hAnsi="Arial" w:cs="Arial" w:eastAsia="Arial" w:hint="default"/>
          <w:spacing w:val="-9"/>
        </w:rPr>
        <w:t> </w:t>
      </w:r>
      <w:r>
        <w:rPr/>
        <w:t>亿元。该利润分配方案经</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5</w:t>
      </w:r>
      <w:r>
        <w:rPr>
          <w:rFonts w:ascii="Arial" w:hAnsi="Arial" w:cs="Arial" w:eastAsia="Arial" w:hint="default"/>
          <w:spacing w:val="-9"/>
        </w:rPr>
        <w:t> </w:t>
      </w:r>
      <w:r>
        <w:rPr/>
        <w:t>月</w:t>
      </w:r>
      <w:r>
        <w:rPr>
          <w:spacing w:val="-58"/>
        </w:rPr>
        <w:t> </w:t>
      </w:r>
      <w:r>
        <w:rPr>
          <w:rFonts w:ascii="Arial" w:hAnsi="Arial" w:cs="Arial" w:eastAsia="Arial" w:hint="default"/>
        </w:rPr>
        <w:t>24</w:t>
      </w:r>
      <w:r>
        <w:rPr>
          <w:rFonts w:ascii="Arial" w:hAnsi="Arial" w:cs="Arial" w:eastAsia="Arial" w:hint="default"/>
          <w:spacing w:val="-8"/>
        </w:rPr>
        <w:t> </w:t>
      </w:r>
      <w:r>
        <w:rPr/>
        <w:t>日</w:t>
      </w:r>
    </w:p>
    <w:p>
      <w:pPr>
        <w:pStyle w:val="BodyText"/>
        <w:spacing w:line="294" w:lineRule="exact"/>
        <w:ind w:left="788" w:right="0"/>
        <w:jc w:val="left"/>
      </w:pPr>
      <w:r>
        <w:rPr/>
        <w:t>召开的本公司股东大会审议通过后，于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w:t>
      </w:r>
      <w:r>
        <w:rPr>
          <w:spacing w:val="-56"/>
        </w:rPr>
        <w:t> </w:t>
      </w:r>
      <w:r>
        <w:rPr>
          <w:rFonts w:ascii="Arial" w:hAnsi="Arial" w:cs="Arial" w:eastAsia="Arial" w:hint="default"/>
        </w:rPr>
        <w:t>6</w:t>
      </w:r>
      <w:r>
        <w:rPr>
          <w:rFonts w:ascii="Arial" w:hAnsi="Arial" w:cs="Arial" w:eastAsia="Arial" w:hint="default"/>
          <w:spacing w:val="-7"/>
        </w:rPr>
        <w:t> </w:t>
      </w:r>
      <w:r>
        <w:rPr/>
        <w:t>日实施。</w:t>
      </w:r>
    </w:p>
    <w:p>
      <w:pPr>
        <w:spacing w:line="240" w:lineRule="auto" w:before="13"/>
        <w:rPr>
          <w:rFonts w:ascii="宋体" w:hAnsi="宋体" w:cs="宋体" w:eastAsia="宋体" w:hint="default"/>
          <w:sz w:val="17"/>
          <w:szCs w:val="17"/>
        </w:rPr>
      </w:pPr>
    </w:p>
    <w:p>
      <w:pPr>
        <w:pStyle w:val="BodyText"/>
        <w:spacing w:line="240" w:lineRule="auto"/>
        <w:ind w:left="94" w:right="5565"/>
        <w:jc w:val="center"/>
      </w:pPr>
      <w:r>
        <w:rPr/>
        <w:t>（六）利润分配或资本公积金转增股本预案</w:t>
      </w:r>
    </w:p>
    <w:p>
      <w:pPr>
        <w:spacing w:line="240" w:lineRule="auto" w:before="1"/>
        <w:rPr>
          <w:rFonts w:ascii="宋体" w:hAnsi="宋体" w:cs="宋体" w:eastAsia="宋体" w:hint="default"/>
          <w:sz w:val="19"/>
          <w:szCs w:val="19"/>
        </w:rPr>
      </w:pPr>
    </w:p>
    <w:p>
      <w:pPr>
        <w:pStyle w:val="BodyText"/>
        <w:spacing w:line="240" w:lineRule="auto"/>
        <w:ind w:left="788" w:right="0"/>
        <w:jc w:val="left"/>
      </w:pPr>
      <w:r>
        <w:rPr>
          <w:rFonts w:ascii="Arial" w:hAnsi="Arial" w:cs="Arial" w:eastAsia="Arial" w:hint="default"/>
        </w:rPr>
        <w:t>1</w:t>
      </w:r>
      <w:r>
        <w:rPr/>
        <w:t>、投资收益及可供分配利润情况</w:t>
      </w:r>
    </w:p>
    <w:p>
      <w:pPr>
        <w:spacing w:line="240" w:lineRule="auto" w:before="13"/>
        <w:rPr>
          <w:rFonts w:ascii="宋体" w:hAnsi="宋体" w:cs="宋体" w:eastAsia="宋体" w:hint="default"/>
          <w:sz w:val="17"/>
          <w:szCs w:val="17"/>
        </w:rPr>
      </w:pPr>
    </w:p>
    <w:p>
      <w:pPr>
        <w:pStyle w:val="BodyText"/>
        <w:spacing w:line="240" w:lineRule="auto"/>
        <w:ind w:left="1113" w:right="0"/>
        <w:jc w:val="both"/>
      </w:pPr>
      <w:r>
        <w:rPr/>
        <w:t>（</w:t>
      </w:r>
      <w:r>
        <w:rPr>
          <w:rFonts w:ascii="Arial" w:hAnsi="Arial" w:cs="Arial" w:eastAsia="Arial" w:hint="default"/>
        </w:rPr>
        <w:t>1</w:t>
      </w:r>
      <w:r>
        <w:rPr/>
        <w:t>）按股权比例分享投资收益情况</w:t>
      </w:r>
    </w:p>
    <w:p>
      <w:pPr>
        <w:spacing w:line="240" w:lineRule="auto" w:before="13"/>
        <w:rPr>
          <w:rFonts w:ascii="宋体" w:hAnsi="宋体" w:cs="宋体" w:eastAsia="宋体" w:hint="default"/>
          <w:sz w:val="17"/>
          <w:szCs w:val="17"/>
        </w:rPr>
      </w:pPr>
    </w:p>
    <w:p>
      <w:pPr>
        <w:pStyle w:val="BodyText"/>
        <w:spacing w:line="240" w:lineRule="auto"/>
        <w:ind w:left="1671" w:right="0"/>
        <w:jc w:val="left"/>
      </w:pPr>
      <w:r>
        <w:rPr>
          <w:rFonts w:ascii="Arial" w:hAnsi="Arial" w:cs="Arial" w:eastAsia="Arial" w:hint="default"/>
        </w:rPr>
        <w:t>2011</w:t>
      </w:r>
      <w:r>
        <w:rPr>
          <w:rFonts w:ascii="Arial" w:hAnsi="Arial" w:cs="Arial" w:eastAsia="Arial" w:hint="default"/>
          <w:spacing w:val="-8"/>
        </w:rPr>
        <w:t> </w:t>
      </w:r>
      <w:r>
        <w:rPr/>
        <w:t>年度收到联通</w:t>
      </w:r>
      <w:r>
        <w:rPr>
          <w:spacing w:val="-57"/>
        </w:rPr>
        <w:t> </w:t>
      </w:r>
      <w:r>
        <w:rPr>
          <w:rFonts w:ascii="Arial" w:hAnsi="Arial" w:cs="Arial" w:eastAsia="Arial" w:hint="default"/>
        </w:rPr>
        <w:t>BVI</w:t>
      </w:r>
      <w:r>
        <w:rPr>
          <w:rFonts w:ascii="Arial" w:hAnsi="Arial" w:cs="Arial" w:eastAsia="Arial" w:hint="default"/>
          <w:spacing w:val="-7"/>
        </w:rPr>
        <w:t> </w:t>
      </w:r>
      <w:r>
        <w:rPr/>
        <w:t>公司分红款</w:t>
      </w:r>
      <w:r>
        <w:rPr>
          <w:spacing w:val="-56"/>
        </w:rPr>
        <w:t> </w:t>
      </w:r>
      <w:r>
        <w:rPr>
          <w:rFonts w:ascii="Arial" w:hAnsi="Arial" w:cs="Arial" w:eastAsia="Arial" w:hint="default"/>
        </w:rPr>
        <w:t>6.26</w:t>
      </w:r>
      <w:r>
        <w:rPr>
          <w:rFonts w:ascii="Arial" w:hAnsi="Arial" w:cs="Arial" w:eastAsia="Arial" w:hint="default"/>
          <w:spacing w:val="-8"/>
        </w:rPr>
        <w:t> </w:t>
      </w:r>
      <w:r>
        <w:rPr/>
        <w:t>亿元（人民币，下同）确认为投资收益。</w:t>
      </w:r>
    </w:p>
    <w:p>
      <w:pPr>
        <w:spacing w:line="240" w:lineRule="auto" w:before="12"/>
        <w:rPr>
          <w:rFonts w:ascii="宋体" w:hAnsi="宋体" w:cs="宋体" w:eastAsia="宋体" w:hint="default"/>
          <w:sz w:val="17"/>
          <w:szCs w:val="17"/>
        </w:rPr>
      </w:pPr>
    </w:p>
    <w:p>
      <w:pPr>
        <w:pStyle w:val="BodyText"/>
        <w:spacing w:line="240" w:lineRule="auto"/>
        <w:ind w:left="1113" w:right="0"/>
        <w:jc w:val="both"/>
      </w:pPr>
      <w:r>
        <w:rPr/>
        <w:t>（</w:t>
      </w:r>
      <w:r>
        <w:rPr>
          <w:rFonts w:ascii="Arial" w:hAnsi="Arial" w:cs="Arial" w:eastAsia="Arial" w:hint="default"/>
        </w:rPr>
        <w:t>2</w:t>
      </w:r>
      <w:r>
        <w:rPr/>
        <w:t>）可供股东分配的利润</w:t>
      </w:r>
    </w:p>
    <w:p>
      <w:pPr>
        <w:spacing w:line="240" w:lineRule="auto" w:before="13"/>
        <w:rPr>
          <w:rFonts w:ascii="宋体" w:hAnsi="宋体" w:cs="宋体" w:eastAsia="宋体" w:hint="default"/>
          <w:sz w:val="17"/>
          <w:szCs w:val="17"/>
        </w:rPr>
      </w:pPr>
    </w:p>
    <w:p>
      <w:pPr>
        <w:pStyle w:val="BodyText"/>
        <w:spacing w:line="295" w:lineRule="exact"/>
        <w:ind w:left="1671" w:right="0"/>
        <w:jc w:val="left"/>
      </w:pPr>
      <w:r>
        <w:rPr/>
        <w:t>扣除公司本部费用</w:t>
      </w:r>
      <w:r>
        <w:rPr>
          <w:spacing w:val="-56"/>
        </w:rPr>
        <w:t> </w:t>
      </w:r>
      <w:r>
        <w:rPr>
          <w:rFonts w:ascii="Arial" w:hAnsi="Arial" w:cs="Arial" w:eastAsia="Arial" w:hint="default"/>
        </w:rPr>
        <w:t>0.10</w:t>
      </w:r>
      <w:r>
        <w:rPr>
          <w:rFonts w:ascii="Arial" w:hAnsi="Arial" w:cs="Arial" w:eastAsia="Arial" w:hint="default"/>
          <w:spacing w:val="-7"/>
        </w:rPr>
        <w:t> </w:t>
      </w:r>
      <w:r>
        <w:rPr>
          <w:spacing w:val="-5"/>
        </w:rPr>
        <w:t>亿元后，本公司</w:t>
      </w:r>
      <w:r>
        <w:rPr>
          <w:spacing w:val="-56"/>
        </w:rPr>
        <w:t> </w:t>
      </w:r>
      <w:r>
        <w:rPr>
          <w:rFonts w:ascii="Arial" w:hAnsi="Arial" w:cs="Arial" w:eastAsia="Arial" w:hint="default"/>
        </w:rPr>
        <w:t>2011</w:t>
      </w:r>
      <w:r>
        <w:rPr>
          <w:rFonts w:ascii="Arial" w:hAnsi="Arial" w:cs="Arial" w:eastAsia="Arial" w:hint="default"/>
          <w:spacing w:val="-7"/>
        </w:rPr>
        <w:t> </w:t>
      </w:r>
      <w:r>
        <w:rPr/>
        <w:t>年度实现净利润为</w:t>
      </w:r>
      <w:r>
        <w:rPr>
          <w:spacing w:val="-56"/>
        </w:rPr>
        <w:t> </w:t>
      </w:r>
      <w:r>
        <w:rPr>
          <w:rFonts w:ascii="Arial" w:hAnsi="Arial" w:cs="Arial" w:eastAsia="Arial" w:hint="default"/>
        </w:rPr>
        <w:t>6.15</w:t>
      </w:r>
      <w:r>
        <w:rPr>
          <w:rFonts w:ascii="Arial" w:hAnsi="Arial" w:cs="Arial" w:eastAsia="Arial" w:hint="default"/>
          <w:spacing w:val="-7"/>
        </w:rPr>
        <w:t> </w:t>
      </w:r>
      <w:r>
        <w:rPr>
          <w:spacing w:val="-6"/>
        </w:rPr>
        <w:t>亿元。按合并</w:t>
      </w:r>
    </w:p>
    <w:p>
      <w:pPr>
        <w:pStyle w:val="BodyText"/>
        <w:spacing w:line="285" w:lineRule="exact"/>
        <w:ind w:left="1671" w:right="0"/>
        <w:jc w:val="left"/>
      </w:pPr>
      <w:r>
        <w:rPr/>
        <w:t>报表计算，本公司</w:t>
      </w:r>
      <w:r>
        <w:rPr>
          <w:spacing w:val="-57"/>
        </w:rPr>
        <w:t> </w:t>
      </w:r>
      <w:r>
        <w:rPr>
          <w:rFonts w:ascii="Arial" w:hAnsi="Arial" w:cs="Arial" w:eastAsia="Arial" w:hint="default"/>
        </w:rPr>
        <w:t>2011</w:t>
      </w:r>
      <w:r>
        <w:rPr>
          <w:rFonts w:ascii="Arial" w:hAnsi="Arial" w:cs="Arial" w:eastAsia="Arial" w:hint="default"/>
          <w:spacing w:val="-8"/>
        </w:rPr>
        <w:t> </w:t>
      </w:r>
      <w:r>
        <w:rPr/>
        <w:t>年度实现净利润为</w:t>
      </w:r>
      <w:r>
        <w:rPr>
          <w:spacing w:val="-57"/>
        </w:rPr>
        <w:t> </w:t>
      </w:r>
      <w:r>
        <w:rPr>
          <w:rFonts w:ascii="Arial" w:hAnsi="Arial" w:cs="Arial" w:eastAsia="Arial" w:hint="default"/>
        </w:rPr>
        <w:t>41.9</w:t>
      </w:r>
      <w:r>
        <w:rPr>
          <w:rFonts w:ascii="Arial" w:hAnsi="Arial" w:cs="Arial" w:eastAsia="Arial" w:hint="default"/>
          <w:spacing w:val="-8"/>
        </w:rPr>
        <w:t> </w:t>
      </w:r>
      <w:r>
        <w:rPr/>
        <w:t>亿元，其中归属于母公司普通股股</w:t>
      </w:r>
    </w:p>
    <w:p>
      <w:pPr>
        <w:pStyle w:val="BodyText"/>
        <w:spacing w:line="286" w:lineRule="exact" w:before="18"/>
        <w:ind w:left="1671" w:right="207"/>
        <w:jc w:val="left"/>
      </w:pPr>
      <w:r>
        <w:rPr/>
        <w:t>东的净利润为</w:t>
      </w:r>
      <w:r>
        <w:rPr>
          <w:spacing w:val="-62"/>
        </w:rPr>
        <w:t> </w:t>
      </w:r>
      <w:r>
        <w:rPr>
          <w:rFonts w:ascii="Arial" w:hAnsi="Arial" w:cs="Arial" w:eastAsia="Arial" w:hint="default"/>
        </w:rPr>
        <w:t>14.1</w:t>
      </w:r>
      <w:r>
        <w:rPr>
          <w:rFonts w:ascii="Arial" w:hAnsi="Arial" w:cs="Arial" w:eastAsia="Arial" w:hint="default"/>
          <w:spacing w:val="-13"/>
        </w:rPr>
        <w:t> </w:t>
      </w:r>
      <w:r>
        <w:rPr/>
        <w:t>亿元。基本每股收益为</w:t>
      </w:r>
      <w:r>
        <w:rPr>
          <w:spacing w:val="-62"/>
        </w:rPr>
        <w:t> </w:t>
      </w:r>
      <w:r>
        <w:rPr>
          <w:rFonts w:ascii="Arial" w:hAnsi="Arial" w:cs="Arial" w:eastAsia="Arial" w:hint="default"/>
        </w:rPr>
        <w:t>0.067</w:t>
      </w:r>
      <w:r>
        <w:rPr>
          <w:rFonts w:ascii="Arial" w:hAnsi="Arial" w:cs="Arial" w:eastAsia="Arial" w:hint="default"/>
          <w:spacing w:val="-13"/>
        </w:rPr>
        <w:t> </w:t>
      </w:r>
      <w:r>
        <w:rPr>
          <w:spacing w:val="-3"/>
        </w:rPr>
        <w:t>元，较上年上升</w:t>
      </w:r>
      <w:r>
        <w:rPr>
          <w:spacing w:val="-62"/>
        </w:rPr>
        <w:t> </w:t>
      </w:r>
      <w:r>
        <w:rPr>
          <w:rFonts w:ascii="Arial" w:hAnsi="Arial" w:cs="Arial" w:eastAsia="Arial" w:hint="default"/>
        </w:rPr>
        <w:t>14.4%</w:t>
      </w:r>
      <w:r>
        <w:rPr/>
        <w:t>。剔除初装</w:t>
      </w:r>
      <w:r>
        <w:rPr>
          <w:spacing w:val="1"/>
          <w:w w:val="99"/>
        </w:rPr>
        <w:t> </w:t>
      </w:r>
      <w:r>
        <w:rPr/>
        <w:t>费递延收入后基本每股收益为</w:t>
      </w:r>
      <w:r>
        <w:rPr>
          <w:spacing w:val="-57"/>
        </w:rPr>
        <w:t> </w:t>
      </w:r>
      <w:r>
        <w:rPr>
          <w:rFonts w:ascii="Arial" w:hAnsi="Arial" w:cs="Arial" w:eastAsia="Arial" w:hint="default"/>
        </w:rPr>
        <w:t>0.066</w:t>
      </w:r>
      <w:r>
        <w:rPr>
          <w:rFonts w:ascii="Arial" w:hAnsi="Arial" w:cs="Arial" w:eastAsia="Arial" w:hint="default"/>
          <w:spacing w:val="-8"/>
        </w:rPr>
        <w:t> </w:t>
      </w:r>
      <w:r>
        <w:rPr/>
        <w:t>元，较上年上升</w:t>
      </w:r>
      <w:r>
        <w:rPr>
          <w:spacing w:val="-57"/>
        </w:rPr>
        <w:t> </w:t>
      </w:r>
      <w:r>
        <w:rPr>
          <w:rFonts w:ascii="Arial" w:hAnsi="Arial" w:cs="Arial" w:eastAsia="Arial" w:hint="default"/>
        </w:rPr>
        <w:t>20.3%</w:t>
      </w:r>
      <w:r>
        <w:rPr/>
        <w:t>。</w:t>
      </w:r>
    </w:p>
    <w:p>
      <w:pPr>
        <w:spacing w:line="240" w:lineRule="auto" w:before="2"/>
        <w:rPr>
          <w:rFonts w:ascii="宋体" w:hAnsi="宋体" w:cs="宋体" w:eastAsia="宋体" w:hint="default"/>
          <w:sz w:val="17"/>
          <w:szCs w:val="17"/>
        </w:rPr>
      </w:pPr>
    </w:p>
    <w:p>
      <w:pPr>
        <w:pStyle w:val="BodyText"/>
        <w:spacing w:line="294" w:lineRule="exact"/>
        <w:ind w:left="1671" w:right="0"/>
        <w:jc w:val="left"/>
      </w:pPr>
      <w:r>
        <w:rPr/>
        <w:t>本公司以本年度净利润（约</w:t>
      </w:r>
      <w:r>
        <w:rPr>
          <w:spacing w:val="-61"/>
        </w:rPr>
        <w:t> </w:t>
      </w:r>
      <w:r>
        <w:rPr>
          <w:rFonts w:ascii="Arial" w:hAnsi="Arial" w:cs="Arial" w:eastAsia="Arial" w:hint="default"/>
        </w:rPr>
        <w:t>6.15</w:t>
      </w:r>
      <w:r>
        <w:rPr>
          <w:rFonts w:ascii="Arial" w:hAnsi="Arial" w:cs="Arial" w:eastAsia="Arial" w:hint="default"/>
          <w:spacing w:val="-12"/>
        </w:rPr>
        <w:t> </w:t>
      </w:r>
      <w:r>
        <w:rPr/>
        <w:t>亿元）为基准按</w:t>
      </w:r>
      <w:r>
        <w:rPr>
          <w:spacing w:val="-61"/>
        </w:rPr>
        <w:t> </w:t>
      </w:r>
      <w:r>
        <w:rPr>
          <w:rFonts w:ascii="Arial" w:hAnsi="Arial" w:cs="Arial" w:eastAsia="Arial" w:hint="default"/>
        </w:rPr>
        <w:t>10%</w:t>
      </w:r>
      <w:r>
        <w:rPr/>
        <w:t>提取了</w:t>
      </w:r>
      <w:r>
        <w:rPr>
          <w:spacing w:val="-61"/>
        </w:rPr>
        <w:t> </w:t>
      </w:r>
      <w:r>
        <w:rPr>
          <w:rFonts w:ascii="Arial" w:hAnsi="Arial" w:cs="Arial" w:eastAsia="Arial" w:hint="default"/>
        </w:rPr>
        <w:t>2011</w:t>
      </w:r>
      <w:r>
        <w:rPr>
          <w:rFonts w:ascii="Arial" w:hAnsi="Arial" w:cs="Arial" w:eastAsia="Arial" w:hint="default"/>
          <w:spacing w:val="-12"/>
        </w:rPr>
        <w:t> </w:t>
      </w:r>
      <w:r>
        <w:rPr/>
        <w:t>年度法定公积金</w:t>
      </w:r>
    </w:p>
    <w:p>
      <w:pPr>
        <w:pStyle w:val="BodyText"/>
        <w:spacing w:line="285" w:lineRule="exact"/>
        <w:ind w:left="1671" w:right="0"/>
        <w:jc w:val="left"/>
      </w:pPr>
      <w:r>
        <w:rPr>
          <w:rFonts w:ascii="Arial" w:hAnsi="Arial" w:cs="Arial" w:eastAsia="Arial" w:hint="default"/>
        </w:rPr>
        <w:t>0.62</w:t>
      </w:r>
      <w:r>
        <w:rPr>
          <w:rFonts w:ascii="Arial" w:hAnsi="Arial" w:cs="Arial" w:eastAsia="Arial" w:hint="default"/>
          <w:spacing w:val="-16"/>
        </w:rPr>
        <w:t> </w:t>
      </w:r>
      <w:r>
        <w:rPr/>
        <w:t>亿元，同时，由于本公司已经执行了股东大会批准的</w:t>
      </w:r>
      <w:r>
        <w:rPr>
          <w:spacing w:val="-64"/>
        </w:rPr>
        <w:t> </w:t>
      </w:r>
      <w:r>
        <w:rPr>
          <w:rFonts w:ascii="Arial" w:hAnsi="Arial" w:cs="Arial" w:eastAsia="Arial" w:hint="default"/>
        </w:rPr>
        <w:t>2010</w:t>
      </w:r>
      <w:r>
        <w:rPr>
          <w:rFonts w:ascii="Arial" w:hAnsi="Arial" w:cs="Arial" w:eastAsia="Arial" w:hint="default"/>
          <w:spacing w:val="-16"/>
        </w:rPr>
        <w:t> </w:t>
      </w:r>
      <w:r>
        <w:rPr/>
        <w:t>年度股利分配方案，</w:t>
      </w:r>
    </w:p>
    <w:p>
      <w:pPr>
        <w:pStyle w:val="BodyText"/>
        <w:spacing w:line="286" w:lineRule="exact"/>
        <w:ind w:left="1671" w:right="0"/>
        <w:jc w:val="left"/>
        <w:rPr>
          <w:rFonts w:ascii="Arial" w:hAnsi="Arial" w:cs="Arial" w:eastAsia="Arial" w:hint="default"/>
        </w:rPr>
      </w:pPr>
      <w:r>
        <w:rPr/>
        <w:t>并已对外分红</w:t>
      </w:r>
      <w:r>
        <w:rPr>
          <w:spacing w:val="-55"/>
        </w:rPr>
        <w:t> </w:t>
      </w:r>
      <w:r>
        <w:rPr>
          <w:rFonts w:ascii="Arial" w:hAnsi="Arial" w:cs="Arial" w:eastAsia="Arial" w:hint="default"/>
        </w:rPr>
        <w:t>5.51</w:t>
      </w:r>
      <w:r>
        <w:rPr>
          <w:rFonts w:ascii="Arial" w:hAnsi="Arial" w:cs="Arial" w:eastAsia="Arial" w:hint="default"/>
          <w:spacing w:val="-6"/>
        </w:rPr>
        <w:t> </w:t>
      </w:r>
      <w:r>
        <w:rPr>
          <w:spacing w:val="-12"/>
        </w:rPr>
        <w:t>亿元，加上</w:t>
      </w:r>
      <w:r>
        <w:rPr>
          <w:spacing w:val="-55"/>
        </w:rPr>
        <w:t> </w:t>
      </w:r>
      <w:r>
        <w:rPr>
          <w:rFonts w:ascii="Arial" w:hAnsi="Arial" w:cs="Arial" w:eastAsia="Arial" w:hint="default"/>
        </w:rPr>
        <w:t>2010</w:t>
      </w:r>
      <w:r>
        <w:rPr>
          <w:rFonts w:ascii="Arial" w:hAnsi="Arial" w:cs="Arial" w:eastAsia="Arial" w:hint="default"/>
          <w:spacing w:val="-6"/>
        </w:rPr>
        <w:t> </w:t>
      </w:r>
      <w:r>
        <w:rPr/>
        <w:t>年末本公司可供股东分配利润</w:t>
      </w:r>
      <w:r>
        <w:rPr>
          <w:spacing w:val="-55"/>
        </w:rPr>
        <w:t> </w:t>
      </w:r>
      <w:r>
        <w:rPr>
          <w:rFonts w:ascii="Arial" w:hAnsi="Arial" w:cs="Arial" w:eastAsia="Arial" w:hint="default"/>
        </w:rPr>
        <w:t>0.04</w:t>
      </w:r>
      <w:r>
        <w:rPr>
          <w:rFonts w:ascii="Arial" w:hAnsi="Arial" w:cs="Arial" w:eastAsia="Arial" w:hint="default"/>
          <w:spacing w:val="-6"/>
        </w:rPr>
        <w:t> </w:t>
      </w:r>
      <w:r>
        <w:rPr>
          <w:spacing w:val="-9"/>
        </w:rPr>
        <w:t>亿元，</w:t>
      </w:r>
      <w:r>
        <w:rPr>
          <w:rFonts w:ascii="Arial" w:hAnsi="Arial" w:cs="Arial" w:eastAsia="Arial" w:hint="default"/>
          <w:spacing w:val="-9"/>
        </w:rPr>
        <w:t>2011</w:t>
      </w:r>
    </w:p>
    <w:p>
      <w:pPr>
        <w:pStyle w:val="BodyText"/>
        <w:spacing w:line="295" w:lineRule="exact"/>
        <w:ind w:left="1671" w:right="0"/>
        <w:jc w:val="left"/>
      </w:pPr>
      <w:r>
        <w:rPr/>
        <w:t>年末本公司可供股东分配的利润为</w:t>
      </w:r>
      <w:r>
        <w:rPr>
          <w:spacing w:val="-57"/>
        </w:rPr>
        <w:t> </w:t>
      </w:r>
      <w:r>
        <w:rPr>
          <w:rFonts w:ascii="Arial" w:hAnsi="Arial" w:cs="Arial" w:eastAsia="Arial" w:hint="default"/>
        </w:rPr>
        <w:t>0.07</w:t>
      </w:r>
      <w:r>
        <w:rPr>
          <w:rFonts w:ascii="Arial" w:hAnsi="Arial" w:cs="Arial" w:eastAsia="Arial" w:hint="default"/>
          <w:spacing w:val="-9"/>
        </w:rPr>
        <w:t> </w:t>
      </w:r>
      <w:r>
        <w:rPr/>
        <w:t>亿元。</w:t>
      </w:r>
    </w:p>
    <w:p>
      <w:pPr>
        <w:spacing w:line="240" w:lineRule="auto" w:before="13"/>
        <w:rPr>
          <w:rFonts w:ascii="宋体" w:hAnsi="宋体" w:cs="宋体" w:eastAsia="宋体" w:hint="default"/>
          <w:sz w:val="17"/>
          <w:szCs w:val="17"/>
        </w:rPr>
      </w:pPr>
    </w:p>
    <w:p>
      <w:pPr>
        <w:pStyle w:val="BodyText"/>
        <w:spacing w:line="240" w:lineRule="auto"/>
        <w:ind w:left="788" w:right="0"/>
        <w:jc w:val="left"/>
      </w:pPr>
      <w:r>
        <w:rPr>
          <w:rFonts w:ascii="Arial" w:hAnsi="Arial" w:cs="Arial" w:eastAsia="Arial" w:hint="default"/>
        </w:rPr>
        <w:t>2</w:t>
      </w:r>
      <w:r>
        <w:rPr/>
        <w:t>、</w:t>
      </w:r>
      <w:r>
        <w:rPr>
          <w:rFonts w:ascii="Arial" w:hAnsi="Arial" w:cs="Arial" w:eastAsia="Arial" w:hint="default"/>
        </w:rPr>
        <w:t>2011</w:t>
      </w:r>
      <w:r>
        <w:rPr>
          <w:rFonts w:ascii="Arial" w:hAnsi="Arial" w:cs="Arial" w:eastAsia="Arial" w:hint="default"/>
          <w:spacing w:val="-10"/>
        </w:rPr>
        <w:t> </w:t>
      </w:r>
      <w:r>
        <w:rPr/>
        <w:t>年度派发股利的建议</w:t>
      </w:r>
    </w:p>
    <w:p>
      <w:pPr>
        <w:spacing w:line="240" w:lineRule="auto" w:before="0"/>
        <w:rPr>
          <w:rFonts w:ascii="宋体" w:hAnsi="宋体" w:cs="宋体" w:eastAsia="宋体" w:hint="default"/>
          <w:sz w:val="20"/>
          <w:szCs w:val="20"/>
        </w:rPr>
      </w:pPr>
    </w:p>
    <w:p>
      <w:pPr>
        <w:pStyle w:val="BodyText"/>
        <w:spacing w:line="286" w:lineRule="exact"/>
        <w:ind w:left="1113" w:right="184"/>
        <w:jc w:val="both"/>
      </w:pPr>
      <w:r>
        <w:rPr/>
        <w:t>本公司通过联通</w:t>
      </w:r>
      <w:r>
        <w:rPr>
          <w:spacing w:val="-78"/>
        </w:rPr>
        <w:t> </w:t>
      </w:r>
      <w:r>
        <w:rPr>
          <w:rFonts w:ascii="Arial" w:hAnsi="Arial" w:cs="Arial" w:eastAsia="Arial" w:hint="default"/>
        </w:rPr>
        <w:t>BVI</w:t>
      </w:r>
      <w:r>
        <w:rPr>
          <w:rFonts w:ascii="Arial" w:hAnsi="Arial" w:cs="Arial" w:eastAsia="Arial" w:hint="default"/>
          <w:spacing w:val="-29"/>
        </w:rPr>
        <w:t> </w:t>
      </w:r>
      <w:r>
        <w:rPr/>
        <w:t>公司持有中国联合网络通信（香港）股份有限公司（以下称“联通红</w:t>
      </w:r>
      <w:r>
        <w:rPr>
          <w:w w:val="99"/>
        </w:rPr>
        <w:t> </w:t>
      </w:r>
      <w:r>
        <w:rPr>
          <w:w w:val="95"/>
        </w:rPr>
        <w:t>筹公司”）的股权。按本公司章程规定，应将自联通红筹公司分红所得现金在扣除公司日</w:t>
      </w:r>
      <w:r>
        <w:rPr>
          <w:spacing w:val="79"/>
          <w:w w:val="95"/>
        </w:rPr>
        <w:t> </w:t>
      </w:r>
      <w:r>
        <w:rPr>
          <w:spacing w:val="79"/>
          <w:w w:val="95"/>
        </w:rPr>
      </w:r>
      <w:r>
        <w:rPr/>
        <w:t>常现金开支、税费及法律法规规定应当提取的各项基金后，以现金方式全额分配给股东。</w:t>
      </w:r>
    </w:p>
    <w:p>
      <w:pPr>
        <w:spacing w:line="240" w:lineRule="auto" w:before="1"/>
        <w:rPr>
          <w:rFonts w:ascii="宋体" w:hAnsi="宋体" w:cs="宋体" w:eastAsia="宋体" w:hint="default"/>
          <w:sz w:val="17"/>
          <w:szCs w:val="17"/>
        </w:rPr>
      </w:pPr>
    </w:p>
    <w:p>
      <w:pPr>
        <w:pStyle w:val="BodyText"/>
        <w:spacing w:line="295" w:lineRule="exact"/>
        <w:ind w:left="1113" w:right="0"/>
        <w:jc w:val="both"/>
      </w:pPr>
      <w:r>
        <w:rPr/>
        <w:t>由于联通红筹公司董事会已经于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22</w:t>
      </w:r>
      <w:r>
        <w:rPr>
          <w:rFonts w:ascii="Arial" w:hAnsi="Arial" w:cs="Arial" w:eastAsia="Arial" w:hint="default"/>
          <w:spacing w:val="-7"/>
        </w:rPr>
        <w:t> </w:t>
      </w:r>
      <w:r>
        <w:rPr/>
        <w:t>日提议派发</w:t>
      </w:r>
      <w:r>
        <w:rPr>
          <w:spacing w:val="-56"/>
        </w:rPr>
        <w:t> </w:t>
      </w:r>
      <w:r>
        <w:rPr>
          <w:rFonts w:ascii="Arial" w:hAnsi="Arial" w:cs="Arial" w:eastAsia="Arial" w:hint="default"/>
        </w:rPr>
        <w:t>2011</w:t>
      </w:r>
      <w:r>
        <w:rPr>
          <w:rFonts w:ascii="Arial" w:hAnsi="Arial" w:cs="Arial" w:eastAsia="Arial" w:hint="default"/>
          <w:spacing w:val="-7"/>
        </w:rPr>
        <w:t> </w:t>
      </w:r>
      <w:r>
        <w:rPr>
          <w:spacing w:val="-6"/>
        </w:rPr>
        <w:t>年度股利，每股派发股</w:t>
      </w:r>
    </w:p>
    <w:p>
      <w:pPr>
        <w:pStyle w:val="BodyText"/>
        <w:spacing w:line="286" w:lineRule="exact"/>
        <w:ind w:left="1113" w:right="0"/>
        <w:jc w:val="both"/>
      </w:pPr>
      <w:r>
        <w:rPr/>
        <w:t>利</w:t>
      </w:r>
      <w:r>
        <w:rPr>
          <w:spacing w:val="-63"/>
        </w:rPr>
        <w:t> </w:t>
      </w:r>
      <w:r>
        <w:rPr>
          <w:rFonts w:ascii="Arial" w:hAnsi="Arial" w:cs="Arial" w:eastAsia="Arial" w:hint="default"/>
        </w:rPr>
        <w:t>0.10</w:t>
      </w:r>
      <w:r>
        <w:rPr>
          <w:rFonts w:ascii="Arial" w:hAnsi="Arial" w:cs="Arial" w:eastAsia="Arial" w:hint="default"/>
          <w:spacing w:val="-14"/>
        </w:rPr>
        <w:t> </w:t>
      </w:r>
      <w:r>
        <w:rPr>
          <w:spacing w:val="-5"/>
        </w:rPr>
        <w:t>元。该股利预计将于</w:t>
      </w:r>
      <w:r>
        <w:rPr>
          <w:spacing w:val="-63"/>
        </w:rPr>
        <w:t> </w:t>
      </w:r>
      <w:r>
        <w:rPr>
          <w:rFonts w:ascii="Arial" w:hAnsi="Arial" w:cs="Arial" w:eastAsia="Arial" w:hint="default"/>
        </w:rPr>
        <w:t>2012</w:t>
      </w:r>
      <w:r>
        <w:rPr>
          <w:rFonts w:ascii="Arial" w:hAnsi="Arial" w:cs="Arial" w:eastAsia="Arial" w:hint="default"/>
          <w:spacing w:val="-14"/>
        </w:rPr>
        <w:t> </w:t>
      </w:r>
      <w:r>
        <w:rPr/>
        <w:t>年</w:t>
      </w:r>
      <w:r>
        <w:rPr>
          <w:spacing w:val="-63"/>
        </w:rPr>
        <w:t> </w:t>
      </w:r>
      <w:r>
        <w:rPr>
          <w:rFonts w:ascii="Arial" w:hAnsi="Arial" w:cs="Arial" w:eastAsia="Arial" w:hint="default"/>
        </w:rPr>
        <w:t>5</w:t>
      </w:r>
      <w:r>
        <w:rPr>
          <w:rFonts w:ascii="Arial" w:hAnsi="Arial" w:cs="Arial" w:eastAsia="Arial" w:hint="default"/>
          <w:spacing w:val="-14"/>
        </w:rPr>
        <w:t> </w:t>
      </w:r>
      <w:r>
        <w:rPr/>
        <w:t>月经联通红筹公司股东大会批准后收到。因此本公</w:t>
      </w:r>
    </w:p>
    <w:p>
      <w:pPr>
        <w:pStyle w:val="BodyText"/>
        <w:spacing w:line="295" w:lineRule="exact"/>
        <w:ind w:left="1113" w:right="0"/>
        <w:jc w:val="both"/>
      </w:pPr>
      <w:r>
        <w:rPr/>
        <w:t>司董事会提议据此派发</w:t>
      </w:r>
      <w:r>
        <w:rPr>
          <w:spacing w:val="-57"/>
        </w:rPr>
        <w:t> </w:t>
      </w:r>
      <w:r>
        <w:rPr>
          <w:rFonts w:ascii="Arial" w:hAnsi="Arial" w:cs="Arial" w:eastAsia="Arial" w:hint="default"/>
        </w:rPr>
        <w:t>2011</w:t>
      </w:r>
      <w:r>
        <w:rPr>
          <w:rFonts w:ascii="Arial" w:hAnsi="Arial" w:cs="Arial" w:eastAsia="Arial" w:hint="default"/>
          <w:spacing w:val="-9"/>
        </w:rPr>
        <w:t> </w:t>
      </w:r>
      <w:r>
        <w:rPr/>
        <w:t>年度的股利。</w:t>
      </w:r>
    </w:p>
    <w:p>
      <w:pPr>
        <w:spacing w:line="240" w:lineRule="auto" w:before="0"/>
        <w:rPr>
          <w:rFonts w:ascii="宋体" w:hAnsi="宋体" w:cs="宋体" w:eastAsia="宋体" w:hint="default"/>
          <w:sz w:val="20"/>
          <w:szCs w:val="20"/>
        </w:rPr>
      </w:pPr>
    </w:p>
    <w:p>
      <w:pPr>
        <w:pStyle w:val="BodyText"/>
        <w:spacing w:line="286" w:lineRule="exact"/>
        <w:ind w:left="1113" w:right="215"/>
        <w:jc w:val="both"/>
      </w:pPr>
      <w:r>
        <w:rPr/>
        <w:t>根据联通红筹公司</w:t>
      </w:r>
      <w:r>
        <w:rPr>
          <w:spacing w:val="-57"/>
        </w:rPr>
        <w:t> </w:t>
      </w:r>
      <w:r>
        <w:rPr>
          <w:rFonts w:ascii="Arial" w:hAnsi="Arial" w:cs="Arial" w:eastAsia="Arial" w:hint="default"/>
        </w:rPr>
        <w:t>2011</w:t>
      </w:r>
      <w:r>
        <w:rPr>
          <w:rFonts w:ascii="Arial" w:hAnsi="Arial" w:cs="Arial" w:eastAsia="Arial" w:hint="default"/>
          <w:spacing w:val="-8"/>
        </w:rPr>
        <w:t> </w:t>
      </w:r>
      <w:r>
        <w:rPr/>
        <w:t>年度每股派发股利的建议，联通</w:t>
      </w:r>
      <w:r>
        <w:rPr>
          <w:spacing w:val="-56"/>
        </w:rPr>
        <w:t> </w:t>
      </w:r>
      <w:r>
        <w:rPr>
          <w:rFonts w:ascii="Arial" w:hAnsi="Arial" w:cs="Arial" w:eastAsia="Arial" w:hint="default"/>
        </w:rPr>
        <w:t>BVI</w:t>
      </w:r>
      <w:r>
        <w:rPr>
          <w:rFonts w:ascii="Arial" w:hAnsi="Arial" w:cs="Arial" w:eastAsia="Arial" w:hint="default"/>
          <w:spacing w:val="-8"/>
        </w:rPr>
        <w:t> </w:t>
      </w:r>
      <w:r>
        <w:rPr/>
        <w:t>公司按持股比例应收股利约</w:t>
      </w:r>
      <w:r>
        <w:rPr>
          <w:w w:val="99"/>
        </w:rPr>
        <w:t> </w:t>
      </w:r>
      <w:r>
        <w:rPr>
          <w:rFonts w:ascii="Arial" w:hAnsi="Arial" w:cs="Arial" w:eastAsia="Arial" w:hint="default"/>
        </w:rPr>
        <w:t>9.73</w:t>
      </w:r>
      <w:r>
        <w:rPr>
          <w:rFonts w:ascii="Arial" w:hAnsi="Arial" w:cs="Arial" w:eastAsia="Arial" w:hint="default"/>
          <w:spacing w:val="-7"/>
        </w:rPr>
        <w:t> </w:t>
      </w:r>
      <w:r>
        <w:rPr>
          <w:spacing w:val="-5"/>
        </w:rPr>
        <w:t>亿元，扣除联通</w:t>
      </w:r>
      <w:r>
        <w:rPr>
          <w:spacing w:val="-56"/>
        </w:rPr>
        <w:t> </w:t>
      </w:r>
      <w:r>
        <w:rPr>
          <w:rFonts w:ascii="Arial" w:hAnsi="Arial" w:cs="Arial" w:eastAsia="Arial" w:hint="default"/>
        </w:rPr>
        <w:t>BVI</w:t>
      </w:r>
      <w:r>
        <w:rPr>
          <w:rFonts w:ascii="Arial" w:hAnsi="Arial" w:cs="Arial" w:eastAsia="Arial" w:hint="default"/>
          <w:spacing w:val="-7"/>
        </w:rPr>
        <w:t> </w:t>
      </w:r>
      <w:r>
        <w:rPr/>
        <w:t>公司截至</w:t>
      </w:r>
      <w:r>
        <w:rPr>
          <w:spacing w:val="-55"/>
        </w:rPr>
        <w:t> </w:t>
      </w:r>
      <w:r>
        <w:rPr>
          <w:rFonts w:ascii="Arial" w:hAnsi="Arial" w:cs="Arial" w:eastAsia="Arial" w:hint="default"/>
        </w:rPr>
        <w:t>2011</w:t>
      </w:r>
      <w:r>
        <w:rPr>
          <w:rFonts w:ascii="Arial" w:hAnsi="Arial" w:cs="Arial" w:eastAsia="Arial" w:hint="default"/>
          <w:spacing w:val="-7"/>
        </w:rPr>
        <w:t> </w:t>
      </w:r>
      <w:r>
        <w:rPr/>
        <w:t>年末的累积亏损</w:t>
      </w:r>
      <w:r>
        <w:rPr>
          <w:spacing w:val="-56"/>
        </w:rPr>
        <w:t> </w:t>
      </w:r>
      <w:r>
        <w:rPr>
          <w:rFonts w:ascii="Arial" w:hAnsi="Arial" w:cs="Arial" w:eastAsia="Arial" w:hint="default"/>
        </w:rPr>
        <w:t>16.18</w:t>
      </w:r>
      <w:r>
        <w:rPr>
          <w:rFonts w:ascii="Arial" w:hAnsi="Arial" w:cs="Arial" w:eastAsia="Arial" w:hint="default"/>
          <w:spacing w:val="-7"/>
        </w:rPr>
        <w:t> </w:t>
      </w:r>
      <w:r>
        <w:rPr>
          <w:spacing w:val="-7"/>
        </w:rPr>
        <w:t>万元，联通</w:t>
      </w:r>
      <w:r>
        <w:rPr>
          <w:spacing w:val="-56"/>
        </w:rPr>
        <w:t> </w:t>
      </w:r>
      <w:r>
        <w:rPr>
          <w:rFonts w:ascii="Arial" w:hAnsi="Arial" w:cs="Arial" w:eastAsia="Arial" w:hint="default"/>
        </w:rPr>
        <w:t>BVI</w:t>
      </w:r>
      <w:r>
        <w:rPr>
          <w:rFonts w:ascii="Arial" w:hAnsi="Arial" w:cs="Arial" w:eastAsia="Arial" w:hint="default"/>
          <w:spacing w:val="-7"/>
        </w:rPr>
        <w:t> </w:t>
      </w:r>
      <w:r>
        <w:rPr/>
        <w:t>公司可供</w:t>
      </w:r>
      <w:r>
        <w:rPr>
          <w:w w:val="99"/>
        </w:rPr>
        <w:t> </w:t>
      </w:r>
      <w:r>
        <w:rPr/>
        <w:t>股东分配利润为</w:t>
      </w:r>
      <w:r>
        <w:rPr>
          <w:spacing w:val="-57"/>
        </w:rPr>
        <w:t> </w:t>
      </w:r>
      <w:r>
        <w:rPr>
          <w:rFonts w:ascii="Arial" w:hAnsi="Arial" w:cs="Arial" w:eastAsia="Arial" w:hint="default"/>
        </w:rPr>
        <w:t>9.72</w:t>
      </w:r>
      <w:r>
        <w:rPr>
          <w:rFonts w:ascii="Arial" w:hAnsi="Arial" w:cs="Arial" w:eastAsia="Arial" w:hint="default"/>
          <w:spacing w:val="-8"/>
        </w:rPr>
        <w:t> </w:t>
      </w:r>
      <w:r>
        <w:rPr/>
        <w:t>亿元，本公司按持股比例应收股利约</w:t>
      </w:r>
      <w:r>
        <w:rPr>
          <w:spacing w:val="-56"/>
        </w:rPr>
        <w:t> </w:t>
      </w:r>
      <w:r>
        <w:rPr>
          <w:rFonts w:ascii="Arial" w:hAnsi="Arial" w:cs="Arial" w:eastAsia="Arial" w:hint="default"/>
        </w:rPr>
        <w:t>7.98</w:t>
      </w:r>
      <w:r>
        <w:rPr>
          <w:rFonts w:ascii="Arial" w:hAnsi="Arial" w:cs="Arial" w:eastAsia="Arial" w:hint="default"/>
          <w:spacing w:val="-8"/>
        </w:rPr>
        <w:t> </w:t>
      </w:r>
      <w:r>
        <w:rPr/>
        <w:t>亿元。</w:t>
      </w:r>
    </w:p>
    <w:p>
      <w:pPr>
        <w:spacing w:line="240" w:lineRule="auto" w:before="1"/>
        <w:rPr>
          <w:rFonts w:ascii="宋体" w:hAnsi="宋体" w:cs="宋体" w:eastAsia="宋体" w:hint="default"/>
          <w:sz w:val="17"/>
          <w:szCs w:val="17"/>
        </w:rPr>
      </w:pPr>
    </w:p>
    <w:p>
      <w:pPr>
        <w:pStyle w:val="BodyText"/>
        <w:spacing w:line="295" w:lineRule="exact"/>
        <w:ind w:left="1113" w:right="0"/>
        <w:jc w:val="both"/>
      </w:pPr>
      <w:r>
        <w:rPr/>
        <w:t>依照本公司的章程，在收到此等股利后，扣除本公司日常开支约</w:t>
      </w:r>
      <w:r>
        <w:rPr>
          <w:spacing w:val="-57"/>
        </w:rPr>
        <w:t> </w:t>
      </w:r>
      <w:r>
        <w:rPr>
          <w:rFonts w:ascii="Arial" w:hAnsi="Arial" w:cs="Arial" w:eastAsia="Arial" w:hint="default"/>
        </w:rPr>
        <w:t>0.14</w:t>
      </w:r>
      <w:r>
        <w:rPr>
          <w:rFonts w:ascii="Arial" w:hAnsi="Arial" w:cs="Arial" w:eastAsia="Arial" w:hint="default"/>
          <w:spacing w:val="-8"/>
        </w:rPr>
        <w:t> </w:t>
      </w:r>
      <w:r>
        <w:rPr/>
        <w:t>亿元，减去预提的</w:t>
      </w:r>
    </w:p>
    <w:p>
      <w:pPr>
        <w:pStyle w:val="BodyText"/>
        <w:spacing w:line="286" w:lineRule="exact"/>
        <w:ind w:left="1113" w:right="0"/>
        <w:jc w:val="both"/>
      </w:pPr>
      <w:r>
        <w:rPr>
          <w:rFonts w:ascii="Arial" w:hAnsi="Arial" w:cs="Arial" w:eastAsia="Arial" w:hint="default"/>
        </w:rPr>
        <w:t>2012</w:t>
      </w:r>
      <w:r>
        <w:rPr>
          <w:rFonts w:ascii="Arial" w:hAnsi="Arial" w:cs="Arial" w:eastAsia="Arial" w:hint="default"/>
          <w:spacing w:val="-7"/>
        </w:rPr>
        <w:t> </w:t>
      </w:r>
      <w:r>
        <w:rPr/>
        <w:t>年度法定公积金约</w:t>
      </w:r>
      <w:r>
        <w:rPr>
          <w:spacing w:val="-55"/>
        </w:rPr>
        <w:t> </w:t>
      </w:r>
      <w:r>
        <w:rPr>
          <w:rFonts w:ascii="Arial" w:hAnsi="Arial" w:cs="Arial" w:eastAsia="Arial" w:hint="default"/>
        </w:rPr>
        <w:t>0.78</w:t>
      </w:r>
      <w:r>
        <w:rPr>
          <w:rFonts w:ascii="Arial" w:hAnsi="Arial" w:cs="Arial" w:eastAsia="Arial" w:hint="default"/>
          <w:spacing w:val="-7"/>
        </w:rPr>
        <w:t> </w:t>
      </w:r>
      <w:r>
        <w:rPr>
          <w:spacing w:val="-11"/>
        </w:rPr>
        <w:t>亿元，加上</w:t>
      </w:r>
      <w:r>
        <w:rPr>
          <w:spacing w:val="-56"/>
        </w:rPr>
        <w:t> </w:t>
      </w:r>
      <w:r>
        <w:rPr>
          <w:rFonts w:ascii="Arial" w:hAnsi="Arial" w:cs="Arial" w:eastAsia="Arial" w:hint="default"/>
        </w:rPr>
        <w:t>2011</w:t>
      </w:r>
      <w:r>
        <w:rPr>
          <w:rFonts w:ascii="Arial" w:hAnsi="Arial" w:cs="Arial" w:eastAsia="Arial" w:hint="default"/>
          <w:spacing w:val="-7"/>
        </w:rPr>
        <w:t> </w:t>
      </w:r>
      <w:r>
        <w:rPr/>
        <w:t>年末本公司可供股东分配的利润</w:t>
      </w:r>
      <w:r>
        <w:rPr>
          <w:spacing w:val="-56"/>
        </w:rPr>
        <w:t> </w:t>
      </w:r>
      <w:r>
        <w:rPr>
          <w:rFonts w:ascii="Arial" w:hAnsi="Arial" w:cs="Arial" w:eastAsia="Arial" w:hint="default"/>
        </w:rPr>
        <w:t>0.07</w:t>
      </w:r>
      <w:r>
        <w:rPr>
          <w:rFonts w:ascii="Arial" w:hAnsi="Arial" w:cs="Arial" w:eastAsia="Arial" w:hint="default"/>
          <w:spacing w:val="-7"/>
        </w:rPr>
        <w:t> </w:t>
      </w:r>
      <w:r>
        <w:rPr/>
        <w:t>亿元</w:t>
      </w:r>
    </w:p>
    <w:p>
      <w:pPr>
        <w:pStyle w:val="BodyText"/>
        <w:spacing w:line="286" w:lineRule="exact"/>
        <w:ind w:left="1113" w:right="0"/>
        <w:jc w:val="both"/>
      </w:pPr>
      <w:r>
        <w:rPr/>
        <w:t>后，可供股东分配的利润约</w:t>
      </w:r>
      <w:r>
        <w:rPr>
          <w:spacing w:val="-59"/>
        </w:rPr>
        <w:t> </w:t>
      </w:r>
      <w:r>
        <w:rPr>
          <w:rFonts w:ascii="Arial" w:hAnsi="Arial" w:cs="Arial" w:eastAsia="Arial" w:hint="default"/>
        </w:rPr>
        <w:t>7.13</w:t>
      </w:r>
      <w:r>
        <w:rPr>
          <w:rFonts w:ascii="Arial" w:hAnsi="Arial" w:cs="Arial" w:eastAsia="Arial" w:hint="default"/>
          <w:spacing w:val="-10"/>
        </w:rPr>
        <w:t> </w:t>
      </w:r>
      <w:r>
        <w:rPr/>
        <w:t>亿元。以本公司</w:t>
      </w:r>
      <w:r>
        <w:rPr>
          <w:spacing w:val="-59"/>
        </w:rPr>
        <w:t> </w:t>
      </w:r>
      <w:r>
        <w:rPr>
          <w:rFonts w:ascii="Arial" w:hAnsi="Arial" w:cs="Arial" w:eastAsia="Arial" w:hint="default"/>
        </w:rPr>
        <w:t>2011</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t>日总股本</w:t>
      </w:r>
      <w:r>
        <w:rPr>
          <w:spacing w:val="-59"/>
        </w:rPr>
        <w:t> </w:t>
      </w:r>
      <w:r>
        <w:rPr>
          <w:rFonts w:ascii="Arial" w:hAnsi="Arial" w:cs="Arial" w:eastAsia="Arial" w:hint="default"/>
        </w:rPr>
        <w:t>211.97</w:t>
      </w:r>
      <w:r>
        <w:rPr>
          <w:rFonts w:ascii="Arial" w:hAnsi="Arial" w:cs="Arial" w:eastAsia="Arial" w:hint="default"/>
          <w:spacing w:val="-10"/>
        </w:rPr>
        <w:t> </w:t>
      </w:r>
      <w:r>
        <w:rPr/>
        <w:t>亿股</w:t>
      </w:r>
    </w:p>
    <w:p>
      <w:pPr>
        <w:pStyle w:val="BodyText"/>
        <w:spacing w:line="285" w:lineRule="exact"/>
        <w:ind w:left="1113" w:right="0"/>
        <w:jc w:val="both"/>
      </w:pPr>
      <w:r>
        <w:rPr>
          <w:spacing w:val="-3"/>
        </w:rPr>
        <w:t>计算，每</w:t>
      </w:r>
      <w:r>
        <w:rPr>
          <w:spacing w:val="-62"/>
        </w:rPr>
        <w:t> </w:t>
      </w:r>
      <w:r>
        <w:rPr>
          <w:rFonts w:ascii="Arial" w:hAnsi="Arial" w:cs="Arial" w:eastAsia="Arial" w:hint="default"/>
        </w:rPr>
        <w:t>10</w:t>
      </w:r>
      <w:r>
        <w:rPr>
          <w:rFonts w:ascii="Arial" w:hAnsi="Arial" w:cs="Arial" w:eastAsia="Arial" w:hint="default"/>
          <w:spacing w:val="-12"/>
        </w:rPr>
        <w:t> </w:t>
      </w:r>
      <w:r>
        <w:rPr/>
        <w:t>股可派发现金股利</w:t>
      </w:r>
      <w:r>
        <w:rPr>
          <w:spacing w:val="-62"/>
        </w:rPr>
        <w:t> </w:t>
      </w:r>
      <w:r>
        <w:rPr>
          <w:rFonts w:ascii="Arial" w:hAnsi="Arial" w:cs="Arial" w:eastAsia="Arial" w:hint="default"/>
        </w:rPr>
        <w:t>0.335</w:t>
      </w:r>
      <w:r>
        <w:rPr>
          <w:rFonts w:ascii="Arial" w:hAnsi="Arial" w:cs="Arial" w:eastAsia="Arial" w:hint="default"/>
          <w:spacing w:val="-13"/>
        </w:rPr>
        <w:t> </w:t>
      </w:r>
      <w:r>
        <w:rPr/>
        <w:t>元（含税），可向本公司股东派发约</w:t>
      </w:r>
      <w:r>
        <w:rPr>
          <w:spacing w:val="-62"/>
        </w:rPr>
        <w:t> </w:t>
      </w:r>
      <w:r>
        <w:rPr>
          <w:rFonts w:ascii="Arial" w:hAnsi="Arial" w:cs="Arial" w:eastAsia="Arial" w:hint="default"/>
        </w:rPr>
        <w:t>7.10</w:t>
      </w:r>
      <w:r>
        <w:rPr>
          <w:rFonts w:ascii="Arial" w:hAnsi="Arial" w:cs="Arial" w:eastAsia="Arial" w:hint="default"/>
          <w:spacing w:val="-13"/>
        </w:rPr>
        <w:t> </w:t>
      </w:r>
      <w:r>
        <w:rPr/>
        <w:t>亿元的股</w:t>
      </w:r>
    </w:p>
    <w:p>
      <w:pPr>
        <w:pStyle w:val="BodyText"/>
        <w:spacing w:line="294" w:lineRule="exact"/>
        <w:ind w:left="1113" w:right="0"/>
        <w:jc w:val="both"/>
      </w:pPr>
      <w:r>
        <w:rPr/>
        <w:t>利，剩余约</w:t>
      </w:r>
      <w:r>
        <w:rPr>
          <w:spacing w:val="-56"/>
        </w:rPr>
        <w:t> </w:t>
      </w:r>
      <w:r>
        <w:rPr>
          <w:rFonts w:ascii="Arial" w:hAnsi="Arial" w:cs="Arial" w:eastAsia="Arial" w:hint="default"/>
        </w:rPr>
        <w:t>0.03</w:t>
      </w:r>
      <w:r>
        <w:rPr>
          <w:rFonts w:ascii="Arial" w:hAnsi="Arial" w:cs="Arial" w:eastAsia="Arial" w:hint="default"/>
          <w:spacing w:val="-8"/>
        </w:rPr>
        <w:t> </w:t>
      </w:r>
      <w:r>
        <w:rPr/>
        <w:t>亿元可供股东分配的利润将用于以后年度的利润分配。</w:t>
      </w:r>
    </w:p>
    <w:p>
      <w:pPr>
        <w:spacing w:after="0" w:line="294" w:lineRule="exact"/>
        <w:jc w:val="both"/>
        <w:sectPr>
          <w:pgSz w:w="11900" w:h="16840"/>
          <w:pgMar w:header="927" w:footer="752" w:top="1160" w:bottom="940" w:left="112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1"/>
        <w:ind w:left="113" w:right="0"/>
        <w:jc w:val="left"/>
      </w:pPr>
      <w:r>
        <w:rPr/>
        <w:t>（七）公司前三年股利分配情况或资本公积转增股本等分红情况：</w:t>
      </w:r>
    </w:p>
    <w:p>
      <w:pPr>
        <w:spacing w:line="240" w:lineRule="auto" w:before="9"/>
        <w:rPr>
          <w:rFonts w:ascii="宋体" w:hAnsi="宋体" w:cs="宋体" w:eastAsia="宋体" w:hint="default"/>
          <w:sz w:val="16"/>
          <w:szCs w:val="16"/>
        </w:rPr>
      </w:pPr>
    </w:p>
    <w:p>
      <w:pPr>
        <w:pStyle w:val="BodyText"/>
        <w:spacing w:line="240" w:lineRule="auto" w:before="31"/>
        <w:ind w:left="0" w:right="217"/>
        <w:jc w:val="right"/>
      </w:pPr>
      <w:r>
        <w:rPr/>
        <w:t>单位：元</w:t>
      </w:r>
      <w:r>
        <w:rPr>
          <w:spacing w:val="-3"/>
        </w:rPr>
        <w:t> </w:t>
      </w:r>
      <w:r>
        <w:rPr/>
        <w:t>币种：人民币</w:t>
      </w:r>
    </w:p>
    <w:p>
      <w:pPr>
        <w:spacing w:line="240" w:lineRule="auto" w:before="8"/>
        <w:rPr>
          <w:rFonts w:ascii="宋体" w:hAnsi="宋体" w:cs="宋体" w:eastAsia="宋体" w:hint="default"/>
          <w:sz w:val="2"/>
          <w:szCs w:val="2"/>
        </w:rPr>
      </w:pPr>
    </w:p>
    <w:tbl>
      <w:tblPr>
        <w:tblW w:w="0" w:type="auto"/>
        <w:jc w:val="left"/>
        <w:tblInd w:w="745" w:type="dxa"/>
        <w:tblLayout w:type="fixed"/>
        <w:tblCellMar>
          <w:top w:w="0" w:type="dxa"/>
          <w:left w:w="0" w:type="dxa"/>
          <w:bottom w:w="0" w:type="dxa"/>
          <w:right w:w="0" w:type="dxa"/>
        </w:tblCellMar>
        <w:tblLook w:val="01E0"/>
      </w:tblPr>
      <w:tblGrid>
        <w:gridCol w:w="1304"/>
        <w:gridCol w:w="1625"/>
        <w:gridCol w:w="1757"/>
        <w:gridCol w:w="2267"/>
        <w:gridCol w:w="2014"/>
      </w:tblGrid>
      <w:tr>
        <w:trPr>
          <w:trHeight w:val="871" w:hRule="exact"/>
        </w:trPr>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2"/>
                <w:szCs w:val="22"/>
              </w:rPr>
            </w:pPr>
            <w:r>
              <w:rPr>
                <w:rFonts w:ascii="宋体" w:hAnsi="宋体" w:cs="宋体" w:eastAsia="宋体" w:hint="default"/>
                <w:sz w:val="22"/>
                <w:szCs w:val="22"/>
              </w:rPr>
              <w:t>分红年度</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before="108"/>
              <w:ind w:left="100" w:right="0"/>
              <w:jc w:val="left"/>
              <w:rPr>
                <w:rFonts w:ascii="宋体" w:hAnsi="宋体" w:cs="宋体" w:eastAsia="宋体" w:hint="default"/>
                <w:sz w:val="22"/>
                <w:szCs w:val="22"/>
              </w:rPr>
            </w:pPr>
            <w:r>
              <w:rPr>
                <w:rFonts w:ascii="宋体" w:hAnsi="宋体" w:cs="宋体" w:eastAsia="宋体" w:hint="default"/>
                <w:sz w:val="22"/>
                <w:szCs w:val="22"/>
              </w:rPr>
              <w:t>每</w:t>
            </w:r>
            <w:r>
              <w:rPr>
                <w:rFonts w:ascii="宋体" w:hAnsi="宋体" w:cs="宋体" w:eastAsia="宋体" w:hint="default"/>
                <w:spacing w:val="-79"/>
                <w:sz w:val="22"/>
                <w:szCs w:val="22"/>
              </w:rPr>
              <w:t> </w:t>
            </w:r>
            <w:r>
              <w:rPr>
                <w:rFonts w:ascii="Arial" w:hAnsi="Arial" w:cs="Arial" w:eastAsia="Arial" w:hint="default"/>
                <w:sz w:val="22"/>
                <w:szCs w:val="22"/>
              </w:rPr>
              <w:t>10</w:t>
            </w:r>
            <w:r>
              <w:rPr>
                <w:rFonts w:ascii="Arial" w:hAnsi="Arial" w:cs="Arial" w:eastAsia="Arial" w:hint="default"/>
                <w:spacing w:val="-30"/>
                <w:sz w:val="22"/>
                <w:szCs w:val="22"/>
              </w:rPr>
              <w:t> </w:t>
            </w:r>
            <w:r>
              <w:rPr>
                <w:rFonts w:ascii="宋体" w:hAnsi="宋体" w:cs="宋体" w:eastAsia="宋体" w:hint="default"/>
                <w:sz w:val="22"/>
                <w:szCs w:val="22"/>
              </w:rPr>
              <w:t>股派息数</w:t>
            </w:r>
          </w:p>
          <w:p>
            <w:pPr>
              <w:pStyle w:val="TableParagraph"/>
              <w:spacing w:line="278" w:lineRule="exact"/>
              <w:ind w:left="100" w:right="-9"/>
              <w:jc w:val="left"/>
              <w:rPr>
                <w:rFonts w:ascii="宋体" w:hAnsi="宋体" w:cs="宋体" w:eastAsia="宋体" w:hint="default"/>
                <w:sz w:val="22"/>
                <w:szCs w:val="22"/>
              </w:rPr>
            </w:pPr>
            <w:r>
              <w:rPr>
                <w:rFonts w:ascii="宋体" w:hAnsi="宋体" w:cs="宋体" w:eastAsia="宋体" w:hint="default"/>
                <w:spacing w:val="-3"/>
                <w:sz w:val="22"/>
                <w:szCs w:val="22"/>
              </w:rPr>
              <w:t>（元）（含税）</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08"/>
              <w:ind w:right="1"/>
              <w:jc w:val="center"/>
              <w:rPr>
                <w:rFonts w:ascii="宋体" w:hAnsi="宋体" w:cs="宋体" w:eastAsia="宋体" w:hint="default"/>
                <w:sz w:val="22"/>
                <w:szCs w:val="22"/>
              </w:rPr>
            </w:pPr>
            <w:r>
              <w:rPr>
                <w:rFonts w:ascii="宋体" w:hAnsi="宋体" w:cs="宋体" w:eastAsia="宋体" w:hint="default"/>
                <w:sz w:val="22"/>
                <w:szCs w:val="22"/>
              </w:rPr>
              <w:t>现金分红的数额</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（含税）</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34" w:right="0"/>
              <w:jc w:val="left"/>
              <w:rPr>
                <w:rFonts w:ascii="宋体" w:hAnsi="宋体" w:cs="宋体" w:eastAsia="宋体" w:hint="default"/>
                <w:sz w:val="22"/>
                <w:szCs w:val="22"/>
              </w:rPr>
            </w:pPr>
            <w:r>
              <w:rPr>
                <w:rFonts w:ascii="宋体" w:hAnsi="宋体" w:cs="宋体" w:eastAsia="宋体" w:hint="default"/>
                <w:sz w:val="22"/>
                <w:szCs w:val="22"/>
              </w:rPr>
              <w:t>分红年度合并报表中</w:t>
            </w:r>
          </w:p>
          <w:p>
            <w:pPr>
              <w:pStyle w:val="TableParagraph"/>
              <w:spacing w:line="286" w:lineRule="exact" w:before="26"/>
              <w:ind w:left="354" w:right="137" w:hanging="220"/>
              <w:jc w:val="left"/>
              <w:rPr>
                <w:rFonts w:ascii="宋体" w:hAnsi="宋体" w:cs="宋体" w:eastAsia="宋体" w:hint="default"/>
                <w:sz w:val="22"/>
                <w:szCs w:val="22"/>
              </w:rPr>
            </w:pPr>
            <w:r>
              <w:rPr>
                <w:rFonts w:ascii="宋体" w:hAnsi="宋体" w:cs="宋体" w:eastAsia="宋体" w:hint="default"/>
                <w:sz w:val="22"/>
                <w:szCs w:val="22"/>
              </w:rPr>
              <w:t>归属于上市公司股东</w:t>
            </w:r>
            <w:r>
              <w:rPr>
                <w:rFonts w:ascii="宋体" w:hAnsi="宋体" w:cs="宋体" w:eastAsia="宋体" w:hint="default"/>
                <w:w w:val="99"/>
                <w:sz w:val="22"/>
                <w:szCs w:val="22"/>
              </w:rPr>
              <w:t> </w:t>
            </w:r>
            <w:r>
              <w:rPr>
                <w:rFonts w:ascii="宋体" w:hAnsi="宋体" w:cs="宋体" w:eastAsia="宋体" w:hint="default"/>
                <w:sz w:val="22"/>
                <w:szCs w:val="22"/>
              </w:rPr>
              <w:t>的净利润（注）</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17" w:right="0"/>
              <w:jc w:val="left"/>
              <w:rPr>
                <w:rFonts w:ascii="宋体" w:hAnsi="宋体" w:cs="宋体" w:eastAsia="宋体" w:hint="default"/>
                <w:sz w:val="22"/>
                <w:szCs w:val="22"/>
              </w:rPr>
            </w:pPr>
            <w:r>
              <w:rPr>
                <w:rFonts w:ascii="宋体" w:hAnsi="宋体" w:cs="宋体" w:eastAsia="宋体" w:hint="default"/>
                <w:sz w:val="22"/>
                <w:szCs w:val="22"/>
              </w:rPr>
              <w:t>占合并报表中归属</w:t>
            </w:r>
          </w:p>
          <w:p>
            <w:pPr>
              <w:pStyle w:val="TableParagraph"/>
              <w:spacing w:line="286" w:lineRule="exact" w:before="26"/>
              <w:ind w:left="166" w:right="120" w:hanging="50"/>
              <w:jc w:val="left"/>
              <w:rPr>
                <w:rFonts w:ascii="Arial" w:hAnsi="Arial" w:cs="Arial" w:eastAsia="Arial" w:hint="default"/>
                <w:sz w:val="22"/>
                <w:szCs w:val="22"/>
              </w:rPr>
            </w:pPr>
            <w:r>
              <w:rPr>
                <w:rFonts w:ascii="宋体" w:hAnsi="宋体" w:cs="宋体" w:eastAsia="宋体" w:hint="default"/>
                <w:sz w:val="22"/>
                <w:szCs w:val="22"/>
              </w:rPr>
              <w:t>于上市公司股东的</w:t>
            </w:r>
            <w:r>
              <w:rPr>
                <w:rFonts w:ascii="宋体" w:hAnsi="宋体" w:cs="宋体" w:eastAsia="宋体" w:hint="default"/>
                <w:w w:val="99"/>
                <w:sz w:val="22"/>
                <w:szCs w:val="22"/>
              </w:rPr>
              <w:t> </w:t>
            </w:r>
            <w:r>
              <w:rPr>
                <w:rFonts w:ascii="宋体" w:hAnsi="宋体" w:cs="宋体" w:eastAsia="宋体" w:hint="default"/>
                <w:sz w:val="22"/>
                <w:szCs w:val="22"/>
              </w:rPr>
              <w:t>净利润的比率</w:t>
            </w:r>
            <w:r>
              <w:rPr>
                <w:rFonts w:ascii="Arial" w:hAnsi="Arial" w:cs="Arial" w:eastAsia="Arial" w:hint="default"/>
                <w:sz w:val="22"/>
                <w:szCs w:val="22"/>
              </w:rPr>
              <w:t>(%)</w:t>
            </w:r>
          </w:p>
        </w:tc>
      </w:tr>
      <w:tr>
        <w:trPr>
          <w:trHeight w:val="300" w:hRule="exact"/>
        </w:trPr>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20" w:right="0"/>
              <w:jc w:val="left"/>
              <w:rPr>
                <w:rFonts w:ascii="宋体" w:hAnsi="宋体" w:cs="宋体" w:eastAsia="宋体" w:hint="default"/>
                <w:sz w:val="22"/>
                <w:szCs w:val="22"/>
              </w:rPr>
            </w:pPr>
            <w:r>
              <w:rPr>
                <w:rFonts w:ascii="Arial" w:hAnsi="Arial" w:cs="Arial" w:eastAsia="Arial" w:hint="default"/>
                <w:sz w:val="22"/>
                <w:szCs w:val="22"/>
              </w:rPr>
              <w:t>2008</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0.672</w:t>
            </w:r>
            <w:r>
              <w:rPr>
                <w:rFonts w:ascii="Arial"/>
                <w:sz w:val="22"/>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spacing w:val="-1"/>
                <w:sz w:val="22"/>
              </w:rPr>
              <w:t>1,424,411,278</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spacing w:val="-1"/>
                <w:sz w:val="22"/>
              </w:rPr>
              <w:t>19,741,412,830</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7.22</w:t>
            </w:r>
            <w:r>
              <w:rPr>
                <w:rFonts w:ascii="Arial"/>
                <w:sz w:val="22"/>
              </w:rPr>
            </w:r>
          </w:p>
        </w:tc>
      </w:tr>
      <w:tr>
        <w:trPr>
          <w:trHeight w:val="300" w:hRule="exact"/>
        </w:trPr>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20"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0.536</w:t>
            </w:r>
            <w:r>
              <w:rPr>
                <w:rFonts w:ascii="Arial"/>
                <w:sz w:val="22"/>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spacing w:val="-1"/>
                <w:sz w:val="22"/>
              </w:rPr>
              <w:t>1,136,137,567</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spacing w:val="-1"/>
                <w:sz w:val="22"/>
              </w:rPr>
              <w:t>3,137,024,492</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36.21</w:t>
            </w:r>
            <w:r>
              <w:rPr>
                <w:rFonts w:ascii="Arial"/>
                <w:sz w:val="22"/>
              </w:rPr>
            </w:r>
          </w:p>
        </w:tc>
      </w:tr>
      <w:tr>
        <w:trPr>
          <w:trHeight w:val="301" w:hRule="exact"/>
        </w:trPr>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20"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0.26</w:t>
            </w:r>
            <w:r>
              <w:rPr>
                <w:rFonts w:ascii="Arial"/>
                <w:sz w:val="22"/>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5"/>
                <w:sz w:val="22"/>
              </w:rPr>
              <w:t>551,111,506</w:t>
            </w:r>
            <w:r>
              <w:rPr>
                <w:rFonts w:ascii="Arial"/>
                <w:sz w:val="22"/>
              </w:rPr>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spacing w:val="-1"/>
                <w:sz w:val="22"/>
              </w:rPr>
              <w:t>1,234,506,831</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44.64</w:t>
            </w:r>
            <w:r>
              <w:rPr>
                <w:rFonts w:ascii="Arial"/>
                <w:sz w:val="22"/>
              </w:rPr>
            </w:r>
          </w:p>
        </w:tc>
      </w:tr>
    </w:tbl>
    <w:p>
      <w:pPr>
        <w:spacing w:line="240" w:lineRule="auto" w:before="2"/>
        <w:rPr>
          <w:rFonts w:ascii="宋体" w:hAnsi="宋体" w:cs="宋体" w:eastAsia="宋体" w:hint="default"/>
          <w:sz w:val="14"/>
          <w:szCs w:val="14"/>
        </w:rPr>
      </w:pPr>
    </w:p>
    <w:p>
      <w:pPr>
        <w:pStyle w:val="BodyText"/>
        <w:spacing w:line="286" w:lineRule="exact" w:before="60"/>
        <w:ind w:left="753" w:right="211"/>
        <w:jc w:val="left"/>
      </w:pPr>
      <w:r>
        <w:rPr/>
        <w:t>本公司在</w:t>
      </w:r>
      <w:r>
        <w:rPr>
          <w:spacing w:val="-56"/>
        </w:rPr>
        <w:t> </w:t>
      </w:r>
      <w:r>
        <w:rPr>
          <w:rFonts w:ascii="Arial" w:hAnsi="Arial" w:cs="Arial" w:eastAsia="Arial" w:hint="default"/>
        </w:rPr>
        <w:t>2008</w:t>
      </w:r>
      <w:r>
        <w:rPr>
          <w:rFonts w:ascii="Arial" w:hAnsi="Arial" w:cs="Arial" w:eastAsia="Arial" w:hint="default"/>
          <w:spacing w:val="-7"/>
        </w:rPr>
        <w:t> </w:t>
      </w:r>
      <w:r>
        <w:rPr/>
        <w:t>年度至</w:t>
      </w:r>
      <w:r>
        <w:rPr>
          <w:spacing w:val="-56"/>
        </w:rPr>
        <w:t> </w:t>
      </w:r>
      <w:r>
        <w:rPr>
          <w:rFonts w:ascii="Arial" w:hAnsi="Arial" w:cs="Arial" w:eastAsia="Arial" w:hint="default"/>
        </w:rPr>
        <w:t>2010</w:t>
      </w:r>
      <w:r>
        <w:rPr>
          <w:rFonts w:ascii="Arial" w:hAnsi="Arial" w:cs="Arial" w:eastAsia="Arial" w:hint="default"/>
          <w:spacing w:val="-7"/>
        </w:rPr>
        <w:t> </w:t>
      </w:r>
      <w:r>
        <w:rPr/>
        <w:t>年度除现金分红外，并未执行过任何资本公积转增股本或送股等</w:t>
      </w:r>
      <w:r>
        <w:rPr>
          <w:w w:val="99"/>
        </w:rPr>
        <w:t> </w:t>
      </w:r>
      <w:r>
        <w:rPr/>
        <w:t>分红情况。</w:t>
      </w:r>
    </w:p>
    <w:p>
      <w:pPr>
        <w:spacing w:line="240" w:lineRule="auto" w:before="3"/>
        <w:rPr>
          <w:rFonts w:ascii="宋体" w:hAnsi="宋体" w:cs="宋体" w:eastAsia="宋体" w:hint="default"/>
          <w:sz w:val="19"/>
          <w:szCs w:val="19"/>
        </w:rPr>
      </w:pPr>
    </w:p>
    <w:p>
      <w:pPr>
        <w:pStyle w:val="BodyText"/>
        <w:spacing w:line="286" w:lineRule="exact"/>
        <w:ind w:left="1157" w:right="202" w:hanging="405"/>
        <w:jc w:val="left"/>
      </w:pPr>
      <w:r>
        <w:rPr/>
        <w:t>注：此处列示的归属于上市公司股东的净利润摘自本公司原</w:t>
      </w:r>
      <w:r>
        <w:rPr>
          <w:spacing w:val="-65"/>
        </w:rPr>
        <w:t> </w:t>
      </w:r>
      <w:r>
        <w:rPr>
          <w:rFonts w:ascii="Arial" w:hAnsi="Arial" w:cs="Arial" w:eastAsia="Arial" w:hint="default"/>
        </w:rPr>
        <w:t>2008</w:t>
      </w:r>
      <w:r>
        <w:rPr>
          <w:rFonts w:ascii="Arial" w:hAnsi="Arial" w:cs="Arial" w:eastAsia="Arial" w:hint="default"/>
          <w:spacing w:val="-16"/>
        </w:rPr>
        <w:t> </w:t>
      </w:r>
      <w:r>
        <w:rPr>
          <w:spacing w:val="-8"/>
        </w:rPr>
        <w:t>年、</w:t>
      </w:r>
      <w:r>
        <w:rPr>
          <w:rFonts w:ascii="Arial" w:hAnsi="Arial" w:cs="Arial" w:eastAsia="Arial" w:hint="default"/>
          <w:spacing w:val="-8"/>
        </w:rPr>
        <w:t>2009</w:t>
      </w:r>
      <w:r>
        <w:rPr>
          <w:rFonts w:ascii="Arial" w:hAnsi="Arial" w:cs="Arial" w:eastAsia="Arial" w:hint="default"/>
          <w:spacing w:val="-16"/>
        </w:rPr>
        <w:t> </w:t>
      </w:r>
      <w:r>
        <w:rPr/>
        <w:t>年以及</w:t>
      </w:r>
      <w:r>
        <w:rPr>
          <w:spacing w:val="-65"/>
        </w:rPr>
        <w:t> </w:t>
      </w:r>
      <w:r>
        <w:rPr>
          <w:rFonts w:ascii="Arial" w:hAnsi="Arial" w:cs="Arial" w:eastAsia="Arial" w:hint="default"/>
        </w:rPr>
        <w:t>2010</w:t>
      </w:r>
      <w:r>
        <w:rPr>
          <w:rFonts w:ascii="Arial" w:hAnsi="Arial" w:cs="Arial" w:eastAsia="Arial" w:hint="default"/>
          <w:spacing w:val="-16"/>
        </w:rPr>
        <w:t> </w:t>
      </w:r>
      <w:r>
        <w:rPr/>
        <w:t>年年</w:t>
      </w:r>
      <w:r>
        <w:rPr>
          <w:w w:val="99"/>
        </w:rPr>
        <w:t> </w:t>
      </w:r>
      <w:r>
        <w:rPr/>
        <w:t>报，不包含本集团因同一控制下企业合并对相关年度重述的影响。</w:t>
      </w:r>
    </w:p>
    <w:p>
      <w:pPr>
        <w:spacing w:line="240" w:lineRule="auto" w:before="2"/>
        <w:rPr>
          <w:rFonts w:ascii="宋体" w:hAnsi="宋体" w:cs="宋体" w:eastAsia="宋体" w:hint="default"/>
          <w:sz w:val="17"/>
          <w:szCs w:val="17"/>
        </w:rPr>
      </w:pPr>
    </w:p>
    <w:p>
      <w:pPr>
        <w:pStyle w:val="BodyText"/>
        <w:spacing w:line="240" w:lineRule="auto"/>
        <w:ind w:left="365" w:right="0"/>
        <w:jc w:val="left"/>
      </w:pPr>
      <w:r>
        <w:rPr/>
        <w:t>九、</w:t>
      </w:r>
      <w:r>
        <w:rPr>
          <w:spacing w:val="4"/>
        </w:rPr>
        <w:t> </w:t>
      </w:r>
      <w:r>
        <w:rPr/>
        <w:t>监事会报告</w:t>
      </w:r>
    </w:p>
    <w:p>
      <w:pPr>
        <w:spacing w:line="240" w:lineRule="auto" w:before="1"/>
        <w:rPr>
          <w:rFonts w:ascii="宋体" w:hAnsi="宋体" w:cs="宋体" w:eastAsia="宋体" w:hint="default"/>
          <w:sz w:val="19"/>
          <w:szCs w:val="19"/>
        </w:rPr>
      </w:pPr>
    </w:p>
    <w:p>
      <w:pPr>
        <w:pStyle w:val="BodyText"/>
        <w:spacing w:line="240" w:lineRule="auto"/>
        <w:ind w:left="365" w:right="0"/>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6"/>
        </w:rPr>
        <w:t> </w:t>
      </w:r>
      <w:r>
        <w:rPr/>
        <w:t>监事会的工作情况</w:t>
      </w:r>
    </w:p>
    <w:p>
      <w:pPr>
        <w:spacing w:line="240" w:lineRule="auto" w:before="10"/>
        <w:rPr>
          <w:rFonts w:ascii="宋体" w:hAnsi="宋体" w:cs="宋体" w:eastAsia="宋体" w:hint="default"/>
          <w:sz w:val="20"/>
          <w:szCs w:val="20"/>
        </w:rPr>
      </w:pPr>
    </w:p>
    <w:tbl>
      <w:tblPr>
        <w:tblW w:w="0" w:type="auto"/>
        <w:jc w:val="left"/>
        <w:tblInd w:w="781" w:type="dxa"/>
        <w:tblLayout w:type="fixed"/>
        <w:tblCellMar>
          <w:top w:w="0" w:type="dxa"/>
          <w:left w:w="0" w:type="dxa"/>
          <w:bottom w:w="0" w:type="dxa"/>
          <w:right w:w="0" w:type="dxa"/>
        </w:tblCellMar>
        <w:tblLook w:val="01E0"/>
      </w:tblPr>
      <w:tblGrid>
        <w:gridCol w:w="4453"/>
        <w:gridCol w:w="4349"/>
      </w:tblGrid>
      <w:tr>
        <w:trPr>
          <w:trHeight w:val="274" w:hRule="exact"/>
        </w:trPr>
        <w:tc>
          <w:tcPr>
            <w:tcW w:w="445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召开会议的次数</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Arial" w:hAnsi="Arial" w:cs="Arial" w:eastAsia="Arial" w:hint="default"/>
                <w:sz w:val="20"/>
                <w:szCs w:val="20"/>
              </w:rPr>
            </w:pPr>
            <w:r>
              <w:rPr>
                <w:rFonts w:ascii="Arial"/>
                <w:w w:val="100"/>
                <w:sz w:val="20"/>
              </w:rPr>
              <w:t>4</w:t>
            </w:r>
          </w:p>
        </w:tc>
      </w:tr>
      <w:tr>
        <w:trPr>
          <w:trHeight w:val="275" w:hRule="exact"/>
        </w:trPr>
        <w:tc>
          <w:tcPr>
            <w:tcW w:w="445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监事会会议情况</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监事会会议议题</w:t>
            </w:r>
          </w:p>
        </w:tc>
      </w:tr>
      <w:tr>
        <w:trPr>
          <w:trHeight w:val="2350" w:hRule="exact"/>
        </w:trPr>
        <w:tc>
          <w:tcPr>
            <w:tcW w:w="4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29</w:t>
            </w:r>
            <w:r>
              <w:rPr>
                <w:rFonts w:ascii="Arial" w:hAnsi="Arial" w:cs="Arial" w:eastAsia="Arial" w:hint="default"/>
                <w:spacing w:val="-6"/>
                <w:sz w:val="20"/>
                <w:szCs w:val="20"/>
              </w:rPr>
              <w:t> </w:t>
            </w:r>
            <w:r>
              <w:rPr>
                <w:rFonts w:ascii="宋体" w:hAnsi="宋体" w:cs="宋体" w:eastAsia="宋体" w:hint="default"/>
                <w:sz w:val="20"/>
                <w:szCs w:val="20"/>
              </w:rPr>
              <w:t>日召开第三届监事会第六次会议</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审议并一致通过如下决议：</w:t>
            </w:r>
          </w:p>
          <w:p>
            <w:pPr>
              <w:pStyle w:val="TableParagraph"/>
              <w:spacing w:line="260" w:lineRule="exact" w:before="24"/>
              <w:ind w:left="100" w:right="97"/>
              <w:jc w:val="left"/>
              <w:rPr>
                <w:rFonts w:ascii="宋体" w:hAnsi="宋体" w:cs="宋体" w:eastAsia="宋体" w:hint="default"/>
                <w:sz w:val="20"/>
                <w:szCs w:val="20"/>
              </w:rPr>
            </w:pPr>
            <w:r>
              <w:rPr>
                <w:rFonts w:ascii="Arial" w:hAnsi="Arial" w:cs="Arial" w:eastAsia="Arial" w:hint="default"/>
                <w:spacing w:val="-1"/>
                <w:w w:val="100"/>
                <w:sz w:val="20"/>
                <w:szCs w:val="20"/>
              </w:rPr>
              <w:t>1&gt;</w:t>
            </w:r>
            <w:r>
              <w:rPr>
                <w:rFonts w:ascii="宋体" w:hAnsi="宋体" w:cs="宋体" w:eastAsia="宋体" w:hint="default"/>
                <w:spacing w:val="-1"/>
                <w:w w:val="100"/>
                <w:sz w:val="20"/>
                <w:szCs w:val="20"/>
              </w:rPr>
              <w:t>同意将</w:t>
            </w:r>
            <w:r>
              <w:rPr>
                <w:rFonts w:ascii="宋体" w:hAnsi="宋体" w:cs="宋体" w:eastAsia="宋体" w:hint="default"/>
                <w:spacing w:val="-62"/>
                <w:w w:val="100"/>
                <w:sz w:val="20"/>
                <w:szCs w:val="20"/>
              </w:rPr>
              <w:t> </w:t>
            </w:r>
            <w:r>
              <w:rPr>
                <w:rFonts w:ascii="Arial" w:hAnsi="Arial" w:cs="Arial" w:eastAsia="Arial" w:hint="default"/>
                <w:spacing w:val="-1"/>
                <w:w w:val="100"/>
                <w:sz w:val="20"/>
                <w:szCs w:val="20"/>
              </w:rPr>
              <w:t>2010</w:t>
            </w:r>
            <w:r>
              <w:rPr>
                <w:rFonts w:ascii="Arial" w:hAnsi="Arial" w:cs="Arial" w:eastAsia="Arial" w:hint="default"/>
                <w:spacing w:val="-15"/>
                <w:w w:val="100"/>
                <w:sz w:val="20"/>
                <w:szCs w:val="20"/>
              </w:rPr>
              <w:t> </w:t>
            </w:r>
            <w:r>
              <w:rPr>
                <w:rFonts w:ascii="宋体" w:hAnsi="宋体" w:cs="宋体" w:eastAsia="宋体" w:hint="default"/>
                <w:spacing w:val="-9"/>
                <w:w w:val="100"/>
                <w:sz w:val="20"/>
                <w:szCs w:val="20"/>
              </w:rPr>
              <w:t>年度监事会报告载入《公司</w:t>
            </w:r>
            <w:r>
              <w:rPr>
                <w:rFonts w:ascii="宋体" w:hAnsi="宋体" w:cs="宋体" w:eastAsia="宋体" w:hint="default"/>
                <w:spacing w:val="-60"/>
                <w:w w:val="100"/>
                <w:sz w:val="20"/>
                <w:szCs w:val="20"/>
              </w:rPr>
              <w:t> </w:t>
            </w:r>
            <w:r>
              <w:rPr>
                <w:rFonts w:ascii="Arial" w:hAnsi="Arial" w:cs="Arial" w:eastAsia="Arial" w:hint="default"/>
                <w:spacing w:val="-1"/>
                <w:w w:val="100"/>
                <w:sz w:val="20"/>
                <w:szCs w:val="20"/>
              </w:rPr>
              <w:t>2010</w:t>
            </w:r>
            <w:r>
              <w:rPr>
                <w:rFonts w:ascii="Arial" w:hAnsi="Arial" w:cs="Arial" w:eastAsia="Arial" w:hint="default"/>
                <w:w w:val="100"/>
                <w:sz w:val="20"/>
                <w:szCs w:val="20"/>
              </w:rPr>
              <w:t> </w:t>
            </w:r>
            <w:r>
              <w:rPr>
                <w:rFonts w:ascii="宋体" w:hAnsi="宋体" w:cs="宋体" w:eastAsia="宋体" w:hint="default"/>
                <w:sz w:val="20"/>
                <w:szCs w:val="20"/>
              </w:rPr>
              <w:t>年年度报告》，并提交股东大会审议。</w:t>
            </w:r>
            <w:r>
              <w:rPr>
                <w:rFonts w:ascii="宋体" w:hAnsi="宋体" w:cs="宋体" w:eastAsia="宋体" w:hint="default"/>
                <w:w w:val="100"/>
                <w:sz w:val="20"/>
                <w:szCs w:val="20"/>
              </w:rPr>
              <w:t> </w:t>
            </w:r>
            <w:r>
              <w:rPr>
                <w:rFonts w:ascii="Arial" w:hAnsi="Arial" w:cs="Arial" w:eastAsia="Arial" w:hint="default"/>
                <w:spacing w:val="-4"/>
                <w:sz w:val="20"/>
                <w:szCs w:val="20"/>
              </w:rPr>
              <w:t>2&gt;</w:t>
            </w:r>
            <w:r>
              <w:rPr>
                <w:rFonts w:ascii="宋体" w:hAnsi="宋体" w:cs="宋体" w:eastAsia="宋体" w:hint="default"/>
                <w:spacing w:val="-4"/>
                <w:sz w:val="20"/>
                <w:szCs w:val="20"/>
              </w:rPr>
              <w:t>同意《公司</w:t>
            </w:r>
            <w:r>
              <w:rPr>
                <w:rFonts w:ascii="宋体" w:hAnsi="宋体" w:cs="宋体" w:eastAsia="宋体" w:hint="default"/>
                <w:spacing w:val="-43"/>
                <w:sz w:val="20"/>
                <w:szCs w:val="20"/>
              </w:rPr>
              <w:t> </w:t>
            </w:r>
            <w:r>
              <w:rPr>
                <w:rFonts w:ascii="Arial" w:hAnsi="Arial" w:cs="Arial" w:eastAsia="Arial" w:hint="default"/>
                <w:sz w:val="20"/>
                <w:szCs w:val="20"/>
              </w:rPr>
              <w:t>2010 </w:t>
            </w:r>
            <w:r>
              <w:rPr>
                <w:rFonts w:ascii="宋体" w:hAnsi="宋体" w:cs="宋体" w:eastAsia="宋体" w:hint="default"/>
                <w:spacing w:val="-3"/>
                <w:sz w:val="20"/>
                <w:szCs w:val="20"/>
              </w:rPr>
              <w:t>年年度报告》并提交股东大</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会审议。</w:t>
            </w:r>
            <w:r>
              <w:rPr>
                <w:rFonts w:ascii="宋体" w:hAnsi="宋体" w:cs="宋体" w:eastAsia="宋体" w:hint="default"/>
                <w:w w:val="100"/>
                <w:sz w:val="20"/>
                <w:szCs w:val="20"/>
              </w:rPr>
              <w:t> </w:t>
            </w:r>
            <w:r>
              <w:rPr>
                <w:rFonts w:ascii="Arial" w:hAnsi="Arial" w:cs="Arial" w:eastAsia="Arial" w:hint="default"/>
                <w:sz w:val="20"/>
                <w:szCs w:val="20"/>
              </w:rPr>
              <w:t>3&gt;</w:t>
            </w:r>
            <w:r>
              <w:rPr>
                <w:rFonts w:ascii="宋体" w:hAnsi="宋体" w:cs="宋体" w:eastAsia="宋体" w:hint="default"/>
                <w:sz w:val="20"/>
                <w:szCs w:val="20"/>
              </w:rPr>
              <w:t>同意《关于公司会计政策调整的议案》。</w:t>
            </w:r>
          </w:p>
          <w:p>
            <w:pPr>
              <w:pStyle w:val="TableParagraph"/>
              <w:spacing w:line="242" w:lineRule="exact"/>
              <w:ind w:left="100" w:right="0"/>
              <w:jc w:val="left"/>
              <w:rPr>
                <w:rFonts w:ascii="宋体" w:hAnsi="宋体" w:cs="宋体" w:eastAsia="宋体" w:hint="default"/>
                <w:sz w:val="20"/>
                <w:szCs w:val="20"/>
              </w:rPr>
            </w:pPr>
            <w:r>
              <w:rPr>
                <w:rFonts w:ascii="Arial" w:hAnsi="Arial" w:cs="Arial" w:eastAsia="Arial" w:hint="default"/>
                <w:sz w:val="20"/>
                <w:szCs w:val="20"/>
              </w:rPr>
              <w:t>4&gt;</w:t>
            </w:r>
            <w:r>
              <w:rPr>
                <w:rFonts w:ascii="宋体" w:hAnsi="宋体" w:cs="宋体" w:eastAsia="宋体" w:hint="default"/>
                <w:sz w:val="20"/>
                <w:szCs w:val="20"/>
              </w:rPr>
              <w:t>同意公司的内控自我评价报告</w:t>
            </w:r>
          </w:p>
          <w:p>
            <w:pPr>
              <w:pStyle w:val="TableParagraph"/>
              <w:spacing w:line="260" w:lineRule="exact" w:before="17"/>
              <w:ind w:left="100" w:right="30"/>
              <w:jc w:val="left"/>
              <w:rPr>
                <w:rFonts w:ascii="宋体" w:hAnsi="宋体" w:cs="宋体" w:eastAsia="宋体" w:hint="default"/>
                <w:sz w:val="20"/>
                <w:szCs w:val="20"/>
              </w:rPr>
            </w:pPr>
            <w:r>
              <w:rPr>
                <w:rFonts w:ascii="Arial" w:hAnsi="Arial" w:cs="Arial" w:eastAsia="Arial" w:hint="default"/>
                <w:spacing w:val="-5"/>
                <w:w w:val="100"/>
                <w:sz w:val="20"/>
                <w:szCs w:val="20"/>
              </w:rPr>
              <w:t>5&gt;</w:t>
            </w:r>
            <w:r>
              <w:rPr>
                <w:rFonts w:ascii="宋体" w:hAnsi="宋体" w:cs="宋体" w:eastAsia="宋体" w:hint="default"/>
                <w:spacing w:val="-5"/>
                <w:w w:val="100"/>
                <w:sz w:val="20"/>
                <w:szCs w:val="20"/>
              </w:rPr>
              <w:t>同意唐富馨女士辞去公司监事职务，建议增补</w:t>
            </w:r>
            <w:r>
              <w:rPr>
                <w:rFonts w:ascii="宋体" w:hAnsi="宋体" w:cs="宋体" w:eastAsia="宋体" w:hint="default"/>
                <w:w w:val="100"/>
                <w:sz w:val="20"/>
                <w:szCs w:val="20"/>
              </w:rPr>
              <w:t> </w:t>
            </w:r>
            <w:r>
              <w:rPr>
                <w:rFonts w:ascii="宋体" w:hAnsi="宋体" w:cs="宋体" w:eastAsia="宋体" w:hint="default"/>
                <w:sz w:val="20"/>
                <w:szCs w:val="20"/>
              </w:rPr>
              <w:t>韦海波先生为公司监事，并提交股东大会审议。</w:t>
            </w:r>
          </w:p>
        </w:tc>
      </w:tr>
      <w:tr>
        <w:trPr>
          <w:trHeight w:val="275" w:hRule="exact"/>
        </w:trPr>
        <w:tc>
          <w:tcPr>
            <w:tcW w:w="44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4</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26</w:t>
            </w:r>
            <w:r>
              <w:rPr>
                <w:rFonts w:ascii="Arial" w:hAnsi="Arial" w:cs="Arial" w:eastAsia="Arial" w:hint="default"/>
                <w:spacing w:val="-6"/>
                <w:sz w:val="20"/>
                <w:szCs w:val="20"/>
              </w:rPr>
              <w:t> </w:t>
            </w:r>
            <w:r>
              <w:rPr>
                <w:rFonts w:ascii="宋体" w:hAnsi="宋体" w:cs="宋体" w:eastAsia="宋体" w:hint="default"/>
                <w:sz w:val="20"/>
                <w:szCs w:val="20"/>
              </w:rPr>
              <w:t>日召开第三届监事会第七次会议</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pacing w:val="-7"/>
                <w:sz w:val="20"/>
                <w:szCs w:val="20"/>
              </w:rPr>
              <w:t>审议并一致同意《公司 </w:t>
            </w:r>
            <w:r>
              <w:rPr>
                <w:rFonts w:ascii="Arial" w:hAnsi="Arial" w:cs="Arial" w:eastAsia="Arial" w:hint="default"/>
                <w:sz w:val="20"/>
                <w:szCs w:val="20"/>
              </w:rPr>
              <w:t>2011</w:t>
            </w:r>
            <w:r>
              <w:rPr>
                <w:rFonts w:ascii="Arial" w:hAnsi="Arial" w:cs="Arial" w:eastAsia="Arial" w:hint="default"/>
                <w:spacing w:val="-36"/>
                <w:sz w:val="20"/>
                <w:szCs w:val="20"/>
              </w:rPr>
              <w:t> </w:t>
            </w:r>
            <w:r>
              <w:rPr>
                <w:rFonts w:ascii="宋体" w:hAnsi="宋体" w:cs="宋体" w:eastAsia="宋体" w:hint="default"/>
                <w:spacing w:val="-7"/>
                <w:sz w:val="20"/>
                <w:szCs w:val="20"/>
              </w:rPr>
              <w:t>年第一季度报告》。</w:t>
            </w:r>
          </w:p>
        </w:tc>
      </w:tr>
      <w:tr>
        <w:trPr>
          <w:trHeight w:val="274" w:hRule="exact"/>
        </w:trPr>
        <w:tc>
          <w:tcPr>
            <w:tcW w:w="44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8</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24</w:t>
            </w:r>
            <w:r>
              <w:rPr>
                <w:rFonts w:ascii="Arial" w:hAnsi="Arial" w:cs="Arial" w:eastAsia="Arial" w:hint="default"/>
                <w:spacing w:val="-6"/>
                <w:sz w:val="20"/>
                <w:szCs w:val="20"/>
              </w:rPr>
              <w:t> </w:t>
            </w:r>
            <w:r>
              <w:rPr>
                <w:rFonts w:ascii="宋体" w:hAnsi="宋体" w:cs="宋体" w:eastAsia="宋体" w:hint="default"/>
                <w:sz w:val="20"/>
                <w:szCs w:val="20"/>
              </w:rPr>
              <w:t>日召开第三届监事会第八次会议</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审议并一致同意《公司</w:t>
            </w:r>
            <w:r>
              <w:rPr>
                <w:rFonts w:ascii="宋体" w:hAnsi="宋体" w:cs="宋体" w:eastAsia="宋体" w:hint="default"/>
                <w:spacing w:val="-53"/>
                <w:sz w:val="20"/>
                <w:szCs w:val="20"/>
              </w:rPr>
              <w:t> </w:t>
            </w: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年半年度报告》。</w:t>
            </w:r>
          </w:p>
        </w:tc>
      </w:tr>
      <w:tr>
        <w:trPr>
          <w:trHeight w:val="535" w:hRule="exact"/>
        </w:trPr>
        <w:tc>
          <w:tcPr>
            <w:tcW w:w="445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27</w:t>
            </w:r>
            <w:r>
              <w:rPr>
                <w:rFonts w:ascii="Arial" w:hAnsi="Arial" w:cs="Arial" w:eastAsia="Arial" w:hint="default"/>
                <w:spacing w:val="-6"/>
                <w:sz w:val="20"/>
                <w:szCs w:val="20"/>
              </w:rPr>
              <w:t> </w:t>
            </w:r>
            <w:r>
              <w:rPr>
                <w:rFonts w:ascii="宋体" w:hAnsi="宋体" w:cs="宋体" w:eastAsia="宋体" w:hint="default"/>
                <w:sz w:val="20"/>
                <w:szCs w:val="20"/>
              </w:rPr>
              <w:t>日召开第三届监事会第九次会</w:t>
            </w:r>
          </w:p>
          <w:p>
            <w:pPr>
              <w:pStyle w:val="TableParagraph"/>
              <w:spacing w:line="253" w:lineRule="exact"/>
              <w:ind w:left="99" w:right="0"/>
              <w:jc w:val="left"/>
              <w:rPr>
                <w:rFonts w:ascii="宋体" w:hAnsi="宋体" w:cs="宋体" w:eastAsia="宋体" w:hint="default"/>
                <w:sz w:val="20"/>
                <w:szCs w:val="20"/>
              </w:rPr>
            </w:pPr>
            <w:r>
              <w:rPr>
                <w:rFonts w:ascii="宋体" w:hAnsi="宋体" w:cs="宋体" w:eastAsia="宋体" w:hint="default"/>
                <w:w w:val="100"/>
                <w:sz w:val="20"/>
                <w:szCs w:val="20"/>
              </w:rPr>
              <w:t>议</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pacing w:val="-7"/>
                <w:sz w:val="20"/>
                <w:szCs w:val="20"/>
              </w:rPr>
              <w:t>审议并一致同意《公司 </w:t>
            </w:r>
            <w:r>
              <w:rPr>
                <w:rFonts w:ascii="Arial" w:hAnsi="Arial" w:cs="Arial" w:eastAsia="Arial" w:hint="default"/>
                <w:sz w:val="20"/>
                <w:szCs w:val="20"/>
              </w:rPr>
              <w:t>2011</w:t>
            </w:r>
            <w:r>
              <w:rPr>
                <w:rFonts w:ascii="Arial" w:hAnsi="Arial" w:cs="Arial" w:eastAsia="Arial" w:hint="default"/>
                <w:spacing w:val="-36"/>
                <w:sz w:val="20"/>
                <w:szCs w:val="20"/>
              </w:rPr>
              <w:t> </w:t>
            </w:r>
            <w:r>
              <w:rPr>
                <w:rFonts w:ascii="宋体" w:hAnsi="宋体" w:cs="宋体" w:eastAsia="宋体" w:hint="default"/>
                <w:spacing w:val="-7"/>
                <w:sz w:val="20"/>
                <w:szCs w:val="20"/>
              </w:rPr>
              <w:t>年第三季度报告》。</w:t>
            </w:r>
          </w:p>
        </w:tc>
      </w:tr>
    </w:tbl>
    <w:p>
      <w:pPr>
        <w:spacing w:line="240" w:lineRule="auto" w:before="1"/>
        <w:rPr>
          <w:rFonts w:ascii="宋体" w:hAnsi="宋体" w:cs="宋体" w:eastAsia="宋体" w:hint="default"/>
          <w:sz w:val="14"/>
          <w:szCs w:val="14"/>
        </w:rPr>
      </w:pPr>
    </w:p>
    <w:p>
      <w:pPr>
        <w:pStyle w:val="BodyText"/>
        <w:spacing w:line="286" w:lineRule="exact" w:before="60"/>
        <w:ind w:left="788" w:right="272"/>
        <w:jc w:val="left"/>
      </w:pPr>
      <w:r>
        <w:rPr/>
        <w:t>公司监事会在报告期内，按照《公司法》和《公司章程》所赋予的职权，重点从公司依法运</w:t>
      </w:r>
      <w:r>
        <w:rPr>
          <w:w w:val="99"/>
        </w:rPr>
        <w:t> </w:t>
      </w:r>
      <w:r>
        <w:rPr/>
        <w:t>作、董事、高级管理人员执行公司职务、公司财务检查等方面进行监督。</w:t>
      </w:r>
    </w:p>
    <w:p>
      <w:pPr>
        <w:spacing w:line="240" w:lineRule="auto" w:before="2"/>
        <w:rPr>
          <w:rFonts w:ascii="宋体" w:hAnsi="宋体" w:cs="宋体" w:eastAsia="宋体" w:hint="default"/>
          <w:sz w:val="17"/>
          <w:szCs w:val="17"/>
        </w:rPr>
      </w:pPr>
    </w:p>
    <w:p>
      <w:pPr>
        <w:pStyle w:val="BodyText"/>
        <w:spacing w:line="294" w:lineRule="exact"/>
        <w:ind w:left="788" w:right="0"/>
        <w:jc w:val="left"/>
      </w:pPr>
      <w:r>
        <w:rPr/>
        <w:t>公司监事会列席了</w:t>
      </w:r>
      <w:r>
        <w:rPr>
          <w:spacing w:val="-57"/>
        </w:rPr>
        <w:t> </w:t>
      </w:r>
      <w:r>
        <w:rPr>
          <w:rFonts w:ascii="Arial" w:hAnsi="Arial" w:cs="Arial" w:eastAsia="Arial" w:hint="default"/>
        </w:rPr>
        <w:t>2011</w:t>
      </w:r>
      <w:r>
        <w:rPr>
          <w:rFonts w:ascii="Arial" w:hAnsi="Arial" w:cs="Arial" w:eastAsia="Arial" w:hint="default"/>
          <w:spacing w:val="-8"/>
        </w:rPr>
        <w:t> </w:t>
      </w:r>
      <w:r>
        <w:rPr/>
        <w:t>年度所有董事会现场会议。听取了《关于公司</w:t>
      </w:r>
      <w:r>
        <w:rPr>
          <w:spacing w:val="-57"/>
        </w:rPr>
        <w:t> </w:t>
      </w:r>
      <w:r>
        <w:rPr>
          <w:rFonts w:ascii="Arial" w:hAnsi="Arial" w:cs="Arial" w:eastAsia="Arial" w:hint="default"/>
        </w:rPr>
        <w:t>2010</w:t>
      </w:r>
      <w:r>
        <w:rPr>
          <w:rFonts w:ascii="Arial" w:hAnsi="Arial" w:cs="Arial" w:eastAsia="Arial" w:hint="default"/>
          <w:spacing w:val="-8"/>
        </w:rPr>
        <w:t> </w:t>
      </w:r>
      <w:r>
        <w:rPr/>
        <w:t>年年度报告》、</w:t>
      </w:r>
    </w:p>
    <w:p>
      <w:pPr>
        <w:pStyle w:val="BodyText"/>
        <w:spacing w:line="285" w:lineRule="exact"/>
        <w:ind w:left="788" w:right="0"/>
        <w:jc w:val="left"/>
      </w:pPr>
      <w:r>
        <w:rPr>
          <w:w w:val="99"/>
        </w:rPr>
        <w:t>《关于公司</w:t>
      </w:r>
      <w:r>
        <w:rPr>
          <w:spacing w:val="-54"/>
        </w:rPr>
        <w:t> </w:t>
      </w:r>
      <w:r>
        <w:rPr>
          <w:rFonts w:ascii="Arial" w:hAnsi="Arial" w:cs="Arial" w:eastAsia="Arial" w:hint="default"/>
          <w:w w:val="99"/>
        </w:rPr>
        <w:t>2010</w:t>
      </w:r>
      <w:r>
        <w:rPr>
          <w:rFonts w:ascii="Arial" w:hAnsi="Arial" w:cs="Arial" w:eastAsia="Arial" w:hint="default"/>
          <w:spacing w:val="-6"/>
        </w:rPr>
        <w:t> </w:t>
      </w:r>
      <w:r>
        <w:rPr>
          <w:w w:val="99"/>
        </w:rPr>
        <w:t>年度</w:t>
      </w:r>
      <w:r>
        <w:rPr>
          <w:spacing w:val="1"/>
          <w:w w:val="99"/>
        </w:rPr>
        <w:t>利</w:t>
      </w:r>
      <w:r>
        <w:rPr>
          <w:w w:val="99"/>
        </w:rPr>
        <w:t>润分配</w:t>
      </w:r>
      <w:r>
        <w:rPr>
          <w:spacing w:val="1"/>
          <w:w w:val="99"/>
        </w:rPr>
        <w:t>的议</w:t>
      </w:r>
      <w:r>
        <w:rPr>
          <w:w w:val="99"/>
        </w:rPr>
        <w:t>案</w:t>
      </w:r>
      <w:r>
        <w:rPr>
          <w:spacing w:val="-59"/>
          <w:w w:val="99"/>
        </w:rPr>
        <w:t>》</w:t>
      </w:r>
      <w:r>
        <w:rPr>
          <w:spacing w:val="-118"/>
          <w:w w:val="99"/>
        </w:rPr>
        <w:t>、</w:t>
      </w:r>
      <w:r>
        <w:rPr>
          <w:w w:val="99"/>
        </w:rPr>
        <w:t>《公</w:t>
      </w:r>
      <w:r>
        <w:rPr>
          <w:spacing w:val="1"/>
          <w:w w:val="99"/>
        </w:rPr>
        <w:t>司</w:t>
      </w:r>
      <w:r>
        <w:rPr>
          <w:w w:val="99"/>
        </w:rPr>
        <w:t>内控自</w:t>
      </w:r>
      <w:r>
        <w:rPr>
          <w:spacing w:val="1"/>
          <w:w w:val="99"/>
        </w:rPr>
        <w:t>我评</w:t>
      </w:r>
      <w:r>
        <w:rPr>
          <w:w w:val="99"/>
        </w:rPr>
        <w:t>估报告</w:t>
      </w:r>
      <w:r>
        <w:rPr>
          <w:spacing w:val="-59"/>
          <w:w w:val="99"/>
        </w:rPr>
        <w:t>》</w:t>
      </w:r>
      <w:r>
        <w:rPr>
          <w:spacing w:val="-118"/>
          <w:w w:val="99"/>
        </w:rPr>
        <w:t>、</w:t>
      </w:r>
      <w:r>
        <w:rPr>
          <w:spacing w:val="1"/>
          <w:w w:val="99"/>
        </w:rPr>
        <w:t>《</w:t>
      </w:r>
      <w:r>
        <w:rPr>
          <w:w w:val="99"/>
        </w:rPr>
        <w:t>公司社</w:t>
      </w:r>
      <w:r>
        <w:rPr>
          <w:spacing w:val="1"/>
          <w:w w:val="99"/>
        </w:rPr>
        <w:t>会责</w:t>
      </w:r>
      <w:r>
        <w:rPr>
          <w:w w:val="99"/>
        </w:rPr>
        <w:t>任报告</w:t>
      </w:r>
      <w:r>
        <w:rPr>
          <w:spacing w:val="-58"/>
          <w:w w:val="99"/>
        </w:rPr>
        <w:t>》</w:t>
      </w:r>
      <w:r>
        <w:rPr>
          <w:w w:val="99"/>
        </w:rPr>
        <w:t>、</w:t>
      </w:r>
      <w:r>
        <w:rPr/>
      </w:r>
    </w:p>
    <w:p>
      <w:pPr>
        <w:pStyle w:val="BodyText"/>
        <w:spacing w:line="286" w:lineRule="exact" w:before="19"/>
        <w:ind w:left="788" w:right="201"/>
        <w:jc w:val="left"/>
      </w:pPr>
      <w:r>
        <w:rPr>
          <w:spacing w:val="-3"/>
        </w:rPr>
        <w:t>《关于会计政策调整的议案》、《公司</w:t>
      </w:r>
      <w:r>
        <w:rPr>
          <w:spacing w:val="-74"/>
        </w:rPr>
        <w:t> </w:t>
      </w:r>
      <w:r>
        <w:rPr>
          <w:rFonts w:ascii="Arial" w:hAnsi="Arial" w:cs="Arial" w:eastAsia="Arial" w:hint="default"/>
        </w:rPr>
        <w:t>2011</w:t>
      </w:r>
      <w:r>
        <w:rPr>
          <w:rFonts w:ascii="Arial" w:hAnsi="Arial" w:cs="Arial" w:eastAsia="Arial" w:hint="default"/>
          <w:spacing w:val="-25"/>
        </w:rPr>
        <w:t> </w:t>
      </w:r>
      <w:r>
        <w:rPr/>
        <w:t>年半年度报告》等，通过列席董事会会议，了解</w:t>
      </w:r>
      <w:r>
        <w:rPr>
          <w:w w:val="99"/>
        </w:rPr>
        <w:t> </w:t>
      </w:r>
      <w:r>
        <w:rPr/>
        <w:t>公司的经营情况、发展状况以及重大事项的决策等。</w:t>
      </w:r>
    </w:p>
    <w:p>
      <w:pPr>
        <w:spacing w:line="240" w:lineRule="auto" w:before="2"/>
        <w:rPr>
          <w:rFonts w:ascii="宋体" w:hAnsi="宋体" w:cs="宋体" w:eastAsia="宋体" w:hint="default"/>
          <w:sz w:val="17"/>
          <w:szCs w:val="17"/>
        </w:rPr>
      </w:pPr>
    </w:p>
    <w:p>
      <w:pPr>
        <w:pStyle w:val="BodyText"/>
        <w:spacing w:line="240" w:lineRule="auto"/>
        <w:ind w:left="365" w:right="0"/>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6"/>
        </w:rPr>
        <w:t> </w:t>
      </w:r>
      <w:r>
        <w:rPr/>
        <w:t>监事会对公司依法运作情况的独立意见</w:t>
      </w:r>
    </w:p>
    <w:p>
      <w:pPr>
        <w:spacing w:line="240" w:lineRule="auto" w:before="0"/>
        <w:rPr>
          <w:rFonts w:ascii="宋体" w:hAnsi="宋体" w:cs="宋体" w:eastAsia="宋体" w:hint="default"/>
          <w:sz w:val="20"/>
          <w:szCs w:val="20"/>
        </w:rPr>
      </w:pPr>
    </w:p>
    <w:p>
      <w:pPr>
        <w:pStyle w:val="BodyText"/>
        <w:spacing w:line="286" w:lineRule="exact"/>
        <w:ind w:left="788" w:right="272"/>
        <w:jc w:val="left"/>
      </w:pPr>
      <w:r>
        <w:rPr/>
        <w:t>公司决策程序合法、合规；已经初步建立了一套较为有效的内部控制制度。公司董事、总裁</w:t>
      </w:r>
      <w:r>
        <w:rPr>
          <w:w w:val="99"/>
        </w:rPr>
        <w:t> </w:t>
      </w:r>
      <w:r>
        <w:rPr/>
        <w:t>执行公司职务时未有发生违反法律、法规、公司章程或损害公司利益的行为。</w:t>
      </w:r>
    </w:p>
    <w:p>
      <w:pPr>
        <w:spacing w:after="0" w:line="286" w:lineRule="exact"/>
        <w:jc w:val="left"/>
        <w:sectPr>
          <w:pgSz w:w="11900" w:h="16840"/>
          <w:pgMar w:header="927" w:footer="752" w:top="1160" w:bottom="940" w:left="112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1"/>
        <w:ind w:left="145" w:right="97"/>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6"/>
        </w:rPr>
        <w:t> </w:t>
      </w:r>
      <w:r>
        <w:rPr/>
        <w:t>监事会对检查公司财务情况的独立意见</w:t>
      </w:r>
    </w:p>
    <w:p>
      <w:pPr>
        <w:spacing w:line="240" w:lineRule="auto" w:before="0"/>
        <w:rPr>
          <w:rFonts w:ascii="宋体" w:hAnsi="宋体" w:cs="宋体" w:eastAsia="宋体" w:hint="default"/>
          <w:sz w:val="20"/>
          <w:szCs w:val="20"/>
        </w:rPr>
      </w:pPr>
    </w:p>
    <w:p>
      <w:pPr>
        <w:pStyle w:val="BodyText"/>
        <w:spacing w:line="286" w:lineRule="exact"/>
        <w:ind w:left="568" w:right="237"/>
        <w:jc w:val="both"/>
      </w:pPr>
      <w:r>
        <w:rPr>
          <w:spacing w:val="-3"/>
        </w:rPr>
        <w:t>监事会认为，公司聘请的普华永道中天会计师事务所有限公司为公司</w:t>
      </w:r>
      <w:r>
        <w:rPr>
          <w:spacing w:val="-55"/>
        </w:rPr>
        <w:t> </w:t>
      </w:r>
      <w:r>
        <w:rPr>
          <w:rFonts w:ascii="Arial" w:hAnsi="Arial" w:cs="Arial" w:eastAsia="Arial" w:hint="default"/>
        </w:rPr>
        <w:t>2011</w:t>
      </w:r>
      <w:r>
        <w:rPr>
          <w:rFonts w:ascii="Arial" w:hAnsi="Arial" w:cs="Arial" w:eastAsia="Arial" w:hint="default"/>
          <w:spacing w:val="-7"/>
        </w:rPr>
        <w:t> </w:t>
      </w:r>
      <w:r>
        <w:rPr/>
        <w:t>年年度报告出具的</w:t>
      </w:r>
      <w:r>
        <w:rPr>
          <w:w w:val="99"/>
        </w:rPr>
        <w:t> </w:t>
      </w:r>
      <w:r>
        <w:rPr/>
        <w:t>审计报告及所涉及事项的意见，是客观、公允的。公司的财务报告真实、完整地反映了公司</w:t>
      </w:r>
      <w:r>
        <w:rPr>
          <w:w w:val="99"/>
        </w:rPr>
        <w:t> </w:t>
      </w:r>
      <w:r>
        <w:rPr/>
        <w:t>的财务状况和经营成果。</w:t>
      </w:r>
    </w:p>
    <w:p>
      <w:pPr>
        <w:spacing w:line="240" w:lineRule="auto" w:before="1"/>
        <w:rPr>
          <w:rFonts w:ascii="宋体" w:hAnsi="宋体" w:cs="宋体" w:eastAsia="宋体" w:hint="default"/>
          <w:sz w:val="17"/>
          <w:szCs w:val="17"/>
        </w:rPr>
      </w:pPr>
    </w:p>
    <w:p>
      <w:pPr>
        <w:pStyle w:val="BodyText"/>
        <w:spacing w:line="424" w:lineRule="auto"/>
        <w:ind w:left="568" w:right="2272" w:hanging="423"/>
        <w:jc w:val="left"/>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48"/>
        </w:rPr>
        <w:t> </w:t>
      </w:r>
      <w:r>
        <w:rPr/>
        <w:t>监事会对公司最近一次募集资金实际投入情况的独立意见</w:t>
      </w:r>
      <w:r>
        <w:rPr>
          <w:w w:val="99"/>
        </w:rPr>
        <w:t> </w:t>
      </w:r>
      <w:r>
        <w:rPr/>
        <w:t>报告期内，本公司无募集资金，亦无前期募集资金使用至本期的情况。</w:t>
      </w:r>
    </w:p>
    <w:p>
      <w:pPr>
        <w:pStyle w:val="BodyText"/>
        <w:spacing w:line="424" w:lineRule="auto" w:before="81"/>
        <w:ind w:left="593" w:right="4641" w:hanging="448"/>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6"/>
        </w:rPr>
        <w:t> </w:t>
      </w:r>
      <w:r>
        <w:rPr/>
        <w:t>监事会对公司收购、出售资产情况的独立意见</w:t>
      </w:r>
      <w:r>
        <w:rPr>
          <w:w w:val="99"/>
        </w:rPr>
        <w:t> </w:t>
      </w:r>
      <w:r>
        <w:rPr/>
        <w:t>报告期内，公司未有收购、出售资产的情况。</w:t>
      </w:r>
    </w:p>
    <w:p>
      <w:pPr>
        <w:pStyle w:val="BodyText"/>
        <w:spacing w:line="424" w:lineRule="auto" w:before="81"/>
        <w:ind w:left="593" w:right="4447" w:hanging="448"/>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8"/>
        </w:rPr>
        <w:t> </w:t>
      </w:r>
      <w:r>
        <w:rPr/>
        <w:t>监事会对公司关联交易情况的独立意见</w:t>
      </w:r>
      <w:r>
        <w:rPr>
          <w:w w:val="99"/>
        </w:rPr>
        <w:t> </w:t>
      </w:r>
      <w:r>
        <w:rPr/>
        <w:t>公司的关联交易公开公平，未有损害公司利益。</w:t>
      </w:r>
    </w:p>
    <w:p>
      <w:pPr>
        <w:pStyle w:val="BodyText"/>
        <w:spacing w:line="240" w:lineRule="auto" w:before="81"/>
        <w:ind w:left="145" w:right="97"/>
        <w:jc w:val="left"/>
      </w:pPr>
      <w:r>
        <w:rPr>
          <w:rFonts w:ascii="Arial" w:hAnsi="Arial" w:cs="Arial" w:eastAsia="Arial" w:hint="default"/>
        </w:rPr>
        <w:t>(</w:t>
      </w:r>
      <w:r>
        <w:rPr/>
        <w:t>七</w:t>
      </w:r>
      <w:r>
        <w:rPr>
          <w:rFonts w:ascii="Arial" w:hAnsi="Arial" w:cs="Arial" w:eastAsia="Arial" w:hint="default"/>
        </w:rPr>
        <w:t>)</w:t>
      </w:r>
      <w:r>
        <w:rPr>
          <w:rFonts w:ascii="Arial" w:hAnsi="Arial" w:cs="Arial" w:eastAsia="Arial" w:hint="default"/>
          <w:spacing w:val="46"/>
        </w:rPr>
        <w:t> </w:t>
      </w:r>
      <w:r>
        <w:rPr/>
        <w:t>监事会对内部控制自我评价报告的审阅情况及意见</w:t>
      </w:r>
    </w:p>
    <w:p>
      <w:pPr>
        <w:spacing w:line="240" w:lineRule="auto" w:before="10"/>
        <w:rPr>
          <w:rFonts w:ascii="宋体" w:hAnsi="宋体" w:cs="宋体" w:eastAsia="宋体" w:hint="default"/>
          <w:sz w:val="18"/>
          <w:szCs w:val="18"/>
        </w:rPr>
      </w:pPr>
    </w:p>
    <w:p>
      <w:pPr>
        <w:pStyle w:val="BodyText"/>
        <w:spacing w:line="230" w:lineRule="auto"/>
        <w:ind w:left="593" w:right="250"/>
        <w:jc w:val="both"/>
      </w:pP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22</w:t>
      </w:r>
      <w:r>
        <w:rPr>
          <w:rFonts w:ascii="Arial" w:hAnsi="Arial" w:cs="Arial" w:eastAsia="Arial" w:hint="default"/>
          <w:spacing w:val="-7"/>
        </w:rPr>
        <w:t> </w:t>
      </w:r>
      <w:r>
        <w:rPr/>
        <w:t>日召开的公司第三届监事会第十次会议对《公司内部控制自我评价报告》进</w:t>
      </w:r>
      <w:r>
        <w:rPr>
          <w:w w:val="99"/>
        </w:rPr>
        <w:t> </w:t>
      </w:r>
      <w:r>
        <w:rPr/>
        <w:t>行了审阅，监事会同意董事会关于本公司财务报告内部控制有效性的评价，认为通过持续的</w:t>
      </w:r>
      <w:r>
        <w:rPr>
          <w:w w:val="99"/>
        </w:rPr>
        <w:t> </w:t>
      </w:r>
      <w:r>
        <w:rPr/>
        <w:t>内控审计及自我评价，公司与财务报告相关的内部控制在</w:t>
      </w:r>
      <w:r>
        <w:rPr>
          <w:spacing w:val="-55"/>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日有效；未发现</w:t>
      </w:r>
      <w:r>
        <w:rPr>
          <w:w w:val="99"/>
        </w:rPr>
        <w:t> </w:t>
      </w:r>
      <w:r>
        <w:rPr/>
        <w:t>与非财务报告相关内部控制存在重大缺陷。</w:t>
      </w:r>
    </w:p>
    <w:p>
      <w:pPr>
        <w:spacing w:line="240" w:lineRule="auto" w:before="2"/>
        <w:rPr>
          <w:rFonts w:ascii="宋体" w:hAnsi="宋体" w:cs="宋体" w:eastAsia="宋体" w:hint="default"/>
          <w:sz w:val="19"/>
          <w:szCs w:val="19"/>
        </w:rPr>
      </w:pPr>
    </w:p>
    <w:p>
      <w:pPr>
        <w:pStyle w:val="BodyText"/>
        <w:spacing w:line="240" w:lineRule="auto"/>
        <w:ind w:left="145" w:right="97"/>
        <w:jc w:val="left"/>
      </w:pPr>
      <w:r>
        <w:rPr/>
        <w:t>十、</w:t>
      </w:r>
      <w:r>
        <w:rPr>
          <w:spacing w:val="3"/>
        </w:rPr>
        <w:t> </w:t>
      </w:r>
      <w:r>
        <w:rPr/>
        <w:t>重要事项</w:t>
      </w:r>
    </w:p>
    <w:p>
      <w:pPr>
        <w:spacing w:line="240" w:lineRule="auto" w:before="2"/>
        <w:rPr>
          <w:rFonts w:ascii="宋体" w:hAnsi="宋体" w:cs="宋体" w:eastAsia="宋体" w:hint="default"/>
          <w:sz w:val="19"/>
          <w:szCs w:val="19"/>
        </w:rPr>
      </w:pPr>
    </w:p>
    <w:p>
      <w:pPr>
        <w:pStyle w:val="BodyText"/>
        <w:spacing w:line="424" w:lineRule="auto"/>
        <w:ind w:left="584" w:right="5556" w:hanging="440"/>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8"/>
        </w:rPr>
        <w:t> </w:t>
      </w:r>
      <w:r>
        <w:rPr/>
        <w:t>重大诉讼仲裁事项</w:t>
      </w:r>
      <w:r>
        <w:rPr>
          <w:w w:val="99"/>
        </w:rPr>
        <w:t> </w:t>
      </w:r>
      <w:r>
        <w:rPr/>
        <w:t>本年度公司无重大诉讼、仲裁事项。</w:t>
      </w:r>
    </w:p>
    <w:p>
      <w:pPr>
        <w:pStyle w:val="BodyText"/>
        <w:spacing w:line="424" w:lineRule="auto" w:before="80"/>
        <w:ind w:left="584" w:right="4642" w:hanging="440"/>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6"/>
        </w:rPr>
        <w:t> </w:t>
      </w:r>
      <w:r>
        <w:rPr/>
        <w:t>破产重整相关事项及暂停上市或终止上市情况</w:t>
      </w:r>
      <w:r>
        <w:rPr>
          <w:w w:val="99"/>
        </w:rPr>
        <w:t> </w:t>
      </w:r>
      <w:r>
        <w:rPr/>
        <w:t>本年度公司无破产重整相关事项。</w:t>
      </w:r>
    </w:p>
    <w:p>
      <w:pPr>
        <w:pStyle w:val="BodyText"/>
        <w:spacing w:line="240" w:lineRule="auto" w:before="80"/>
        <w:ind w:left="145" w:right="97"/>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6"/>
        </w:rPr>
        <w:t> </w:t>
      </w:r>
      <w:r>
        <w:rPr/>
        <w:t>公司持有其他上市公司股权、参股金融企业股权情况</w:t>
      </w:r>
    </w:p>
    <w:p>
      <w:pPr>
        <w:spacing w:line="240" w:lineRule="auto" w:before="7"/>
        <w:rPr>
          <w:rFonts w:ascii="宋体" w:hAnsi="宋体" w:cs="宋体" w:eastAsia="宋体" w:hint="default"/>
          <w:sz w:val="15"/>
          <w:szCs w:val="15"/>
        </w:rPr>
      </w:pPr>
    </w:p>
    <w:p>
      <w:pPr>
        <w:pStyle w:val="BodyText"/>
        <w:spacing w:line="295" w:lineRule="exact" w:before="31"/>
        <w:ind w:left="145" w:right="97"/>
        <w:jc w:val="left"/>
      </w:pPr>
      <w:r>
        <w:rPr>
          <w:rFonts w:ascii="Arial" w:hAnsi="Arial" w:cs="Arial" w:eastAsia="Arial" w:hint="default"/>
        </w:rPr>
        <w:t>1</w:t>
      </w:r>
      <w:r>
        <w:rPr/>
        <w:t>、</w:t>
      </w:r>
      <w:r>
        <w:rPr>
          <w:spacing w:val="-3"/>
        </w:rPr>
        <w:t> </w:t>
      </w:r>
      <w:r>
        <w:rPr/>
        <w:t>持有其他上市公司股权情况</w:t>
      </w:r>
    </w:p>
    <w:p>
      <w:pPr>
        <w:pStyle w:val="BodyText"/>
        <w:spacing w:line="279" w:lineRule="exact"/>
        <w:ind w:left="0" w:right="191"/>
        <w:jc w:val="right"/>
      </w:pPr>
      <w:r>
        <w:rPr>
          <w:w w:val="95"/>
        </w:rPr>
        <w:t>单位：人民币万元</w:t>
      </w:r>
      <w:r>
        <w:rPr/>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960"/>
        <w:gridCol w:w="1182"/>
        <w:gridCol w:w="1400"/>
        <w:gridCol w:w="1154"/>
        <w:gridCol w:w="1051"/>
        <w:gridCol w:w="798"/>
        <w:gridCol w:w="960"/>
        <w:gridCol w:w="1200"/>
        <w:gridCol w:w="706"/>
      </w:tblGrid>
      <w:tr>
        <w:trPr>
          <w:trHeight w:val="871"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22"/>
                <w:szCs w:val="22"/>
              </w:rPr>
            </w:pPr>
            <w:r>
              <w:rPr>
                <w:rFonts w:ascii="宋体" w:hAnsi="宋体" w:cs="宋体" w:eastAsia="宋体" w:hint="default"/>
                <w:sz w:val="22"/>
                <w:szCs w:val="22"/>
              </w:rPr>
              <w:t>证券代码</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证券简称</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22"/>
                <w:szCs w:val="22"/>
              </w:rPr>
            </w:pPr>
            <w:r>
              <w:rPr>
                <w:rFonts w:ascii="宋体" w:hAnsi="宋体" w:cs="宋体" w:eastAsia="宋体" w:hint="default"/>
                <w:w w:val="95"/>
                <w:sz w:val="22"/>
                <w:szCs w:val="22"/>
              </w:rPr>
              <w:t>最初投资成本</w:t>
            </w:r>
            <w:r>
              <w:rPr>
                <w:rFonts w:ascii="宋体" w:hAnsi="宋体" w:cs="宋体" w:eastAsia="宋体" w:hint="default"/>
                <w:sz w:val="22"/>
                <w:szCs w:val="22"/>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占该公司</w:t>
            </w:r>
          </w:p>
          <w:p>
            <w:pPr>
              <w:pStyle w:val="TableParagraph"/>
              <w:spacing w:line="285" w:lineRule="exact"/>
              <w:ind w:right="0"/>
              <w:jc w:val="center"/>
              <w:rPr>
                <w:rFonts w:ascii="宋体" w:hAnsi="宋体" w:cs="宋体" w:eastAsia="宋体" w:hint="default"/>
                <w:sz w:val="22"/>
                <w:szCs w:val="22"/>
              </w:rPr>
            </w:pPr>
            <w:r>
              <w:rPr>
                <w:rFonts w:ascii="宋体" w:hAnsi="宋体" w:cs="宋体" w:eastAsia="宋体" w:hint="default"/>
                <w:sz w:val="22"/>
                <w:szCs w:val="22"/>
              </w:rPr>
              <w:t>股权比例</w:t>
            </w:r>
          </w:p>
          <w:p>
            <w:pPr>
              <w:pStyle w:val="TableParagraph"/>
              <w:spacing w:line="302" w:lineRule="exact"/>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Arial" w:hAnsi="Arial" w:cs="Arial" w:eastAsia="Arial" w:hint="default"/>
                <w:sz w:val="22"/>
                <w:szCs w:val="22"/>
              </w:rPr>
              <w:t>%</w:t>
            </w:r>
            <w:r>
              <w:rPr>
                <w:rFonts w:ascii="宋体" w:hAnsi="宋体" w:cs="宋体" w:eastAsia="宋体" w:hint="default"/>
                <w:sz w:val="22"/>
                <w:szCs w:val="22"/>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37"/>
              <w:ind w:left="187" w:right="188"/>
              <w:jc w:val="left"/>
              <w:rPr>
                <w:rFonts w:ascii="宋体" w:hAnsi="宋体" w:cs="宋体" w:eastAsia="宋体" w:hint="default"/>
                <w:sz w:val="22"/>
                <w:szCs w:val="22"/>
              </w:rPr>
            </w:pPr>
            <w:r>
              <w:rPr>
                <w:rFonts w:ascii="宋体" w:hAnsi="宋体" w:cs="宋体" w:eastAsia="宋体" w:hint="default"/>
                <w:sz w:val="22"/>
                <w:szCs w:val="22"/>
              </w:rPr>
              <w:t>期末账</w:t>
            </w:r>
            <w:r>
              <w:rPr>
                <w:rFonts w:ascii="宋体" w:hAnsi="宋体" w:cs="宋体" w:eastAsia="宋体" w:hint="default"/>
                <w:w w:val="99"/>
                <w:sz w:val="22"/>
                <w:szCs w:val="22"/>
              </w:rPr>
              <w:t> </w:t>
            </w:r>
            <w:r>
              <w:rPr>
                <w:rFonts w:ascii="宋体" w:hAnsi="宋体" w:cs="宋体" w:eastAsia="宋体" w:hint="default"/>
                <w:sz w:val="22"/>
                <w:szCs w:val="22"/>
              </w:rPr>
              <w:t>面价值</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37"/>
              <w:ind w:left="189" w:right="43" w:hanging="111"/>
              <w:jc w:val="left"/>
              <w:rPr>
                <w:rFonts w:ascii="宋体" w:hAnsi="宋体" w:cs="宋体" w:eastAsia="宋体" w:hint="default"/>
                <w:sz w:val="22"/>
                <w:szCs w:val="22"/>
              </w:rPr>
            </w:pPr>
            <w:r>
              <w:rPr>
                <w:rFonts w:ascii="宋体" w:hAnsi="宋体" w:cs="宋体" w:eastAsia="宋体" w:hint="default"/>
                <w:sz w:val="22"/>
                <w:szCs w:val="22"/>
              </w:rPr>
              <w:t>报告期</w:t>
            </w:r>
            <w:r>
              <w:rPr>
                <w:rFonts w:ascii="宋体" w:hAnsi="宋体" w:cs="宋体" w:eastAsia="宋体" w:hint="default"/>
                <w:w w:val="99"/>
                <w:sz w:val="22"/>
                <w:szCs w:val="22"/>
              </w:rPr>
              <w:t> </w:t>
            </w:r>
            <w:r>
              <w:rPr>
                <w:rFonts w:ascii="宋体" w:hAnsi="宋体" w:cs="宋体" w:eastAsia="宋体" w:hint="default"/>
                <w:sz w:val="22"/>
                <w:szCs w:val="22"/>
              </w:rPr>
              <w:t>损益</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40" w:right="0"/>
              <w:jc w:val="left"/>
              <w:rPr>
                <w:rFonts w:ascii="宋体" w:hAnsi="宋体" w:cs="宋体" w:eastAsia="宋体" w:hint="default"/>
                <w:sz w:val="22"/>
                <w:szCs w:val="22"/>
              </w:rPr>
            </w:pPr>
            <w:r>
              <w:rPr>
                <w:rFonts w:ascii="宋体" w:hAnsi="宋体" w:cs="宋体" w:eastAsia="宋体" w:hint="default"/>
                <w:sz w:val="22"/>
                <w:szCs w:val="22"/>
              </w:rPr>
              <w:t>报告期所</w:t>
            </w:r>
          </w:p>
          <w:p>
            <w:pPr>
              <w:pStyle w:val="TableParagraph"/>
              <w:spacing w:line="284" w:lineRule="exact" w:before="28"/>
              <w:ind w:left="260" w:right="24" w:hanging="220"/>
              <w:jc w:val="left"/>
              <w:rPr>
                <w:rFonts w:ascii="宋体" w:hAnsi="宋体" w:cs="宋体" w:eastAsia="宋体" w:hint="default"/>
                <w:sz w:val="22"/>
                <w:szCs w:val="22"/>
              </w:rPr>
            </w:pPr>
            <w:r>
              <w:rPr>
                <w:rFonts w:ascii="宋体" w:hAnsi="宋体" w:cs="宋体" w:eastAsia="宋体" w:hint="default"/>
                <w:sz w:val="22"/>
                <w:szCs w:val="22"/>
              </w:rPr>
              <w:t>有者权益</w:t>
            </w:r>
            <w:r>
              <w:rPr>
                <w:rFonts w:ascii="宋体" w:hAnsi="宋体" w:cs="宋体" w:eastAsia="宋体" w:hint="default"/>
                <w:w w:val="99"/>
                <w:sz w:val="22"/>
                <w:szCs w:val="22"/>
              </w:rPr>
              <w:t> </w:t>
            </w:r>
            <w:r>
              <w:rPr>
                <w:rFonts w:ascii="宋体" w:hAnsi="宋体" w:cs="宋体" w:eastAsia="宋体" w:hint="default"/>
                <w:sz w:val="22"/>
                <w:szCs w:val="22"/>
              </w:rPr>
              <w:t>变动</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37"/>
              <w:ind w:left="372" w:right="152" w:hanging="220"/>
              <w:jc w:val="left"/>
              <w:rPr>
                <w:rFonts w:ascii="宋体" w:hAnsi="宋体" w:cs="宋体" w:eastAsia="宋体" w:hint="default"/>
                <w:sz w:val="22"/>
                <w:szCs w:val="22"/>
              </w:rPr>
            </w:pPr>
            <w:r>
              <w:rPr>
                <w:rFonts w:ascii="宋体" w:hAnsi="宋体" w:cs="宋体" w:eastAsia="宋体" w:hint="default"/>
                <w:sz w:val="22"/>
                <w:szCs w:val="22"/>
              </w:rPr>
              <w:t>会计核算</w:t>
            </w:r>
            <w:r>
              <w:rPr>
                <w:rFonts w:ascii="宋体" w:hAnsi="宋体" w:cs="宋体" w:eastAsia="宋体" w:hint="default"/>
                <w:w w:val="99"/>
                <w:sz w:val="22"/>
                <w:szCs w:val="22"/>
              </w:rPr>
              <w:t> </w:t>
            </w:r>
            <w:r>
              <w:rPr>
                <w:rFonts w:ascii="宋体" w:hAnsi="宋体" w:cs="宋体" w:eastAsia="宋体" w:hint="default"/>
                <w:sz w:val="22"/>
                <w:szCs w:val="22"/>
              </w:rPr>
              <w:t>科目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37"/>
              <w:ind w:left="123" w:right="126"/>
              <w:jc w:val="left"/>
              <w:rPr>
                <w:rFonts w:ascii="宋体" w:hAnsi="宋体" w:cs="宋体" w:eastAsia="宋体" w:hint="default"/>
                <w:sz w:val="22"/>
                <w:szCs w:val="22"/>
              </w:rPr>
            </w:pPr>
            <w:r>
              <w:rPr>
                <w:rFonts w:ascii="宋体" w:hAnsi="宋体" w:cs="宋体" w:eastAsia="宋体" w:hint="default"/>
                <w:sz w:val="22"/>
                <w:szCs w:val="22"/>
              </w:rPr>
              <w:t>股份</w:t>
            </w:r>
            <w:r>
              <w:rPr>
                <w:rFonts w:ascii="宋体" w:hAnsi="宋体" w:cs="宋体" w:eastAsia="宋体" w:hint="default"/>
                <w:w w:val="99"/>
                <w:sz w:val="22"/>
                <w:szCs w:val="22"/>
              </w:rPr>
              <w:t> </w:t>
            </w:r>
            <w:r>
              <w:rPr>
                <w:rFonts w:ascii="宋体" w:hAnsi="宋体" w:cs="宋体" w:eastAsia="宋体" w:hint="default"/>
                <w:sz w:val="22"/>
                <w:szCs w:val="22"/>
              </w:rPr>
              <w:t>来源</w:t>
            </w:r>
          </w:p>
        </w:tc>
      </w:tr>
      <w:tr>
        <w:trPr>
          <w:trHeight w:val="586"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00" w:right="0"/>
              <w:jc w:val="left"/>
              <w:rPr>
                <w:rFonts w:ascii="Arial" w:hAnsi="Arial" w:cs="Arial" w:eastAsia="Arial" w:hint="default"/>
                <w:sz w:val="22"/>
                <w:szCs w:val="22"/>
              </w:rPr>
            </w:pPr>
            <w:r>
              <w:rPr>
                <w:rFonts w:ascii="Arial"/>
                <w:sz w:val="22"/>
              </w:rPr>
              <w:t>601328</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22"/>
                <w:szCs w:val="22"/>
              </w:rPr>
            </w:pPr>
            <w:r>
              <w:rPr>
                <w:rFonts w:ascii="宋体" w:hAnsi="宋体" w:cs="宋体" w:eastAsia="宋体" w:hint="default"/>
                <w:sz w:val="22"/>
                <w:szCs w:val="22"/>
              </w:rPr>
              <w:t>交通银行</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8"/>
              <w:jc w:val="right"/>
              <w:rPr>
                <w:rFonts w:ascii="Arial" w:hAnsi="Arial" w:cs="Arial" w:eastAsia="Arial" w:hint="default"/>
                <w:sz w:val="22"/>
                <w:szCs w:val="22"/>
              </w:rPr>
            </w:pPr>
            <w:r>
              <w:rPr>
                <w:rFonts w:ascii="Arial"/>
                <w:w w:val="95"/>
                <w:sz w:val="22"/>
              </w:rPr>
              <w:t>5,018</w:t>
            </w:r>
            <w:r>
              <w:rPr>
                <w:rFonts w:ascii="Arial"/>
                <w:sz w:val="22"/>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610" w:right="0"/>
              <w:jc w:val="left"/>
              <w:rPr>
                <w:rFonts w:ascii="Arial" w:hAnsi="Arial" w:cs="Arial" w:eastAsia="Arial" w:hint="default"/>
                <w:sz w:val="22"/>
                <w:szCs w:val="22"/>
              </w:rPr>
            </w:pPr>
            <w:r>
              <w:rPr>
                <w:rFonts w:ascii="Arial"/>
                <w:sz w:val="22"/>
              </w:rPr>
              <w:t>0.04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Arial" w:hAnsi="Arial" w:cs="Arial" w:eastAsia="Arial" w:hint="default"/>
                <w:sz w:val="22"/>
                <w:szCs w:val="22"/>
              </w:rPr>
            </w:pPr>
            <w:r>
              <w:rPr>
                <w:rFonts w:ascii="Arial"/>
                <w:w w:val="95"/>
                <w:sz w:val="22"/>
              </w:rPr>
              <w:t>11,372</w:t>
            </w:r>
            <w:r>
              <w:rPr>
                <w:rFonts w:ascii="Arial"/>
                <w:sz w:val="22"/>
              </w:rPr>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Arial" w:hAnsi="Arial" w:cs="Arial" w:eastAsia="Arial" w:hint="default"/>
                <w:sz w:val="22"/>
                <w:szCs w:val="22"/>
              </w:rPr>
            </w:pPr>
            <w:r>
              <w:rPr>
                <w:rFonts w:ascii="Arial"/>
                <w:w w:val="99"/>
                <w:sz w:val="22"/>
              </w:rPr>
              <w:t>-</w:t>
            </w:r>
            <w:r>
              <w:rPr>
                <w:rFonts w:ascii="Arial"/>
                <w:sz w:val="22"/>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Arial" w:hAnsi="Arial" w:cs="Arial" w:eastAsia="Arial" w:hint="default"/>
                <w:sz w:val="22"/>
                <w:szCs w:val="22"/>
              </w:rPr>
            </w:pPr>
            <w:r>
              <w:rPr>
                <w:rFonts w:ascii="Arial"/>
                <w:w w:val="95"/>
                <w:sz w:val="22"/>
              </w:rPr>
              <w:t>(1,083)</w:t>
            </w:r>
            <w:r>
              <w:rPr>
                <w:rFonts w:ascii="Arial"/>
                <w:sz w:val="22"/>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可供出售</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金融资产</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50"/>
              <w:jc w:val="center"/>
              <w:rPr>
                <w:rFonts w:ascii="宋体" w:hAnsi="宋体" w:cs="宋体" w:eastAsia="宋体" w:hint="default"/>
                <w:sz w:val="22"/>
                <w:szCs w:val="22"/>
              </w:rPr>
            </w:pPr>
            <w:r>
              <w:rPr>
                <w:rFonts w:ascii="宋体" w:hAnsi="宋体" w:cs="宋体" w:eastAsia="宋体" w:hint="default"/>
                <w:sz w:val="22"/>
                <w:szCs w:val="22"/>
              </w:rPr>
              <w:t>购买</w:t>
            </w:r>
          </w:p>
        </w:tc>
      </w:tr>
      <w:tr>
        <w:trPr>
          <w:trHeight w:val="301" w:hRule="exact"/>
        </w:trPr>
        <w:tc>
          <w:tcPr>
            <w:tcW w:w="21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合计</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5,018</w:t>
            </w:r>
            <w:r>
              <w:rPr>
                <w:rFonts w:ascii="Arial"/>
                <w:sz w:val="22"/>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8" w:right="0"/>
              <w:jc w:val="left"/>
              <w:rPr>
                <w:rFonts w:ascii="Arial" w:hAnsi="Arial" w:cs="Arial" w:eastAsia="Arial" w:hint="default"/>
                <w:sz w:val="22"/>
                <w:szCs w:val="22"/>
              </w:rPr>
            </w:pPr>
            <w:r>
              <w:rPr>
                <w:rFonts w:ascii="Arial"/>
                <w:w w:val="99"/>
                <w:sz w:val="22"/>
              </w:rPr>
              <w:t>/</w:t>
            </w:r>
            <w:r>
              <w:rPr>
                <w:rFonts w:ascii="Arial"/>
                <w:sz w:val="22"/>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11,372</w:t>
            </w:r>
            <w:r>
              <w:rPr>
                <w:rFonts w:ascii="Arial"/>
                <w:sz w:val="22"/>
              </w:rPr>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w:t>
            </w:r>
            <w:r>
              <w:rPr>
                <w:rFonts w:ascii="Arial"/>
                <w:sz w:val="22"/>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(1,083)</w:t>
            </w:r>
            <w:r>
              <w:rPr>
                <w:rFonts w:ascii="Arial"/>
                <w:sz w:val="22"/>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Arial" w:hAnsi="Arial" w:cs="Arial" w:eastAsia="Arial" w:hint="default"/>
                <w:sz w:val="22"/>
                <w:szCs w:val="22"/>
              </w:rPr>
            </w:pPr>
            <w:r>
              <w:rPr>
                <w:rFonts w:ascii="Arial"/>
                <w:w w:val="99"/>
                <w:sz w:val="22"/>
              </w:rPr>
              <w:t>/</w:t>
            </w:r>
            <w:r>
              <w:rPr>
                <w:rFonts w:ascii="Arial"/>
                <w:sz w:val="22"/>
              </w:rPr>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Arial" w:hAnsi="Arial" w:cs="Arial" w:eastAsia="Arial" w:hint="default"/>
                <w:sz w:val="22"/>
                <w:szCs w:val="22"/>
              </w:rPr>
            </w:pPr>
            <w:r>
              <w:rPr>
                <w:rFonts w:ascii="Arial"/>
                <w:w w:val="99"/>
                <w:sz w:val="22"/>
              </w:rPr>
              <w:t>/</w:t>
            </w:r>
            <w:r>
              <w:rPr>
                <w:rFonts w:ascii="Arial"/>
                <w:sz w:val="22"/>
              </w:rPr>
            </w:r>
          </w:p>
        </w:tc>
      </w:tr>
    </w:tbl>
    <w:p>
      <w:pPr>
        <w:spacing w:after="0" w:line="240" w:lineRule="auto"/>
        <w:jc w:val="center"/>
        <w:rPr>
          <w:rFonts w:ascii="Arial" w:hAnsi="Arial" w:cs="Arial" w:eastAsia="Arial" w:hint="default"/>
          <w:sz w:val="22"/>
          <w:szCs w:val="22"/>
        </w:rPr>
        <w:sectPr>
          <w:pgSz w:w="11900" w:h="16840"/>
          <w:pgMar w:header="927" w:footer="752" w:top="1160" w:bottom="940" w:left="1340" w:right="880"/>
        </w:sectPr>
      </w:pPr>
    </w:p>
    <w:p>
      <w:pPr>
        <w:spacing w:line="240" w:lineRule="auto" w:before="11"/>
        <w:rPr>
          <w:rFonts w:ascii="宋体" w:hAnsi="宋体" w:cs="宋体" w:eastAsia="宋体" w:hint="default"/>
          <w:sz w:val="21"/>
          <w:szCs w:val="21"/>
        </w:rPr>
      </w:pPr>
    </w:p>
    <w:p>
      <w:pPr>
        <w:pStyle w:val="BodyText"/>
        <w:spacing w:line="295" w:lineRule="exact" w:before="31"/>
        <w:ind w:left="145" w:right="0"/>
        <w:jc w:val="left"/>
      </w:pPr>
      <w:r>
        <w:rPr/>
        <w:t>本公司的子公司于报告期持有交通银行股份有限公司于上海证券交易所上市的</w:t>
      </w:r>
      <w:r>
        <w:rPr>
          <w:spacing w:val="-57"/>
        </w:rPr>
        <w:t> </w:t>
      </w:r>
      <w:r>
        <w:rPr>
          <w:rFonts w:ascii="Arial" w:hAnsi="Arial" w:cs="Arial" w:eastAsia="Arial" w:hint="default"/>
        </w:rPr>
        <w:t>A</w:t>
      </w:r>
      <w:r>
        <w:rPr>
          <w:rFonts w:ascii="Arial" w:hAnsi="Arial" w:cs="Arial" w:eastAsia="Arial" w:hint="default"/>
          <w:spacing w:val="-7"/>
        </w:rPr>
        <w:t> </w:t>
      </w:r>
      <w:r>
        <w:rPr/>
        <w:t>股普通股股份约</w:t>
      </w:r>
    </w:p>
    <w:p>
      <w:pPr>
        <w:pStyle w:val="BodyText"/>
        <w:spacing w:line="286" w:lineRule="exact"/>
        <w:ind w:left="145" w:right="0"/>
        <w:jc w:val="left"/>
      </w:pPr>
      <w:r>
        <w:rPr>
          <w:rFonts w:ascii="Arial" w:hAnsi="Arial" w:cs="Arial" w:eastAsia="Arial" w:hint="default"/>
        </w:rPr>
        <w:t>2,538 </w:t>
      </w:r>
      <w:r>
        <w:rPr/>
        <w:t>万股，约占交通银行股份有限公司总股份的</w:t>
      </w:r>
      <w:r>
        <w:rPr>
          <w:spacing w:val="-87"/>
        </w:rPr>
        <w:t> </w:t>
      </w:r>
      <w:r>
        <w:rPr>
          <w:rFonts w:ascii="Arial" w:hAnsi="Arial" w:cs="Arial" w:eastAsia="Arial" w:hint="default"/>
        </w:rPr>
        <w:t>0.04%</w:t>
      </w:r>
      <w:r>
        <w:rPr/>
        <w:t>；除上述子公司持有的交通银行股票外，</w:t>
      </w:r>
    </w:p>
    <w:p>
      <w:pPr>
        <w:pStyle w:val="BodyText"/>
        <w:spacing w:line="284" w:lineRule="exact" w:before="20"/>
        <w:ind w:left="145" w:right="898"/>
        <w:jc w:val="left"/>
      </w:pPr>
      <w:r>
        <w:rPr/>
        <w:t>本公司所属联通红筹公司持有的国外的西班牙电信普通股股份约</w:t>
      </w:r>
      <w:r>
        <w:rPr>
          <w:spacing w:val="-57"/>
        </w:rPr>
        <w:t> </w:t>
      </w:r>
      <w:r>
        <w:rPr>
          <w:rFonts w:ascii="Arial" w:hAnsi="Arial" w:cs="Arial" w:eastAsia="Arial" w:hint="default"/>
        </w:rPr>
        <w:t>6,256</w:t>
      </w:r>
      <w:r>
        <w:rPr>
          <w:rFonts w:ascii="Arial" w:hAnsi="Arial" w:cs="Arial" w:eastAsia="Arial" w:hint="default"/>
          <w:spacing w:val="-8"/>
        </w:rPr>
        <w:t> </w:t>
      </w:r>
      <w:r>
        <w:rPr/>
        <w:t>万股，约占西班牙电信总</w:t>
      </w:r>
      <w:r>
        <w:rPr>
          <w:w w:val="99"/>
        </w:rPr>
        <w:t> </w:t>
      </w:r>
      <w:r>
        <w:rPr/>
        <w:t>股份的</w:t>
      </w:r>
      <w:r>
        <w:rPr>
          <w:spacing w:val="-57"/>
        </w:rPr>
        <w:t> </w:t>
      </w:r>
      <w:r>
        <w:rPr>
          <w:rFonts w:ascii="Arial" w:hAnsi="Arial" w:cs="Arial" w:eastAsia="Arial" w:hint="default"/>
        </w:rPr>
        <w:t>1.37%</w:t>
      </w:r>
      <w:r>
        <w:rPr/>
        <w:t>。</w:t>
      </w:r>
    </w:p>
    <w:p>
      <w:pPr>
        <w:spacing w:line="240" w:lineRule="auto" w:before="3"/>
        <w:rPr>
          <w:rFonts w:ascii="宋体" w:hAnsi="宋体" w:cs="宋体" w:eastAsia="宋体" w:hint="default"/>
          <w:sz w:val="17"/>
          <w:szCs w:val="17"/>
        </w:rPr>
      </w:pPr>
    </w:p>
    <w:p>
      <w:pPr>
        <w:pStyle w:val="BodyText"/>
        <w:spacing w:line="240" w:lineRule="auto"/>
        <w:ind w:left="145" w:right="0"/>
        <w:jc w:val="left"/>
      </w:pPr>
      <w:r>
        <w:rPr>
          <w:rFonts w:ascii="Arial" w:hAnsi="Arial" w:cs="Arial" w:eastAsia="Arial" w:hint="default"/>
        </w:rPr>
        <w:t>2</w:t>
      </w:r>
      <w:r>
        <w:rPr/>
        <w:t>、</w:t>
      </w:r>
      <w:r>
        <w:rPr>
          <w:spacing w:val="-3"/>
        </w:rPr>
        <w:t> </w:t>
      </w:r>
      <w:r>
        <w:rPr/>
        <w:t>持有非上市金融企业股权情况</w:t>
      </w:r>
    </w:p>
    <w:p>
      <w:pPr>
        <w:spacing w:line="240" w:lineRule="auto" w:before="8"/>
        <w:rPr>
          <w:rFonts w:ascii="宋体" w:hAnsi="宋体" w:cs="宋体" w:eastAsia="宋体" w:hint="default"/>
          <w:sz w:val="20"/>
          <w:szCs w:val="20"/>
        </w:rPr>
      </w:pPr>
    </w:p>
    <w:tbl>
      <w:tblPr>
        <w:tblW w:w="0" w:type="auto"/>
        <w:jc w:val="left"/>
        <w:tblInd w:w="130" w:type="dxa"/>
        <w:tblLayout w:type="fixed"/>
        <w:tblCellMar>
          <w:top w:w="0" w:type="dxa"/>
          <w:left w:w="0" w:type="dxa"/>
          <w:bottom w:w="0" w:type="dxa"/>
          <w:right w:w="0" w:type="dxa"/>
        </w:tblCellMar>
        <w:tblLook w:val="01E0"/>
      </w:tblPr>
      <w:tblGrid>
        <w:gridCol w:w="984"/>
        <w:gridCol w:w="1326"/>
        <w:gridCol w:w="1194"/>
        <w:gridCol w:w="853"/>
        <w:gridCol w:w="1319"/>
        <w:gridCol w:w="878"/>
        <w:gridCol w:w="876"/>
        <w:gridCol w:w="940"/>
        <w:gridCol w:w="779"/>
      </w:tblGrid>
      <w:tr>
        <w:trPr>
          <w:trHeight w:val="1157"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53" w:right="155"/>
              <w:jc w:val="left"/>
              <w:rPr>
                <w:rFonts w:ascii="宋体" w:hAnsi="宋体" w:cs="宋体" w:eastAsia="宋体" w:hint="default"/>
                <w:sz w:val="22"/>
                <w:szCs w:val="22"/>
              </w:rPr>
            </w:pPr>
            <w:r>
              <w:rPr>
                <w:rFonts w:ascii="宋体" w:hAnsi="宋体" w:cs="宋体" w:eastAsia="宋体" w:hint="default"/>
                <w:sz w:val="22"/>
                <w:szCs w:val="22"/>
              </w:rPr>
              <w:t>所持对</w:t>
            </w:r>
            <w:r>
              <w:rPr>
                <w:rFonts w:ascii="宋体" w:hAnsi="宋体" w:cs="宋体" w:eastAsia="宋体" w:hint="default"/>
                <w:w w:val="99"/>
                <w:sz w:val="22"/>
                <w:szCs w:val="22"/>
              </w:rPr>
              <w:t> </w:t>
            </w:r>
            <w:r>
              <w:rPr>
                <w:rFonts w:ascii="宋体" w:hAnsi="宋体" w:cs="宋体" w:eastAsia="宋体" w:hint="default"/>
                <w:sz w:val="22"/>
                <w:szCs w:val="22"/>
              </w:rPr>
              <w:t>象名称</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4" w:right="105" w:firstLine="110"/>
              <w:jc w:val="left"/>
              <w:rPr>
                <w:rFonts w:ascii="宋体" w:hAnsi="宋体" w:cs="宋体" w:eastAsia="宋体" w:hint="default"/>
                <w:sz w:val="22"/>
                <w:szCs w:val="22"/>
              </w:rPr>
            </w:pPr>
            <w:r>
              <w:rPr>
                <w:rFonts w:ascii="宋体" w:hAnsi="宋体" w:cs="宋体" w:eastAsia="宋体" w:hint="default"/>
                <w:sz w:val="22"/>
                <w:szCs w:val="22"/>
              </w:rPr>
              <w:t>最初投资</w:t>
            </w:r>
            <w:r>
              <w:rPr>
                <w:rFonts w:ascii="宋体" w:hAnsi="宋体" w:cs="宋体" w:eastAsia="宋体" w:hint="default"/>
                <w:w w:val="99"/>
                <w:sz w:val="22"/>
                <w:szCs w:val="22"/>
              </w:rPr>
              <w:t> </w:t>
            </w:r>
            <w:r>
              <w:rPr>
                <w:rFonts w:ascii="宋体" w:hAnsi="宋体" w:cs="宋体" w:eastAsia="宋体" w:hint="default"/>
                <w:sz w:val="22"/>
                <w:szCs w:val="22"/>
              </w:rPr>
              <w:t>成本（元）</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86" w:lineRule="exact"/>
              <w:ind w:right="1"/>
              <w:jc w:val="center"/>
              <w:rPr>
                <w:rFonts w:ascii="宋体" w:hAnsi="宋体" w:cs="宋体" w:eastAsia="宋体" w:hint="default"/>
                <w:sz w:val="22"/>
                <w:szCs w:val="22"/>
              </w:rPr>
            </w:pPr>
            <w:r>
              <w:rPr>
                <w:rFonts w:ascii="宋体" w:hAnsi="宋体" w:cs="宋体" w:eastAsia="宋体" w:hint="default"/>
                <w:sz w:val="22"/>
                <w:szCs w:val="22"/>
              </w:rPr>
              <w:t>持有数量</w:t>
            </w:r>
          </w:p>
          <w:p>
            <w:pPr>
              <w:pStyle w:val="TableParagraph"/>
              <w:spacing w:line="286" w:lineRule="exact"/>
              <w:ind w:left="21" w:right="0"/>
              <w:jc w:val="center"/>
              <w:rPr>
                <w:rFonts w:ascii="宋体" w:hAnsi="宋体" w:cs="宋体" w:eastAsia="宋体" w:hint="default"/>
                <w:sz w:val="22"/>
                <w:szCs w:val="22"/>
              </w:rPr>
            </w:pPr>
            <w:r>
              <w:rPr>
                <w:rFonts w:ascii="宋体" w:hAnsi="宋体" w:cs="宋体" w:eastAsia="宋体" w:hint="default"/>
                <w:sz w:val="22"/>
                <w:szCs w:val="22"/>
              </w:rPr>
              <w:t>（股）</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占该公</w:t>
            </w:r>
          </w:p>
          <w:p>
            <w:pPr>
              <w:pStyle w:val="TableParagraph"/>
              <w:spacing w:line="284" w:lineRule="exact" w:before="28"/>
              <w:ind w:left="205" w:right="83" w:hanging="111"/>
              <w:jc w:val="left"/>
              <w:rPr>
                <w:rFonts w:ascii="宋体" w:hAnsi="宋体" w:cs="宋体" w:eastAsia="宋体" w:hint="default"/>
                <w:sz w:val="22"/>
                <w:szCs w:val="22"/>
              </w:rPr>
            </w:pPr>
            <w:r>
              <w:rPr>
                <w:rFonts w:ascii="宋体" w:hAnsi="宋体" w:cs="宋体" w:eastAsia="宋体" w:hint="default"/>
                <w:sz w:val="22"/>
                <w:szCs w:val="22"/>
              </w:rPr>
              <w:t>司股权</w:t>
            </w:r>
            <w:r>
              <w:rPr>
                <w:rFonts w:ascii="宋体" w:hAnsi="宋体" w:cs="宋体" w:eastAsia="宋体" w:hint="default"/>
                <w:w w:val="99"/>
                <w:sz w:val="22"/>
                <w:szCs w:val="22"/>
              </w:rPr>
              <w:t> </w:t>
            </w:r>
            <w:r>
              <w:rPr>
                <w:rFonts w:ascii="宋体" w:hAnsi="宋体" w:cs="宋体" w:eastAsia="宋体" w:hint="default"/>
                <w:sz w:val="22"/>
                <w:szCs w:val="22"/>
              </w:rPr>
              <w:t>比例</w:t>
            </w:r>
          </w:p>
          <w:p>
            <w:pPr>
              <w:pStyle w:val="TableParagraph"/>
              <w:spacing w:line="275" w:lineRule="exact"/>
              <w:ind w:left="106" w:right="0"/>
              <w:jc w:val="left"/>
              <w:rPr>
                <w:rFonts w:ascii="宋体" w:hAnsi="宋体" w:cs="宋体" w:eastAsia="宋体" w:hint="default"/>
                <w:sz w:val="22"/>
                <w:szCs w:val="22"/>
              </w:rPr>
            </w:pPr>
            <w:r>
              <w:rPr>
                <w:rFonts w:ascii="宋体" w:hAnsi="宋体" w:cs="宋体" w:eastAsia="宋体" w:hint="default"/>
                <w:sz w:val="22"/>
                <w:szCs w:val="22"/>
              </w:rPr>
              <w:t>（</w:t>
            </w:r>
            <w:r>
              <w:rPr>
                <w:rFonts w:ascii="Arial" w:hAnsi="Arial" w:cs="Arial" w:eastAsia="Arial" w:hint="default"/>
                <w:sz w:val="22"/>
                <w:szCs w:val="22"/>
              </w:rPr>
              <w:t>%</w:t>
            </w:r>
            <w:r>
              <w:rPr>
                <w:rFonts w:ascii="宋体" w:hAnsi="宋体" w:cs="宋体" w:eastAsia="宋体" w:hint="default"/>
                <w:sz w:val="22"/>
                <w:szCs w:val="22"/>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212" w:right="101" w:hanging="111"/>
              <w:jc w:val="left"/>
              <w:rPr>
                <w:rFonts w:ascii="宋体" w:hAnsi="宋体" w:cs="宋体" w:eastAsia="宋体" w:hint="default"/>
                <w:sz w:val="22"/>
                <w:szCs w:val="22"/>
              </w:rPr>
            </w:pPr>
            <w:r>
              <w:rPr>
                <w:rFonts w:ascii="宋体" w:hAnsi="宋体" w:cs="宋体" w:eastAsia="宋体" w:hint="default"/>
                <w:sz w:val="22"/>
                <w:szCs w:val="22"/>
              </w:rPr>
              <w:t>期末账面价</w:t>
            </w:r>
            <w:r>
              <w:rPr>
                <w:rFonts w:ascii="宋体" w:hAnsi="宋体" w:cs="宋体" w:eastAsia="宋体" w:hint="default"/>
                <w:w w:val="99"/>
                <w:sz w:val="22"/>
                <w:szCs w:val="22"/>
              </w:rPr>
              <w:t> </w:t>
            </w:r>
            <w:r>
              <w:rPr>
                <w:rFonts w:ascii="宋体" w:hAnsi="宋体" w:cs="宋体" w:eastAsia="宋体" w:hint="default"/>
                <w:sz w:val="22"/>
                <w:szCs w:val="22"/>
              </w:rPr>
              <w:t>值（元）</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36"/>
              <w:ind w:left="211" w:right="101" w:hanging="110"/>
              <w:jc w:val="left"/>
              <w:rPr>
                <w:rFonts w:ascii="宋体" w:hAnsi="宋体" w:cs="宋体" w:eastAsia="宋体" w:hint="default"/>
                <w:sz w:val="22"/>
                <w:szCs w:val="22"/>
              </w:rPr>
            </w:pPr>
            <w:r>
              <w:rPr>
                <w:rFonts w:ascii="宋体" w:hAnsi="宋体" w:cs="宋体" w:eastAsia="宋体" w:hint="default"/>
                <w:sz w:val="22"/>
                <w:szCs w:val="22"/>
              </w:rPr>
              <w:t>报告期</w:t>
            </w:r>
            <w:r>
              <w:rPr>
                <w:rFonts w:ascii="宋体" w:hAnsi="宋体" w:cs="宋体" w:eastAsia="宋体" w:hint="default"/>
                <w:w w:val="99"/>
                <w:sz w:val="22"/>
                <w:szCs w:val="22"/>
              </w:rPr>
              <w:t> </w:t>
            </w:r>
            <w:r>
              <w:rPr>
                <w:rFonts w:ascii="宋体" w:hAnsi="宋体" w:cs="宋体" w:eastAsia="宋体" w:hint="default"/>
                <w:sz w:val="22"/>
                <w:szCs w:val="22"/>
              </w:rPr>
              <w:t>损益</w:t>
            </w:r>
          </w:p>
          <w:p>
            <w:pPr>
              <w:pStyle w:val="TableParagraph"/>
              <w:spacing w:line="258" w:lineRule="exact"/>
              <w:ind w:left="102" w:right="0"/>
              <w:jc w:val="left"/>
              <w:rPr>
                <w:rFonts w:ascii="宋体" w:hAnsi="宋体" w:cs="宋体" w:eastAsia="宋体" w:hint="default"/>
                <w:sz w:val="22"/>
                <w:szCs w:val="22"/>
              </w:rPr>
            </w:pPr>
            <w:r>
              <w:rPr>
                <w:rFonts w:ascii="宋体" w:hAnsi="宋体" w:cs="宋体" w:eastAsia="宋体" w:hint="default"/>
                <w:sz w:val="22"/>
                <w:szCs w:val="22"/>
              </w:rPr>
              <w:t>（元）</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both"/>
              <w:rPr>
                <w:rFonts w:ascii="宋体" w:hAnsi="宋体" w:cs="宋体" w:eastAsia="宋体" w:hint="default"/>
                <w:sz w:val="22"/>
                <w:szCs w:val="22"/>
              </w:rPr>
            </w:pPr>
            <w:r>
              <w:rPr>
                <w:rFonts w:ascii="宋体" w:hAnsi="宋体" w:cs="宋体" w:eastAsia="宋体" w:hint="default"/>
                <w:sz w:val="22"/>
                <w:szCs w:val="22"/>
              </w:rPr>
              <w:t>报告期</w:t>
            </w:r>
          </w:p>
          <w:p>
            <w:pPr>
              <w:pStyle w:val="TableParagraph"/>
              <w:spacing w:line="237" w:lineRule="auto" w:before="1"/>
              <w:ind w:left="100" w:right="-9"/>
              <w:jc w:val="both"/>
              <w:rPr>
                <w:rFonts w:ascii="宋体" w:hAnsi="宋体" w:cs="宋体" w:eastAsia="宋体" w:hint="default"/>
                <w:sz w:val="22"/>
                <w:szCs w:val="22"/>
              </w:rPr>
            </w:pPr>
            <w:r>
              <w:rPr>
                <w:rFonts w:ascii="宋体" w:hAnsi="宋体" w:cs="宋体" w:eastAsia="宋体" w:hint="default"/>
                <w:sz w:val="22"/>
                <w:szCs w:val="22"/>
              </w:rPr>
              <w:t>所有者</w:t>
            </w:r>
            <w:r>
              <w:rPr>
                <w:rFonts w:ascii="宋体" w:hAnsi="宋体" w:cs="宋体" w:eastAsia="宋体" w:hint="default"/>
                <w:w w:val="99"/>
                <w:sz w:val="22"/>
                <w:szCs w:val="22"/>
              </w:rPr>
              <w:t> </w:t>
            </w:r>
            <w:r>
              <w:rPr>
                <w:rFonts w:ascii="宋体" w:hAnsi="宋体" w:cs="宋体" w:eastAsia="宋体" w:hint="default"/>
                <w:sz w:val="22"/>
                <w:szCs w:val="22"/>
              </w:rPr>
              <w:t>权益变</w:t>
            </w:r>
            <w:r>
              <w:rPr>
                <w:rFonts w:ascii="宋体" w:hAnsi="宋体" w:cs="宋体" w:eastAsia="宋体" w:hint="default"/>
                <w:w w:val="99"/>
                <w:sz w:val="22"/>
                <w:szCs w:val="22"/>
              </w:rPr>
              <w:t> </w:t>
            </w:r>
            <w:r>
              <w:rPr>
                <w:rFonts w:ascii="宋体" w:hAnsi="宋体" w:cs="宋体" w:eastAsia="宋体" w:hint="default"/>
                <w:spacing w:val="-28"/>
                <w:w w:val="99"/>
                <w:sz w:val="22"/>
                <w:szCs w:val="22"/>
              </w:rPr>
              <w:t>动（元）</w:t>
            </w:r>
            <w:r>
              <w:rPr>
                <w:rFonts w:ascii="宋体" w:hAnsi="宋体" w:cs="宋体" w:eastAsia="宋体" w:hint="default"/>
                <w:spacing w:val="-28"/>
                <w:sz w:val="22"/>
                <w:szCs w:val="22"/>
              </w:rPr>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32" w:right="132"/>
              <w:jc w:val="left"/>
              <w:rPr>
                <w:rFonts w:ascii="宋体" w:hAnsi="宋体" w:cs="宋体" w:eastAsia="宋体" w:hint="default"/>
                <w:sz w:val="22"/>
                <w:szCs w:val="22"/>
              </w:rPr>
            </w:pPr>
            <w:r>
              <w:rPr>
                <w:rFonts w:ascii="宋体" w:hAnsi="宋体" w:cs="宋体" w:eastAsia="宋体" w:hint="default"/>
                <w:sz w:val="22"/>
                <w:szCs w:val="22"/>
              </w:rPr>
              <w:t>会计核</w:t>
            </w:r>
            <w:r>
              <w:rPr>
                <w:rFonts w:ascii="宋体" w:hAnsi="宋体" w:cs="宋体" w:eastAsia="宋体" w:hint="default"/>
                <w:w w:val="99"/>
                <w:sz w:val="22"/>
                <w:szCs w:val="22"/>
              </w:rPr>
              <w:t> </w:t>
            </w:r>
            <w:r>
              <w:rPr>
                <w:rFonts w:ascii="宋体" w:hAnsi="宋体" w:cs="宋体" w:eastAsia="宋体" w:hint="default"/>
                <w:sz w:val="22"/>
                <w:szCs w:val="22"/>
              </w:rPr>
              <w:t>算科目</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60" w:right="162"/>
              <w:jc w:val="left"/>
              <w:rPr>
                <w:rFonts w:ascii="宋体" w:hAnsi="宋体" w:cs="宋体" w:eastAsia="宋体" w:hint="default"/>
                <w:sz w:val="22"/>
                <w:szCs w:val="22"/>
              </w:rPr>
            </w:pPr>
            <w:r>
              <w:rPr>
                <w:rFonts w:ascii="宋体" w:hAnsi="宋体" w:cs="宋体" w:eastAsia="宋体" w:hint="default"/>
                <w:sz w:val="22"/>
                <w:szCs w:val="22"/>
              </w:rPr>
              <w:t>股份</w:t>
            </w:r>
            <w:r>
              <w:rPr>
                <w:rFonts w:ascii="宋体" w:hAnsi="宋体" w:cs="宋体" w:eastAsia="宋体" w:hint="default"/>
                <w:w w:val="99"/>
                <w:sz w:val="22"/>
                <w:szCs w:val="22"/>
              </w:rPr>
              <w:t> </w:t>
            </w:r>
            <w:r>
              <w:rPr>
                <w:rFonts w:ascii="宋体" w:hAnsi="宋体" w:cs="宋体" w:eastAsia="宋体" w:hint="default"/>
                <w:sz w:val="22"/>
                <w:szCs w:val="22"/>
              </w:rPr>
              <w:t>来源</w:t>
            </w:r>
          </w:p>
        </w:tc>
      </w:tr>
      <w:tr>
        <w:trPr>
          <w:trHeight w:val="66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29"/>
              <w:ind w:left="100" w:right="209"/>
              <w:jc w:val="left"/>
              <w:rPr>
                <w:rFonts w:ascii="宋体" w:hAnsi="宋体" w:cs="宋体" w:eastAsia="宋体" w:hint="default"/>
                <w:sz w:val="22"/>
                <w:szCs w:val="22"/>
              </w:rPr>
            </w:pPr>
            <w:r>
              <w:rPr>
                <w:rFonts w:ascii="宋体" w:hAnsi="宋体" w:cs="宋体" w:eastAsia="宋体" w:hint="default"/>
                <w:sz w:val="22"/>
                <w:szCs w:val="22"/>
              </w:rPr>
              <w:t>广东发</w:t>
            </w:r>
            <w:r>
              <w:rPr>
                <w:rFonts w:ascii="宋体" w:hAnsi="宋体" w:cs="宋体" w:eastAsia="宋体" w:hint="default"/>
                <w:w w:val="99"/>
                <w:sz w:val="22"/>
                <w:szCs w:val="22"/>
              </w:rPr>
              <w:t> </w:t>
            </w:r>
            <w:r>
              <w:rPr>
                <w:rFonts w:ascii="宋体" w:hAnsi="宋体" w:cs="宋体" w:eastAsia="宋体" w:hint="default"/>
                <w:sz w:val="22"/>
                <w:szCs w:val="22"/>
              </w:rPr>
              <w:t>展银行</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4"/>
              <w:ind w:left="5" w:right="0"/>
              <w:jc w:val="center"/>
              <w:rPr>
                <w:rFonts w:ascii="Arial" w:hAnsi="Arial" w:cs="Arial" w:eastAsia="Arial" w:hint="default"/>
                <w:sz w:val="22"/>
                <w:szCs w:val="22"/>
              </w:rPr>
            </w:pPr>
            <w:r>
              <w:rPr>
                <w:rFonts w:ascii="Arial"/>
                <w:sz w:val="22"/>
              </w:rPr>
              <w:t>19,730,271</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4"/>
              <w:ind w:right="99"/>
              <w:jc w:val="right"/>
              <w:rPr>
                <w:rFonts w:ascii="Arial" w:hAnsi="Arial" w:cs="Arial" w:eastAsia="Arial" w:hint="default"/>
                <w:sz w:val="22"/>
                <w:szCs w:val="22"/>
              </w:rPr>
            </w:pPr>
            <w:r>
              <w:rPr>
                <w:rFonts w:ascii="Arial"/>
                <w:w w:val="95"/>
                <w:sz w:val="22"/>
              </w:rPr>
              <w:t>7,356,985</w:t>
            </w:r>
            <w:r>
              <w:rPr>
                <w:rFonts w:ascii="Arial"/>
                <w:sz w:val="22"/>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4"/>
              <w:ind w:left="388" w:right="0"/>
              <w:jc w:val="left"/>
              <w:rPr>
                <w:rFonts w:ascii="Arial" w:hAnsi="Arial" w:cs="Arial" w:eastAsia="Arial" w:hint="default"/>
                <w:sz w:val="22"/>
                <w:szCs w:val="22"/>
              </w:rPr>
            </w:pPr>
            <w:r>
              <w:rPr>
                <w:rFonts w:ascii="Arial"/>
                <w:sz w:val="22"/>
              </w:rPr>
              <w:t>0.05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4"/>
              <w:ind w:right="0"/>
              <w:jc w:val="center"/>
              <w:rPr>
                <w:rFonts w:ascii="Arial" w:hAnsi="Arial" w:cs="Arial" w:eastAsia="Arial" w:hint="default"/>
                <w:sz w:val="22"/>
                <w:szCs w:val="22"/>
              </w:rPr>
            </w:pPr>
            <w:r>
              <w:rPr>
                <w:rFonts w:ascii="Arial"/>
                <w:sz w:val="22"/>
              </w:rPr>
              <w:t>19,730,271</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4"/>
              <w:ind w:right="99"/>
              <w:jc w:val="right"/>
              <w:rPr>
                <w:rFonts w:ascii="Arial" w:hAnsi="Arial" w:cs="Arial" w:eastAsia="Arial" w:hint="default"/>
                <w:sz w:val="22"/>
                <w:szCs w:val="22"/>
              </w:rPr>
            </w:pPr>
            <w:r>
              <w:rPr>
                <w:rFonts w:ascii="Arial"/>
                <w:w w:val="99"/>
                <w:sz w:val="22"/>
              </w:rPr>
              <w:t>-</w:t>
            </w:r>
            <w:r>
              <w:rPr>
                <w:rFonts w:ascii="Arial"/>
                <w:sz w:val="22"/>
              </w:rPr>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4"/>
              <w:ind w:right="99"/>
              <w:jc w:val="right"/>
              <w:rPr>
                <w:rFonts w:ascii="Arial" w:hAnsi="Arial" w:cs="Arial" w:eastAsia="Arial" w:hint="default"/>
                <w:sz w:val="22"/>
                <w:szCs w:val="22"/>
              </w:rPr>
            </w:pPr>
            <w:r>
              <w:rPr>
                <w:rFonts w:ascii="Arial"/>
                <w:w w:val="99"/>
                <w:sz w:val="22"/>
              </w:rPr>
              <w:t>-</w:t>
            </w:r>
            <w:r>
              <w:rPr>
                <w:rFonts w:ascii="Arial"/>
                <w:sz w:val="22"/>
              </w:rPr>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29"/>
              <w:ind w:left="100" w:right="163"/>
              <w:jc w:val="left"/>
              <w:rPr>
                <w:rFonts w:ascii="宋体" w:hAnsi="宋体" w:cs="宋体" w:eastAsia="宋体" w:hint="default"/>
                <w:sz w:val="22"/>
                <w:szCs w:val="22"/>
              </w:rPr>
            </w:pPr>
            <w:r>
              <w:rPr>
                <w:rFonts w:ascii="宋体" w:hAnsi="宋体" w:cs="宋体" w:eastAsia="宋体" w:hint="default"/>
                <w:sz w:val="22"/>
                <w:szCs w:val="22"/>
              </w:rPr>
              <w:t>长期股</w:t>
            </w:r>
            <w:r>
              <w:rPr>
                <w:rFonts w:ascii="宋体" w:hAnsi="宋体" w:cs="宋体" w:eastAsia="宋体" w:hint="default"/>
                <w:w w:val="99"/>
                <w:sz w:val="22"/>
                <w:szCs w:val="22"/>
              </w:rPr>
              <w:t> </w:t>
            </w:r>
            <w:r>
              <w:rPr>
                <w:rFonts w:ascii="宋体" w:hAnsi="宋体" w:cs="宋体" w:eastAsia="宋体" w:hint="default"/>
                <w:sz w:val="22"/>
                <w:szCs w:val="22"/>
              </w:rPr>
              <w:t>权投资</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21"/>
              <w:jc w:val="center"/>
              <w:rPr>
                <w:rFonts w:ascii="宋体" w:hAnsi="宋体" w:cs="宋体" w:eastAsia="宋体" w:hint="default"/>
                <w:sz w:val="22"/>
                <w:szCs w:val="22"/>
              </w:rPr>
            </w:pPr>
            <w:r>
              <w:rPr>
                <w:rFonts w:ascii="宋体" w:hAnsi="宋体" w:cs="宋体" w:eastAsia="宋体" w:hint="default"/>
                <w:sz w:val="22"/>
                <w:szCs w:val="22"/>
              </w:rPr>
              <w:t>购买</w:t>
            </w:r>
          </w:p>
        </w:tc>
      </w:tr>
      <w:tr>
        <w:trPr>
          <w:trHeight w:val="39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6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 w:right="0"/>
              <w:jc w:val="center"/>
              <w:rPr>
                <w:rFonts w:ascii="Arial" w:hAnsi="Arial" w:cs="Arial" w:eastAsia="Arial" w:hint="default"/>
                <w:sz w:val="22"/>
                <w:szCs w:val="22"/>
              </w:rPr>
            </w:pPr>
            <w:r>
              <w:rPr>
                <w:rFonts w:ascii="Arial"/>
                <w:sz w:val="22"/>
              </w:rPr>
              <w:t>19,730,271</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Arial" w:hAnsi="Arial" w:cs="Arial" w:eastAsia="Arial" w:hint="default"/>
                <w:sz w:val="22"/>
                <w:szCs w:val="22"/>
              </w:rPr>
            </w:pPr>
            <w:r>
              <w:rPr>
                <w:rFonts w:ascii="Arial"/>
                <w:w w:val="95"/>
                <w:sz w:val="22"/>
              </w:rPr>
              <w:t>7,356,985</w:t>
            </w:r>
            <w:r>
              <w:rPr>
                <w:rFonts w:ascii="Arial"/>
                <w:sz w:val="22"/>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94" w:right="0"/>
              <w:jc w:val="left"/>
              <w:rPr>
                <w:rFonts w:ascii="Arial" w:hAnsi="Arial" w:cs="Arial" w:eastAsia="Arial" w:hint="default"/>
                <w:sz w:val="22"/>
                <w:szCs w:val="22"/>
              </w:rPr>
            </w:pPr>
            <w:r>
              <w:rPr>
                <w:rFonts w:ascii="Arial"/>
                <w:w w:val="99"/>
                <w:sz w:val="22"/>
              </w:rPr>
              <w:t>/</w:t>
            </w:r>
            <w:r>
              <w:rPr>
                <w:rFonts w:ascii="Arial"/>
                <w:sz w:val="22"/>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Arial" w:hAnsi="Arial" w:cs="Arial" w:eastAsia="Arial" w:hint="default"/>
                <w:sz w:val="22"/>
                <w:szCs w:val="22"/>
              </w:rPr>
            </w:pPr>
            <w:r>
              <w:rPr>
                <w:rFonts w:ascii="Arial"/>
                <w:sz w:val="22"/>
              </w:rPr>
              <w:t>19,730,271</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Arial" w:hAnsi="Arial" w:cs="Arial" w:eastAsia="Arial" w:hint="default"/>
                <w:sz w:val="22"/>
                <w:szCs w:val="22"/>
              </w:rPr>
            </w:pPr>
            <w:r>
              <w:rPr>
                <w:rFonts w:ascii="Arial"/>
                <w:w w:val="99"/>
                <w:sz w:val="22"/>
              </w:rPr>
              <w:t>-</w:t>
            </w:r>
            <w:r>
              <w:rPr>
                <w:rFonts w:ascii="Arial"/>
                <w:sz w:val="22"/>
              </w:rPr>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Arial" w:hAnsi="Arial" w:cs="Arial" w:eastAsia="Arial" w:hint="default"/>
                <w:sz w:val="22"/>
                <w:szCs w:val="22"/>
              </w:rPr>
            </w:pPr>
            <w:r>
              <w:rPr>
                <w:rFonts w:ascii="Arial"/>
                <w:w w:val="99"/>
                <w:sz w:val="22"/>
              </w:rPr>
              <w:t>-</w:t>
            </w:r>
            <w:r>
              <w:rPr>
                <w:rFonts w:ascii="Arial"/>
                <w:sz w:val="22"/>
              </w:rPr>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Arial" w:hAnsi="Arial" w:cs="Arial" w:eastAsia="Arial" w:hint="default"/>
                <w:sz w:val="22"/>
                <w:szCs w:val="22"/>
              </w:rPr>
            </w:pPr>
            <w:r>
              <w:rPr>
                <w:rFonts w:ascii="Arial"/>
                <w:w w:val="99"/>
                <w:sz w:val="22"/>
              </w:rPr>
              <w:t>/</w:t>
            </w:r>
            <w:r>
              <w:rPr>
                <w:rFonts w:ascii="Arial"/>
                <w:sz w:val="22"/>
              </w:rPr>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Arial" w:hAnsi="Arial" w:cs="Arial" w:eastAsia="Arial" w:hint="default"/>
                <w:sz w:val="22"/>
                <w:szCs w:val="22"/>
              </w:rPr>
            </w:pPr>
            <w:r>
              <w:rPr>
                <w:rFonts w:ascii="Arial"/>
                <w:w w:val="99"/>
                <w:sz w:val="22"/>
              </w:rPr>
              <w:t>/</w:t>
            </w:r>
            <w:r>
              <w:rPr>
                <w:rFonts w:ascii="Arial"/>
                <w:sz w:val="22"/>
              </w:rPr>
            </w:r>
          </w:p>
        </w:tc>
      </w:tr>
    </w:tbl>
    <w:p>
      <w:pPr>
        <w:spacing w:line="240" w:lineRule="auto" w:before="2"/>
        <w:rPr>
          <w:rFonts w:ascii="宋体" w:hAnsi="宋体" w:cs="宋体" w:eastAsia="宋体" w:hint="default"/>
          <w:sz w:val="14"/>
          <w:szCs w:val="14"/>
        </w:rPr>
      </w:pPr>
    </w:p>
    <w:p>
      <w:pPr>
        <w:pStyle w:val="BodyText"/>
        <w:spacing w:line="286" w:lineRule="exact" w:before="60"/>
        <w:ind w:left="145" w:right="909" w:hanging="1"/>
        <w:jc w:val="both"/>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日，本公司所属子公司中讯邮电咨询设计院有限公司（“中讯设计院”）对</w:t>
      </w:r>
      <w:r>
        <w:rPr>
          <w:w w:val="99"/>
        </w:rPr>
        <w:t> </w:t>
      </w:r>
      <w:r>
        <w:rPr/>
        <w:t>被投资单位广东发展银行不具有控制、共同控制或重大影响，且对广东发展银行的长期股权投资</w:t>
      </w:r>
      <w:r>
        <w:rPr>
          <w:w w:val="99"/>
        </w:rPr>
        <w:t> </w:t>
      </w:r>
      <w:r>
        <w:rPr/>
        <w:t>不存在活跃市场报价、其公允价值也不能可靠计量，故本集团采用成本法核算对广东发展银行的</w:t>
      </w:r>
      <w:r>
        <w:rPr>
          <w:w w:val="99"/>
        </w:rPr>
        <w:t> </w:t>
      </w:r>
      <w:r>
        <w:rPr/>
        <w:t>长期股权投资。</w:t>
      </w:r>
    </w:p>
    <w:p>
      <w:pPr>
        <w:spacing w:line="240" w:lineRule="auto" w:before="1"/>
        <w:rPr>
          <w:rFonts w:ascii="宋体" w:hAnsi="宋体" w:cs="宋体" w:eastAsia="宋体" w:hint="default"/>
          <w:sz w:val="17"/>
          <w:szCs w:val="17"/>
        </w:rPr>
      </w:pPr>
    </w:p>
    <w:p>
      <w:pPr>
        <w:pStyle w:val="BodyText"/>
        <w:spacing w:line="240" w:lineRule="auto"/>
        <w:ind w:left="145" w:right="0"/>
        <w:jc w:val="both"/>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47"/>
        </w:rPr>
        <w:t> </w:t>
      </w:r>
      <w:r>
        <w:rPr/>
        <w:t>资产交易事项</w:t>
      </w:r>
    </w:p>
    <w:p>
      <w:pPr>
        <w:spacing w:line="240" w:lineRule="auto" w:before="7"/>
        <w:rPr>
          <w:rFonts w:ascii="宋体" w:hAnsi="宋体" w:cs="宋体" w:eastAsia="宋体" w:hint="default"/>
          <w:sz w:val="15"/>
          <w:szCs w:val="15"/>
        </w:rPr>
      </w:pPr>
    </w:p>
    <w:p>
      <w:pPr>
        <w:pStyle w:val="BodyText"/>
        <w:spacing w:line="294" w:lineRule="exact" w:before="31"/>
        <w:ind w:left="145" w:right="0"/>
        <w:jc w:val="left"/>
      </w:pPr>
      <w:r>
        <w:rPr>
          <w:rFonts w:ascii="Arial" w:hAnsi="Arial" w:cs="Arial" w:eastAsia="Arial" w:hint="default"/>
        </w:rPr>
        <w:t>1</w:t>
      </w:r>
      <w:r>
        <w:rPr/>
        <w:t>、</w:t>
      </w:r>
      <w:r>
        <w:rPr>
          <w:spacing w:val="-3"/>
        </w:rPr>
        <w:t> </w:t>
      </w:r>
      <w:r>
        <w:rPr/>
        <w:t>收购资产情况</w:t>
      </w:r>
    </w:p>
    <w:p>
      <w:pPr>
        <w:pStyle w:val="BodyText"/>
        <w:spacing w:line="294" w:lineRule="exact"/>
        <w:ind w:left="0" w:right="332"/>
        <w:jc w:val="right"/>
      </w:pPr>
      <w:r>
        <w:rPr/>
        <w:t>单位</w:t>
      </w:r>
      <w:r>
        <w:rPr>
          <w:rFonts w:ascii="Arial" w:hAnsi="Arial" w:cs="Arial" w:eastAsia="Arial" w:hint="default"/>
        </w:rPr>
        <w:t>:</w:t>
      </w:r>
      <w:r>
        <w:rPr/>
        <w:t>百万元</w:t>
      </w:r>
      <w:r>
        <w:rPr>
          <w:spacing w:val="-2"/>
        </w:rPr>
        <w:t> </w:t>
      </w:r>
      <w:r>
        <w:rPr/>
        <w:t>币种</w:t>
      </w:r>
      <w:r>
        <w:rPr>
          <w:rFonts w:ascii="Arial" w:hAnsi="Arial" w:cs="Arial" w:eastAsia="Arial" w:hint="default"/>
        </w:rPr>
        <w:t>:</w:t>
      </w:r>
      <w:r>
        <w:rPr/>
        <w:t>人民币</w:t>
      </w:r>
    </w:p>
    <w:tbl>
      <w:tblPr>
        <w:tblW w:w="0" w:type="auto"/>
        <w:jc w:val="left"/>
        <w:tblInd w:w="130" w:type="dxa"/>
        <w:tblLayout w:type="fixed"/>
        <w:tblCellMar>
          <w:top w:w="0" w:type="dxa"/>
          <w:left w:w="0" w:type="dxa"/>
          <w:bottom w:w="0" w:type="dxa"/>
          <w:right w:w="0" w:type="dxa"/>
        </w:tblCellMar>
        <w:tblLook w:val="01E0"/>
      </w:tblPr>
      <w:tblGrid>
        <w:gridCol w:w="816"/>
        <w:gridCol w:w="661"/>
        <w:gridCol w:w="870"/>
        <w:gridCol w:w="566"/>
        <w:gridCol w:w="811"/>
        <w:gridCol w:w="856"/>
        <w:gridCol w:w="854"/>
        <w:gridCol w:w="1225"/>
        <w:gridCol w:w="853"/>
        <w:gridCol w:w="854"/>
        <w:gridCol w:w="854"/>
        <w:gridCol w:w="821"/>
      </w:tblGrid>
      <w:tr>
        <w:trPr>
          <w:trHeight w:val="276" w:hRule="exact"/>
        </w:trPr>
        <w:tc>
          <w:tcPr>
            <w:tcW w:w="816" w:type="dxa"/>
            <w:tcBorders>
              <w:top w:val="single" w:sz="6" w:space="0" w:color="000000"/>
              <w:left w:val="single" w:sz="6" w:space="0" w:color="000000"/>
              <w:bottom w:val="nil" w:sz="6" w:space="0" w:color="auto"/>
              <w:right w:val="single" w:sz="6" w:space="0" w:color="000000"/>
            </w:tcBorders>
          </w:tcPr>
          <w:p>
            <w:pPr/>
          </w:p>
        </w:tc>
        <w:tc>
          <w:tcPr>
            <w:tcW w:w="661" w:type="dxa"/>
            <w:tcBorders>
              <w:top w:val="single" w:sz="6" w:space="0" w:color="000000"/>
              <w:left w:val="single" w:sz="6" w:space="0" w:color="000000"/>
              <w:bottom w:val="nil" w:sz="6" w:space="0" w:color="auto"/>
              <w:right w:val="single" w:sz="6" w:space="0" w:color="000000"/>
            </w:tcBorders>
          </w:tcPr>
          <w:p>
            <w:pPr/>
          </w:p>
        </w:tc>
        <w:tc>
          <w:tcPr>
            <w:tcW w:w="870" w:type="dxa"/>
            <w:tcBorders>
              <w:top w:val="single" w:sz="6" w:space="0" w:color="000000"/>
              <w:left w:val="single" w:sz="6" w:space="0" w:color="000000"/>
              <w:bottom w:val="nil" w:sz="6" w:space="0" w:color="auto"/>
              <w:right w:val="single" w:sz="6" w:space="0" w:color="000000"/>
            </w:tcBorders>
          </w:tcPr>
          <w:p>
            <w:pPr/>
          </w:p>
        </w:tc>
        <w:tc>
          <w:tcPr>
            <w:tcW w:w="566" w:type="dxa"/>
            <w:tcBorders>
              <w:top w:val="single" w:sz="6" w:space="0" w:color="000000"/>
              <w:left w:val="single" w:sz="6" w:space="0" w:color="000000"/>
              <w:bottom w:val="nil" w:sz="6" w:space="0" w:color="auto"/>
              <w:right w:val="single" w:sz="6" w:space="0" w:color="000000"/>
            </w:tcBorders>
          </w:tcPr>
          <w:p>
            <w:pPr/>
          </w:p>
        </w:tc>
        <w:tc>
          <w:tcPr>
            <w:tcW w:w="811" w:type="dxa"/>
            <w:tcBorders>
              <w:top w:val="single" w:sz="6" w:space="0" w:color="000000"/>
              <w:left w:val="single" w:sz="6" w:space="0" w:color="000000"/>
              <w:bottom w:val="nil" w:sz="6" w:space="0" w:color="auto"/>
              <w:right w:val="single" w:sz="6" w:space="0" w:color="000000"/>
            </w:tcBorders>
          </w:tcPr>
          <w:p>
            <w:pPr/>
          </w:p>
        </w:tc>
        <w:tc>
          <w:tcPr>
            <w:tcW w:w="8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53"/>
              <w:jc w:val="right"/>
              <w:rPr>
                <w:rFonts w:ascii="宋体" w:hAnsi="宋体" w:cs="宋体" w:eastAsia="宋体" w:hint="default"/>
                <w:sz w:val="18"/>
                <w:szCs w:val="18"/>
              </w:rPr>
            </w:pPr>
            <w:r>
              <w:rPr>
                <w:rFonts w:ascii="宋体" w:hAnsi="宋体" w:cs="宋体" w:eastAsia="宋体" w:hint="default"/>
                <w:sz w:val="18"/>
                <w:szCs w:val="18"/>
              </w:rPr>
              <w:t>自本年初</w:t>
            </w:r>
          </w:p>
        </w:tc>
        <w:tc>
          <w:tcPr>
            <w:tcW w:w="854" w:type="dxa"/>
            <w:tcBorders>
              <w:top w:val="single" w:sz="6" w:space="0" w:color="000000"/>
              <w:left w:val="single" w:sz="6" w:space="0" w:color="000000"/>
              <w:bottom w:val="nil" w:sz="6" w:space="0" w:color="auto"/>
              <w:right w:val="single" w:sz="6" w:space="0" w:color="000000"/>
            </w:tcBorders>
          </w:tcPr>
          <w:p>
            <w:pPr/>
          </w:p>
        </w:tc>
        <w:tc>
          <w:tcPr>
            <w:tcW w:w="1225" w:type="dxa"/>
            <w:tcBorders>
              <w:top w:val="single" w:sz="6" w:space="0" w:color="000000"/>
              <w:left w:val="single" w:sz="6" w:space="0" w:color="000000"/>
              <w:bottom w:val="nil" w:sz="6" w:space="0" w:color="auto"/>
              <w:right w:val="single" w:sz="6" w:space="0" w:color="000000"/>
            </w:tcBorders>
          </w:tcPr>
          <w:p>
            <w:pPr/>
          </w:p>
        </w:tc>
        <w:tc>
          <w:tcPr>
            <w:tcW w:w="853" w:type="dxa"/>
            <w:tcBorders>
              <w:top w:val="single" w:sz="6" w:space="0" w:color="000000"/>
              <w:left w:val="single" w:sz="6" w:space="0" w:color="000000"/>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r>
      <w:tr>
        <w:trPr>
          <w:trHeight w:val="2124" w:hRule="exact"/>
        </w:trPr>
        <w:tc>
          <w:tcPr>
            <w:tcW w:w="81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41"/>
              <w:ind w:left="39" w:right="41"/>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66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09" w:lineRule="auto"/>
              <w:ind w:left="145" w:right="49" w:hanging="90"/>
              <w:jc w:val="left"/>
              <w:rPr>
                <w:rFonts w:ascii="宋体" w:hAnsi="宋体" w:cs="宋体" w:eastAsia="宋体" w:hint="default"/>
                <w:sz w:val="18"/>
                <w:szCs w:val="18"/>
              </w:rPr>
            </w:pPr>
            <w:r>
              <w:rPr>
                <w:rFonts w:ascii="宋体" w:hAnsi="宋体" w:cs="宋体" w:eastAsia="宋体" w:hint="default"/>
                <w:sz w:val="18"/>
                <w:szCs w:val="18"/>
              </w:rPr>
              <w:t>被收购 资产</w:t>
            </w: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5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09" w:lineRule="auto"/>
              <w:ind w:left="15" w:right="-4"/>
              <w:jc w:val="left"/>
              <w:rPr>
                <w:rFonts w:ascii="宋体" w:hAnsi="宋体" w:cs="宋体" w:eastAsia="宋体" w:hint="default"/>
                <w:sz w:val="18"/>
                <w:szCs w:val="18"/>
              </w:rPr>
            </w:pPr>
            <w:r>
              <w:rPr>
                <w:rFonts w:ascii="宋体" w:hAnsi="宋体" w:cs="宋体" w:eastAsia="宋体" w:hint="default"/>
                <w:sz w:val="18"/>
                <w:szCs w:val="18"/>
              </w:rPr>
              <w:t>资产收 购价格</w:t>
            </w:r>
          </w:p>
        </w:tc>
        <w:tc>
          <w:tcPr>
            <w:tcW w:w="81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309" w:lineRule="auto"/>
              <w:ind w:left="30" w:right="44"/>
              <w:jc w:val="both"/>
              <w:rPr>
                <w:rFonts w:ascii="宋体" w:hAnsi="宋体" w:cs="宋体" w:eastAsia="宋体" w:hint="default"/>
                <w:sz w:val="18"/>
                <w:szCs w:val="18"/>
              </w:rPr>
            </w:pPr>
            <w:r>
              <w:rPr>
                <w:rFonts w:ascii="宋体" w:hAnsi="宋体" w:cs="宋体" w:eastAsia="宋体" w:hint="default"/>
                <w:sz w:val="18"/>
                <w:szCs w:val="18"/>
              </w:rPr>
              <w:t>自收购日 起至本年 末为上市 公司贡献 的净利润</w:t>
            </w:r>
          </w:p>
        </w:tc>
        <w:tc>
          <w:tcPr>
            <w:tcW w:w="856" w:type="dxa"/>
            <w:tcBorders>
              <w:top w:val="nil" w:sz="6" w:space="0" w:color="auto"/>
              <w:left w:val="single" w:sz="6" w:space="0" w:color="000000"/>
              <w:bottom w:val="nil" w:sz="6" w:space="0" w:color="auto"/>
              <w:right w:val="single" w:sz="6" w:space="0" w:color="000000"/>
            </w:tcBorders>
          </w:tcPr>
          <w:p>
            <w:pPr>
              <w:pStyle w:val="TableParagraph"/>
              <w:spacing w:line="309" w:lineRule="auto" w:before="6"/>
              <w:ind w:left="66" w:right="53"/>
              <w:jc w:val="both"/>
              <w:rPr>
                <w:rFonts w:ascii="宋体" w:hAnsi="宋体" w:cs="宋体" w:eastAsia="宋体" w:hint="default"/>
                <w:sz w:val="18"/>
                <w:szCs w:val="18"/>
              </w:rPr>
            </w:pPr>
            <w:r>
              <w:rPr>
                <w:rFonts w:ascii="宋体" w:hAnsi="宋体" w:cs="宋体" w:eastAsia="宋体" w:hint="default"/>
                <w:sz w:val="18"/>
                <w:szCs w:val="18"/>
              </w:rPr>
              <w:t>至本年末 为上市公 司贡献的 净利润</w:t>
            </w:r>
          </w:p>
          <w:p>
            <w:pPr>
              <w:pStyle w:val="TableParagraph"/>
              <w:spacing w:line="309" w:lineRule="auto" w:before="16"/>
              <w:ind w:left="66" w:right="53"/>
              <w:jc w:val="both"/>
              <w:rPr>
                <w:rFonts w:ascii="宋体" w:hAnsi="宋体" w:cs="宋体" w:eastAsia="宋体" w:hint="default"/>
                <w:sz w:val="18"/>
                <w:szCs w:val="18"/>
              </w:rPr>
            </w:pPr>
            <w:r>
              <w:rPr>
                <w:rFonts w:ascii="宋体" w:hAnsi="宋体" w:cs="宋体" w:eastAsia="宋体" w:hint="default"/>
                <w:sz w:val="18"/>
                <w:szCs w:val="18"/>
              </w:rPr>
              <w:t>（适用于 同一控制 下的企业</w:t>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307" w:lineRule="auto"/>
              <w:ind w:left="66" w:right="53"/>
              <w:jc w:val="center"/>
              <w:rPr>
                <w:rFonts w:ascii="宋体" w:hAnsi="宋体" w:cs="宋体" w:eastAsia="宋体" w:hint="default"/>
                <w:sz w:val="18"/>
                <w:szCs w:val="18"/>
              </w:rPr>
            </w:pPr>
            <w:r>
              <w:rPr>
                <w:rFonts w:ascii="宋体" w:hAnsi="宋体" w:cs="宋体" w:eastAsia="宋体" w:hint="default"/>
                <w:sz w:val="18"/>
                <w:szCs w:val="18"/>
              </w:rPr>
              <w:t>是否为关 联交易</w:t>
            </w:r>
          </w:p>
          <w:p>
            <w:pPr>
              <w:pStyle w:val="TableParagraph"/>
              <w:spacing w:line="309" w:lineRule="auto" w:before="17"/>
              <w:ind w:left="13" w:right="1"/>
              <w:jc w:val="center"/>
              <w:rPr>
                <w:rFonts w:ascii="宋体" w:hAnsi="宋体" w:cs="宋体" w:eastAsia="宋体" w:hint="default"/>
                <w:sz w:val="18"/>
                <w:szCs w:val="18"/>
              </w:rPr>
            </w:pPr>
            <w:r>
              <w:rPr>
                <w:rFonts w:ascii="宋体" w:hAnsi="宋体" w:cs="宋体" w:eastAsia="宋体" w:hint="default"/>
                <w:spacing w:val="-15"/>
                <w:sz w:val="18"/>
                <w:szCs w:val="18"/>
              </w:rPr>
              <w:t>（如是，说</w:t>
            </w:r>
            <w:r>
              <w:rPr>
                <w:rFonts w:ascii="宋体" w:hAnsi="宋体" w:cs="宋体" w:eastAsia="宋体" w:hint="default"/>
                <w:sz w:val="18"/>
                <w:szCs w:val="18"/>
              </w:rPr>
              <w:t> 明定价原 则）</w:t>
            </w:r>
          </w:p>
        </w:tc>
        <w:tc>
          <w:tcPr>
            <w:tcW w:w="122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09" w:lineRule="auto"/>
              <w:ind w:left="253" w:right="235"/>
              <w:jc w:val="left"/>
              <w:rPr>
                <w:rFonts w:ascii="宋体" w:hAnsi="宋体" w:cs="宋体" w:eastAsia="宋体" w:hint="default"/>
                <w:sz w:val="18"/>
                <w:szCs w:val="18"/>
              </w:rPr>
            </w:pPr>
            <w:r>
              <w:rPr>
                <w:rFonts w:ascii="宋体" w:hAnsi="宋体" w:cs="宋体" w:eastAsia="宋体" w:hint="default"/>
                <w:sz w:val="18"/>
                <w:szCs w:val="18"/>
              </w:rPr>
              <w:t>资产收购 定价原则</w:t>
            </w:r>
          </w:p>
        </w:tc>
        <w:tc>
          <w:tcPr>
            <w:tcW w:w="85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09" w:lineRule="auto"/>
              <w:ind w:left="56" w:right="60"/>
              <w:jc w:val="both"/>
              <w:rPr>
                <w:rFonts w:ascii="宋体" w:hAnsi="宋体" w:cs="宋体" w:eastAsia="宋体" w:hint="default"/>
                <w:sz w:val="18"/>
                <w:szCs w:val="18"/>
              </w:rPr>
            </w:pPr>
            <w:r>
              <w:rPr>
                <w:rFonts w:ascii="宋体" w:hAnsi="宋体" w:cs="宋体" w:eastAsia="宋体" w:hint="default"/>
                <w:sz w:val="18"/>
                <w:szCs w:val="18"/>
              </w:rPr>
              <w:t>所涉及的 资产产权 是否已全 部过户</w:t>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09" w:lineRule="auto"/>
              <w:ind w:left="57" w:right="60"/>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49" w:right="68"/>
              <w:jc w:val="center"/>
              <w:rPr>
                <w:rFonts w:ascii="Arial" w:hAnsi="Arial" w:cs="Arial" w:eastAsia="Arial" w:hint="default"/>
                <w:sz w:val="18"/>
                <w:szCs w:val="18"/>
              </w:rPr>
            </w:pPr>
            <w:r>
              <w:rPr>
                <w:rFonts w:ascii="宋体" w:hAnsi="宋体" w:cs="宋体" w:eastAsia="宋体" w:hint="default"/>
                <w:sz w:val="18"/>
                <w:szCs w:val="18"/>
              </w:rPr>
              <w:t>该资产贡 献的净利 润占上市 公司净利 润的比例 </w:t>
            </w:r>
            <w:r>
              <w:rPr>
                <w:rFonts w:ascii="Arial" w:hAnsi="Arial" w:cs="Arial" w:eastAsia="Arial" w:hint="default"/>
                <w:sz w:val="18"/>
                <w:szCs w:val="18"/>
              </w:rPr>
              <w:t>(%)</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347" w:hRule="exact"/>
        </w:trPr>
        <w:tc>
          <w:tcPr>
            <w:tcW w:w="816" w:type="dxa"/>
            <w:tcBorders>
              <w:top w:val="nil" w:sz="6" w:space="0" w:color="auto"/>
              <w:left w:val="single" w:sz="6" w:space="0" w:color="000000"/>
              <w:bottom w:val="single" w:sz="6" w:space="0" w:color="000000"/>
              <w:right w:val="single" w:sz="6" w:space="0" w:color="000000"/>
            </w:tcBorders>
          </w:tcPr>
          <w:p>
            <w:pPr/>
          </w:p>
        </w:tc>
        <w:tc>
          <w:tcPr>
            <w:tcW w:w="661"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c>
          <w:tcPr>
            <w:tcW w:w="566" w:type="dxa"/>
            <w:tcBorders>
              <w:top w:val="nil" w:sz="6" w:space="0" w:color="auto"/>
              <w:left w:val="single" w:sz="6" w:space="0" w:color="000000"/>
              <w:bottom w:val="single" w:sz="6" w:space="0" w:color="000000"/>
              <w:right w:val="single" w:sz="6" w:space="0" w:color="000000"/>
            </w:tcBorders>
          </w:tcPr>
          <w:p>
            <w:pPr/>
          </w:p>
        </w:tc>
        <w:tc>
          <w:tcPr>
            <w:tcW w:w="811" w:type="dxa"/>
            <w:tcBorders>
              <w:top w:val="nil" w:sz="6" w:space="0" w:color="auto"/>
              <w:left w:val="single" w:sz="6" w:space="0" w:color="000000"/>
              <w:bottom w:val="single" w:sz="6" w:space="0" w:color="000000"/>
              <w:right w:val="single" w:sz="6" w:space="0" w:color="000000"/>
            </w:tcBorders>
          </w:tcPr>
          <w:p>
            <w:pPr/>
          </w:p>
        </w:tc>
        <w:tc>
          <w:tcPr>
            <w:tcW w:w="8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143"/>
              <w:jc w:val="right"/>
              <w:rPr>
                <w:rFonts w:ascii="宋体" w:hAnsi="宋体" w:cs="宋体" w:eastAsia="宋体" w:hint="default"/>
                <w:sz w:val="18"/>
                <w:szCs w:val="18"/>
              </w:rPr>
            </w:pPr>
            <w:r>
              <w:rPr>
                <w:rFonts w:ascii="宋体" w:hAnsi="宋体" w:cs="宋体" w:eastAsia="宋体" w:hint="default"/>
                <w:sz w:val="18"/>
                <w:szCs w:val="18"/>
              </w:rPr>
              <w:t>合并）</w:t>
            </w:r>
          </w:p>
        </w:tc>
        <w:tc>
          <w:tcPr>
            <w:tcW w:w="854" w:type="dxa"/>
            <w:tcBorders>
              <w:top w:val="nil" w:sz="6" w:space="0" w:color="auto"/>
              <w:left w:val="single" w:sz="6" w:space="0" w:color="000000"/>
              <w:bottom w:val="single" w:sz="6" w:space="0" w:color="000000"/>
              <w:right w:val="single" w:sz="6" w:space="0" w:color="000000"/>
            </w:tcBorders>
          </w:tcPr>
          <w:p>
            <w:pPr/>
          </w:p>
        </w:tc>
        <w:tc>
          <w:tcPr>
            <w:tcW w:w="1225" w:type="dxa"/>
            <w:tcBorders>
              <w:top w:val="nil" w:sz="6" w:space="0" w:color="auto"/>
              <w:left w:val="single" w:sz="6" w:space="0" w:color="000000"/>
              <w:bottom w:val="single" w:sz="6" w:space="0" w:color="000000"/>
              <w:right w:val="single" w:sz="6" w:space="0" w:color="000000"/>
            </w:tcBorders>
          </w:tcPr>
          <w:p>
            <w:pPr/>
          </w:p>
        </w:tc>
        <w:tc>
          <w:tcPr>
            <w:tcW w:w="853" w:type="dxa"/>
            <w:tcBorders>
              <w:top w:val="nil" w:sz="6" w:space="0" w:color="auto"/>
              <w:left w:val="single" w:sz="6" w:space="0" w:color="000000"/>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r>
      <w:tr>
        <w:trPr>
          <w:trHeight w:val="1836"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09" w:lineRule="auto"/>
              <w:ind w:left="145" w:right="49" w:hanging="90"/>
              <w:jc w:val="left"/>
              <w:rPr>
                <w:rFonts w:ascii="宋体" w:hAnsi="宋体" w:cs="宋体" w:eastAsia="宋体" w:hint="default"/>
                <w:sz w:val="18"/>
                <w:szCs w:val="18"/>
              </w:rPr>
            </w:pPr>
            <w:r>
              <w:rPr>
                <w:rFonts w:ascii="宋体" w:hAnsi="宋体" w:cs="宋体" w:eastAsia="宋体" w:hint="default"/>
                <w:sz w:val="18"/>
                <w:szCs w:val="18"/>
              </w:rPr>
              <w:t>联通新 时讯</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18"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55"/>
              <w:ind w:left="3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35" w:right="0"/>
              <w:jc w:val="left"/>
              <w:rPr>
                <w:rFonts w:ascii="Arial" w:hAnsi="Arial" w:cs="Arial" w:eastAsia="Arial" w:hint="default"/>
                <w:sz w:val="18"/>
                <w:szCs w:val="18"/>
              </w:rPr>
            </w:pPr>
            <w:r>
              <w:rPr>
                <w:rFonts w:ascii="Arial"/>
                <w:sz w:val="18"/>
              </w:rPr>
              <w:t>158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Arial" w:hAnsi="Arial" w:cs="Arial" w:eastAsia="Arial" w:hint="default"/>
                <w:sz w:val="18"/>
                <w:szCs w:val="18"/>
              </w:rPr>
            </w:pPr>
            <w:r>
              <w:rPr>
                <w:rFonts w:ascii="Arial"/>
                <w:w w:val="99"/>
                <w:sz w:val="18"/>
              </w:rPr>
              <w:t>8</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以评估基准日</w:t>
            </w:r>
          </w:p>
          <w:p>
            <w:pPr>
              <w:pStyle w:val="TableParagraph"/>
              <w:spacing w:line="240" w:lineRule="auto" w:before="68"/>
              <w:ind w:left="25" w:right="0"/>
              <w:jc w:val="both"/>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304" w:lineRule="auto" w:before="55"/>
              <w:ind w:left="25" w:right="53"/>
              <w:jc w:val="both"/>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20"/>
                <w:sz w:val="18"/>
                <w:szCs w:val="18"/>
              </w:rPr>
              <w:t> </w:t>
            </w:r>
            <w:r>
              <w:rPr>
                <w:rFonts w:ascii="宋体" w:hAnsi="宋体" w:cs="宋体" w:eastAsia="宋体" w:hint="default"/>
                <w:sz w:val="18"/>
                <w:szCs w:val="18"/>
              </w:rPr>
              <w:t>日联通新时 讯净资产评估 值为基础双方 协定定价</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22"/>
              <w:ind w:left="34" w:right="49"/>
              <w:jc w:val="both"/>
              <w:rPr>
                <w:rFonts w:ascii="宋体" w:hAnsi="宋体" w:cs="宋体" w:eastAsia="宋体" w:hint="default"/>
                <w:sz w:val="18"/>
                <w:szCs w:val="18"/>
              </w:rPr>
            </w:pPr>
            <w:r>
              <w:rPr>
                <w:rFonts w:ascii="宋体" w:hAnsi="宋体" w:cs="宋体" w:eastAsia="宋体" w:hint="default"/>
                <w:sz w:val="18"/>
                <w:szCs w:val="18"/>
              </w:rPr>
              <w:t>本公司与 联通新时 讯均为联 通集团的 子公司</w:t>
            </w:r>
          </w:p>
        </w:tc>
      </w:tr>
    </w:tbl>
    <w:p>
      <w:pPr>
        <w:spacing w:after="0" w:line="309" w:lineRule="auto"/>
        <w:jc w:val="both"/>
        <w:rPr>
          <w:rFonts w:ascii="宋体" w:hAnsi="宋体" w:cs="宋体" w:eastAsia="宋体" w:hint="default"/>
          <w:sz w:val="18"/>
          <w:szCs w:val="18"/>
        </w:rPr>
        <w:sectPr>
          <w:pgSz w:w="11900" w:h="16840"/>
          <w:pgMar w:header="927" w:footer="752" w:top="1160" w:bottom="940" w:left="134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424" w:lineRule="auto" w:before="31"/>
        <w:ind w:left="595" w:right="4665" w:hanging="450"/>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8"/>
        </w:rPr>
        <w:t> </w:t>
      </w:r>
      <w:r>
        <w:rPr/>
        <w:t>报告期内公司重大关联交易事项</w:t>
      </w:r>
      <w:r>
        <w:rPr>
          <w:w w:val="99"/>
        </w:rPr>
        <w:t> </w:t>
      </w:r>
      <w:r>
        <w:rPr/>
        <w:t>本年度公司关联交易事项请参见财务报告附注七。</w:t>
      </w:r>
    </w:p>
    <w:p>
      <w:pPr>
        <w:pStyle w:val="BodyText"/>
        <w:spacing w:line="240" w:lineRule="auto" w:before="81"/>
        <w:ind w:left="145" w:right="4665"/>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6"/>
        </w:rPr>
        <w:t> </w:t>
      </w:r>
      <w:r>
        <w:rPr/>
        <w:t>重大合同及其履行情况</w:t>
      </w:r>
    </w:p>
    <w:p>
      <w:pPr>
        <w:spacing w:line="240" w:lineRule="auto" w:before="12"/>
        <w:rPr>
          <w:rFonts w:ascii="宋体" w:hAnsi="宋体" w:cs="宋体" w:eastAsia="宋体" w:hint="default"/>
          <w:sz w:val="17"/>
          <w:szCs w:val="17"/>
        </w:rPr>
      </w:pPr>
    </w:p>
    <w:p>
      <w:pPr>
        <w:pStyle w:val="BodyText"/>
        <w:spacing w:line="424" w:lineRule="auto"/>
        <w:ind w:left="443" w:right="1148" w:hanging="298"/>
        <w:jc w:val="left"/>
      </w:pPr>
      <w:r>
        <w:rPr>
          <w:rFonts w:ascii="Arial" w:hAnsi="Arial" w:cs="Arial" w:eastAsia="Arial" w:hint="default"/>
        </w:rPr>
        <w:t>1</w:t>
      </w:r>
      <w:r>
        <w:rPr/>
        <w:t>、为公司带来的利润达到公司本期利润总额</w:t>
      </w:r>
      <w:r>
        <w:rPr>
          <w:spacing w:val="-58"/>
        </w:rPr>
        <w:t> </w:t>
      </w:r>
      <w:r>
        <w:rPr>
          <w:rFonts w:ascii="Arial" w:hAnsi="Arial" w:cs="Arial" w:eastAsia="Arial" w:hint="default"/>
        </w:rPr>
        <w:t>10%</w:t>
      </w:r>
      <w:r>
        <w:rPr/>
        <w:t>以上（含</w:t>
      </w:r>
      <w:r>
        <w:rPr>
          <w:spacing w:val="-58"/>
        </w:rPr>
        <w:t> </w:t>
      </w:r>
      <w:r>
        <w:rPr>
          <w:rFonts w:ascii="Arial" w:hAnsi="Arial" w:cs="Arial" w:eastAsia="Arial" w:hint="default"/>
        </w:rPr>
        <w:t>10%</w:t>
      </w:r>
      <w:r>
        <w:rPr/>
        <w:t>）的托管、承包、租赁事项</w:t>
      </w:r>
      <w:r>
        <w:rPr>
          <w:w w:val="99"/>
        </w:rPr>
        <w:t> </w:t>
      </w:r>
      <w:r>
        <w:rPr>
          <w:rFonts w:ascii="Arial" w:hAnsi="Arial" w:cs="Arial" w:eastAsia="Arial" w:hint="default"/>
        </w:rPr>
        <w:t>(1) </w:t>
      </w:r>
      <w:r>
        <w:rPr/>
        <w:t>本年度公司无带来的利润达到公司本期利润总额 </w:t>
      </w:r>
      <w:r>
        <w:rPr>
          <w:rFonts w:ascii="Arial" w:hAnsi="Arial" w:cs="Arial" w:eastAsia="Arial" w:hint="default"/>
        </w:rPr>
        <w:t>10%</w:t>
      </w:r>
      <w:r>
        <w:rPr/>
        <w:t>以上（含</w:t>
      </w:r>
      <w:r>
        <w:rPr>
          <w:spacing w:val="-66"/>
        </w:rPr>
        <w:t> </w:t>
      </w:r>
      <w:r>
        <w:rPr>
          <w:rFonts w:ascii="Arial" w:hAnsi="Arial" w:cs="Arial" w:eastAsia="Arial" w:hint="default"/>
        </w:rPr>
        <w:t>10%</w:t>
      </w:r>
      <w:r>
        <w:rPr/>
        <w:t>）托管事项。</w:t>
      </w:r>
    </w:p>
    <w:p>
      <w:pPr>
        <w:pStyle w:val="BodyText"/>
        <w:spacing w:line="424" w:lineRule="auto" w:before="46"/>
        <w:ind w:left="443" w:right="1484" w:hanging="1"/>
        <w:jc w:val="center"/>
      </w:pPr>
      <w:r>
        <w:rPr>
          <w:rFonts w:ascii="Arial" w:hAnsi="Arial" w:cs="Arial" w:eastAsia="Arial" w:hint="default"/>
        </w:rPr>
        <w:t>(2) </w:t>
      </w:r>
      <w:r>
        <w:rPr/>
        <w:t>本年度公司无带来的利润达到公司本期利润总额 </w:t>
      </w:r>
      <w:r>
        <w:rPr>
          <w:rFonts w:ascii="Arial" w:hAnsi="Arial" w:cs="Arial" w:eastAsia="Arial" w:hint="default"/>
        </w:rPr>
        <w:t>10%</w:t>
      </w:r>
      <w:r>
        <w:rPr/>
        <w:t>以上（含</w:t>
      </w:r>
      <w:r>
        <w:rPr>
          <w:spacing w:val="-66"/>
        </w:rPr>
        <w:t> </w:t>
      </w:r>
      <w:r>
        <w:rPr>
          <w:rFonts w:ascii="Arial" w:hAnsi="Arial" w:cs="Arial" w:eastAsia="Arial" w:hint="default"/>
        </w:rPr>
        <w:t>10%</w:t>
      </w:r>
      <w:r>
        <w:rPr/>
        <w:t>）承包事项。</w:t>
      </w:r>
      <w:r>
        <w:rPr>
          <w:w w:val="99"/>
        </w:rPr>
        <w:t> </w:t>
      </w:r>
      <w:r>
        <w:rPr>
          <w:rFonts w:ascii="Arial" w:hAnsi="Arial" w:cs="Arial" w:eastAsia="Arial" w:hint="default"/>
        </w:rPr>
        <w:t>(3) </w:t>
      </w:r>
      <w:r>
        <w:rPr/>
        <w:t>本年度公司无带来的利润达到公司本期利润总额 </w:t>
      </w:r>
      <w:r>
        <w:rPr>
          <w:rFonts w:ascii="Arial" w:hAnsi="Arial" w:cs="Arial" w:eastAsia="Arial" w:hint="default"/>
        </w:rPr>
        <w:t>10%</w:t>
      </w:r>
      <w:r>
        <w:rPr/>
        <w:t>以上（含</w:t>
      </w:r>
      <w:r>
        <w:rPr>
          <w:spacing w:val="-66"/>
        </w:rPr>
        <w:t> </w:t>
      </w:r>
      <w:r>
        <w:rPr>
          <w:rFonts w:ascii="Arial" w:hAnsi="Arial" w:cs="Arial" w:eastAsia="Arial" w:hint="default"/>
        </w:rPr>
        <w:t>10%</w:t>
      </w:r>
      <w:r>
        <w:rPr/>
        <w:t>）租赁事项。</w:t>
      </w:r>
    </w:p>
    <w:p>
      <w:pPr>
        <w:pStyle w:val="BodyText"/>
        <w:spacing w:line="424" w:lineRule="auto" w:before="46"/>
        <w:ind w:left="461" w:right="7219" w:hanging="316"/>
        <w:jc w:val="left"/>
      </w:pPr>
      <w:r>
        <w:rPr>
          <w:rFonts w:ascii="Arial" w:hAnsi="Arial" w:cs="Arial" w:eastAsia="Arial" w:hint="default"/>
        </w:rPr>
        <w:t>2</w:t>
      </w:r>
      <w:r>
        <w:rPr/>
        <w:t>、担保情况</w:t>
      </w:r>
      <w:r>
        <w:rPr>
          <w:w w:val="99"/>
        </w:rPr>
        <w:t> </w:t>
      </w:r>
      <w:r>
        <w:rPr/>
        <w:t>本年度公司无担保事项。</w:t>
      </w:r>
    </w:p>
    <w:p>
      <w:pPr>
        <w:pStyle w:val="BodyText"/>
        <w:spacing w:line="424" w:lineRule="auto" w:before="81"/>
        <w:ind w:left="461" w:right="6779" w:hanging="316"/>
        <w:jc w:val="left"/>
      </w:pPr>
      <w:r>
        <w:rPr>
          <w:rFonts w:ascii="Arial" w:hAnsi="Arial" w:cs="Arial" w:eastAsia="Arial" w:hint="default"/>
        </w:rPr>
        <w:t>3</w:t>
      </w:r>
      <w:r>
        <w:rPr/>
        <w:t>、其他重大合同</w:t>
      </w:r>
      <w:r>
        <w:rPr>
          <w:w w:val="99"/>
        </w:rPr>
        <w:t> </w:t>
      </w:r>
      <w:r>
        <w:rPr/>
        <w:t>本年度公司无其他重大合同。</w:t>
      </w:r>
    </w:p>
    <w:p>
      <w:pPr>
        <w:pStyle w:val="BodyText"/>
        <w:spacing w:line="240" w:lineRule="auto" w:before="81"/>
        <w:ind w:left="145" w:right="4665"/>
        <w:jc w:val="left"/>
      </w:pPr>
      <w:r>
        <w:rPr>
          <w:rFonts w:ascii="Arial" w:hAnsi="Arial" w:cs="Arial" w:eastAsia="Arial" w:hint="default"/>
        </w:rPr>
        <w:t>(</w:t>
      </w:r>
      <w:r>
        <w:rPr/>
        <w:t>七</w:t>
      </w:r>
      <w:r>
        <w:rPr>
          <w:rFonts w:ascii="Arial" w:hAnsi="Arial" w:cs="Arial" w:eastAsia="Arial" w:hint="default"/>
        </w:rPr>
        <w:t>)</w:t>
      </w:r>
      <w:r>
        <w:rPr>
          <w:rFonts w:ascii="Arial" w:hAnsi="Arial" w:cs="Arial" w:eastAsia="Arial" w:hint="default"/>
          <w:spacing w:val="46"/>
        </w:rPr>
        <w:t> </w:t>
      </w:r>
      <w:r>
        <w:rPr/>
        <w:t>承诺事项履行情况</w:t>
      </w:r>
    </w:p>
    <w:p>
      <w:pPr>
        <w:spacing w:line="240" w:lineRule="auto" w:before="13"/>
        <w:rPr>
          <w:rFonts w:ascii="宋体" w:hAnsi="宋体" w:cs="宋体" w:eastAsia="宋体" w:hint="default"/>
          <w:sz w:val="17"/>
          <w:szCs w:val="17"/>
        </w:rPr>
      </w:pPr>
    </w:p>
    <w:p>
      <w:pPr>
        <w:pStyle w:val="BodyText"/>
        <w:spacing w:line="240" w:lineRule="auto"/>
        <w:ind w:left="145" w:right="1148"/>
        <w:jc w:val="left"/>
      </w:pPr>
      <w:r>
        <w:rPr>
          <w:rFonts w:ascii="Arial" w:hAnsi="Arial" w:cs="Arial" w:eastAsia="Arial" w:hint="default"/>
        </w:rPr>
        <w:t>1</w:t>
      </w:r>
      <w:r>
        <w:rPr/>
        <w:t>、上市公司、控投股东及实际控制人在报告期内或持续到报告期内的承诺事项</w:t>
      </w:r>
    </w:p>
    <w:p>
      <w:pPr>
        <w:spacing w:line="240" w:lineRule="auto" w:before="9"/>
        <w:rPr>
          <w:rFonts w:ascii="宋体" w:hAnsi="宋体" w:cs="宋体" w:eastAsia="宋体" w:hint="default"/>
          <w:sz w:val="20"/>
          <w:szCs w:val="20"/>
        </w:rPr>
      </w:pPr>
    </w:p>
    <w:tbl>
      <w:tblPr>
        <w:tblW w:w="0" w:type="auto"/>
        <w:jc w:val="left"/>
        <w:tblInd w:w="130" w:type="dxa"/>
        <w:tblLayout w:type="fixed"/>
        <w:tblCellMar>
          <w:top w:w="0" w:type="dxa"/>
          <w:left w:w="0" w:type="dxa"/>
          <w:bottom w:w="0" w:type="dxa"/>
          <w:right w:w="0" w:type="dxa"/>
        </w:tblCellMar>
        <w:tblLook w:val="01E0"/>
      </w:tblPr>
      <w:tblGrid>
        <w:gridCol w:w="589"/>
        <w:gridCol w:w="659"/>
        <w:gridCol w:w="682"/>
        <w:gridCol w:w="3662"/>
        <w:gridCol w:w="931"/>
        <w:gridCol w:w="931"/>
        <w:gridCol w:w="1252"/>
        <w:gridCol w:w="1158"/>
      </w:tblGrid>
      <w:tr>
        <w:trPr>
          <w:trHeight w:val="1229"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06" w:right="107"/>
              <w:jc w:val="left"/>
              <w:rPr>
                <w:rFonts w:ascii="宋体" w:hAnsi="宋体" w:cs="宋体" w:eastAsia="宋体" w:hint="default"/>
                <w:sz w:val="18"/>
                <w:szCs w:val="18"/>
              </w:rPr>
            </w:pPr>
            <w:r>
              <w:rPr>
                <w:rFonts w:ascii="宋体" w:hAnsi="宋体" w:cs="宋体" w:eastAsia="宋体" w:hint="default"/>
                <w:sz w:val="18"/>
                <w:szCs w:val="18"/>
              </w:rPr>
              <w:t>承诺 背景</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41" w:right="14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74" w:right="110" w:hanging="90"/>
              <w:jc w:val="left"/>
              <w:rPr>
                <w:rFonts w:ascii="宋体" w:hAnsi="宋体" w:cs="宋体" w:eastAsia="宋体" w:hint="default"/>
                <w:sz w:val="18"/>
                <w:szCs w:val="18"/>
              </w:rPr>
            </w:pPr>
            <w:r>
              <w:rPr>
                <w:rFonts w:ascii="宋体" w:hAnsi="宋体" w:cs="宋体" w:eastAsia="宋体" w:hint="default"/>
                <w:sz w:val="18"/>
                <w:szCs w:val="18"/>
              </w:rPr>
              <w:t>是否有履 行期限</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02" w:right="92"/>
              <w:jc w:val="left"/>
              <w:rPr>
                <w:rFonts w:ascii="宋体" w:hAnsi="宋体" w:cs="宋体" w:eastAsia="宋体" w:hint="default"/>
                <w:sz w:val="18"/>
                <w:szCs w:val="18"/>
              </w:rPr>
            </w:pPr>
            <w:r>
              <w:rPr>
                <w:rFonts w:ascii="宋体" w:hAnsi="宋体" w:cs="宋体" w:eastAsia="宋体" w:hint="default"/>
                <w:sz w:val="18"/>
                <w:szCs w:val="18"/>
              </w:rPr>
              <w:t>是否及时 严格履行</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8" w:right="0"/>
              <w:jc w:val="both"/>
              <w:rPr>
                <w:rFonts w:ascii="宋体" w:hAnsi="宋体" w:cs="宋体" w:eastAsia="宋体" w:hint="default"/>
                <w:sz w:val="18"/>
                <w:szCs w:val="18"/>
              </w:rPr>
            </w:pPr>
            <w:r>
              <w:rPr>
                <w:rFonts w:ascii="宋体" w:hAnsi="宋体" w:cs="宋体" w:eastAsia="宋体" w:hint="default"/>
                <w:sz w:val="18"/>
                <w:szCs w:val="18"/>
              </w:rPr>
              <w:t>如未能及时</w:t>
            </w:r>
          </w:p>
          <w:p>
            <w:pPr>
              <w:pStyle w:val="TableParagraph"/>
              <w:spacing w:line="309" w:lineRule="auto" w:before="68"/>
              <w:ind w:left="168" w:right="167"/>
              <w:jc w:val="both"/>
              <w:rPr>
                <w:rFonts w:ascii="宋体" w:hAnsi="宋体" w:cs="宋体" w:eastAsia="宋体" w:hint="default"/>
                <w:sz w:val="18"/>
                <w:szCs w:val="18"/>
              </w:rPr>
            </w:pPr>
            <w:r>
              <w:rPr>
                <w:rFonts w:ascii="宋体" w:hAnsi="宋体" w:cs="宋体" w:eastAsia="宋体" w:hint="default"/>
                <w:sz w:val="18"/>
                <w:szCs w:val="18"/>
              </w:rPr>
              <w:t>履行应说明 未完成履行 的具体原因</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22"/>
              <w:ind w:left="120" w:right="121"/>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280" w:hRule="exact"/>
        </w:trPr>
        <w:tc>
          <w:tcPr>
            <w:tcW w:w="58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5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联通</w:t>
            </w:r>
          </w:p>
        </w:tc>
        <w:tc>
          <w:tcPr>
            <w:tcW w:w="3662"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left="99"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pacing w:val="-6"/>
                <w:sz w:val="18"/>
                <w:szCs w:val="18"/>
              </w:rPr>
              <w:t>日发布的《关于控</w:t>
            </w:r>
          </w:p>
        </w:tc>
        <w:tc>
          <w:tcPr>
            <w:tcW w:w="931"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1"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2"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34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5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3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9" w:hRule="exact"/>
        </w:trPr>
        <w:tc>
          <w:tcPr>
            <w:tcW w:w="58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承诺</w:t>
            </w: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集团</w:t>
            </w: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99" w:right="0"/>
              <w:jc w:val="left"/>
              <w:rPr>
                <w:rFonts w:ascii="宋体" w:hAnsi="宋体" w:cs="宋体" w:eastAsia="宋体" w:hint="default"/>
                <w:sz w:val="18"/>
                <w:szCs w:val="18"/>
              </w:rPr>
            </w:pPr>
            <w:r>
              <w:rPr>
                <w:rFonts w:ascii="宋体" w:hAnsi="宋体" w:cs="宋体" w:eastAsia="宋体" w:hint="default"/>
                <w:sz w:val="18"/>
                <w:szCs w:val="18"/>
              </w:rPr>
              <w:t>股股东增持本公司股份的公告》，联通集团</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58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拟在未来</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个月内（自本次增持之日起算）</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299" w:hRule="exact"/>
        </w:trPr>
        <w:tc>
          <w:tcPr>
            <w:tcW w:w="58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99" w:right="0"/>
              <w:jc w:val="left"/>
              <w:rPr>
                <w:rFonts w:ascii="宋体" w:hAnsi="宋体" w:cs="宋体" w:eastAsia="宋体" w:hint="default"/>
                <w:sz w:val="18"/>
                <w:szCs w:val="18"/>
              </w:rPr>
            </w:pPr>
            <w:r>
              <w:rPr>
                <w:rFonts w:ascii="宋体" w:hAnsi="宋体" w:cs="宋体" w:eastAsia="宋体" w:hint="default"/>
                <w:sz w:val="18"/>
                <w:szCs w:val="18"/>
              </w:rPr>
              <w:t>以自身名义或通过一致行动人继续通过上海</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304" w:hRule="exact"/>
        </w:trPr>
        <w:tc>
          <w:tcPr>
            <w:tcW w:w="58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99" w:right="0"/>
              <w:jc w:val="left"/>
              <w:rPr>
                <w:rFonts w:ascii="宋体" w:hAnsi="宋体" w:cs="宋体" w:eastAsia="宋体" w:hint="default"/>
                <w:sz w:val="18"/>
                <w:szCs w:val="18"/>
              </w:rPr>
            </w:pPr>
            <w:r>
              <w:rPr>
                <w:rFonts w:ascii="宋体" w:hAnsi="宋体" w:cs="宋体" w:eastAsia="宋体" w:hint="default"/>
                <w:sz w:val="18"/>
                <w:szCs w:val="18"/>
              </w:rPr>
              <w:t>证券交易所交易系统增持本公司股份，累计</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58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99" w:right="0"/>
              <w:jc w:val="left"/>
              <w:rPr>
                <w:rFonts w:ascii="宋体" w:hAnsi="宋体" w:cs="宋体" w:eastAsia="宋体" w:hint="default"/>
                <w:sz w:val="18"/>
                <w:szCs w:val="18"/>
              </w:rPr>
            </w:pPr>
            <w:r>
              <w:rPr>
                <w:rFonts w:ascii="宋体" w:hAnsi="宋体" w:cs="宋体" w:eastAsia="宋体" w:hint="default"/>
                <w:sz w:val="18"/>
                <w:szCs w:val="18"/>
              </w:rPr>
              <w:t>增持比例不超过公司已发行总股本的</w:t>
            </w:r>
            <w:r>
              <w:rPr>
                <w:rFonts w:ascii="宋体" w:hAnsi="宋体" w:cs="宋体" w:eastAsia="宋体" w:hint="default"/>
                <w:spacing w:val="30"/>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299" w:hRule="exact"/>
        </w:trPr>
        <w:tc>
          <w:tcPr>
            <w:tcW w:w="58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99" w:right="0"/>
              <w:jc w:val="left"/>
              <w:rPr>
                <w:rFonts w:ascii="宋体" w:hAnsi="宋体" w:cs="宋体" w:eastAsia="宋体" w:hint="default"/>
                <w:sz w:val="18"/>
                <w:szCs w:val="18"/>
              </w:rPr>
            </w:pPr>
            <w:r>
              <w:rPr>
                <w:rFonts w:ascii="宋体" w:hAnsi="宋体" w:cs="宋体" w:eastAsia="宋体" w:hint="default"/>
                <w:sz w:val="18"/>
                <w:szCs w:val="18"/>
              </w:rPr>
              <w:t>联通集团承诺，在增持计划实施期间及法定</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304" w:hRule="exact"/>
        </w:trPr>
        <w:tc>
          <w:tcPr>
            <w:tcW w:w="58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99" w:right="0"/>
              <w:jc w:val="left"/>
              <w:rPr>
                <w:rFonts w:ascii="宋体" w:hAnsi="宋体" w:cs="宋体" w:eastAsia="宋体" w:hint="default"/>
                <w:sz w:val="18"/>
                <w:szCs w:val="18"/>
              </w:rPr>
            </w:pPr>
            <w:r>
              <w:rPr>
                <w:rFonts w:ascii="宋体" w:hAnsi="宋体" w:cs="宋体" w:eastAsia="宋体" w:hint="default"/>
                <w:sz w:val="18"/>
                <w:szCs w:val="18"/>
              </w:rPr>
              <w:t>期限内不减持其所持有的本公司股份。截至</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58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9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日止，联通集团累计增持本</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304" w:hRule="exact"/>
        </w:trPr>
        <w:tc>
          <w:tcPr>
            <w:tcW w:w="58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99" w:right="0"/>
              <w:jc w:val="left"/>
              <w:rPr>
                <w:rFonts w:ascii="宋体" w:hAnsi="宋体" w:cs="宋体" w:eastAsia="宋体" w:hint="default"/>
                <w:sz w:val="18"/>
                <w:szCs w:val="18"/>
              </w:rPr>
            </w:pPr>
            <w:r>
              <w:rPr>
                <w:rFonts w:ascii="宋体" w:hAnsi="宋体" w:cs="宋体" w:eastAsia="宋体" w:hint="default"/>
                <w:spacing w:val="27"/>
                <w:sz w:val="18"/>
                <w:szCs w:val="18"/>
              </w:rPr>
              <w:t>公司股份为 </w:t>
            </w:r>
            <w:r>
              <w:rPr>
                <w:rFonts w:ascii="Arial" w:hAnsi="Arial" w:cs="Arial" w:eastAsia="Arial" w:hint="default"/>
                <w:sz w:val="18"/>
                <w:szCs w:val="18"/>
              </w:rPr>
              <w:t>71,017,657  </w:t>
            </w:r>
            <w:r>
              <w:rPr>
                <w:rFonts w:ascii="宋体" w:hAnsi="宋体" w:cs="宋体" w:eastAsia="宋体" w:hint="default"/>
                <w:spacing w:val="27"/>
                <w:sz w:val="18"/>
                <w:szCs w:val="18"/>
              </w:rPr>
              <w:t>股，占总股</w:t>
            </w:r>
            <w:r>
              <w:rPr>
                <w:rFonts w:ascii="宋体" w:hAnsi="宋体" w:cs="宋体" w:eastAsia="宋体" w:hint="default"/>
                <w:spacing w:val="-25"/>
                <w:sz w:val="18"/>
                <w:szCs w:val="18"/>
              </w:rPr>
              <w:t> </w:t>
            </w:r>
            <w:r>
              <w:rPr>
                <w:rFonts w:ascii="宋体" w:hAnsi="宋体" w:cs="宋体" w:eastAsia="宋体" w:hint="default"/>
                <w:sz w:val="18"/>
                <w:szCs w:val="18"/>
              </w:rPr>
              <w:t>本</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589" w:type="dxa"/>
            <w:tcBorders>
              <w:top w:val="nil" w:sz="6" w:space="0" w:color="auto"/>
              <w:left w:val="single" w:sz="6" w:space="0" w:color="000000"/>
              <w:bottom w:val="nil" w:sz="6" w:space="0" w:color="auto"/>
              <w:right w:val="single" w:sz="6" w:space="0" w:color="000000"/>
            </w:tcBorders>
          </w:tcPr>
          <w:p>
            <w:pPr/>
          </w:p>
        </w:tc>
        <w:tc>
          <w:tcPr>
            <w:tcW w:w="659"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99" w:right="0"/>
              <w:jc w:val="left"/>
              <w:rPr>
                <w:rFonts w:ascii="宋体" w:hAnsi="宋体" w:cs="宋体" w:eastAsia="宋体" w:hint="default"/>
                <w:sz w:val="18"/>
                <w:szCs w:val="18"/>
              </w:rPr>
            </w:pPr>
            <w:r>
              <w:rPr>
                <w:rFonts w:ascii="Arial" w:hAnsi="Arial" w:cs="Arial" w:eastAsia="Arial" w:hint="default"/>
                <w:sz w:val="18"/>
                <w:szCs w:val="18"/>
              </w:rPr>
              <w:t>0.34%</w:t>
            </w:r>
            <w:r>
              <w:rPr>
                <w:rFonts w:ascii="宋体" w:hAnsi="宋体" w:cs="宋体" w:eastAsia="宋体" w:hint="default"/>
                <w:sz w:val="18"/>
                <w:szCs w:val="18"/>
              </w:rPr>
              <w:t>，累计持有本公司总股份的</w:t>
            </w:r>
            <w:r>
              <w:rPr>
                <w:rFonts w:ascii="宋体" w:hAnsi="宋体" w:cs="宋体" w:eastAsia="宋体" w:hint="default"/>
                <w:spacing w:val="-55"/>
                <w:sz w:val="18"/>
                <w:szCs w:val="18"/>
              </w:rPr>
              <w:t> </w:t>
            </w:r>
            <w:r>
              <w:rPr>
                <w:rFonts w:ascii="Arial" w:hAnsi="Arial" w:cs="Arial" w:eastAsia="Arial" w:hint="default"/>
                <w:sz w:val="18"/>
                <w:szCs w:val="18"/>
              </w:rPr>
              <w:t>61.38%</w:t>
            </w:r>
            <w:r>
              <w:rPr>
                <w:rFonts w:ascii="宋体" w:hAnsi="宋体" w:cs="宋体" w:eastAsia="宋体" w:hint="default"/>
                <w:sz w:val="18"/>
                <w:szCs w:val="18"/>
              </w:rPr>
              <w:t>。</w:t>
            </w:r>
          </w:p>
        </w:tc>
        <w:tc>
          <w:tcPr>
            <w:tcW w:w="931" w:type="dxa"/>
            <w:tcBorders>
              <w:top w:val="nil" w:sz="6" w:space="0" w:color="auto"/>
              <w:left w:val="single" w:sz="6" w:space="0" w:color="000000"/>
              <w:bottom w:val="nil" w:sz="6" w:space="0" w:color="auto"/>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158" w:type="dxa"/>
            <w:tcBorders>
              <w:top w:val="nil" w:sz="6" w:space="0" w:color="auto"/>
              <w:left w:val="single" w:sz="6" w:space="0" w:color="000000"/>
              <w:bottom w:val="nil" w:sz="6" w:space="0" w:color="auto"/>
              <w:right w:val="single" w:sz="6" w:space="0" w:color="000000"/>
            </w:tcBorders>
          </w:tcPr>
          <w:p>
            <w:pPr/>
          </w:p>
        </w:tc>
      </w:tr>
      <w:tr>
        <w:trPr>
          <w:trHeight w:val="343" w:hRule="exact"/>
        </w:trPr>
        <w:tc>
          <w:tcPr>
            <w:tcW w:w="589" w:type="dxa"/>
            <w:tcBorders>
              <w:top w:val="nil" w:sz="6" w:space="0" w:color="auto"/>
              <w:left w:val="single" w:sz="6" w:space="0" w:color="000000"/>
              <w:bottom w:val="single" w:sz="6" w:space="0" w:color="000000"/>
              <w:right w:val="single" w:sz="6" w:space="0" w:color="000000"/>
            </w:tcBorders>
          </w:tcPr>
          <w:p>
            <w:pPr/>
          </w:p>
        </w:tc>
        <w:tc>
          <w:tcPr>
            <w:tcW w:w="659" w:type="dxa"/>
            <w:tcBorders>
              <w:top w:val="nil" w:sz="6" w:space="0" w:color="auto"/>
              <w:left w:val="single" w:sz="6" w:space="0" w:color="000000"/>
              <w:bottom w:val="single" w:sz="6" w:space="0" w:color="000000"/>
              <w:right w:val="single" w:sz="6" w:space="0" w:color="000000"/>
            </w:tcBorders>
          </w:tcPr>
          <w:p>
            <w:pPr/>
          </w:p>
        </w:tc>
        <w:tc>
          <w:tcPr>
            <w:tcW w:w="682" w:type="dxa"/>
            <w:tcBorders>
              <w:top w:val="nil" w:sz="6" w:space="0" w:color="auto"/>
              <w:left w:val="single" w:sz="6" w:space="0" w:color="000000"/>
              <w:bottom w:val="single" w:sz="6" w:space="0" w:color="000000"/>
              <w:right w:val="single" w:sz="6" w:space="0" w:color="000000"/>
            </w:tcBorders>
          </w:tcPr>
          <w:p>
            <w:pPr/>
          </w:p>
        </w:tc>
        <w:tc>
          <w:tcPr>
            <w:tcW w:w="36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left="99" w:right="0"/>
              <w:jc w:val="left"/>
              <w:rPr>
                <w:rFonts w:ascii="宋体" w:hAnsi="宋体" w:cs="宋体" w:eastAsia="宋体" w:hint="default"/>
                <w:sz w:val="18"/>
                <w:szCs w:val="18"/>
              </w:rPr>
            </w:pPr>
            <w:r>
              <w:rPr>
                <w:rFonts w:ascii="宋体" w:hAnsi="宋体" w:cs="宋体" w:eastAsia="宋体" w:hint="default"/>
                <w:sz w:val="18"/>
                <w:szCs w:val="18"/>
              </w:rPr>
              <w:t>至今，该项承诺得以履行。</w:t>
            </w:r>
          </w:p>
        </w:tc>
        <w:tc>
          <w:tcPr>
            <w:tcW w:w="931" w:type="dxa"/>
            <w:tcBorders>
              <w:top w:val="nil" w:sz="6" w:space="0" w:color="auto"/>
              <w:left w:val="single" w:sz="6" w:space="0" w:color="000000"/>
              <w:bottom w:val="single" w:sz="6" w:space="0" w:color="000000"/>
              <w:right w:val="single" w:sz="6" w:space="0" w:color="000000"/>
            </w:tcBorders>
          </w:tcPr>
          <w:p>
            <w:pPr/>
          </w:p>
        </w:tc>
        <w:tc>
          <w:tcPr>
            <w:tcW w:w="931"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158" w:type="dxa"/>
            <w:tcBorders>
              <w:top w:val="nil" w:sz="6" w:space="0" w:color="auto"/>
              <w:left w:val="single" w:sz="6" w:space="0" w:color="000000"/>
              <w:bottom w:val="single" w:sz="6" w:space="0" w:color="000000"/>
              <w:right w:val="single" w:sz="6" w:space="0" w:color="000000"/>
            </w:tcBorders>
          </w:tcPr>
          <w:p>
            <w:pPr/>
          </w:p>
        </w:tc>
      </w:tr>
    </w:tbl>
    <w:p>
      <w:pPr>
        <w:spacing w:after="0"/>
        <w:sectPr>
          <w:pgSz w:w="11900" w:h="16840"/>
          <w:pgMar w:header="927" w:footer="752" w:top="1160" w:bottom="940" w:left="1340" w:right="4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95" w:lineRule="exact" w:before="31"/>
        <w:ind w:left="145" w:right="0"/>
        <w:jc w:val="left"/>
      </w:pPr>
      <w:r>
        <w:rPr>
          <w:rFonts w:ascii="Arial" w:hAnsi="Arial" w:cs="Arial" w:eastAsia="Arial" w:hint="default"/>
        </w:rPr>
        <w:t>(</w:t>
      </w:r>
      <w:r>
        <w:rPr/>
        <w:t>八</w:t>
      </w:r>
      <w:r>
        <w:rPr>
          <w:rFonts w:ascii="Arial" w:hAnsi="Arial" w:cs="Arial" w:eastAsia="Arial" w:hint="default"/>
        </w:rPr>
        <w:t>)</w:t>
      </w:r>
      <w:r>
        <w:rPr>
          <w:rFonts w:ascii="Arial" w:hAnsi="Arial" w:cs="Arial" w:eastAsia="Arial" w:hint="default"/>
          <w:spacing w:val="46"/>
        </w:rPr>
        <w:t> </w:t>
      </w:r>
      <w:r>
        <w:rPr/>
        <w:t>聘任、解聘会计师事务所情况</w:t>
      </w:r>
    </w:p>
    <w:p>
      <w:pPr>
        <w:pStyle w:val="BodyText"/>
        <w:spacing w:line="279" w:lineRule="exact"/>
        <w:ind w:left="0" w:right="134"/>
        <w:jc w:val="right"/>
      </w:pPr>
      <w:r>
        <w:rPr/>
        <w:t>单位：万元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3101"/>
        <w:gridCol w:w="3100"/>
        <w:gridCol w:w="3100"/>
      </w:tblGrid>
      <w:tr>
        <w:trPr>
          <w:trHeight w:val="30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
              <w:jc w:val="center"/>
              <w:rPr>
                <w:rFonts w:ascii="宋体" w:hAnsi="宋体" w:cs="宋体" w:eastAsia="宋体" w:hint="default"/>
                <w:sz w:val="22"/>
                <w:szCs w:val="22"/>
              </w:rPr>
            </w:pPr>
            <w:r>
              <w:rPr>
                <w:rFonts w:ascii="宋体" w:hAnsi="宋体" w:cs="宋体" w:eastAsia="宋体" w:hint="default"/>
                <w:sz w:val="22"/>
                <w:szCs w:val="22"/>
              </w:rPr>
              <w:t>原聘任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现聘任</w:t>
            </w:r>
          </w:p>
        </w:tc>
      </w:tr>
      <w:tr>
        <w:trPr>
          <w:trHeight w:val="58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00" w:right="0"/>
              <w:jc w:val="left"/>
              <w:rPr>
                <w:rFonts w:ascii="宋体" w:hAnsi="宋体" w:cs="宋体" w:eastAsia="宋体" w:hint="default"/>
                <w:sz w:val="22"/>
                <w:szCs w:val="22"/>
              </w:rPr>
            </w:pPr>
            <w:r>
              <w:rPr>
                <w:rFonts w:ascii="宋体" w:hAnsi="宋体" w:cs="宋体" w:eastAsia="宋体" w:hint="default"/>
                <w:sz w:val="22"/>
                <w:szCs w:val="22"/>
              </w:rPr>
              <w:t>境内会计师事务所名称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普华永道中天会计师事务所</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1"/>
              <w:jc w:val="center"/>
              <w:rPr>
                <w:rFonts w:ascii="宋体" w:hAnsi="宋体" w:cs="宋体" w:eastAsia="宋体" w:hint="default"/>
                <w:sz w:val="22"/>
                <w:szCs w:val="22"/>
              </w:rPr>
            </w:pPr>
            <w:r>
              <w:rPr>
                <w:rFonts w:ascii="宋体" w:hAnsi="宋体" w:cs="宋体" w:eastAsia="宋体" w:hint="default"/>
                <w:sz w:val="22"/>
                <w:szCs w:val="22"/>
              </w:rPr>
              <w:t>普华永道中天会计师事务所</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有限公司</w:t>
            </w:r>
          </w:p>
        </w:tc>
      </w:tr>
      <w:tr>
        <w:trPr>
          <w:trHeight w:val="30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境内会计师事务所报酬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330</w:t>
            </w:r>
            <w:r>
              <w:rPr>
                <w:rFonts w:ascii="Arial"/>
                <w:sz w:val="22"/>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390</w:t>
            </w:r>
            <w:r>
              <w:rPr>
                <w:rFonts w:ascii="Arial"/>
                <w:sz w:val="22"/>
              </w:rPr>
            </w:r>
          </w:p>
        </w:tc>
      </w:tr>
      <w:tr>
        <w:trPr>
          <w:trHeight w:val="30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境内会计师事务所审计年限</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9</w:t>
            </w:r>
            <w:r>
              <w:rPr>
                <w:rFonts w:ascii="Arial"/>
                <w:sz w:val="22"/>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5"/>
                <w:sz w:val="22"/>
              </w:rPr>
              <w:t>10</w:t>
            </w:r>
            <w:r>
              <w:rPr>
                <w:rFonts w:ascii="Arial"/>
                <w:sz w:val="22"/>
              </w:rPr>
            </w:r>
          </w:p>
        </w:tc>
      </w:tr>
    </w:tbl>
    <w:p>
      <w:pPr>
        <w:spacing w:line="240" w:lineRule="auto" w:before="2"/>
        <w:rPr>
          <w:rFonts w:ascii="宋体" w:hAnsi="宋体" w:cs="宋体" w:eastAsia="宋体" w:hint="default"/>
          <w:sz w:val="14"/>
          <w:szCs w:val="14"/>
        </w:rPr>
      </w:pPr>
    </w:p>
    <w:p>
      <w:pPr>
        <w:pStyle w:val="BodyText"/>
        <w:spacing w:line="284" w:lineRule="exact" w:before="61"/>
        <w:ind w:left="145" w:right="175"/>
        <w:jc w:val="left"/>
      </w:pPr>
      <w:r>
        <w:rPr/>
        <w:t>鉴于普华永道在过去几年担任外部审计师期间的工作表现以及为保持审计工作的延续性及提高工</w:t>
      </w:r>
      <w:r>
        <w:rPr>
          <w:w w:val="99"/>
        </w:rPr>
        <w:t> </w:t>
      </w:r>
      <w:r>
        <w:rPr/>
        <w:t>作效率，建议</w:t>
      </w:r>
      <w:r>
        <w:rPr>
          <w:spacing w:val="-57"/>
        </w:rPr>
        <w:t> </w:t>
      </w:r>
      <w:r>
        <w:rPr>
          <w:rFonts w:ascii="Arial" w:hAnsi="Arial" w:cs="Arial" w:eastAsia="Arial" w:hint="default"/>
        </w:rPr>
        <w:t>2012</w:t>
      </w:r>
      <w:r>
        <w:rPr>
          <w:rFonts w:ascii="Arial" w:hAnsi="Arial" w:cs="Arial" w:eastAsia="Arial" w:hint="default"/>
          <w:spacing w:val="-8"/>
        </w:rPr>
        <w:t> </w:t>
      </w:r>
      <w:r>
        <w:rPr/>
        <w:t>年度继续聘请普华永道中天会计师事务所担任外部审计师，为公司提供包括</w:t>
      </w:r>
    </w:p>
    <w:p>
      <w:pPr>
        <w:pStyle w:val="BodyText"/>
        <w:spacing w:line="286" w:lineRule="exact"/>
        <w:ind w:left="145" w:right="155" w:hanging="1"/>
        <w:jc w:val="left"/>
      </w:pPr>
      <w:r>
        <w:rPr>
          <w:rFonts w:ascii="Arial" w:hAnsi="Arial" w:cs="Arial" w:eastAsia="Arial" w:hint="default"/>
        </w:rPr>
        <w:t>2012</w:t>
      </w:r>
      <w:r>
        <w:rPr>
          <w:rFonts w:ascii="Arial" w:hAnsi="Arial" w:cs="Arial" w:eastAsia="Arial" w:hint="default"/>
          <w:spacing w:val="-9"/>
        </w:rPr>
        <w:t> </w:t>
      </w:r>
      <w:r>
        <w:rPr/>
        <w:t>年年度审计、</w:t>
      </w:r>
      <w:r>
        <w:rPr>
          <w:rFonts w:ascii="Arial" w:hAnsi="Arial" w:cs="Arial" w:eastAsia="Arial" w:hint="default"/>
        </w:rPr>
        <w:t>2012</w:t>
      </w:r>
      <w:r>
        <w:rPr>
          <w:rFonts w:ascii="Arial" w:hAnsi="Arial" w:cs="Arial" w:eastAsia="Arial" w:hint="default"/>
          <w:spacing w:val="-8"/>
        </w:rPr>
        <w:t> </w:t>
      </w:r>
      <w:r>
        <w:rPr/>
        <w:t>年度与财务报告相关内控审计、</w:t>
      </w:r>
      <w:r>
        <w:rPr>
          <w:rFonts w:ascii="Arial" w:hAnsi="Arial" w:cs="Arial" w:eastAsia="Arial" w:hint="default"/>
        </w:rPr>
        <w:t>2012</w:t>
      </w:r>
      <w:r>
        <w:rPr>
          <w:rFonts w:ascii="Arial" w:hAnsi="Arial" w:cs="Arial" w:eastAsia="Arial" w:hint="default"/>
          <w:spacing w:val="-9"/>
        </w:rPr>
        <w:t> </w:t>
      </w:r>
      <w:r>
        <w:rPr/>
        <w:t>年度半年报审阅以及</w:t>
      </w:r>
      <w:r>
        <w:rPr>
          <w:spacing w:val="-57"/>
        </w:rPr>
        <w:t> </w:t>
      </w:r>
      <w:r>
        <w:rPr>
          <w:rFonts w:ascii="Arial" w:hAnsi="Arial" w:cs="Arial" w:eastAsia="Arial" w:hint="default"/>
        </w:rPr>
        <w:t>2012</w:t>
      </w:r>
      <w:r>
        <w:rPr>
          <w:rFonts w:ascii="Arial" w:hAnsi="Arial" w:cs="Arial" w:eastAsia="Arial" w:hint="default"/>
          <w:spacing w:val="-9"/>
        </w:rPr>
        <w:t> </w:t>
      </w:r>
      <w:r>
        <w:rPr/>
        <w:t>年一季</w:t>
      </w:r>
      <w:r>
        <w:rPr>
          <w:w w:val="99"/>
        </w:rPr>
        <w:t> </w:t>
      </w:r>
      <w:r>
        <w:rPr/>
        <w:t>度和第三季度财务信息商定定程序的专业服务。</w:t>
      </w:r>
    </w:p>
    <w:p>
      <w:pPr>
        <w:spacing w:line="240" w:lineRule="auto" w:before="12"/>
        <w:rPr>
          <w:rFonts w:ascii="宋体" w:hAnsi="宋体" w:cs="宋体" w:eastAsia="宋体" w:hint="default"/>
          <w:sz w:val="17"/>
          <w:szCs w:val="17"/>
        </w:rPr>
      </w:pPr>
    </w:p>
    <w:p>
      <w:pPr>
        <w:pStyle w:val="BodyText"/>
        <w:spacing w:line="230" w:lineRule="auto"/>
        <w:ind w:left="595" w:right="165" w:hanging="450"/>
        <w:jc w:val="left"/>
      </w:pPr>
      <w:r>
        <w:rPr>
          <w:rFonts w:ascii="Arial" w:hAnsi="Arial" w:cs="Arial" w:eastAsia="Arial" w:hint="default"/>
        </w:rPr>
        <w:t>(</w:t>
      </w:r>
      <w:r>
        <w:rPr/>
        <w:t>九</w:t>
      </w:r>
      <w:r>
        <w:rPr>
          <w:rFonts w:ascii="Arial" w:hAnsi="Arial" w:cs="Arial" w:eastAsia="Arial" w:hint="default"/>
        </w:rPr>
        <w:t>)</w:t>
      </w:r>
      <w:r>
        <w:rPr>
          <w:rFonts w:ascii="Arial" w:hAnsi="Arial" w:cs="Arial" w:eastAsia="Arial" w:hint="default"/>
          <w:spacing w:val="48"/>
        </w:rPr>
        <w:t> </w:t>
      </w:r>
      <w:r>
        <w:rPr/>
        <w:t>上市公司及其董事、监事、高级管理人员、公司股东、实际控制人处罚及整改情况</w:t>
      </w:r>
      <w:r>
        <w:rPr>
          <w:w w:val="99"/>
        </w:rPr>
        <w:t> </w:t>
      </w:r>
      <w:r>
        <w:rPr/>
        <w:t>本年度公司及其董事、监事、高级管理人员、公司股东、实际控制人均未受中国证监会的稽</w:t>
      </w:r>
      <w:r>
        <w:rPr>
          <w:w w:val="99"/>
        </w:rPr>
        <w:t> </w:t>
      </w:r>
      <w:r>
        <w:rPr/>
        <w:t>查、行政处罚、通报批评及证券交易所的公开谴责。</w:t>
      </w:r>
    </w:p>
    <w:p>
      <w:pPr>
        <w:spacing w:line="240" w:lineRule="auto" w:before="4"/>
        <w:rPr>
          <w:rFonts w:ascii="宋体" w:hAnsi="宋体" w:cs="宋体" w:eastAsia="宋体" w:hint="default"/>
          <w:sz w:val="19"/>
          <w:szCs w:val="19"/>
        </w:rPr>
      </w:pPr>
    </w:p>
    <w:p>
      <w:pPr>
        <w:pStyle w:val="BodyText"/>
        <w:spacing w:line="240" w:lineRule="auto"/>
        <w:ind w:left="145" w:right="0"/>
        <w:jc w:val="left"/>
      </w:pPr>
      <w:r>
        <w:rPr>
          <w:rFonts w:ascii="Arial" w:hAnsi="Arial" w:cs="Arial" w:eastAsia="Arial" w:hint="default"/>
        </w:rPr>
        <w:t>(</w:t>
      </w:r>
      <w:r>
        <w:rPr/>
        <w:t>十</w:t>
      </w:r>
      <w:r>
        <w:rPr>
          <w:rFonts w:ascii="Arial" w:hAnsi="Arial" w:cs="Arial" w:eastAsia="Arial" w:hint="default"/>
        </w:rPr>
        <w:t>)</w:t>
      </w:r>
      <w:r>
        <w:rPr>
          <w:rFonts w:ascii="Arial" w:hAnsi="Arial" w:cs="Arial" w:eastAsia="Arial" w:hint="default"/>
          <w:spacing w:val="45"/>
        </w:rPr>
        <w:t> </w:t>
      </w:r>
      <w:r>
        <w:rPr/>
        <w:t>其他重大事项的说明</w:t>
      </w:r>
    </w:p>
    <w:p>
      <w:pPr>
        <w:spacing w:line="240" w:lineRule="auto" w:before="12"/>
        <w:rPr>
          <w:rFonts w:ascii="宋体" w:hAnsi="宋体" w:cs="宋体" w:eastAsia="宋体" w:hint="default"/>
          <w:sz w:val="17"/>
          <w:szCs w:val="17"/>
        </w:rPr>
      </w:pPr>
    </w:p>
    <w:p>
      <w:pPr>
        <w:pStyle w:val="BodyText"/>
        <w:spacing w:line="295" w:lineRule="exact"/>
        <w:ind w:left="145" w:right="0"/>
        <w:jc w:val="left"/>
      </w:pPr>
      <w:r>
        <w:rPr>
          <w:rFonts w:ascii="Arial" w:hAnsi="Arial" w:cs="Arial" w:eastAsia="Arial" w:hint="default"/>
          <w:spacing w:val="-5"/>
        </w:rPr>
        <w:t>1</w:t>
      </w:r>
      <w:r>
        <w:rPr>
          <w:spacing w:val="-5"/>
        </w:rPr>
        <w:t>、</w:t>
      </w:r>
      <w:r>
        <w:rPr>
          <w:rFonts w:ascii="Arial" w:hAnsi="Arial" w:cs="Arial" w:eastAsia="Arial" w:hint="default"/>
          <w:spacing w:val="-5"/>
        </w:rPr>
        <w:t>2011</w:t>
      </w:r>
      <w:r>
        <w:rPr>
          <w:rFonts w:ascii="Arial" w:hAnsi="Arial" w:cs="Arial" w:eastAsia="Arial" w:hint="default"/>
          <w:spacing w:val="-21"/>
        </w:rPr>
        <w:t> </w:t>
      </w:r>
      <w:r>
        <w:rPr/>
        <w:t>年</w:t>
      </w:r>
      <w:r>
        <w:rPr>
          <w:spacing w:val="-70"/>
        </w:rPr>
        <w:t> </w:t>
      </w:r>
      <w:r>
        <w:rPr>
          <w:rFonts w:ascii="Arial" w:hAnsi="Arial" w:cs="Arial" w:eastAsia="Arial" w:hint="default"/>
        </w:rPr>
        <w:t>1</w:t>
      </w:r>
      <w:r>
        <w:rPr>
          <w:rFonts w:ascii="Arial" w:hAnsi="Arial" w:cs="Arial" w:eastAsia="Arial" w:hint="default"/>
          <w:spacing w:val="-21"/>
        </w:rPr>
        <w:t> </w:t>
      </w:r>
      <w:r>
        <w:rPr/>
        <w:t>月</w:t>
      </w:r>
      <w:r>
        <w:rPr>
          <w:spacing w:val="-70"/>
        </w:rPr>
        <w:t> </w:t>
      </w:r>
      <w:r>
        <w:rPr>
          <w:rFonts w:ascii="Arial" w:hAnsi="Arial" w:cs="Arial" w:eastAsia="Arial" w:hint="default"/>
        </w:rPr>
        <w:t>23</w:t>
      </w:r>
      <w:r>
        <w:rPr>
          <w:rFonts w:ascii="Arial" w:hAnsi="Arial" w:cs="Arial" w:eastAsia="Arial" w:hint="default"/>
          <w:spacing w:val="-21"/>
        </w:rPr>
        <w:t> </w:t>
      </w:r>
      <w:r>
        <w:rPr/>
        <w:t>日，联通红筹公司与西班牙电信订立了一份加强战略联盟的协议（“加强战略</w:t>
      </w:r>
    </w:p>
    <w:p>
      <w:pPr>
        <w:pStyle w:val="BodyText"/>
        <w:spacing w:line="286" w:lineRule="exact"/>
        <w:ind w:left="478" w:right="0"/>
        <w:jc w:val="both"/>
        <w:rPr>
          <w:rFonts w:ascii="Arial" w:hAnsi="Arial" w:cs="Arial" w:eastAsia="Arial" w:hint="default"/>
        </w:rPr>
      </w:pPr>
      <w:r>
        <w:rPr/>
        <w:t>联盟协议”）。根据加强战略联盟协议，本公司所属子公司联通红筹公司于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25</w:t>
      </w:r>
    </w:p>
    <w:p>
      <w:pPr>
        <w:pStyle w:val="BodyText"/>
        <w:spacing w:line="286" w:lineRule="exact"/>
        <w:ind w:left="478" w:right="0"/>
        <w:jc w:val="both"/>
      </w:pPr>
      <w:r>
        <w:rPr/>
        <w:t>日完成了收购西班牙电信库存股</w:t>
      </w:r>
      <w:r>
        <w:rPr>
          <w:spacing w:val="-56"/>
        </w:rPr>
        <w:t> </w:t>
      </w:r>
      <w:r>
        <w:rPr>
          <w:rFonts w:ascii="Arial" w:hAnsi="Arial" w:cs="Arial" w:eastAsia="Arial" w:hint="default"/>
        </w:rPr>
        <w:t>21,827,499</w:t>
      </w:r>
      <w:r>
        <w:rPr>
          <w:rFonts w:ascii="Arial" w:hAnsi="Arial" w:cs="Arial" w:eastAsia="Arial" w:hint="default"/>
          <w:spacing w:val="-7"/>
        </w:rPr>
        <w:t> </w:t>
      </w:r>
      <w:r>
        <w:rPr>
          <w:spacing w:val="-3"/>
        </w:rPr>
        <w:t>股，并已完成投资承诺，总购买价约为</w:t>
      </w:r>
      <w:r>
        <w:rPr>
          <w:spacing w:val="-56"/>
        </w:rPr>
        <w:t> </w:t>
      </w:r>
      <w:r>
        <w:rPr>
          <w:rFonts w:ascii="Arial" w:hAnsi="Arial" w:cs="Arial" w:eastAsia="Arial" w:hint="default"/>
        </w:rPr>
        <w:t>3.75</w:t>
      </w:r>
      <w:r>
        <w:rPr>
          <w:rFonts w:ascii="Arial" w:hAnsi="Arial" w:cs="Arial" w:eastAsia="Arial" w:hint="default"/>
          <w:spacing w:val="-7"/>
        </w:rPr>
        <w:t> </w:t>
      </w:r>
      <w:r>
        <w:rPr/>
        <w:t>亿欧</w:t>
      </w:r>
    </w:p>
    <w:p>
      <w:pPr>
        <w:pStyle w:val="BodyText"/>
        <w:spacing w:line="285" w:lineRule="exact"/>
        <w:ind w:left="478" w:right="0"/>
        <w:jc w:val="both"/>
      </w:pPr>
      <w:r>
        <w:rPr>
          <w:spacing w:val="-5"/>
        </w:rPr>
        <w:t>元（折合</w:t>
      </w:r>
      <w:r>
        <w:rPr>
          <w:spacing w:val="-81"/>
        </w:rPr>
        <w:t> </w:t>
      </w:r>
      <w:r>
        <w:rPr>
          <w:rFonts w:ascii="Arial" w:hAnsi="Arial" w:cs="Arial" w:eastAsia="Arial" w:hint="default"/>
        </w:rPr>
        <w:t>5</w:t>
      </w:r>
      <w:r>
        <w:rPr>
          <w:rFonts w:ascii="Arial" w:hAnsi="Arial" w:cs="Arial" w:eastAsia="Arial" w:hint="default"/>
          <w:spacing w:val="-32"/>
        </w:rPr>
        <w:t> </w:t>
      </w:r>
      <w:r>
        <w:rPr/>
        <w:t>亿美元）；而西班牙电信同意于加强战略联盟协议签署日后九个月内，以从第三方</w:t>
      </w:r>
    </w:p>
    <w:p>
      <w:pPr>
        <w:pStyle w:val="BodyText"/>
        <w:spacing w:line="285" w:lineRule="exact"/>
        <w:ind w:left="478" w:right="0"/>
        <w:jc w:val="both"/>
      </w:pPr>
      <w:r>
        <w:rPr/>
        <w:t>收购的方式，购买联通红筹公司股本中每股港币</w:t>
      </w:r>
      <w:r>
        <w:rPr>
          <w:spacing w:val="-56"/>
        </w:rPr>
        <w:t> </w:t>
      </w:r>
      <w:r>
        <w:rPr>
          <w:rFonts w:ascii="Arial" w:hAnsi="Arial" w:cs="Arial" w:eastAsia="Arial" w:hint="default"/>
        </w:rPr>
        <w:t>0.10</w:t>
      </w:r>
      <w:r>
        <w:rPr>
          <w:rFonts w:ascii="Arial" w:hAnsi="Arial" w:cs="Arial" w:eastAsia="Arial" w:hint="default"/>
          <w:spacing w:val="-7"/>
        </w:rPr>
        <w:t> </w:t>
      </w:r>
      <w:r>
        <w:rPr/>
        <w:t>元的普通股，总对价为</w:t>
      </w:r>
      <w:r>
        <w:rPr>
          <w:spacing w:val="-56"/>
        </w:rPr>
        <w:t> </w:t>
      </w:r>
      <w:r>
        <w:rPr>
          <w:rFonts w:ascii="Arial" w:hAnsi="Arial" w:cs="Arial" w:eastAsia="Arial" w:hint="default"/>
        </w:rPr>
        <w:t>5</w:t>
      </w:r>
      <w:r>
        <w:rPr>
          <w:rFonts w:ascii="Arial" w:hAnsi="Arial" w:cs="Arial" w:eastAsia="Arial" w:hint="default"/>
          <w:spacing w:val="-7"/>
        </w:rPr>
        <w:t> </w:t>
      </w:r>
      <w:r>
        <w:rPr/>
        <w:t>亿美元。截至</w:t>
      </w:r>
    </w:p>
    <w:p>
      <w:pPr>
        <w:pStyle w:val="BodyText"/>
        <w:spacing w:line="286" w:lineRule="exact" w:before="19"/>
        <w:ind w:left="443" w:right="133" w:firstLine="34"/>
        <w:jc w:val="both"/>
      </w:pPr>
      <w:r>
        <w:rPr>
          <w:rFonts w:ascii="Arial" w:hAnsi="Arial" w:cs="Arial" w:eastAsia="Arial" w:hint="default"/>
        </w:rPr>
        <w:t>2011</w:t>
      </w:r>
      <w:r>
        <w:rPr>
          <w:rFonts w:ascii="Arial" w:hAnsi="Arial" w:cs="Arial" w:eastAsia="Arial" w:hint="default"/>
          <w:spacing w:val="-31"/>
        </w:rPr>
        <w:t> </w:t>
      </w:r>
      <w:r>
        <w:rPr/>
        <w:t>年</w:t>
      </w:r>
      <w:r>
        <w:rPr>
          <w:spacing w:val="-80"/>
        </w:rPr>
        <w:t> </w:t>
      </w:r>
      <w:r>
        <w:rPr>
          <w:rFonts w:ascii="Arial" w:hAnsi="Arial" w:cs="Arial" w:eastAsia="Arial" w:hint="default"/>
        </w:rPr>
        <w:t>10</w:t>
      </w:r>
      <w:r>
        <w:rPr>
          <w:rFonts w:ascii="Arial" w:hAnsi="Arial" w:cs="Arial" w:eastAsia="Arial" w:hint="default"/>
          <w:spacing w:val="-31"/>
        </w:rPr>
        <w:t> </w:t>
      </w:r>
      <w:r>
        <w:rPr/>
        <w:t>月末，西班牙电信已根据加强战略联盟协议的条款完成购买联通红筹公司公司的普</w:t>
      </w:r>
      <w:r>
        <w:rPr>
          <w:w w:val="99"/>
        </w:rPr>
        <w:t> </w:t>
      </w:r>
      <w:r>
        <w:rPr/>
        <w:t>通股。</w:t>
      </w:r>
    </w:p>
    <w:p>
      <w:pPr>
        <w:spacing w:line="240" w:lineRule="auto" w:before="3"/>
        <w:rPr>
          <w:rFonts w:ascii="宋体" w:hAnsi="宋体" w:cs="宋体" w:eastAsia="宋体" w:hint="default"/>
          <w:sz w:val="19"/>
          <w:szCs w:val="19"/>
        </w:rPr>
      </w:pPr>
    </w:p>
    <w:p>
      <w:pPr>
        <w:pStyle w:val="BodyText"/>
        <w:spacing w:line="286" w:lineRule="exact"/>
        <w:ind w:left="443" w:right="133"/>
        <w:jc w:val="both"/>
      </w:pPr>
      <w:r>
        <w:rPr>
          <w:spacing w:val="-1"/>
        </w:rPr>
        <w:t>根据加强战略联盟协议，联通红筹公司和西班牙电信同意加强双方之间现有的战略联盟，并深</w:t>
      </w:r>
      <w:r>
        <w:rPr>
          <w:spacing w:val="-92"/>
        </w:rPr>
        <w:t> </w:t>
      </w:r>
      <w:r>
        <w:rPr>
          <w:spacing w:val="-92"/>
        </w:rPr>
      </w:r>
      <w:r>
        <w:rPr>
          <w:spacing w:val="-1"/>
        </w:rPr>
        <w:t>化在采购、流动服务平台、跨国客户服务、批发载波、漫游、技术／研发、国际业务发展、合</w:t>
      </w:r>
      <w:r>
        <w:rPr>
          <w:spacing w:val="-96"/>
        </w:rPr>
        <w:t> </w:t>
      </w:r>
      <w:r>
        <w:rPr>
          <w:spacing w:val="-96"/>
        </w:rPr>
      </w:r>
      <w:r>
        <w:rPr>
          <w:spacing w:val="-1"/>
        </w:rPr>
        <w:t>作和最佳实务共享等方面的合作。此外，联通红筹公司董事长兼首席执行官常小兵先生已根据</w:t>
      </w:r>
      <w:r>
        <w:rPr>
          <w:spacing w:val="-92"/>
        </w:rPr>
        <w:t> </w:t>
      </w:r>
      <w:r>
        <w:rPr>
          <w:spacing w:val="-92"/>
        </w:rPr>
      </w:r>
      <w:r>
        <w:rPr/>
        <w:t>加强战略联盟协议于</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月份获委任为西班牙电信董事会的董事。具体内容详见本公司</w:t>
      </w:r>
    </w:p>
    <w:p>
      <w:pPr>
        <w:pStyle w:val="BodyText"/>
        <w:spacing w:line="265" w:lineRule="exact"/>
        <w:ind w:left="443" w:right="0"/>
        <w:jc w:val="both"/>
      </w:pPr>
      <w:r>
        <w:rPr/>
        <w:t>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w:t>
      </w:r>
      <w:r>
        <w:rPr>
          <w:rFonts w:ascii="Arial" w:hAnsi="Arial" w:cs="Arial" w:eastAsia="Arial" w:hint="default"/>
          <w:spacing w:val="-9"/>
        </w:rPr>
        <w:t> </w:t>
      </w:r>
      <w:r>
        <w:rPr/>
        <w:t>月</w:t>
      </w:r>
      <w:r>
        <w:rPr>
          <w:spacing w:val="-58"/>
        </w:rPr>
        <w:t> </w:t>
      </w:r>
      <w:r>
        <w:rPr>
          <w:rFonts w:ascii="Arial" w:hAnsi="Arial" w:cs="Arial" w:eastAsia="Arial" w:hint="default"/>
        </w:rPr>
        <w:t>24</w:t>
      </w:r>
      <w:r>
        <w:rPr>
          <w:rFonts w:ascii="Arial" w:hAnsi="Arial" w:cs="Arial" w:eastAsia="Arial" w:hint="default"/>
          <w:spacing w:val="-9"/>
        </w:rPr>
        <w:t> </w:t>
      </w:r>
      <w:r>
        <w:rPr>
          <w:spacing w:val="-3"/>
        </w:rPr>
        <w:t>日发布的《关于西班牙电信与中国联合网络通信（香港）股份有限公司订立</w:t>
      </w:r>
    </w:p>
    <w:p>
      <w:pPr>
        <w:pStyle w:val="BodyText"/>
        <w:spacing w:line="295" w:lineRule="exact"/>
        <w:ind w:left="443" w:right="0"/>
        <w:jc w:val="both"/>
      </w:pPr>
      <w:r>
        <w:rPr/>
        <w:t>加强战略联盟协议的公告》（编号：临</w:t>
      </w:r>
      <w:r>
        <w:rPr>
          <w:spacing w:val="-59"/>
        </w:rPr>
        <w:t> </w:t>
      </w:r>
      <w:r>
        <w:rPr>
          <w:rFonts w:ascii="Arial" w:hAnsi="Arial" w:cs="Arial" w:eastAsia="Arial" w:hint="default"/>
        </w:rPr>
        <w:t>2011-002</w:t>
      </w:r>
      <w:r>
        <w:rPr/>
        <w:t>）。</w:t>
      </w:r>
    </w:p>
    <w:p>
      <w:pPr>
        <w:spacing w:line="240" w:lineRule="auto" w:before="13"/>
        <w:rPr>
          <w:rFonts w:ascii="宋体" w:hAnsi="宋体" w:cs="宋体" w:eastAsia="宋体" w:hint="default"/>
          <w:sz w:val="17"/>
          <w:szCs w:val="17"/>
        </w:rPr>
      </w:pPr>
    </w:p>
    <w:p>
      <w:pPr>
        <w:pStyle w:val="BodyText"/>
        <w:spacing w:line="295" w:lineRule="exact"/>
        <w:ind w:left="145" w:right="0"/>
        <w:jc w:val="left"/>
      </w:pPr>
      <w:r>
        <w:rPr>
          <w:rFonts w:ascii="Arial" w:hAnsi="Arial" w:cs="Arial" w:eastAsia="Arial" w:hint="default"/>
          <w:spacing w:val="-4"/>
        </w:rPr>
        <w:t>2</w:t>
      </w:r>
      <w:r>
        <w:rPr>
          <w:spacing w:val="-4"/>
        </w:rPr>
        <w:t>、本公司间接控股子公司联通运营公司于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10</w:t>
      </w:r>
      <w:r>
        <w:rPr>
          <w:rFonts w:ascii="Arial" w:hAnsi="Arial" w:cs="Arial" w:eastAsia="Arial" w:hint="default"/>
          <w:spacing w:val="-7"/>
        </w:rPr>
        <w:t> </w:t>
      </w:r>
      <w:r>
        <w:rPr/>
        <w:t>日完成发行每期金额为人民币</w:t>
      </w:r>
      <w:r>
        <w:rPr>
          <w:spacing w:val="-56"/>
        </w:rPr>
        <w:t> </w:t>
      </w:r>
      <w:r>
        <w:rPr>
          <w:rFonts w:ascii="Arial" w:hAnsi="Arial" w:cs="Arial" w:eastAsia="Arial" w:hint="default"/>
        </w:rPr>
        <w:t>80</w:t>
      </w:r>
      <w:r>
        <w:rPr>
          <w:rFonts w:ascii="Arial" w:hAnsi="Arial" w:cs="Arial" w:eastAsia="Arial" w:hint="default"/>
          <w:spacing w:val="-6"/>
        </w:rPr>
        <w:t> </w:t>
      </w:r>
      <w:r>
        <w:rPr/>
        <w:t>亿元</w:t>
      </w:r>
    </w:p>
    <w:p>
      <w:pPr>
        <w:pStyle w:val="BodyText"/>
        <w:spacing w:line="285" w:lineRule="exact"/>
        <w:ind w:left="461" w:right="0"/>
        <w:jc w:val="both"/>
      </w:pPr>
      <w:r>
        <w:rPr/>
        <w:t>的</w:t>
      </w:r>
      <w:r>
        <w:rPr>
          <w:spacing w:val="-60"/>
        </w:rPr>
        <w:t> </w:t>
      </w:r>
      <w:r>
        <w:rPr>
          <w:rFonts w:ascii="Arial" w:hAnsi="Arial" w:cs="Arial" w:eastAsia="Arial" w:hint="default"/>
        </w:rPr>
        <w:t>2011</w:t>
      </w:r>
      <w:r>
        <w:rPr>
          <w:rFonts w:ascii="Arial" w:hAnsi="Arial" w:cs="Arial" w:eastAsia="Arial" w:hint="default"/>
          <w:spacing w:val="-11"/>
        </w:rPr>
        <w:t> </w:t>
      </w:r>
      <w:r>
        <w:rPr/>
        <w:t>年度第一期及第二期超短期融资券（见本公司于</w:t>
      </w:r>
      <w:r>
        <w:rPr>
          <w:spacing w:val="-59"/>
        </w:rPr>
        <w:t> </w:t>
      </w:r>
      <w:r>
        <w:rPr>
          <w:rFonts w:ascii="Arial" w:hAnsi="Arial" w:cs="Arial" w:eastAsia="Arial" w:hint="default"/>
        </w:rPr>
        <w:t>2011</w:t>
      </w:r>
      <w:r>
        <w:rPr>
          <w:rFonts w:ascii="Arial" w:hAnsi="Arial" w:cs="Arial" w:eastAsia="Arial" w:hint="default"/>
          <w:spacing w:val="-11"/>
        </w:rPr>
        <w:t> </w:t>
      </w:r>
      <w:r>
        <w:rPr/>
        <w:t>年</w:t>
      </w:r>
      <w:r>
        <w:rPr>
          <w:spacing w:val="-60"/>
        </w:rPr>
        <w:t> </w:t>
      </w:r>
      <w:r>
        <w:rPr>
          <w:rFonts w:ascii="Arial" w:hAnsi="Arial" w:cs="Arial" w:eastAsia="Arial" w:hint="default"/>
        </w:rPr>
        <w:t>3</w:t>
      </w:r>
      <w:r>
        <w:rPr>
          <w:rFonts w:ascii="Arial" w:hAnsi="Arial" w:cs="Arial" w:eastAsia="Arial" w:hint="default"/>
          <w:spacing w:val="-11"/>
        </w:rPr>
        <w:t> </w:t>
      </w:r>
      <w:r>
        <w:rPr/>
        <w:t>月</w:t>
      </w:r>
      <w:r>
        <w:rPr>
          <w:spacing w:val="-60"/>
        </w:rPr>
        <w:t> </w:t>
      </w:r>
      <w:r>
        <w:rPr>
          <w:rFonts w:ascii="Arial" w:hAnsi="Arial" w:cs="Arial" w:eastAsia="Arial" w:hint="default"/>
        </w:rPr>
        <w:t>11</w:t>
      </w:r>
      <w:r>
        <w:rPr>
          <w:rFonts w:ascii="Arial" w:hAnsi="Arial" w:cs="Arial" w:eastAsia="Arial" w:hint="default"/>
          <w:spacing w:val="-11"/>
        </w:rPr>
        <w:t> </w:t>
      </w:r>
      <w:r>
        <w:rPr>
          <w:spacing w:val="-4"/>
        </w:rPr>
        <w:t>日在上海证券报、中</w:t>
      </w:r>
    </w:p>
    <w:p>
      <w:pPr>
        <w:pStyle w:val="BodyText"/>
        <w:spacing w:line="286" w:lineRule="exact" w:before="18"/>
        <w:ind w:left="461" w:right="155"/>
        <w:jc w:val="both"/>
      </w:pPr>
      <w:r>
        <w:rPr/>
        <w:t>国证券报发布的《关于中国联合网络通信有限公司完成发行</w:t>
      </w:r>
      <w:r>
        <w:rPr>
          <w:spacing w:val="-57"/>
        </w:rPr>
        <w:t> </w:t>
      </w:r>
      <w:r>
        <w:rPr>
          <w:rFonts w:ascii="Arial" w:hAnsi="Arial" w:cs="Arial" w:eastAsia="Arial" w:hint="default"/>
        </w:rPr>
        <w:t>2011</w:t>
      </w:r>
      <w:r>
        <w:rPr>
          <w:rFonts w:ascii="Arial" w:hAnsi="Arial" w:cs="Arial" w:eastAsia="Arial" w:hint="default"/>
          <w:spacing w:val="-8"/>
        </w:rPr>
        <w:t> </w:t>
      </w:r>
      <w:r>
        <w:rPr/>
        <w:t>年度第一期及第二期超短期</w:t>
      </w:r>
      <w:r>
        <w:rPr>
          <w:w w:val="99"/>
        </w:rPr>
        <w:t> </w:t>
      </w:r>
      <w:r>
        <w:rPr/>
        <w:t>融资券的公告》）。</w:t>
      </w:r>
    </w:p>
    <w:p>
      <w:pPr>
        <w:spacing w:line="240" w:lineRule="auto" w:before="2"/>
        <w:rPr>
          <w:rFonts w:ascii="宋体" w:hAnsi="宋体" w:cs="宋体" w:eastAsia="宋体" w:hint="default"/>
          <w:sz w:val="17"/>
          <w:szCs w:val="17"/>
        </w:rPr>
      </w:pPr>
    </w:p>
    <w:p>
      <w:pPr>
        <w:pStyle w:val="BodyText"/>
        <w:spacing w:line="294" w:lineRule="exact"/>
        <w:ind w:left="145" w:right="0"/>
        <w:jc w:val="left"/>
      </w:pPr>
      <w:r>
        <w:rPr>
          <w:rFonts w:ascii="Arial" w:hAnsi="Arial" w:cs="Arial" w:eastAsia="Arial" w:hint="default"/>
        </w:rPr>
        <w:t>3</w:t>
      </w:r>
      <w:r>
        <w:rPr/>
        <w:t>、本公司间接控股子公司联通运营公司于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8</w:t>
      </w:r>
      <w:r>
        <w:rPr>
          <w:rFonts w:ascii="Arial" w:hAnsi="Arial" w:cs="Arial" w:eastAsia="Arial" w:hint="default"/>
          <w:spacing w:val="-7"/>
        </w:rPr>
        <w:t> </w:t>
      </w:r>
      <w:r>
        <w:rPr/>
        <w:t>月</w:t>
      </w:r>
      <w:r>
        <w:rPr>
          <w:spacing w:val="-56"/>
        </w:rPr>
        <w:t> </w:t>
      </w:r>
      <w:r>
        <w:rPr>
          <w:rFonts w:ascii="Arial" w:hAnsi="Arial" w:cs="Arial" w:eastAsia="Arial" w:hint="default"/>
        </w:rPr>
        <w:t>25</w:t>
      </w:r>
      <w:r>
        <w:rPr>
          <w:rFonts w:ascii="Arial" w:hAnsi="Arial" w:cs="Arial" w:eastAsia="Arial" w:hint="default"/>
          <w:spacing w:val="-7"/>
        </w:rPr>
        <w:t> </w:t>
      </w:r>
      <w:r>
        <w:rPr/>
        <w:t>日完成发行总金额为人民币</w:t>
      </w:r>
      <w:r>
        <w:rPr>
          <w:spacing w:val="-56"/>
        </w:rPr>
        <w:t> </w:t>
      </w:r>
      <w:r>
        <w:rPr>
          <w:rFonts w:ascii="Arial" w:hAnsi="Arial" w:cs="Arial" w:eastAsia="Arial" w:hint="default"/>
        </w:rPr>
        <w:t>150</w:t>
      </w:r>
      <w:r>
        <w:rPr>
          <w:rFonts w:ascii="Arial" w:hAnsi="Arial" w:cs="Arial" w:eastAsia="Arial" w:hint="default"/>
          <w:spacing w:val="-7"/>
        </w:rPr>
        <w:t> </w:t>
      </w:r>
      <w:r>
        <w:rPr/>
        <w:t>亿元</w:t>
      </w:r>
    </w:p>
    <w:p>
      <w:pPr>
        <w:pStyle w:val="BodyText"/>
        <w:spacing w:line="285" w:lineRule="exact"/>
        <w:ind w:left="461" w:right="0"/>
        <w:jc w:val="both"/>
      </w:pPr>
      <w:r>
        <w:rPr/>
        <w:t>的</w:t>
      </w:r>
      <w:r>
        <w:rPr>
          <w:spacing w:val="-59"/>
        </w:rPr>
        <w:t> </w:t>
      </w:r>
      <w:r>
        <w:rPr>
          <w:rFonts w:ascii="Arial" w:hAnsi="Arial" w:cs="Arial" w:eastAsia="Arial" w:hint="default"/>
        </w:rPr>
        <w:t>2011</w:t>
      </w:r>
      <w:r>
        <w:rPr>
          <w:rFonts w:ascii="Arial" w:hAnsi="Arial" w:cs="Arial" w:eastAsia="Arial" w:hint="default"/>
          <w:spacing w:val="-10"/>
        </w:rPr>
        <w:t> </w:t>
      </w:r>
      <w:r>
        <w:rPr/>
        <w:t>年度第一期短期融资券（见本公司于</w:t>
      </w:r>
      <w:r>
        <w:rPr>
          <w:spacing w:val="-58"/>
        </w:rPr>
        <w:t> </w:t>
      </w:r>
      <w:r>
        <w:rPr>
          <w:rFonts w:ascii="Arial" w:hAnsi="Arial" w:cs="Arial" w:eastAsia="Arial" w:hint="default"/>
        </w:rPr>
        <w:t>2011</w:t>
      </w:r>
      <w:r>
        <w:rPr>
          <w:rFonts w:ascii="Arial" w:hAnsi="Arial" w:cs="Arial" w:eastAsia="Arial" w:hint="default"/>
          <w:spacing w:val="-10"/>
        </w:rPr>
        <w:t> </w:t>
      </w:r>
      <w:r>
        <w:rPr/>
        <w:t>年</w:t>
      </w:r>
      <w:r>
        <w:rPr>
          <w:spacing w:val="-59"/>
        </w:rPr>
        <w:t> </w:t>
      </w:r>
      <w:r>
        <w:rPr>
          <w:rFonts w:ascii="Arial" w:hAnsi="Arial" w:cs="Arial" w:eastAsia="Arial" w:hint="default"/>
        </w:rPr>
        <w:t>8</w:t>
      </w:r>
      <w:r>
        <w:rPr>
          <w:rFonts w:ascii="Arial" w:hAnsi="Arial" w:cs="Arial" w:eastAsia="Arial" w:hint="default"/>
          <w:spacing w:val="-10"/>
        </w:rPr>
        <w:t> </w:t>
      </w:r>
      <w:r>
        <w:rPr/>
        <w:t>月</w:t>
      </w:r>
      <w:r>
        <w:rPr>
          <w:spacing w:val="-59"/>
        </w:rPr>
        <w:t> </w:t>
      </w:r>
      <w:r>
        <w:rPr>
          <w:rFonts w:ascii="Arial" w:hAnsi="Arial" w:cs="Arial" w:eastAsia="Arial" w:hint="default"/>
        </w:rPr>
        <w:t>27</w:t>
      </w:r>
      <w:r>
        <w:rPr>
          <w:rFonts w:ascii="Arial" w:hAnsi="Arial" w:cs="Arial" w:eastAsia="Arial" w:hint="default"/>
          <w:spacing w:val="-10"/>
        </w:rPr>
        <w:t> </w:t>
      </w:r>
      <w:r>
        <w:rPr>
          <w:spacing w:val="-3"/>
        </w:rPr>
        <w:t>日在上海证券报、中国证券报发</w:t>
      </w:r>
    </w:p>
    <w:p>
      <w:pPr>
        <w:pStyle w:val="BodyText"/>
        <w:spacing w:line="295" w:lineRule="exact"/>
        <w:ind w:left="461" w:right="0"/>
        <w:jc w:val="both"/>
      </w:pPr>
      <w:r>
        <w:rPr/>
        <w:t>布的《关于中国联合网络通信有限公司完成发行</w:t>
      </w:r>
      <w:r>
        <w:rPr>
          <w:spacing w:val="-57"/>
        </w:rPr>
        <w:t> </w:t>
      </w:r>
      <w:r>
        <w:rPr>
          <w:rFonts w:ascii="Arial" w:hAnsi="Arial" w:cs="Arial" w:eastAsia="Arial" w:hint="default"/>
        </w:rPr>
        <w:t>2011</w:t>
      </w:r>
      <w:r>
        <w:rPr>
          <w:rFonts w:ascii="Arial" w:hAnsi="Arial" w:cs="Arial" w:eastAsia="Arial" w:hint="default"/>
          <w:spacing w:val="-8"/>
        </w:rPr>
        <w:t> </w:t>
      </w:r>
      <w:r>
        <w:rPr/>
        <w:t>年度第一期短期融资券的公告》）。</w:t>
      </w:r>
    </w:p>
    <w:p>
      <w:pPr>
        <w:spacing w:after="0" w:line="295" w:lineRule="exact"/>
        <w:jc w:val="both"/>
        <w:sectPr>
          <w:pgSz w:w="11900" w:h="16840"/>
          <w:pgMar w:header="927" w:footer="752" w:top="1160" w:bottom="940" w:left="134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95" w:lineRule="exact" w:before="31"/>
        <w:ind w:left="145" w:right="91"/>
        <w:jc w:val="left"/>
      </w:pPr>
      <w:r>
        <w:rPr>
          <w:rFonts w:ascii="Arial" w:hAnsi="Arial" w:cs="Arial" w:eastAsia="Arial" w:hint="default"/>
          <w:spacing w:val="-4"/>
        </w:rPr>
        <w:t>4</w:t>
      </w:r>
      <w:r>
        <w:rPr>
          <w:spacing w:val="-4"/>
        </w:rPr>
        <w:t>、本公司间接控股子公司联通运营公司于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w:t>
      </w:r>
      <w:r>
        <w:rPr>
          <w:spacing w:val="-56"/>
        </w:rPr>
        <w:t> </w:t>
      </w:r>
      <w:r>
        <w:rPr>
          <w:rFonts w:ascii="Arial" w:hAnsi="Arial" w:cs="Arial" w:eastAsia="Arial" w:hint="default"/>
        </w:rPr>
        <w:t>16</w:t>
      </w:r>
      <w:r>
        <w:rPr>
          <w:rFonts w:ascii="Arial" w:hAnsi="Arial" w:cs="Arial" w:eastAsia="Arial" w:hint="default"/>
          <w:spacing w:val="-7"/>
        </w:rPr>
        <w:t> </w:t>
      </w:r>
      <w:r>
        <w:rPr/>
        <w:t>日完成发行每期金额为人民币</w:t>
      </w:r>
      <w:r>
        <w:rPr>
          <w:spacing w:val="-56"/>
        </w:rPr>
        <w:t> </w:t>
      </w:r>
      <w:r>
        <w:rPr>
          <w:rFonts w:ascii="Arial" w:hAnsi="Arial" w:cs="Arial" w:eastAsia="Arial" w:hint="default"/>
        </w:rPr>
        <w:t>40</w:t>
      </w:r>
      <w:r>
        <w:rPr>
          <w:rFonts w:ascii="Arial" w:hAnsi="Arial" w:cs="Arial" w:eastAsia="Arial" w:hint="default"/>
          <w:spacing w:val="-6"/>
        </w:rPr>
        <w:t> </w:t>
      </w:r>
      <w:r>
        <w:rPr/>
        <w:t>亿元</w:t>
      </w:r>
    </w:p>
    <w:p>
      <w:pPr>
        <w:pStyle w:val="BodyText"/>
        <w:spacing w:line="285" w:lineRule="exact"/>
        <w:ind w:left="461" w:right="91"/>
        <w:jc w:val="left"/>
      </w:pPr>
      <w:r>
        <w:rPr/>
        <w:t>的</w:t>
      </w:r>
      <w:r>
        <w:rPr>
          <w:spacing w:val="-60"/>
        </w:rPr>
        <w:t> </w:t>
      </w:r>
      <w:r>
        <w:rPr>
          <w:rFonts w:ascii="Arial" w:hAnsi="Arial" w:cs="Arial" w:eastAsia="Arial" w:hint="default"/>
        </w:rPr>
        <w:t>2011</w:t>
      </w:r>
      <w:r>
        <w:rPr>
          <w:rFonts w:ascii="Arial" w:hAnsi="Arial" w:cs="Arial" w:eastAsia="Arial" w:hint="default"/>
          <w:spacing w:val="-11"/>
        </w:rPr>
        <w:t> </w:t>
      </w:r>
      <w:r>
        <w:rPr/>
        <w:t>年度第三期及第四期超短期融资券（见本公司于</w:t>
      </w:r>
      <w:r>
        <w:rPr>
          <w:spacing w:val="-59"/>
        </w:rPr>
        <w:t> </w:t>
      </w:r>
      <w:r>
        <w:rPr>
          <w:rFonts w:ascii="Arial" w:hAnsi="Arial" w:cs="Arial" w:eastAsia="Arial" w:hint="default"/>
        </w:rPr>
        <w:t>2011</w:t>
      </w:r>
      <w:r>
        <w:rPr>
          <w:rFonts w:ascii="Arial" w:hAnsi="Arial" w:cs="Arial" w:eastAsia="Arial" w:hint="default"/>
          <w:spacing w:val="-11"/>
        </w:rPr>
        <w:t> </w:t>
      </w:r>
      <w:r>
        <w:rPr/>
        <w:t>年</w:t>
      </w:r>
      <w:r>
        <w:rPr>
          <w:spacing w:val="-60"/>
        </w:rPr>
        <w:t> </w:t>
      </w:r>
      <w:r>
        <w:rPr>
          <w:rFonts w:ascii="Arial" w:hAnsi="Arial" w:cs="Arial" w:eastAsia="Arial" w:hint="default"/>
        </w:rPr>
        <w:t>9</w:t>
      </w:r>
      <w:r>
        <w:rPr>
          <w:rFonts w:ascii="Arial" w:hAnsi="Arial" w:cs="Arial" w:eastAsia="Arial" w:hint="default"/>
          <w:spacing w:val="-11"/>
        </w:rPr>
        <w:t> </w:t>
      </w:r>
      <w:r>
        <w:rPr/>
        <w:t>月</w:t>
      </w:r>
      <w:r>
        <w:rPr>
          <w:spacing w:val="-60"/>
        </w:rPr>
        <w:t> </w:t>
      </w:r>
      <w:r>
        <w:rPr>
          <w:rFonts w:ascii="Arial" w:hAnsi="Arial" w:cs="Arial" w:eastAsia="Arial" w:hint="default"/>
        </w:rPr>
        <w:t>20</w:t>
      </w:r>
      <w:r>
        <w:rPr>
          <w:rFonts w:ascii="Arial" w:hAnsi="Arial" w:cs="Arial" w:eastAsia="Arial" w:hint="default"/>
          <w:spacing w:val="-11"/>
        </w:rPr>
        <w:t> </w:t>
      </w:r>
      <w:r>
        <w:rPr>
          <w:spacing w:val="-4"/>
        </w:rPr>
        <w:t>日在上海证券报、中</w:t>
      </w:r>
    </w:p>
    <w:p>
      <w:pPr>
        <w:pStyle w:val="BodyText"/>
        <w:spacing w:line="286" w:lineRule="exact" w:before="18"/>
        <w:ind w:left="461" w:right="223"/>
        <w:jc w:val="left"/>
      </w:pPr>
      <w:r>
        <w:rPr/>
        <w:t>国证券报发布的《关于中国联合网络通信有限公司完成发行</w:t>
      </w:r>
      <w:r>
        <w:rPr>
          <w:spacing w:val="-57"/>
        </w:rPr>
        <w:t> </w:t>
      </w:r>
      <w:r>
        <w:rPr>
          <w:rFonts w:ascii="Arial" w:hAnsi="Arial" w:cs="Arial" w:eastAsia="Arial" w:hint="default"/>
        </w:rPr>
        <w:t>2011</w:t>
      </w:r>
      <w:r>
        <w:rPr>
          <w:rFonts w:ascii="Arial" w:hAnsi="Arial" w:cs="Arial" w:eastAsia="Arial" w:hint="default"/>
          <w:spacing w:val="-8"/>
        </w:rPr>
        <w:t> </w:t>
      </w:r>
      <w:r>
        <w:rPr/>
        <w:t>年度第三期及第四期超短期</w:t>
      </w:r>
      <w:r>
        <w:rPr>
          <w:w w:val="99"/>
        </w:rPr>
        <w:t> </w:t>
      </w:r>
      <w:r>
        <w:rPr/>
        <w:t>融资券的公告》）。</w:t>
      </w:r>
    </w:p>
    <w:p>
      <w:pPr>
        <w:spacing w:line="240" w:lineRule="auto" w:before="2"/>
        <w:rPr>
          <w:rFonts w:ascii="宋体" w:hAnsi="宋体" w:cs="宋体" w:eastAsia="宋体" w:hint="default"/>
          <w:sz w:val="17"/>
          <w:szCs w:val="17"/>
        </w:rPr>
      </w:pPr>
    </w:p>
    <w:p>
      <w:pPr>
        <w:pStyle w:val="BodyText"/>
        <w:spacing w:line="294" w:lineRule="exact"/>
        <w:ind w:left="145" w:right="91"/>
        <w:jc w:val="left"/>
      </w:pPr>
      <w:r>
        <w:rPr>
          <w:rFonts w:ascii="Arial" w:hAnsi="Arial" w:cs="Arial" w:eastAsia="Arial" w:hint="default"/>
        </w:rPr>
        <w:t>5</w:t>
      </w:r>
      <w:r>
        <w:rPr/>
        <w:t>、本公司间接控股子公司联通运营公司于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20</w:t>
      </w:r>
      <w:r>
        <w:rPr>
          <w:rFonts w:ascii="Arial" w:hAnsi="Arial" w:cs="Arial" w:eastAsia="Arial" w:hint="default"/>
          <w:spacing w:val="-7"/>
        </w:rPr>
        <w:t> </w:t>
      </w:r>
      <w:r>
        <w:rPr/>
        <w:t>日完成发行总金额为人民币</w:t>
      </w:r>
      <w:r>
        <w:rPr>
          <w:spacing w:val="-56"/>
        </w:rPr>
        <w:t> </w:t>
      </w:r>
      <w:r>
        <w:rPr>
          <w:rFonts w:ascii="Arial" w:hAnsi="Arial" w:cs="Arial" w:eastAsia="Arial" w:hint="default"/>
        </w:rPr>
        <w:t>80</w:t>
      </w:r>
      <w:r>
        <w:rPr>
          <w:rFonts w:ascii="Arial" w:hAnsi="Arial" w:cs="Arial" w:eastAsia="Arial" w:hint="default"/>
          <w:spacing w:val="-6"/>
        </w:rPr>
        <w:t> </w:t>
      </w:r>
      <w:r>
        <w:rPr/>
        <w:t>亿元</w:t>
      </w:r>
    </w:p>
    <w:p>
      <w:pPr>
        <w:pStyle w:val="BodyText"/>
        <w:spacing w:line="285" w:lineRule="exact"/>
        <w:ind w:left="443" w:right="91"/>
        <w:jc w:val="left"/>
      </w:pPr>
      <w:r>
        <w:rPr/>
        <w:t>的</w:t>
      </w:r>
      <w:r>
        <w:rPr>
          <w:spacing w:val="-56"/>
        </w:rPr>
        <w:t> </w:t>
      </w:r>
      <w:r>
        <w:rPr>
          <w:rFonts w:ascii="Arial" w:hAnsi="Arial" w:cs="Arial" w:eastAsia="Arial" w:hint="default"/>
        </w:rPr>
        <w:t>2011</w:t>
      </w:r>
      <w:r>
        <w:rPr>
          <w:rFonts w:ascii="Arial" w:hAnsi="Arial" w:cs="Arial" w:eastAsia="Arial" w:hint="default"/>
          <w:spacing w:val="-7"/>
        </w:rPr>
        <w:t> </w:t>
      </w:r>
      <w:r>
        <w:rPr/>
        <w:t>年度第二期短期融资券（见本公司于</w:t>
      </w:r>
      <w:r>
        <w:rPr>
          <w:spacing w:val="-55"/>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22</w:t>
      </w:r>
      <w:r>
        <w:rPr>
          <w:rFonts w:ascii="Arial" w:hAnsi="Arial" w:cs="Arial" w:eastAsia="Arial" w:hint="default"/>
          <w:spacing w:val="-7"/>
        </w:rPr>
        <w:t> </w:t>
      </w:r>
      <w:r>
        <w:rPr/>
        <w:t>日在上海证券报、中国证券报</w:t>
      </w:r>
    </w:p>
    <w:p>
      <w:pPr>
        <w:pStyle w:val="BodyText"/>
        <w:spacing w:line="295" w:lineRule="exact"/>
        <w:ind w:left="443" w:right="91"/>
        <w:jc w:val="left"/>
      </w:pPr>
      <w:r>
        <w:rPr/>
        <w:t>发布的《关于中国联合网络通信有限公司完成发行</w:t>
      </w:r>
      <w:r>
        <w:rPr>
          <w:spacing w:val="-57"/>
        </w:rPr>
        <w:t> </w:t>
      </w:r>
      <w:r>
        <w:rPr>
          <w:rFonts w:ascii="Arial" w:hAnsi="Arial" w:cs="Arial" w:eastAsia="Arial" w:hint="default"/>
        </w:rPr>
        <w:t>2011</w:t>
      </w:r>
      <w:r>
        <w:rPr>
          <w:rFonts w:ascii="Arial" w:hAnsi="Arial" w:cs="Arial" w:eastAsia="Arial" w:hint="default"/>
          <w:spacing w:val="-8"/>
        </w:rPr>
        <w:t> </w:t>
      </w:r>
      <w:r>
        <w:rPr/>
        <w:t>年度第二期短期融资券的公告》）。</w:t>
      </w:r>
    </w:p>
    <w:p>
      <w:pPr>
        <w:spacing w:line="240" w:lineRule="auto" w:before="13"/>
        <w:rPr>
          <w:rFonts w:ascii="宋体" w:hAnsi="宋体" w:cs="宋体" w:eastAsia="宋体" w:hint="default"/>
          <w:sz w:val="17"/>
          <w:szCs w:val="17"/>
        </w:rPr>
      </w:pPr>
    </w:p>
    <w:p>
      <w:pPr>
        <w:pStyle w:val="BodyText"/>
        <w:spacing w:line="295" w:lineRule="exact"/>
        <w:ind w:left="145" w:right="91"/>
        <w:jc w:val="left"/>
      </w:pPr>
      <w:r>
        <w:rPr>
          <w:rFonts w:ascii="Arial" w:hAnsi="Arial" w:cs="Arial" w:eastAsia="Arial" w:hint="default"/>
          <w:w w:val="99"/>
        </w:rPr>
        <w:t>6</w:t>
      </w:r>
      <w:r>
        <w:rPr>
          <w:spacing w:val="-92"/>
          <w:w w:val="99"/>
        </w:rPr>
        <w:t>、</w:t>
      </w:r>
      <w:r>
        <w:rPr>
          <w:w w:val="99"/>
        </w:rPr>
        <w:t>本公</w:t>
      </w:r>
      <w:r>
        <w:rPr>
          <w:spacing w:val="1"/>
          <w:w w:val="99"/>
        </w:rPr>
        <w:t>司间</w:t>
      </w:r>
      <w:r>
        <w:rPr>
          <w:w w:val="99"/>
        </w:rPr>
        <w:t>接控股</w:t>
      </w:r>
      <w:r>
        <w:rPr>
          <w:spacing w:val="1"/>
          <w:w w:val="99"/>
        </w:rPr>
        <w:t>子公</w:t>
      </w:r>
      <w:r>
        <w:rPr>
          <w:w w:val="99"/>
        </w:rPr>
        <w:t>司联通</w:t>
      </w:r>
      <w:r>
        <w:rPr>
          <w:spacing w:val="1"/>
          <w:w w:val="99"/>
        </w:rPr>
        <w:t>运营</w:t>
      </w:r>
      <w:r>
        <w:rPr>
          <w:w w:val="99"/>
        </w:rPr>
        <w:t>公司于</w:t>
      </w:r>
      <w:r>
        <w:rPr>
          <w:spacing w:val="-55"/>
        </w:rPr>
        <w:t> </w:t>
      </w:r>
      <w:r>
        <w:rPr>
          <w:rFonts w:ascii="Arial" w:hAnsi="Arial" w:cs="Arial" w:eastAsia="Arial" w:hint="default"/>
          <w:w w:val="99"/>
        </w:rPr>
        <w:t>20</w:t>
      </w:r>
      <w:r>
        <w:rPr>
          <w:rFonts w:ascii="Arial" w:hAnsi="Arial" w:cs="Arial" w:eastAsia="Arial" w:hint="default"/>
          <w:spacing w:val="1"/>
          <w:w w:val="99"/>
        </w:rPr>
        <w:t>1</w:t>
      </w:r>
      <w:r>
        <w:rPr>
          <w:rFonts w:ascii="Arial" w:hAnsi="Arial" w:cs="Arial" w:eastAsia="Arial" w:hint="default"/>
          <w:w w:val="99"/>
        </w:rPr>
        <w:t>1</w:t>
      </w:r>
      <w:r>
        <w:rPr>
          <w:rFonts w:ascii="Arial" w:hAnsi="Arial" w:cs="Arial" w:eastAsia="Arial" w:hint="default"/>
          <w:spacing w:val="-6"/>
        </w:rPr>
        <w:t> </w:t>
      </w:r>
      <w:r>
        <w:rPr>
          <w:w w:val="99"/>
        </w:rPr>
        <w:t>年</w:t>
      </w:r>
      <w:r>
        <w:rPr>
          <w:spacing w:val="-55"/>
        </w:rPr>
        <w:t> </w:t>
      </w:r>
      <w:r>
        <w:rPr>
          <w:rFonts w:ascii="Arial" w:hAnsi="Arial" w:cs="Arial" w:eastAsia="Arial" w:hint="default"/>
          <w:w w:val="99"/>
        </w:rPr>
        <w:t>11</w:t>
      </w:r>
      <w:r>
        <w:rPr>
          <w:rFonts w:ascii="Arial" w:hAnsi="Arial" w:cs="Arial" w:eastAsia="Arial" w:hint="default"/>
          <w:spacing w:val="-6"/>
        </w:rPr>
        <w:t> </w:t>
      </w:r>
      <w:r>
        <w:rPr>
          <w:w w:val="99"/>
        </w:rPr>
        <w:t>月</w:t>
      </w:r>
      <w:r>
        <w:rPr>
          <w:spacing w:val="-55"/>
        </w:rPr>
        <w:t> </w:t>
      </w:r>
      <w:r>
        <w:rPr>
          <w:rFonts w:ascii="Arial" w:hAnsi="Arial" w:cs="Arial" w:eastAsia="Arial" w:hint="default"/>
          <w:w w:val="99"/>
        </w:rPr>
        <w:t>21</w:t>
      </w:r>
      <w:r>
        <w:rPr>
          <w:rFonts w:ascii="Arial" w:hAnsi="Arial" w:cs="Arial" w:eastAsia="Arial" w:hint="default"/>
          <w:spacing w:val="-6"/>
        </w:rPr>
        <w:t> </w:t>
      </w:r>
      <w:r>
        <w:rPr>
          <w:w w:val="99"/>
        </w:rPr>
        <w:t>日完成</w:t>
      </w:r>
      <w:r>
        <w:rPr>
          <w:spacing w:val="1"/>
          <w:w w:val="99"/>
        </w:rPr>
        <w:t>发</w:t>
      </w:r>
      <w:r>
        <w:rPr>
          <w:w w:val="99"/>
        </w:rPr>
        <w:t>行金额</w:t>
      </w:r>
      <w:r>
        <w:rPr>
          <w:spacing w:val="1"/>
          <w:w w:val="99"/>
        </w:rPr>
        <w:t>为人</w:t>
      </w:r>
      <w:r>
        <w:rPr>
          <w:w w:val="99"/>
        </w:rPr>
        <w:t>民币</w:t>
      </w:r>
      <w:r>
        <w:rPr>
          <w:spacing w:val="-55"/>
        </w:rPr>
        <w:t> </w:t>
      </w:r>
      <w:r>
        <w:rPr>
          <w:rFonts w:ascii="Arial" w:hAnsi="Arial" w:cs="Arial" w:eastAsia="Arial" w:hint="default"/>
          <w:w w:val="99"/>
        </w:rPr>
        <w:t>150</w:t>
      </w:r>
      <w:r>
        <w:rPr>
          <w:rFonts w:ascii="Arial" w:hAnsi="Arial" w:cs="Arial" w:eastAsia="Arial" w:hint="default"/>
          <w:spacing w:val="-6"/>
        </w:rPr>
        <w:t> </w:t>
      </w:r>
      <w:r>
        <w:rPr>
          <w:spacing w:val="1"/>
          <w:w w:val="99"/>
        </w:rPr>
        <w:t>亿</w:t>
      </w:r>
      <w:r>
        <w:rPr>
          <w:spacing w:val="-2"/>
          <w:w w:val="99"/>
        </w:rPr>
        <w:t>元</w:t>
      </w:r>
      <w:r>
        <w:rPr>
          <w:w w:val="99"/>
        </w:rPr>
        <w:t>的</w:t>
      </w:r>
      <w:r>
        <w:rPr/>
      </w:r>
    </w:p>
    <w:p>
      <w:pPr>
        <w:pStyle w:val="BodyText"/>
        <w:spacing w:line="285" w:lineRule="exact"/>
        <w:ind w:left="443" w:right="91"/>
        <w:jc w:val="left"/>
      </w:pPr>
      <w:r>
        <w:rPr>
          <w:rFonts w:ascii="Arial" w:hAnsi="Arial" w:cs="Arial" w:eastAsia="Arial" w:hint="default"/>
        </w:rPr>
        <w:t>2011</w:t>
      </w:r>
      <w:r>
        <w:rPr>
          <w:rFonts w:ascii="Arial" w:hAnsi="Arial" w:cs="Arial" w:eastAsia="Arial" w:hint="default"/>
          <w:spacing w:val="-7"/>
        </w:rPr>
        <w:t> </w:t>
      </w:r>
      <w:r>
        <w:rPr/>
        <w:t>年度第五期超短期融资券（见本公司于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w:t>
      </w:r>
      <w:r>
        <w:rPr>
          <w:spacing w:val="-56"/>
        </w:rPr>
        <w:t> </w:t>
      </w:r>
      <w:r>
        <w:rPr>
          <w:rFonts w:ascii="Arial" w:hAnsi="Arial" w:cs="Arial" w:eastAsia="Arial" w:hint="default"/>
        </w:rPr>
        <w:t>23</w:t>
      </w:r>
      <w:r>
        <w:rPr>
          <w:rFonts w:ascii="Arial" w:hAnsi="Arial" w:cs="Arial" w:eastAsia="Arial" w:hint="default"/>
          <w:spacing w:val="-7"/>
        </w:rPr>
        <w:t> </w:t>
      </w:r>
      <w:r>
        <w:rPr/>
        <w:t>日在上海证券报、中国证券报</w:t>
      </w:r>
    </w:p>
    <w:p>
      <w:pPr>
        <w:pStyle w:val="BodyText"/>
        <w:spacing w:line="294" w:lineRule="exact"/>
        <w:ind w:left="443" w:right="0"/>
        <w:jc w:val="left"/>
      </w:pPr>
      <w:r>
        <w:rPr/>
        <w:t>发布的《关于中国联合网络通信有限公司完成发行</w:t>
      </w:r>
      <w:r>
        <w:rPr>
          <w:spacing w:val="-67"/>
        </w:rPr>
        <w:t> </w:t>
      </w:r>
      <w:r>
        <w:rPr>
          <w:rFonts w:ascii="Arial" w:hAnsi="Arial" w:cs="Arial" w:eastAsia="Arial" w:hint="default"/>
        </w:rPr>
        <w:t>2011</w:t>
      </w:r>
      <w:r>
        <w:rPr>
          <w:rFonts w:ascii="Arial" w:hAnsi="Arial" w:cs="Arial" w:eastAsia="Arial" w:hint="default"/>
          <w:spacing w:val="-18"/>
        </w:rPr>
        <w:t> </w:t>
      </w:r>
      <w:r>
        <w:rPr>
          <w:spacing w:val="-3"/>
        </w:rPr>
        <w:t>年度第五期超短期融资券的公告》）。</w:t>
      </w:r>
    </w:p>
    <w:p>
      <w:pPr>
        <w:spacing w:line="240" w:lineRule="auto" w:before="13"/>
        <w:rPr>
          <w:rFonts w:ascii="宋体" w:hAnsi="宋体" w:cs="宋体" w:eastAsia="宋体" w:hint="default"/>
          <w:sz w:val="17"/>
          <w:szCs w:val="17"/>
        </w:rPr>
      </w:pPr>
    </w:p>
    <w:p>
      <w:pPr>
        <w:pStyle w:val="BodyText"/>
        <w:spacing w:line="240" w:lineRule="auto"/>
        <w:ind w:left="145" w:right="91"/>
        <w:jc w:val="left"/>
      </w:pPr>
      <w:r>
        <w:rPr>
          <w:rFonts w:ascii="Arial" w:hAnsi="Arial" w:cs="Arial" w:eastAsia="Arial" w:hint="default"/>
        </w:rPr>
        <w:t>(</w:t>
      </w:r>
      <w:r>
        <w:rPr/>
        <w:t>十一</w:t>
      </w:r>
      <w:r>
        <w:rPr>
          <w:rFonts w:ascii="Arial" w:hAnsi="Arial" w:cs="Arial" w:eastAsia="Arial" w:hint="default"/>
        </w:rPr>
        <w:t>)</w:t>
      </w:r>
      <w:r>
        <w:rPr>
          <w:rFonts w:ascii="Arial" w:hAnsi="Arial" w:cs="Arial" w:eastAsia="Arial" w:hint="default"/>
          <w:spacing w:val="47"/>
        </w:rPr>
        <w:t> </w:t>
      </w:r>
      <w:r>
        <w:rPr/>
        <w:t>信息披露索引</w:t>
      </w:r>
    </w:p>
    <w:p>
      <w:pPr>
        <w:spacing w:line="240" w:lineRule="auto" w:before="12"/>
        <w:rPr>
          <w:rFonts w:ascii="宋体" w:hAnsi="宋体" w:cs="宋体" w:eastAsia="宋体"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2710"/>
        <w:gridCol w:w="2161"/>
        <w:gridCol w:w="1934"/>
        <w:gridCol w:w="2509"/>
      </w:tblGrid>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20"/>
                <w:szCs w:val="20"/>
              </w:rPr>
            </w:pPr>
            <w:r>
              <w:rPr>
                <w:rFonts w:ascii="宋体" w:hAnsi="宋体" w:cs="宋体" w:eastAsia="宋体" w:hint="default"/>
                <w:sz w:val="20"/>
                <w:szCs w:val="20"/>
              </w:rPr>
              <w:t>事项</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刊载的报刊名称及版</w:t>
            </w:r>
          </w:p>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100"/>
                <w:sz w:val="20"/>
                <w:szCs w:val="20"/>
              </w:rPr>
              <w:t>面</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598" w:right="0"/>
              <w:jc w:val="left"/>
              <w:rPr>
                <w:rFonts w:ascii="宋体" w:hAnsi="宋体" w:cs="宋体" w:eastAsia="宋体" w:hint="default"/>
                <w:sz w:val="20"/>
                <w:szCs w:val="20"/>
              </w:rPr>
            </w:pPr>
            <w:r>
              <w:rPr>
                <w:rFonts w:ascii="宋体" w:hAnsi="宋体" w:cs="宋体" w:eastAsia="宋体" w:hint="default"/>
                <w:sz w:val="20"/>
                <w:szCs w:val="20"/>
              </w:rPr>
              <w:t>刊载日期</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63" w:right="0"/>
              <w:jc w:val="center"/>
              <w:rPr>
                <w:rFonts w:ascii="宋体" w:hAnsi="宋体" w:cs="宋体" w:eastAsia="宋体" w:hint="default"/>
                <w:sz w:val="20"/>
                <w:szCs w:val="20"/>
              </w:rPr>
            </w:pPr>
            <w:r>
              <w:rPr>
                <w:rFonts w:ascii="宋体" w:hAnsi="宋体" w:cs="宋体" w:eastAsia="宋体" w:hint="default"/>
                <w:sz w:val="20"/>
                <w:szCs w:val="20"/>
              </w:rPr>
              <w:t>刊载的互联网网站</w:t>
            </w:r>
          </w:p>
          <w:p>
            <w:pPr>
              <w:pStyle w:val="TableParagraph"/>
              <w:spacing w:line="240" w:lineRule="auto" w:before="36"/>
              <w:ind w:left="63" w:right="0"/>
              <w:jc w:val="center"/>
              <w:rPr>
                <w:rFonts w:ascii="宋体" w:hAnsi="宋体" w:cs="宋体" w:eastAsia="宋体" w:hint="default"/>
                <w:sz w:val="20"/>
                <w:szCs w:val="20"/>
              </w:rPr>
            </w:pPr>
            <w:r>
              <w:rPr>
                <w:rFonts w:ascii="宋体" w:hAnsi="宋体" w:cs="宋体" w:eastAsia="宋体" w:hint="default"/>
                <w:sz w:val="20"/>
                <w:szCs w:val="20"/>
              </w:rPr>
              <w:t>及检索路径</w:t>
            </w:r>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6"/>
                <w:sz w:val="20"/>
                <w:szCs w:val="20"/>
              </w:rPr>
              <w:t> </w:t>
            </w:r>
            <w:r>
              <w:rPr>
                <w:rFonts w:ascii="宋体" w:hAnsi="宋体" w:cs="宋体" w:eastAsia="宋体" w:hint="default"/>
                <w:sz w:val="20"/>
                <w:szCs w:val="20"/>
              </w:rPr>
              <w:t>月份业务数</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sz w:val="20"/>
                <w:szCs w:val="20"/>
              </w:rPr>
              <w:t>据公告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A21</w:t>
            </w:r>
            <w:r>
              <w:rPr>
                <w:rFonts w:ascii="宋体" w:hAnsi="宋体" w:cs="宋体" w:eastAsia="宋体" w:hint="default"/>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B32</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91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关于西班牙电信与联通红筹</w:t>
            </w:r>
          </w:p>
          <w:p>
            <w:pPr>
              <w:pStyle w:val="TableParagraph"/>
              <w:spacing w:line="273" w:lineRule="auto" w:before="37"/>
              <w:ind w:left="100" w:right="191"/>
              <w:jc w:val="left"/>
              <w:rPr>
                <w:rFonts w:ascii="宋体" w:hAnsi="宋体" w:cs="宋体" w:eastAsia="宋体" w:hint="default"/>
                <w:sz w:val="20"/>
                <w:szCs w:val="20"/>
              </w:rPr>
            </w:pPr>
            <w:r>
              <w:rPr>
                <w:rFonts w:ascii="宋体" w:hAnsi="宋体" w:cs="宋体" w:eastAsia="宋体" w:hint="default"/>
                <w:sz w:val="20"/>
                <w:szCs w:val="20"/>
              </w:rPr>
              <w:t>订立加强战略联盟协议的公</w:t>
            </w:r>
            <w:r>
              <w:rPr>
                <w:rFonts w:ascii="宋体" w:hAnsi="宋体" w:cs="宋体" w:eastAsia="宋体" w:hint="default"/>
                <w:w w:val="100"/>
                <w:sz w:val="20"/>
                <w:szCs w:val="20"/>
              </w:rPr>
              <w:t> </w:t>
            </w:r>
            <w:r>
              <w:rPr>
                <w:rFonts w:ascii="宋体" w:hAnsi="宋体" w:cs="宋体" w:eastAsia="宋体" w:hint="default"/>
                <w:sz w:val="20"/>
                <w:szCs w:val="20"/>
              </w:rPr>
              <w:t>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A16</w:t>
            </w:r>
            <w:r>
              <w:rPr>
                <w:rFonts w:ascii="宋体" w:hAnsi="宋体" w:cs="宋体" w:eastAsia="宋体" w:hint="default"/>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15</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24</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179"/>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Arial" w:hAnsi="Arial" w:cs="Arial" w:eastAsia="Arial" w:hint="default"/>
                <w:sz w:val="20"/>
                <w:szCs w:val="20"/>
              </w:rPr>
              <w:t>2010</w:t>
            </w:r>
            <w:r>
              <w:rPr>
                <w:rFonts w:ascii="Arial" w:hAnsi="Arial" w:cs="Arial" w:eastAsia="Arial" w:hint="default"/>
                <w:spacing w:val="-7"/>
                <w:sz w:val="20"/>
                <w:szCs w:val="20"/>
              </w:rPr>
              <w:t> </w:t>
            </w:r>
            <w:r>
              <w:rPr>
                <w:rFonts w:ascii="宋体" w:hAnsi="宋体" w:cs="宋体" w:eastAsia="宋体" w:hint="default"/>
                <w:sz w:val="20"/>
                <w:szCs w:val="20"/>
              </w:rPr>
              <w:t>年业绩预告公告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A28</w:t>
            </w:r>
            <w:r>
              <w:rPr>
                <w:rFonts w:ascii="宋体" w:hAnsi="宋体" w:cs="宋体" w:eastAsia="宋体" w:hint="default"/>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39</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0"/>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8"/>
                <w:sz w:val="20"/>
                <w:szCs w:val="20"/>
              </w:rPr>
              <w:t> </w:t>
            </w:r>
            <w:r>
              <w:rPr>
                <w:rFonts w:ascii="Arial" w:hAnsi="Arial" w:cs="Arial" w:eastAsia="Arial" w:hint="default"/>
                <w:sz w:val="20"/>
                <w:szCs w:val="20"/>
              </w:rPr>
              <w:t>2011</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Arial" w:hAnsi="Arial" w:cs="Arial" w:eastAsia="Arial" w:hint="default"/>
                <w:sz w:val="20"/>
                <w:szCs w:val="20"/>
              </w:rPr>
              <w:t>1</w:t>
            </w:r>
            <w:r>
              <w:rPr>
                <w:rFonts w:ascii="Arial" w:hAnsi="Arial" w:cs="Arial" w:eastAsia="Arial" w:hint="default"/>
                <w:spacing w:val="-23"/>
                <w:sz w:val="20"/>
                <w:szCs w:val="20"/>
              </w:rPr>
              <w:t> </w:t>
            </w:r>
            <w:r>
              <w:rPr>
                <w:rFonts w:ascii="宋体" w:hAnsi="宋体" w:cs="宋体" w:eastAsia="宋体" w:hint="default"/>
                <w:sz w:val="20"/>
                <w:szCs w:val="20"/>
              </w:rPr>
              <w:t>月份业务数据</w:t>
            </w:r>
          </w:p>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A16</w:t>
            </w:r>
            <w:r>
              <w:rPr>
                <w:rFonts w:ascii="宋体" w:hAnsi="宋体" w:cs="宋体" w:eastAsia="宋体" w:hint="default"/>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24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19</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联通红筹公司重述以前年度</w:t>
            </w:r>
          </w:p>
          <w:p>
            <w:pPr>
              <w:pStyle w:val="TableParagraph"/>
              <w:spacing w:line="240" w:lineRule="auto" w:before="36"/>
              <w:ind w:left="100" w:right="0"/>
              <w:jc w:val="left"/>
              <w:rPr>
                <w:rFonts w:ascii="宋体" w:hAnsi="宋体" w:cs="宋体" w:eastAsia="宋体" w:hint="default"/>
                <w:sz w:val="20"/>
                <w:szCs w:val="20"/>
              </w:rPr>
            </w:pPr>
            <w:r>
              <w:rPr>
                <w:rFonts w:ascii="宋体" w:hAnsi="宋体" w:cs="宋体" w:eastAsia="宋体" w:hint="default"/>
                <w:sz w:val="20"/>
                <w:szCs w:val="20"/>
              </w:rPr>
              <w:t>财务报告的公告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A16</w:t>
            </w:r>
            <w:r>
              <w:rPr>
                <w:rFonts w:ascii="宋体" w:hAnsi="宋体" w:cs="宋体" w:eastAsia="宋体" w:hint="default"/>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24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19</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91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联通运营公司发行</w:t>
            </w:r>
            <w:r>
              <w:rPr>
                <w:rFonts w:ascii="宋体" w:hAnsi="宋体" w:cs="宋体" w:eastAsia="宋体" w:hint="default"/>
                <w:spacing w:val="-52"/>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w:t>
            </w:r>
          </w:p>
          <w:p>
            <w:pPr>
              <w:pStyle w:val="TableParagraph"/>
              <w:spacing w:line="273" w:lineRule="auto" w:before="23"/>
              <w:ind w:left="100" w:right="191"/>
              <w:jc w:val="left"/>
              <w:rPr>
                <w:rFonts w:ascii="宋体" w:hAnsi="宋体" w:cs="宋体" w:eastAsia="宋体" w:hint="default"/>
                <w:sz w:val="20"/>
                <w:szCs w:val="20"/>
              </w:rPr>
            </w:pPr>
            <w:r>
              <w:rPr>
                <w:rFonts w:ascii="宋体" w:hAnsi="宋体" w:cs="宋体" w:eastAsia="宋体" w:hint="default"/>
                <w:sz w:val="20"/>
                <w:szCs w:val="20"/>
              </w:rPr>
              <w:t>度第一期及第二期超短期融</w:t>
            </w:r>
            <w:r>
              <w:rPr>
                <w:rFonts w:ascii="宋体" w:hAnsi="宋体" w:cs="宋体" w:eastAsia="宋体" w:hint="default"/>
                <w:w w:val="100"/>
                <w:sz w:val="20"/>
                <w:szCs w:val="20"/>
              </w:rPr>
              <w:t> </w:t>
            </w:r>
            <w:r>
              <w:rPr>
                <w:rFonts w:ascii="宋体" w:hAnsi="宋体" w:cs="宋体" w:eastAsia="宋体" w:hint="default"/>
                <w:sz w:val="20"/>
                <w:szCs w:val="20"/>
              </w:rPr>
              <w:t>资券的公告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A29</w:t>
            </w:r>
            <w:r>
              <w:rPr>
                <w:rFonts w:ascii="宋体" w:hAnsi="宋体" w:cs="宋体" w:eastAsia="宋体" w:hint="default"/>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6" w:lineRule="auto"/>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91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Arial" w:hAnsi="Arial" w:cs="Arial" w:eastAsia="Arial" w:hint="default"/>
                <w:sz w:val="20"/>
                <w:szCs w:val="20"/>
              </w:rPr>
            </w:pPr>
            <w:r>
              <w:rPr>
                <w:rFonts w:ascii="宋体" w:hAnsi="宋体" w:cs="宋体" w:eastAsia="宋体" w:hint="default"/>
                <w:sz w:val="20"/>
                <w:szCs w:val="20"/>
              </w:rPr>
              <w:t>联通运营公司完成发行</w:t>
            </w:r>
            <w:r>
              <w:rPr>
                <w:rFonts w:ascii="宋体" w:hAnsi="宋体" w:cs="宋体" w:eastAsia="宋体" w:hint="default"/>
                <w:spacing w:val="-56"/>
                <w:sz w:val="20"/>
                <w:szCs w:val="20"/>
              </w:rPr>
              <w:t> </w:t>
            </w:r>
            <w:r>
              <w:rPr>
                <w:rFonts w:ascii="Arial" w:hAnsi="Arial" w:cs="Arial" w:eastAsia="Arial" w:hint="default"/>
                <w:sz w:val="20"/>
                <w:szCs w:val="20"/>
              </w:rPr>
              <w:t>2011</w:t>
            </w:r>
          </w:p>
          <w:p>
            <w:pPr>
              <w:pStyle w:val="TableParagraph"/>
              <w:spacing w:line="273" w:lineRule="auto" w:before="23"/>
              <w:ind w:left="100" w:right="191"/>
              <w:jc w:val="left"/>
              <w:rPr>
                <w:rFonts w:ascii="宋体" w:hAnsi="宋体" w:cs="宋体" w:eastAsia="宋体" w:hint="default"/>
                <w:sz w:val="20"/>
                <w:szCs w:val="20"/>
              </w:rPr>
            </w:pPr>
            <w:r>
              <w:rPr>
                <w:rFonts w:ascii="宋体" w:hAnsi="宋体" w:cs="宋体" w:eastAsia="宋体" w:hint="default"/>
                <w:sz w:val="20"/>
                <w:szCs w:val="20"/>
              </w:rPr>
              <w:t>年度第一期及第二期超短期</w:t>
            </w:r>
            <w:r>
              <w:rPr>
                <w:rFonts w:ascii="宋体" w:hAnsi="宋体" w:cs="宋体" w:eastAsia="宋体" w:hint="default"/>
                <w:w w:val="100"/>
                <w:sz w:val="20"/>
                <w:szCs w:val="20"/>
              </w:rPr>
              <w:t> </w:t>
            </w:r>
            <w:r>
              <w:rPr>
                <w:rFonts w:ascii="宋体" w:hAnsi="宋体" w:cs="宋体" w:eastAsia="宋体" w:hint="default"/>
                <w:sz w:val="20"/>
                <w:szCs w:val="20"/>
              </w:rPr>
              <w:t>融资券的公告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B008</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B32</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6" w:lineRule="auto"/>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8"/>
                <w:sz w:val="20"/>
                <w:szCs w:val="20"/>
              </w:rPr>
              <w:t> </w:t>
            </w:r>
            <w:r>
              <w:rPr>
                <w:rFonts w:ascii="Arial" w:hAnsi="Arial" w:cs="Arial" w:eastAsia="Arial" w:hint="default"/>
                <w:sz w:val="20"/>
                <w:szCs w:val="20"/>
              </w:rPr>
              <w:t>2011</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Arial" w:hAnsi="Arial" w:cs="Arial" w:eastAsia="Arial" w:hint="default"/>
                <w:sz w:val="20"/>
                <w:szCs w:val="20"/>
              </w:rPr>
              <w:t>2</w:t>
            </w:r>
            <w:r>
              <w:rPr>
                <w:rFonts w:ascii="Arial" w:hAnsi="Arial" w:cs="Arial" w:eastAsia="Arial" w:hint="default"/>
                <w:spacing w:val="-23"/>
                <w:sz w:val="20"/>
                <w:szCs w:val="20"/>
              </w:rPr>
              <w:t> </w:t>
            </w:r>
            <w:r>
              <w:rPr>
                <w:rFonts w:ascii="宋体" w:hAnsi="宋体" w:cs="宋体" w:eastAsia="宋体" w:hint="default"/>
                <w:sz w:val="20"/>
                <w:szCs w:val="20"/>
              </w:rPr>
              <w:t>月份业务数据</w:t>
            </w:r>
          </w:p>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B004</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84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19</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Arial" w:hAnsi="Arial" w:cs="Arial" w:eastAsia="Arial" w:hint="default"/>
                <w:sz w:val="20"/>
                <w:szCs w:val="20"/>
              </w:rPr>
              <w:t>2010</w:t>
            </w:r>
            <w:r>
              <w:rPr>
                <w:rFonts w:ascii="Arial" w:hAnsi="Arial" w:cs="Arial" w:eastAsia="Arial" w:hint="default"/>
                <w:spacing w:val="-7"/>
                <w:sz w:val="20"/>
                <w:szCs w:val="20"/>
              </w:rPr>
              <w:t> </w:t>
            </w:r>
            <w:r>
              <w:rPr>
                <w:rFonts w:ascii="宋体" w:hAnsi="宋体" w:cs="宋体" w:eastAsia="宋体" w:hint="default"/>
                <w:sz w:val="20"/>
                <w:szCs w:val="20"/>
              </w:rPr>
              <w:t>年度报告摘要</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B191</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0"/>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公司第三届董事会第八次会</w:t>
            </w:r>
          </w:p>
          <w:p>
            <w:pPr>
              <w:pStyle w:val="TableParagraph"/>
              <w:spacing w:line="240" w:lineRule="auto" w:before="36"/>
              <w:ind w:left="100" w:right="0"/>
              <w:jc w:val="left"/>
              <w:rPr>
                <w:rFonts w:ascii="宋体" w:hAnsi="宋体" w:cs="宋体" w:eastAsia="宋体" w:hint="default"/>
                <w:sz w:val="20"/>
                <w:szCs w:val="20"/>
              </w:rPr>
            </w:pPr>
            <w:r>
              <w:rPr>
                <w:rFonts w:ascii="宋体" w:hAnsi="宋体" w:cs="宋体" w:eastAsia="宋体" w:hint="default"/>
                <w:sz w:val="20"/>
                <w:szCs w:val="20"/>
              </w:rPr>
              <w:t>议决议公告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B191</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公司第三届监事会第六次会</w:t>
            </w:r>
          </w:p>
          <w:p>
            <w:pPr>
              <w:pStyle w:val="TableParagraph"/>
              <w:spacing w:line="240" w:lineRule="auto" w:before="37"/>
              <w:ind w:left="100" w:right="0"/>
              <w:jc w:val="left"/>
              <w:rPr>
                <w:rFonts w:ascii="宋体" w:hAnsi="宋体" w:cs="宋体" w:eastAsia="宋体" w:hint="default"/>
                <w:sz w:val="20"/>
                <w:szCs w:val="20"/>
              </w:rPr>
            </w:pPr>
            <w:r>
              <w:rPr>
                <w:rFonts w:ascii="宋体" w:hAnsi="宋体" w:cs="宋体" w:eastAsia="宋体" w:hint="default"/>
                <w:sz w:val="20"/>
                <w:szCs w:val="20"/>
              </w:rPr>
              <w:t>议决议公告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B191</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公司关于召开</w:t>
            </w:r>
            <w:r>
              <w:rPr>
                <w:rFonts w:ascii="宋体" w:hAnsi="宋体" w:cs="宋体" w:eastAsia="宋体" w:hint="default"/>
                <w:spacing w:val="-52"/>
                <w:sz w:val="20"/>
                <w:szCs w:val="20"/>
              </w:rPr>
              <w:t> </w:t>
            </w: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年度股</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sz w:val="20"/>
                <w:szCs w:val="20"/>
              </w:rPr>
              <w:t>东大会公告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B191</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0"/>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8"/>
                <w:sz w:val="20"/>
                <w:szCs w:val="20"/>
              </w:rPr>
              <w:t> </w:t>
            </w:r>
            <w:r>
              <w:rPr>
                <w:rFonts w:ascii="Arial" w:hAnsi="Arial" w:cs="Arial" w:eastAsia="Arial" w:hint="default"/>
                <w:sz w:val="20"/>
                <w:szCs w:val="20"/>
              </w:rPr>
              <w:t>2011</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Arial" w:hAnsi="Arial" w:cs="Arial" w:eastAsia="Arial" w:hint="default"/>
                <w:sz w:val="20"/>
                <w:szCs w:val="20"/>
              </w:rPr>
              <w:t>3</w:t>
            </w:r>
            <w:r>
              <w:rPr>
                <w:rFonts w:ascii="Arial" w:hAnsi="Arial" w:cs="Arial" w:eastAsia="Arial" w:hint="default"/>
                <w:spacing w:val="-23"/>
                <w:sz w:val="20"/>
                <w:szCs w:val="20"/>
              </w:rPr>
              <w:t> </w:t>
            </w:r>
            <w:r>
              <w:rPr>
                <w:rFonts w:ascii="宋体" w:hAnsi="宋体" w:cs="宋体" w:eastAsia="宋体" w:hint="default"/>
                <w:sz w:val="20"/>
                <w:szCs w:val="20"/>
              </w:rPr>
              <w:t>月份业务数据</w:t>
            </w:r>
          </w:p>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B122</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B8</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bl>
    <w:p>
      <w:pPr>
        <w:spacing w:after="0" w:line="276" w:lineRule="auto"/>
        <w:jc w:val="left"/>
        <w:rPr>
          <w:rFonts w:ascii="Arial" w:hAnsi="Arial" w:cs="Arial" w:eastAsia="Arial" w:hint="default"/>
          <w:sz w:val="20"/>
          <w:szCs w:val="20"/>
        </w:rPr>
        <w:sectPr>
          <w:pgSz w:w="11900" w:h="16840"/>
          <w:pgMar w:header="927" w:footer="752" w:top="1160" w:bottom="940" w:left="1340" w:right="9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2710"/>
        <w:gridCol w:w="2161"/>
        <w:gridCol w:w="1934"/>
        <w:gridCol w:w="2509"/>
      </w:tblGrid>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年第一季度报告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B015</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27</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公司第三届董事会第九次会</w:t>
            </w:r>
          </w:p>
          <w:p>
            <w:pPr>
              <w:pStyle w:val="TableParagraph"/>
              <w:spacing w:line="240" w:lineRule="auto" w:before="37"/>
              <w:ind w:left="100" w:right="0"/>
              <w:jc w:val="left"/>
              <w:rPr>
                <w:rFonts w:ascii="宋体" w:hAnsi="宋体" w:cs="宋体" w:eastAsia="宋体" w:hint="default"/>
                <w:sz w:val="20"/>
                <w:szCs w:val="20"/>
              </w:rPr>
            </w:pPr>
            <w:r>
              <w:rPr>
                <w:rFonts w:ascii="宋体" w:hAnsi="宋体" w:cs="宋体" w:eastAsia="宋体" w:hint="default"/>
                <w:sz w:val="20"/>
                <w:szCs w:val="20"/>
              </w:rPr>
              <w:t>议决议公告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B015</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27</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0"/>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8"/>
                <w:sz w:val="20"/>
                <w:szCs w:val="20"/>
              </w:rPr>
              <w:t> </w:t>
            </w:r>
            <w:r>
              <w:rPr>
                <w:rFonts w:ascii="Arial" w:hAnsi="Arial" w:cs="Arial" w:eastAsia="Arial" w:hint="default"/>
                <w:sz w:val="20"/>
                <w:szCs w:val="20"/>
              </w:rPr>
              <w:t>2011</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Arial" w:hAnsi="Arial" w:cs="Arial" w:eastAsia="Arial" w:hint="default"/>
                <w:sz w:val="20"/>
                <w:szCs w:val="20"/>
              </w:rPr>
              <w:t>4</w:t>
            </w:r>
            <w:r>
              <w:rPr>
                <w:rFonts w:ascii="Arial" w:hAnsi="Arial" w:cs="Arial" w:eastAsia="Arial" w:hint="default"/>
                <w:spacing w:val="-23"/>
                <w:sz w:val="20"/>
                <w:szCs w:val="20"/>
              </w:rPr>
              <w:t> </w:t>
            </w:r>
            <w:r>
              <w:rPr>
                <w:rFonts w:ascii="宋体" w:hAnsi="宋体" w:cs="宋体" w:eastAsia="宋体" w:hint="default"/>
                <w:sz w:val="20"/>
                <w:szCs w:val="20"/>
              </w:rPr>
              <w:t>月份业务数据</w:t>
            </w:r>
          </w:p>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A29</w:t>
            </w:r>
            <w:r>
              <w:rPr>
                <w:rFonts w:ascii="宋体" w:hAnsi="宋体" w:cs="宋体" w:eastAsia="宋体" w:hint="default"/>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B32</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91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审计署对联通集团</w:t>
            </w:r>
            <w:r>
              <w:rPr>
                <w:rFonts w:ascii="宋体" w:hAnsi="宋体" w:cs="宋体" w:eastAsia="宋体" w:hint="default"/>
                <w:spacing w:val="-52"/>
                <w:sz w:val="20"/>
                <w:szCs w:val="20"/>
              </w:rPr>
              <w:t> </w:t>
            </w:r>
            <w:r>
              <w:rPr>
                <w:rFonts w:ascii="Arial" w:hAnsi="Arial" w:cs="Arial" w:eastAsia="Arial" w:hint="default"/>
                <w:sz w:val="20"/>
                <w:szCs w:val="20"/>
              </w:rPr>
              <w:t>2009</w:t>
            </w:r>
            <w:r>
              <w:rPr>
                <w:rFonts w:ascii="Arial" w:hAnsi="Arial" w:cs="Arial" w:eastAsia="Arial" w:hint="default"/>
                <w:spacing w:val="-7"/>
                <w:sz w:val="20"/>
                <w:szCs w:val="20"/>
              </w:rPr>
              <w:t> </w:t>
            </w:r>
            <w:r>
              <w:rPr>
                <w:rFonts w:ascii="宋体" w:hAnsi="宋体" w:cs="宋体" w:eastAsia="宋体" w:hint="default"/>
                <w:sz w:val="20"/>
                <w:szCs w:val="20"/>
              </w:rPr>
              <w:t>年</w:t>
            </w:r>
          </w:p>
          <w:p>
            <w:pPr>
              <w:pStyle w:val="TableParagraph"/>
              <w:spacing w:line="273" w:lineRule="auto" w:before="23"/>
              <w:ind w:left="100" w:right="191"/>
              <w:jc w:val="left"/>
              <w:rPr>
                <w:rFonts w:ascii="宋体" w:hAnsi="宋体" w:cs="宋体" w:eastAsia="宋体" w:hint="default"/>
                <w:sz w:val="20"/>
                <w:szCs w:val="20"/>
              </w:rPr>
            </w:pPr>
            <w:r>
              <w:rPr>
                <w:rFonts w:ascii="宋体" w:hAnsi="宋体" w:cs="宋体" w:eastAsia="宋体" w:hint="default"/>
                <w:sz w:val="20"/>
                <w:szCs w:val="20"/>
              </w:rPr>
              <w:t>度财务收支情况审计结果的</w:t>
            </w:r>
            <w:r>
              <w:rPr>
                <w:rFonts w:ascii="宋体" w:hAnsi="宋体" w:cs="宋体" w:eastAsia="宋体" w:hint="default"/>
                <w:w w:val="100"/>
                <w:sz w:val="20"/>
                <w:szCs w:val="20"/>
              </w:rPr>
              <w:t> </w:t>
            </w: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A29</w:t>
            </w:r>
            <w:r>
              <w:rPr>
                <w:rFonts w:ascii="宋体" w:hAnsi="宋体" w:cs="宋体" w:eastAsia="宋体" w:hint="default"/>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B32</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6" w:lineRule="auto"/>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Arial" w:hAnsi="Arial" w:cs="Arial" w:eastAsia="Arial" w:hint="default"/>
                <w:sz w:val="20"/>
                <w:szCs w:val="20"/>
              </w:rPr>
              <w:t>2010</w:t>
            </w:r>
            <w:r>
              <w:rPr>
                <w:rFonts w:ascii="Arial" w:hAnsi="Arial" w:cs="Arial" w:eastAsia="Arial" w:hint="default"/>
                <w:spacing w:val="-7"/>
                <w:sz w:val="20"/>
                <w:szCs w:val="20"/>
              </w:rPr>
              <w:t> </w:t>
            </w:r>
            <w:r>
              <w:rPr>
                <w:rFonts w:ascii="宋体" w:hAnsi="宋体" w:cs="宋体" w:eastAsia="宋体" w:hint="default"/>
                <w:sz w:val="20"/>
                <w:szCs w:val="20"/>
              </w:rPr>
              <w:t>年度股东大会决</w:t>
            </w:r>
          </w:p>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sz w:val="20"/>
                <w:szCs w:val="20"/>
              </w:rPr>
              <w:t>议公告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B005</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25</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联通红筹公司股东大会决议</w:t>
            </w:r>
          </w:p>
          <w:p>
            <w:pPr>
              <w:pStyle w:val="TableParagraph"/>
              <w:spacing w:line="240" w:lineRule="auto" w:before="37"/>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B005</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25</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0"/>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8"/>
                <w:sz w:val="20"/>
                <w:szCs w:val="20"/>
              </w:rPr>
              <w:t> </w:t>
            </w:r>
            <w:r>
              <w:rPr>
                <w:rFonts w:ascii="Arial" w:hAnsi="Arial" w:cs="Arial" w:eastAsia="Arial" w:hint="default"/>
                <w:sz w:val="20"/>
                <w:szCs w:val="20"/>
              </w:rPr>
              <w:t>2011</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Arial" w:hAnsi="Arial" w:cs="Arial" w:eastAsia="Arial" w:hint="default"/>
                <w:sz w:val="20"/>
                <w:szCs w:val="20"/>
              </w:rPr>
              <w:t>5</w:t>
            </w:r>
            <w:r>
              <w:rPr>
                <w:rFonts w:ascii="Arial" w:hAnsi="Arial" w:cs="Arial" w:eastAsia="Arial" w:hint="default"/>
                <w:spacing w:val="-23"/>
                <w:sz w:val="20"/>
                <w:szCs w:val="20"/>
              </w:rPr>
              <w:t> </w:t>
            </w:r>
            <w:r>
              <w:rPr>
                <w:rFonts w:ascii="宋体" w:hAnsi="宋体" w:cs="宋体" w:eastAsia="宋体" w:hint="default"/>
                <w:sz w:val="20"/>
                <w:szCs w:val="20"/>
              </w:rPr>
              <w:t>月份业务数据</w:t>
            </w:r>
          </w:p>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B009</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6</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21</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20"/>
                <w:szCs w:val="20"/>
              </w:rPr>
            </w:pPr>
            <w:r>
              <w:rPr>
                <w:rFonts w:ascii="宋体" w:hAnsi="宋体" w:cs="宋体" w:eastAsia="宋体" w:hint="default"/>
                <w:sz w:val="20"/>
                <w:szCs w:val="20"/>
              </w:rPr>
              <w:t>公司派发现金红利实施公告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B008</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6</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24</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8"/>
                <w:sz w:val="20"/>
                <w:szCs w:val="20"/>
              </w:rPr>
              <w:t> </w:t>
            </w:r>
            <w:r>
              <w:rPr>
                <w:rFonts w:ascii="Arial" w:hAnsi="Arial" w:cs="Arial" w:eastAsia="Arial" w:hint="default"/>
                <w:sz w:val="20"/>
                <w:szCs w:val="20"/>
              </w:rPr>
              <w:t>2011</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Arial" w:hAnsi="Arial" w:cs="Arial" w:eastAsia="Arial" w:hint="default"/>
                <w:sz w:val="20"/>
                <w:szCs w:val="20"/>
              </w:rPr>
              <w:t>6</w:t>
            </w:r>
            <w:r>
              <w:rPr>
                <w:rFonts w:ascii="Arial" w:hAnsi="Arial" w:cs="Arial" w:eastAsia="Arial" w:hint="default"/>
                <w:spacing w:val="-23"/>
                <w:sz w:val="20"/>
                <w:szCs w:val="20"/>
              </w:rPr>
              <w:t> </w:t>
            </w:r>
            <w:r>
              <w:rPr>
                <w:rFonts w:ascii="宋体" w:hAnsi="宋体" w:cs="宋体" w:eastAsia="宋体" w:hint="default"/>
                <w:sz w:val="20"/>
                <w:szCs w:val="20"/>
              </w:rPr>
              <w:t>月份业务数据</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B001</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23</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7</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18</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0"/>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联通运营公司发行</w:t>
            </w:r>
            <w:r>
              <w:rPr>
                <w:rFonts w:ascii="宋体" w:hAnsi="宋体" w:cs="宋体" w:eastAsia="宋体" w:hint="default"/>
                <w:spacing w:val="-52"/>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w:t>
            </w:r>
          </w:p>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sz w:val="20"/>
                <w:szCs w:val="20"/>
              </w:rPr>
              <w:t>度第一期短期融资券的公告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B008</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81</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8"/>
                <w:sz w:val="20"/>
                <w:szCs w:val="20"/>
              </w:rPr>
              <w:t> </w:t>
            </w:r>
            <w:r>
              <w:rPr>
                <w:rFonts w:ascii="Arial" w:hAnsi="Arial" w:cs="Arial" w:eastAsia="Arial" w:hint="default"/>
                <w:sz w:val="20"/>
                <w:szCs w:val="20"/>
              </w:rPr>
              <w:t>2011</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Arial" w:hAnsi="Arial" w:cs="Arial" w:eastAsia="Arial" w:hint="default"/>
                <w:sz w:val="20"/>
                <w:szCs w:val="20"/>
              </w:rPr>
              <w:t>8</w:t>
            </w:r>
            <w:r>
              <w:rPr>
                <w:rFonts w:ascii="Arial" w:hAnsi="Arial" w:cs="Arial" w:eastAsia="Arial" w:hint="default"/>
                <w:spacing w:val="-23"/>
                <w:sz w:val="20"/>
                <w:szCs w:val="20"/>
              </w:rPr>
              <w:t> </w:t>
            </w:r>
            <w:r>
              <w:rPr>
                <w:rFonts w:ascii="宋体" w:hAnsi="宋体" w:cs="宋体" w:eastAsia="宋体" w:hint="default"/>
                <w:sz w:val="20"/>
                <w:szCs w:val="20"/>
              </w:rPr>
              <w:t>月份业务数据</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B008</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81</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年半年度报告摘</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w w:val="100"/>
                <w:sz w:val="20"/>
                <w:szCs w:val="20"/>
              </w:rPr>
              <w:t>要</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B011</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B192</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25</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0"/>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公司第三届董事会第十次会</w:t>
            </w:r>
          </w:p>
          <w:p>
            <w:pPr>
              <w:pStyle w:val="TableParagraph"/>
              <w:spacing w:line="240" w:lineRule="auto" w:before="36"/>
              <w:ind w:left="100" w:right="0"/>
              <w:jc w:val="left"/>
              <w:rPr>
                <w:rFonts w:ascii="宋体" w:hAnsi="宋体" w:cs="宋体" w:eastAsia="宋体" w:hint="default"/>
                <w:sz w:val="20"/>
                <w:szCs w:val="20"/>
              </w:rPr>
            </w:pPr>
            <w:r>
              <w:rPr>
                <w:rFonts w:ascii="宋体" w:hAnsi="宋体" w:cs="宋体" w:eastAsia="宋体" w:hint="default"/>
                <w:sz w:val="20"/>
                <w:szCs w:val="20"/>
              </w:rPr>
              <w:t>议决议公告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B011</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B192</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25</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102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23"/>
              <w:ind w:left="100" w:right="99"/>
              <w:jc w:val="left"/>
              <w:rPr>
                <w:rFonts w:ascii="宋体" w:hAnsi="宋体" w:cs="宋体" w:eastAsia="宋体" w:hint="default"/>
                <w:sz w:val="20"/>
                <w:szCs w:val="20"/>
              </w:rPr>
            </w:pPr>
            <w:r>
              <w:rPr>
                <w:rFonts w:ascii="宋体" w:hAnsi="宋体" w:cs="宋体" w:eastAsia="宋体" w:hint="default"/>
                <w:sz w:val="20"/>
                <w:szCs w:val="20"/>
              </w:rPr>
              <w:t>联通运营公司完成发行</w:t>
            </w:r>
            <w:r>
              <w:rPr>
                <w:rFonts w:ascii="宋体" w:hAnsi="宋体" w:cs="宋体" w:eastAsia="宋体" w:hint="default"/>
                <w:spacing w:val="-55"/>
                <w:sz w:val="20"/>
                <w:szCs w:val="20"/>
              </w:rPr>
              <w:t> </w:t>
            </w:r>
            <w:r>
              <w:rPr>
                <w:rFonts w:ascii="Arial" w:hAnsi="Arial" w:cs="Arial" w:eastAsia="Arial" w:hint="default"/>
                <w:sz w:val="20"/>
                <w:szCs w:val="20"/>
              </w:rPr>
              <w:t>2011</w:t>
            </w:r>
            <w:r>
              <w:rPr>
                <w:rFonts w:ascii="Arial" w:hAnsi="Arial" w:cs="Arial" w:eastAsia="Arial" w:hint="default"/>
                <w:w w:val="100"/>
                <w:sz w:val="20"/>
                <w:szCs w:val="20"/>
              </w:rPr>
              <w:t> </w:t>
            </w:r>
            <w:r>
              <w:rPr>
                <w:rFonts w:ascii="宋体" w:hAnsi="宋体" w:cs="宋体" w:eastAsia="宋体" w:hint="default"/>
                <w:sz w:val="20"/>
                <w:szCs w:val="20"/>
              </w:rPr>
              <w:t>年度第一期短期融资券的公</w:t>
            </w:r>
            <w:r>
              <w:rPr>
                <w:rFonts w:ascii="宋体" w:hAnsi="宋体" w:cs="宋体" w:eastAsia="宋体" w:hint="default"/>
                <w:w w:val="100"/>
                <w:sz w:val="20"/>
                <w:szCs w:val="20"/>
              </w:rPr>
              <w:t> </w:t>
            </w:r>
            <w:r>
              <w:rPr>
                <w:rFonts w:ascii="宋体" w:hAnsi="宋体" w:cs="宋体" w:eastAsia="宋体" w:hint="default"/>
                <w:sz w:val="20"/>
                <w:szCs w:val="20"/>
              </w:rPr>
              <w:t>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B004</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211</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27</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76" w:lineRule="auto"/>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91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联通运营公司发行</w:t>
            </w:r>
            <w:r>
              <w:rPr>
                <w:rFonts w:ascii="宋体" w:hAnsi="宋体" w:cs="宋体" w:eastAsia="宋体" w:hint="default"/>
                <w:spacing w:val="-52"/>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w:t>
            </w:r>
          </w:p>
          <w:p>
            <w:pPr>
              <w:pStyle w:val="TableParagraph"/>
              <w:spacing w:line="273" w:lineRule="auto" w:before="23"/>
              <w:ind w:left="100" w:right="191"/>
              <w:jc w:val="left"/>
              <w:rPr>
                <w:rFonts w:ascii="宋体" w:hAnsi="宋体" w:cs="宋体" w:eastAsia="宋体" w:hint="default"/>
                <w:sz w:val="20"/>
                <w:szCs w:val="20"/>
              </w:rPr>
            </w:pPr>
            <w:r>
              <w:rPr>
                <w:rFonts w:ascii="宋体" w:hAnsi="宋体" w:cs="宋体" w:eastAsia="宋体" w:hint="default"/>
                <w:sz w:val="20"/>
                <w:szCs w:val="20"/>
              </w:rPr>
              <w:t>度第三期及第四期超短期融</w:t>
            </w:r>
            <w:r>
              <w:rPr>
                <w:rFonts w:ascii="宋体" w:hAnsi="宋体" w:cs="宋体" w:eastAsia="宋体" w:hint="default"/>
                <w:w w:val="100"/>
                <w:sz w:val="20"/>
                <w:szCs w:val="20"/>
              </w:rPr>
              <w:t> </w:t>
            </w:r>
            <w:r>
              <w:rPr>
                <w:rFonts w:ascii="宋体" w:hAnsi="宋体" w:cs="宋体" w:eastAsia="宋体" w:hint="default"/>
                <w:sz w:val="20"/>
                <w:szCs w:val="20"/>
              </w:rPr>
              <w:t>资券的公告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B004</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B08</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15</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6" w:lineRule="auto"/>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91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Arial" w:hAnsi="Arial" w:cs="Arial" w:eastAsia="Arial" w:hint="default"/>
                <w:sz w:val="20"/>
                <w:szCs w:val="20"/>
              </w:rPr>
            </w:pPr>
            <w:r>
              <w:rPr>
                <w:rFonts w:ascii="宋体" w:hAnsi="宋体" w:cs="宋体" w:eastAsia="宋体" w:hint="default"/>
                <w:sz w:val="20"/>
                <w:szCs w:val="20"/>
              </w:rPr>
              <w:t>联通运营公司完成发行</w:t>
            </w:r>
            <w:r>
              <w:rPr>
                <w:rFonts w:ascii="宋体" w:hAnsi="宋体" w:cs="宋体" w:eastAsia="宋体" w:hint="default"/>
                <w:spacing w:val="-56"/>
                <w:sz w:val="20"/>
                <w:szCs w:val="20"/>
              </w:rPr>
              <w:t> </w:t>
            </w:r>
            <w:r>
              <w:rPr>
                <w:rFonts w:ascii="Arial" w:hAnsi="Arial" w:cs="Arial" w:eastAsia="Arial" w:hint="default"/>
                <w:sz w:val="20"/>
                <w:szCs w:val="20"/>
              </w:rPr>
              <w:t>2011</w:t>
            </w:r>
          </w:p>
          <w:p>
            <w:pPr>
              <w:pStyle w:val="TableParagraph"/>
              <w:spacing w:line="273" w:lineRule="auto" w:before="21"/>
              <w:ind w:left="100" w:right="191"/>
              <w:jc w:val="left"/>
              <w:rPr>
                <w:rFonts w:ascii="宋体" w:hAnsi="宋体" w:cs="宋体" w:eastAsia="宋体" w:hint="default"/>
                <w:sz w:val="20"/>
                <w:szCs w:val="20"/>
              </w:rPr>
            </w:pPr>
            <w:r>
              <w:rPr>
                <w:rFonts w:ascii="宋体" w:hAnsi="宋体" w:cs="宋体" w:eastAsia="宋体" w:hint="default"/>
                <w:sz w:val="20"/>
                <w:szCs w:val="20"/>
              </w:rPr>
              <w:t>年度第三期及第四期超短期</w:t>
            </w:r>
            <w:r>
              <w:rPr>
                <w:rFonts w:ascii="宋体" w:hAnsi="宋体" w:cs="宋体" w:eastAsia="宋体" w:hint="default"/>
                <w:w w:val="100"/>
                <w:sz w:val="20"/>
                <w:szCs w:val="20"/>
              </w:rPr>
              <w:t> </w:t>
            </w:r>
            <w:r>
              <w:rPr>
                <w:rFonts w:ascii="宋体" w:hAnsi="宋体" w:cs="宋体" w:eastAsia="宋体" w:hint="default"/>
                <w:sz w:val="20"/>
                <w:szCs w:val="20"/>
              </w:rPr>
              <w:t>融资券的公告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B012</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6" w:lineRule="auto"/>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8"/>
                <w:sz w:val="20"/>
                <w:szCs w:val="20"/>
              </w:rPr>
              <w:t> </w:t>
            </w:r>
            <w:r>
              <w:rPr>
                <w:rFonts w:ascii="Arial" w:hAnsi="Arial" w:cs="Arial" w:eastAsia="Arial" w:hint="default"/>
                <w:sz w:val="20"/>
                <w:szCs w:val="20"/>
              </w:rPr>
              <w:t>2011</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Arial" w:hAnsi="Arial" w:cs="Arial" w:eastAsia="Arial" w:hint="default"/>
                <w:sz w:val="20"/>
                <w:szCs w:val="20"/>
              </w:rPr>
              <w:t>8</w:t>
            </w:r>
            <w:r>
              <w:rPr>
                <w:rFonts w:ascii="Arial" w:hAnsi="Arial" w:cs="Arial" w:eastAsia="Arial" w:hint="default"/>
                <w:spacing w:val="-23"/>
                <w:sz w:val="20"/>
                <w:szCs w:val="20"/>
              </w:rPr>
              <w:t> </w:t>
            </w:r>
            <w:r>
              <w:rPr>
                <w:rFonts w:ascii="宋体" w:hAnsi="宋体" w:cs="宋体" w:eastAsia="宋体" w:hint="default"/>
                <w:sz w:val="20"/>
                <w:szCs w:val="20"/>
              </w:rPr>
              <w:t>月份业务数据</w:t>
            </w:r>
          </w:p>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B012</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联通运营公司发行</w:t>
            </w:r>
            <w:r>
              <w:rPr>
                <w:rFonts w:ascii="宋体" w:hAnsi="宋体" w:cs="宋体" w:eastAsia="宋体" w:hint="default"/>
                <w:spacing w:val="-52"/>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sz w:val="20"/>
                <w:szCs w:val="20"/>
              </w:rPr>
              <w:t>第二期短期融资券的公告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B004</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25</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15</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8"/>
                <w:sz w:val="20"/>
                <w:szCs w:val="20"/>
              </w:rPr>
              <w:t> </w:t>
            </w:r>
            <w:r>
              <w:rPr>
                <w:rFonts w:ascii="Arial" w:hAnsi="Arial" w:cs="Arial" w:eastAsia="Arial" w:hint="default"/>
                <w:sz w:val="20"/>
                <w:szCs w:val="20"/>
              </w:rPr>
              <w:t>2011</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Arial" w:hAnsi="Arial" w:cs="Arial" w:eastAsia="Arial" w:hint="default"/>
                <w:sz w:val="20"/>
                <w:szCs w:val="20"/>
              </w:rPr>
              <w:t>9</w:t>
            </w:r>
            <w:r>
              <w:rPr>
                <w:rFonts w:ascii="Arial" w:hAnsi="Arial" w:cs="Arial" w:eastAsia="Arial" w:hint="default"/>
                <w:spacing w:val="-23"/>
                <w:sz w:val="20"/>
                <w:szCs w:val="20"/>
              </w:rPr>
              <w:t> </w:t>
            </w:r>
            <w:r>
              <w:rPr>
                <w:rFonts w:ascii="宋体" w:hAnsi="宋体" w:cs="宋体" w:eastAsia="宋体" w:hint="default"/>
                <w:sz w:val="20"/>
                <w:szCs w:val="20"/>
              </w:rPr>
              <w:t>月份业务数据</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B004</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0"/>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9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Arial" w:hAnsi="Arial" w:cs="Arial" w:eastAsia="Arial" w:hint="default"/>
                <w:sz w:val="20"/>
                <w:szCs w:val="20"/>
              </w:rPr>
            </w:pPr>
            <w:r>
              <w:rPr>
                <w:rFonts w:ascii="宋体" w:hAnsi="宋体" w:cs="宋体" w:eastAsia="宋体" w:hint="default"/>
                <w:sz w:val="20"/>
                <w:szCs w:val="20"/>
              </w:rPr>
              <w:t>联通运营公司完成发行</w:t>
            </w:r>
            <w:r>
              <w:rPr>
                <w:rFonts w:ascii="宋体" w:hAnsi="宋体" w:cs="宋体" w:eastAsia="宋体" w:hint="default"/>
                <w:spacing w:val="-56"/>
                <w:sz w:val="20"/>
                <w:szCs w:val="20"/>
              </w:rPr>
              <w:t> </w:t>
            </w:r>
            <w:r>
              <w:rPr>
                <w:rFonts w:ascii="Arial" w:hAnsi="Arial" w:cs="Arial" w:eastAsia="Arial" w:hint="default"/>
                <w:sz w:val="20"/>
                <w:szCs w:val="20"/>
              </w:rPr>
              <w:t>2011</w:t>
            </w:r>
          </w:p>
          <w:p>
            <w:pPr>
              <w:pStyle w:val="TableParagraph"/>
              <w:spacing w:line="273" w:lineRule="auto" w:before="21"/>
              <w:ind w:left="100" w:right="191"/>
              <w:jc w:val="left"/>
              <w:rPr>
                <w:rFonts w:ascii="宋体" w:hAnsi="宋体" w:cs="宋体" w:eastAsia="宋体" w:hint="default"/>
                <w:sz w:val="20"/>
                <w:szCs w:val="20"/>
              </w:rPr>
            </w:pPr>
            <w:r>
              <w:rPr>
                <w:rFonts w:ascii="宋体" w:hAnsi="宋体" w:cs="宋体" w:eastAsia="宋体" w:hint="default"/>
                <w:sz w:val="20"/>
                <w:szCs w:val="20"/>
              </w:rPr>
              <w:t>年度第二期短期融资券的公</w:t>
            </w:r>
            <w:r>
              <w:rPr>
                <w:rFonts w:ascii="宋体" w:hAnsi="宋体" w:cs="宋体" w:eastAsia="宋体" w:hint="default"/>
                <w:w w:val="100"/>
                <w:sz w:val="20"/>
                <w:szCs w:val="20"/>
              </w:rPr>
              <w:t> </w:t>
            </w:r>
            <w:r>
              <w:rPr>
                <w:rFonts w:ascii="宋体" w:hAnsi="宋体" w:cs="宋体" w:eastAsia="宋体" w:hint="default"/>
                <w:sz w:val="20"/>
                <w:szCs w:val="20"/>
              </w:rPr>
              <w:t>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B032</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41</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22</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6" w:lineRule="auto"/>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bl>
    <w:p>
      <w:pPr>
        <w:spacing w:after="0" w:line="276" w:lineRule="auto"/>
        <w:jc w:val="left"/>
        <w:rPr>
          <w:rFonts w:ascii="Arial" w:hAnsi="Arial" w:cs="Arial" w:eastAsia="Arial" w:hint="default"/>
          <w:sz w:val="20"/>
          <w:szCs w:val="20"/>
        </w:rPr>
        <w:sectPr>
          <w:pgSz w:w="11900" w:h="16840"/>
          <w:pgMar w:header="927" w:footer="752" w:top="1160" w:bottom="940" w:left="134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2710"/>
        <w:gridCol w:w="2161"/>
        <w:gridCol w:w="1934"/>
        <w:gridCol w:w="2509"/>
      </w:tblGrid>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年第三季度报告</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sz w:val="20"/>
                <w:szCs w:val="20"/>
              </w:rPr>
              <w:t>摘要</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B043</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28</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1"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0" w:right="0"/>
              <w:jc w:val="left"/>
              <w:rPr>
                <w:rFonts w:ascii="宋体" w:hAnsi="宋体" w:cs="宋体" w:eastAsia="宋体" w:hint="default"/>
                <w:sz w:val="20"/>
                <w:szCs w:val="20"/>
              </w:rPr>
            </w:pPr>
            <w:r>
              <w:rPr>
                <w:rFonts w:ascii="宋体" w:hAnsi="宋体" w:cs="宋体" w:eastAsia="宋体" w:hint="default"/>
                <w:sz w:val="20"/>
                <w:szCs w:val="20"/>
              </w:rPr>
              <w:t>公司澄清公告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B008</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11</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0"/>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91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联通运营公司发行</w:t>
            </w:r>
            <w:r>
              <w:rPr>
                <w:rFonts w:ascii="宋体" w:hAnsi="宋体" w:cs="宋体" w:eastAsia="宋体" w:hint="default"/>
                <w:spacing w:val="-52"/>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w:t>
            </w:r>
          </w:p>
          <w:p>
            <w:pPr>
              <w:pStyle w:val="TableParagraph"/>
              <w:spacing w:line="273" w:lineRule="auto" w:before="21"/>
              <w:ind w:left="100" w:right="191"/>
              <w:jc w:val="left"/>
              <w:rPr>
                <w:rFonts w:ascii="宋体" w:hAnsi="宋体" w:cs="宋体" w:eastAsia="宋体" w:hint="default"/>
                <w:sz w:val="20"/>
                <w:szCs w:val="20"/>
              </w:rPr>
            </w:pPr>
            <w:r>
              <w:rPr>
                <w:rFonts w:ascii="宋体" w:hAnsi="宋体" w:cs="宋体" w:eastAsia="宋体" w:hint="default"/>
                <w:sz w:val="20"/>
                <w:szCs w:val="20"/>
              </w:rPr>
              <w:t>度第五期超短期融资券的公</w:t>
            </w:r>
            <w:r>
              <w:rPr>
                <w:rFonts w:ascii="宋体" w:hAnsi="宋体" w:cs="宋体" w:eastAsia="宋体" w:hint="default"/>
                <w:w w:val="100"/>
                <w:sz w:val="20"/>
                <w:szCs w:val="20"/>
              </w:rPr>
              <w:t> </w:t>
            </w:r>
            <w:r>
              <w:rPr>
                <w:rFonts w:ascii="宋体" w:hAnsi="宋体" w:cs="宋体" w:eastAsia="宋体" w:hint="default"/>
                <w:sz w:val="20"/>
                <w:szCs w:val="20"/>
              </w:rPr>
              <w:t>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B005</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11</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18</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6" w:lineRule="auto"/>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6"/>
                <w:sz w:val="20"/>
                <w:szCs w:val="20"/>
              </w:rPr>
              <w:t> </w:t>
            </w:r>
            <w:r>
              <w:rPr>
                <w:rFonts w:ascii="宋体" w:hAnsi="宋体" w:cs="宋体" w:eastAsia="宋体" w:hint="default"/>
                <w:sz w:val="20"/>
                <w:szCs w:val="20"/>
              </w:rPr>
              <w:t>月份业务数</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sz w:val="20"/>
                <w:szCs w:val="20"/>
              </w:rPr>
              <w:t>据公告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A16</w:t>
            </w:r>
            <w:r>
              <w:rPr>
                <w:rFonts w:ascii="宋体" w:hAnsi="宋体" w:cs="宋体" w:eastAsia="宋体" w:hint="default"/>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19</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11</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19</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91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Arial" w:hAnsi="Arial" w:cs="Arial" w:eastAsia="Arial" w:hint="default"/>
                <w:sz w:val="20"/>
                <w:szCs w:val="20"/>
              </w:rPr>
            </w:pPr>
            <w:r>
              <w:rPr>
                <w:rFonts w:ascii="宋体" w:hAnsi="宋体" w:cs="宋体" w:eastAsia="宋体" w:hint="default"/>
                <w:sz w:val="20"/>
                <w:szCs w:val="20"/>
              </w:rPr>
              <w:t>联通运营公司完成发行</w:t>
            </w:r>
            <w:r>
              <w:rPr>
                <w:rFonts w:ascii="宋体" w:hAnsi="宋体" w:cs="宋体" w:eastAsia="宋体" w:hint="default"/>
                <w:spacing w:val="-56"/>
                <w:sz w:val="20"/>
                <w:szCs w:val="20"/>
              </w:rPr>
              <w:t> </w:t>
            </w:r>
            <w:r>
              <w:rPr>
                <w:rFonts w:ascii="Arial" w:hAnsi="Arial" w:cs="Arial" w:eastAsia="Arial" w:hint="default"/>
                <w:sz w:val="20"/>
                <w:szCs w:val="20"/>
              </w:rPr>
              <w:t>2011</w:t>
            </w:r>
          </w:p>
          <w:p>
            <w:pPr>
              <w:pStyle w:val="TableParagraph"/>
              <w:spacing w:line="273" w:lineRule="auto" w:before="21"/>
              <w:ind w:left="100" w:right="191"/>
              <w:jc w:val="left"/>
              <w:rPr>
                <w:rFonts w:ascii="宋体" w:hAnsi="宋体" w:cs="宋体" w:eastAsia="宋体" w:hint="default"/>
                <w:sz w:val="20"/>
                <w:szCs w:val="20"/>
              </w:rPr>
            </w:pPr>
            <w:r>
              <w:rPr>
                <w:rFonts w:ascii="宋体" w:hAnsi="宋体" w:cs="宋体" w:eastAsia="宋体" w:hint="default"/>
                <w:sz w:val="20"/>
                <w:szCs w:val="20"/>
              </w:rPr>
              <w:t>年度第五期超短期融资券的</w:t>
            </w:r>
            <w:r>
              <w:rPr>
                <w:rFonts w:ascii="宋体" w:hAnsi="宋体" w:cs="宋体" w:eastAsia="宋体" w:hint="default"/>
                <w:w w:val="100"/>
                <w:sz w:val="20"/>
                <w:szCs w:val="20"/>
              </w:rPr>
              <w:t> </w:t>
            </w: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B013</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11</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23</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6" w:lineRule="auto"/>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关于反垄断调查情况进展的</w:t>
            </w:r>
          </w:p>
          <w:p>
            <w:pPr>
              <w:pStyle w:val="TableParagraph"/>
              <w:spacing w:line="240" w:lineRule="auto" w:before="36"/>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B005</w:t>
            </w:r>
            <w:r>
              <w:rPr>
                <w:rFonts w:ascii="宋体" w:hAnsi="宋体" w:cs="宋体" w:eastAsia="宋体" w:hint="default"/>
                <w:spacing w:val="-3"/>
                <w:sz w:val="20"/>
                <w:szCs w:val="20"/>
              </w:rPr>
              <w:t>；</w:t>
            </w:r>
          </w:p>
          <w:p>
            <w:pPr>
              <w:pStyle w:val="TableParagraph"/>
              <w:spacing w:line="240" w:lineRule="auto" w:before="21"/>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25</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r>
        <w:trPr>
          <w:trHeight w:val="612"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11</w:t>
            </w:r>
            <w:r>
              <w:rPr>
                <w:rFonts w:ascii="Arial" w:hAnsi="Arial" w:cs="Arial" w:eastAsia="Arial" w:hint="default"/>
                <w:spacing w:val="-6"/>
                <w:sz w:val="20"/>
                <w:szCs w:val="20"/>
              </w:rPr>
              <w:t> </w:t>
            </w:r>
            <w:r>
              <w:rPr>
                <w:rFonts w:ascii="宋体" w:hAnsi="宋体" w:cs="宋体" w:eastAsia="宋体" w:hint="default"/>
                <w:sz w:val="20"/>
                <w:szCs w:val="20"/>
              </w:rPr>
              <w:t>月份业务数</w:t>
            </w:r>
          </w:p>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sz w:val="20"/>
                <w:szCs w:val="20"/>
              </w:rPr>
              <w:t>据公告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pacing w:val="-3"/>
                <w:sz w:val="20"/>
                <w:szCs w:val="20"/>
              </w:rPr>
              <w:t>《中国证券报》</w:t>
            </w:r>
            <w:r>
              <w:rPr>
                <w:rFonts w:ascii="Arial" w:hAnsi="Arial" w:cs="Arial" w:eastAsia="Arial" w:hint="default"/>
                <w:spacing w:val="-3"/>
                <w:sz w:val="20"/>
                <w:szCs w:val="20"/>
              </w:rPr>
              <w:t>B009</w:t>
            </w:r>
            <w:r>
              <w:rPr>
                <w:rFonts w:ascii="宋体" w:hAnsi="宋体" w:cs="宋体" w:eastAsia="宋体" w:hint="default"/>
                <w:spacing w:val="-3"/>
                <w:sz w:val="20"/>
                <w:szCs w:val="20"/>
              </w:rPr>
              <w:t>；</w:t>
            </w:r>
          </w:p>
          <w:p>
            <w:pPr>
              <w:pStyle w:val="TableParagraph"/>
              <w:spacing w:line="240" w:lineRule="auto" w:before="23"/>
              <w:ind w:left="99"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B8</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32"/>
              <w:ind w:left="100" w:right="168"/>
              <w:jc w:val="left"/>
              <w:rPr>
                <w:rFonts w:ascii="Arial" w:hAnsi="Arial" w:cs="Arial" w:eastAsia="Arial" w:hint="default"/>
                <w:sz w:val="20"/>
                <w:szCs w:val="20"/>
              </w:rPr>
            </w:pPr>
            <w:hyperlink r:id="rId12">
              <w:r>
                <w:rPr>
                  <w:rFonts w:ascii="Arial"/>
                  <w:sz w:val="20"/>
                </w:rPr>
                <w:t>www.sse.com.cn</w:t>
              </w:r>
            </w:hyperlink>
            <w:r>
              <w:rPr>
                <w:rFonts w:ascii="Arial"/>
                <w:w w:val="100"/>
                <w:sz w:val="20"/>
              </w:rPr>
              <w:t> </w:t>
            </w:r>
            <w:hyperlink r:id="rId10">
              <w:r>
                <w:rPr>
                  <w:rFonts w:ascii="Arial"/>
                  <w:sz w:val="20"/>
                </w:rPr>
                <w:t>www.chinaunicom-a.com</w:t>
              </w:r>
            </w:hyperlink>
          </w:p>
        </w:tc>
      </w:tr>
    </w:tbl>
    <w:p>
      <w:pPr>
        <w:spacing w:line="240" w:lineRule="auto" w:before="1"/>
        <w:rPr>
          <w:rFonts w:ascii="Times New Roman" w:hAnsi="Times New Roman" w:cs="Times New Roman" w:eastAsia="Times New Roman" w:hint="default"/>
          <w:sz w:val="16"/>
          <w:szCs w:val="16"/>
        </w:rPr>
      </w:pPr>
    </w:p>
    <w:p>
      <w:pPr>
        <w:pStyle w:val="BodyText"/>
        <w:spacing w:line="240" w:lineRule="auto" w:before="31"/>
        <w:ind w:left="145" w:right="0"/>
        <w:jc w:val="left"/>
      </w:pPr>
      <w:r>
        <w:rPr/>
        <w:t>十一、财务报告</w:t>
      </w:r>
    </w:p>
    <w:p>
      <w:pPr>
        <w:spacing w:after="0" w:line="240" w:lineRule="auto"/>
        <w:jc w:val="left"/>
        <w:sectPr>
          <w:pgSz w:w="11900" w:h="16840"/>
          <w:pgMar w:header="927" w:footer="752" w:top="1160" w:bottom="940" w:left="134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8"/>
        <w:ind w:right="0"/>
        <w:jc w:val="left"/>
      </w:pPr>
      <w:r>
        <w:rPr/>
        <w:t>中国联合网络通信股份有限公司</w:t>
      </w:r>
    </w:p>
    <w:p>
      <w:pPr>
        <w:spacing w:line="240" w:lineRule="auto" w:before="6"/>
        <w:rPr>
          <w:rFonts w:ascii="黑体" w:hAnsi="黑体" w:cs="黑体" w:eastAsia="黑体" w:hint="default"/>
          <w:sz w:val="29"/>
          <w:szCs w:val="29"/>
        </w:rPr>
      </w:pPr>
    </w:p>
    <w:p>
      <w:pPr>
        <w:spacing w:before="0"/>
        <w:ind w:left="692" w:right="0" w:firstLine="0"/>
        <w:jc w:val="left"/>
        <w:rPr>
          <w:rFonts w:ascii="黑体" w:hAnsi="黑体" w:cs="黑体" w:eastAsia="黑体" w:hint="default"/>
          <w:sz w:val="30"/>
          <w:szCs w:val="30"/>
        </w:rPr>
      </w:pPr>
      <w:r>
        <w:rPr>
          <w:rFonts w:ascii="Arial" w:hAnsi="Arial" w:cs="Arial" w:eastAsia="Arial" w:hint="default"/>
          <w:sz w:val="30"/>
          <w:szCs w:val="30"/>
        </w:rPr>
        <w:t>2011</w:t>
      </w:r>
      <w:r>
        <w:rPr>
          <w:rFonts w:ascii="Arial" w:hAnsi="Arial" w:cs="Arial" w:eastAsia="Arial" w:hint="default"/>
          <w:spacing w:val="-13"/>
          <w:sz w:val="30"/>
          <w:szCs w:val="30"/>
        </w:rPr>
        <w:t> </w:t>
      </w:r>
      <w:r>
        <w:rPr>
          <w:rFonts w:ascii="黑体" w:hAnsi="黑体" w:cs="黑体" w:eastAsia="黑体" w:hint="default"/>
          <w:sz w:val="30"/>
          <w:szCs w:val="30"/>
        </w:rPr>
        <w:t>年度财务报表及审计报告</w:t>
      </w:r>
    </w:p>
    <w:p>
      <w:pPr>
        <w:spacing w:after="0"/>
        <w:jc w:val="left"/>
        <w:rPr>
          <w:rFonts w:ascii="黑体" w:hAnsi="黑体" w:cs="黑体" w:eastAsia="黑体" w:hint="default"/>
          <w:sz w:val="30"/>
          <w:szCs w:val="30"/>
        </w:rPr>
        <w:sectPr>
          <w:headerReference w:type="default" r:id="rId15"/>
          <w:footerReference w:type="default" r:id="rId16"/>
          <w:pgSz w:w="11900" w:h="16840"/>
          <w:pgMar w:header="0" w:footer="752" w:top="1600" w:bottom="940" w:left="1680" w:right="1680"/>
        </w:sectPr>
      </w:pPr>
    </w:p>
    <w:p>
      <w:pPr>
        <w:spacing w:line="240" w:lineRule="auto" w:before="5"/>
        <w:rPr>
          <w:rFonts w:ascii="黑体" w:hAnsi="黑体" w:cs="黑体" w:eastAsia="黑体" w:hint="default"/>
          <w:sz w:val="2"/>
          <w:szCs w:val="2"/>
        </w:rPr>
      </w:pPr>
    </w:p>
    <w:p>
      <w:pPr>
        <w:tabs>
          <w:tab w:pos="8904" w:val="left" w:leader="none"/>
        </w:tabs>
        <w:spacing w:line="564" w:lineRule="exact"/>
        <w:ind w:left="104" w:right="0" w:firstLine="0"/>
        <w:rPr>
          <w:rFonts w:ascii="黑体" w:hAnsi="黑体" w:cs="黑体" w:eastAsia="黑体" w:hint="default"/>
          <w:sz w:val="20"/>
          <w:szCs w:val="20"/>
        </w:rPr>
      </w:pPr>
      <w:r>
        <w:rPr>
          <w:rFonts w:ascii="黑体"/>
          <w:position w:val="-10"/>
          <w:sz w:val="20"/>
        </w:rPr>
        <w:drawing>
          <wp:inline distT="0" distB="0" distL="0" distR="0">
            <wp:extent cx="729996" cy="272796"/>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9" cstate="print"/>
                    <a:stretch>
                      <a:fillRect/>
                    </a:stretch>
                  </pic:blipFill>
                  <pic:spPr>
                    <a:xfrm>
                      <a:off x="0" y="0"/>
                      <a:ext cx="729996" cy="272796"/>
                    </a:xfrm>
                    <a:prstGeom prst="rect">
                      <a:avLst/>
                    </a:prstGeom>
                  </pic:spPr>
                </pic:pic>
              </a:graphicData>
            </a:graphic>
          </wp:inline>
        </w:drawing>
      </w:r>
      <w:r>
        <w:rPr>
          <w:rFonts w:ascii="黑体"/>
          <w:position w:val="-10"/>
          <w:sz w:val="20"/>
        </w:rPr>
      </w:r>
      <w:r>
        <w:rPr>
          <w:rFonts w:ascii="黑体"/>
          <w:position w:val="-10"/>
          <w:sz w:val="20"/>
        </w:rPr>
        <w:tab/>
      </w:r>
      <w:r>
        <w:rPr>
          <w:rFonts w:ascii="黑体"/>
          <w:position w:val="14"/>
          <w:sz w:val="20"/>
        </w:rPr>
        <w:pict>
          <v:group style="width:63.8pt;height:15.5pt;mso-position-horizontal-relative:char;mso-position-vertical-relative:line" coordorigin="0,0" coordsize="1276,310">
            <v:shape style="position:absolute;left:978;top:10;width:298;height:276" type="#_x0000_t75" stroked="false">
              <v:imagedata r:id="rId20" o:title=""/>
            </v:shape>
            <v:shape style="position:absolute;left:658;top:17;width:287;height:282" type="#_x0000_t75" stroked="false">
              <v:imagedata r:id="rId21" o:title=""/>
            </v:shape>
            <v:shape style="position:absolute;left:0;top:0;width:294;height:304" type="#_x0000_t75" stroked="false">
              <v:imagedata r:id="rId22" o:title=""/>
            </v:shape>
            <v:shape style="position:absolute;left:338;top:13;width:272;height:296" type="#_x0000_t75" stroked="false">
              <v:imagedata r:id="rId23" o:title=""/>
            </v:shape>
          </v:group>
        </w:pict>
      </w:r>
      <w:r>
        <w:rPr>
          <w:rFonts w:ascii="黑体"/>
          <w:position w:val="14"/>
          <w:sz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1"/>
          <w:szCs w:val="21"/>
        </w:rPr>
      </w:pPr>
    </w:p>
    <w:p>
      <w:pPr>
        <w:pStyle w:val="Heading2"/>
        <w:spacing w:line="240" w:lineRule="auto" w:before="26"/>
        <w:ind w:left="4875" w:right="4290"/>
        <w:jc w:val="center"/>
        <w:rPr>
          <w:rFonts w:ascii="黑体" w:hAnsi="黑体" w:cs="黑体" w:eastAsia="黑体" w:hint="default"/>
        </w:rPr>
      </w:pPr>
      <w:r>
        <w:rPr>
          <w:rFonts w:ascii="黑体" w:hAnsi="黑体" w:cs="黑体" w:eastAsia="黑体" w:hint="default"/>
        </w:rPr>
        <w:t>审计报告</w:t>
      </w:r>
    </w:p>
    <w:p>
      <w:pPr>
        <w:spacing w:line="240" w:lineRule="auto" w:before="0"/>
        <w:rPr>
          <w:rFonts w:ascii="黑体" w:hAnsi="黑体" w:cs="黑体" w:eastAsia="黑体" w:hint="default"/>
          <w:sz w:val="24"/>
          <w:szCs w:val="24"/>
        </w:rPr>
      </w:pPr>
    </w:p>
    <w:p>
      <w:pPr>
        <w:spacing w:line="322" w:lineRule="exact" w:before="206"/>
        <w:ind w:left="0" w:right="503" w:firstLine="0"/>
        <w:jc w:val="right"/>
        <w:rPr>
          <w:rFonts w:ascii="宋体" w:hAnsi="宋体" w:cs="宋体" w:eastAsia="宋体" w:hint="default"/>
          <w:sz w:val="24"/>
          <w:szCs w:val="24"/>
        </w:rPr>
      </w:pPr>
      <w:r>
        <w:rPr>
          <w:rFonts w:ascii="宋体" w:hAnsi="宋体" w:cs="宋体" w:eastAsia="宋体" w:hint="default"/>
          <w:sz w:val="24"/>
          <w:szCs w:val="24"/>
        </w:rPr>
        <w:t>普华永道中天审字</w:t>
      </w:r>
      <w:r>
        <w:rPr>
          <w:rFonts w:ascii="Georgia" w:hAnsi="Georgia" w:cs="Georgia" w:eastAsia="Georgia" w:hint="default"/>
          <w:sz w:val="24"/>
          <w:szCs w:val="24"/>
        </w:rPr>
        <w:t>(2012)</w:t>
      </w:r>
      <w:r>
        <w:rPr>
          <w:rFonts w:ascii="宋体" w:hAnsi="宋体" w:cs="宋体" w:eastAsia="宋体" w:hint="default"/>
          <w:sz w:val="24"/>
          <w:szCs w:val="24"/>
        </w:rPr>
        <w:t>第</w:t>
      </w:r>
      <w:r>
        <w:rPr>
          <w:rFonts w:ascii="宋体" w:hAnsi="宋体" w:cs="宋体" w:eastAsia="宋体" w:hint="default"/>
          <w:spacing w:val="-63"/>
          <w:sz w:val="24"/>
          <w:szCs w:val="24"/>
        </w:rPr>
        <w:t> </w:t>
      </w:r>
      <w:r>
        <w:rPr>
          <w:rFonts w:ascii="Georgia" w:hAnsi="Georgia" w:cs="Georgia" w:eastAsia="Georgia" w:hint="default"/>
          <w:sz w:val="24"/>
          <w:szCs w:val="24"/>
        </w:rPr>
        <w:t>10006</w:t>
      </w:r>
      <w:r>
        <w:rPr>
          <w:rFonts w:ascii="Georgia" w:hAnsi="Georgia" w:cs="Georgia" w:eastAsia="Georgia" w:hint="default"/>
          <w:spacing w:val="-2"/>
          <w:sz w:val="24"/>
          <w:szCs w:val="24"/>
        </w:rPr>
        <w:t> </w:t>
      </w:r>
      <w:r>
        <w:rPr>
          <w:rFonts w:ascii="宋体" w:hAnsi="宋体" w:cs="宋体" w:eastAsia="宋体" w:hint="default"/>
          <w:sz w:val="24"/>
          <w:szCs w:val="24"/>
        </w:rPr>
        <w:t>号</w:t>
      </w:r>
    </w:p>
    <w:p>
      <w:pPr>
        <w:spacing w:line="303" w:lineRule="exact" w:before="0"/>
        <w:ind w:left="0" w:right="488" w:firstLine="0"/>
        <w:jc w:val="right"/>
        <w:rPr>
          <w:rFonts w:ascii="宋体" w:hAnsi="宋体" w:cs="宋体" w:eastAsia="宋体" w:hint="default"/>
          <w:sz w:val="24"/>
          <w:szCs w:val="24"/>
        </w:rPr>
      </w:pPr>
      <w:r>
        <w:rPr>
          <w:rFonts w:ascii="宋体" w:hAnsi="宋体" w:cs="宋体" w:eastAsia="宋体" w:hint="default"/>
          <w:sz w:val="24"/>
          <w:szCs w:val="24"/>
        </w:rPr>
        <w:t>（第一页，共二页）</w:t>
      </w:r>
    </w:p>
    <w:p>
      <w:pPr>
        <w:spacing w:line="240" w:lineRule="auto" w:before="9"/>
        <w:rPr>
          <w:rFonts w:ascii="宋体" w:hAnsi="宋体" w:cs="宋体" w:eastAsia="宋体" w:hint="default"/>
          <w:sz w:val="18"/>
          <w:szCs w:val="18"/>
        </w:rPr>
      </w:pPr>
    </w:p>
    <w:p>
      <w:pPr>
        <w:spacing w:before="26"/>
        <w:ind w:left="1076" w:right="0" w:firstLine="0"/>
        <w:jc w:val="both"/>
        <w:rPr>
          <w:rFonts w:ascii="宋体" w:hAnsi="宋体" w:cs="宋体" w:eastAsia="宋体" w:hint="default"/>
          <w:sz w:val="24"/>
          <w:szCs w:val="24"/>
        </w:rPr>
      </w:pPr>
      <w:r>
        <w:rPr>
          <w:rFonts w:ascii="宋体" w:hAnsi="宋体" w:cs="宋体" w:eastAsia="宋体" w:hint="default"/>
          <w:sz w:val="24"/>
          <w:szCs w:val="24"/>
        </w:rPr>
        <w:t>中国联合网络通信股份有限公司全体股东：</w:t>
      </w:r>
    </w:p>
    <w:p>
      <w:pPr>
        <w:spacing w:line="240" w:lineRule="auto" w:before="6"/>
        <w:rPr>
          <w:rFonts w:ascii="宋体" w:hAnsi="宋体" w:cs="宋体" w:eastAsia="宋体" w:hint="default"/>
          <w:sz w:val="21"/>
          <w:szCs w:val="21"/>
        </w:rPr>
      </w:pPr>
    </w:p>
    <w:p>
      <w:pPr>
        <w:spacing w:line="230" w:lineRule="auto" w:before="0"/>
        <w:ind w:left="1076" w:right="485" w:firstLine="0"/>
        <w:jc w:val="both"/>
        <w:rPr>
          <w:rFonts w:ascii="宋体" w:hAnsi="宋体" w:cs="宋体" w:eastAsia="宋体" w:hint="default"/>
          <w:sz w:val="24"/>
          <w:szCs w:val="24"/>
        </w:rPr>
      </w:pPr>
      <w:r>
        <w:rPr>
          <w:rFonts w:ascii="宋体" w:hAnsi="宋体" w:cs="宋体" w:eastAsia="宋体" w:hint="default"/>
          <w:sz w:val="24"/>
          <w:szCs w:val="24"/>
        </w:rPr>
        <w:t>我们审计了后附的中国联合网络通信股份有限公司（以下简称“贵公司”）的财务</w:t>
      </w:r>
      <w:r>
        <w:rPr>
          <w:rFonts w:ascii="宋体" w:hAnsi="宋体" w:cs="宋体" w:eastAsia="宋体" w:hint="default"/>
          <w:spacing w:val="-51"/>
          <w:sz w:val="24"/>
          <w:szCs w:val="24"/>
        </w:rPr>
        <w:t> </w:t>
      </w:r>
      <w:r>
        <w:rPr>
          <w:rFonts w:ascii="宋体" w:hAnsi="宋体" w:cs="宋体" w:eastAsia="宋体" w:hint="default"/>
          <w:spacing w:val="-51"/>
          <w:sz w:val="24"/>
          <w:szCs w:val="24"/>
        </w:rPr>
      </w:r>
      <w:r>
        <w:rPr>
          <w:rFonts w:ascii="宋体" w:hAnsi="宋体" w:cs="宋体" w:eastAsia="宋体" w:hint="default"/>
          <w:spacing w:val="-12"/>
          <w:sz w:val="24"/>
          <w:szCs w:val="24"/>
        </w:rPr>
        <w:t>报表，包括</w:t>
      </w:r>
      <w:r>
        <w:rPr>
          <w:rFonts w:ascii="宋体" w:hAnsi="宋体" w:cs="宋体" w:eastAsia="宋体" w:hint="default"/>
          <w:spacing w:val="-62"/>
          <w:sz w:val="24"/>
          <w:szCs w:val="24"/>
        </w:rPr>
        <w:t> </w:t>
      </w:r>
      <w:r>
        <w:rPr>
          <w:rFonts w:ascii="Georgia" w:hAnsi="Georgia" w:cs="Georgia" w:eastAsia="Georgia" w:hint="default"/>
          <w:sz w:val="24"/>
          <w:szCs w:val="24"/>
        </w:rPr>
        <w:t>2011</w:t>
      </w:r>
      <w:r>
        <w:rPr>
          <w:rFonts w:ascii="Georgia" w:hAnsi="Georgia" w:cs="Georgia" w:eastAsia="Georgia"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Georgia" w:hAnsi="Georgia" w:cs="Georgia" w:eastAsia="Georgia" w:hint="default"/>
          <w:sz w:val="24"/>
          <w:szCs w:val="24"/>
        </w:rPr>
        <w:t>12</w:t>
      </w:r>
      <w:r>
        <w:rPr>
          <w:rFonts w:ascii="Georgia" w:hAnsi="Georgia" w:cs="Georgia" w:eastAsia="Georgia"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Georgia" w:hAnsi="Georgia" w:cs="Georgia" w:eastAsia="Georgia" w:hint="default"/>
          <w:sz w:val="24"/>
          <w:szCs w:val="24"/>
        </w:rPr>
        <w:t>31</w:t>
      </w:r>
      <w:r>
        <w:rPr>
          <w:rFonts w:ascii="Georgia" w:hAnsi="Georgia" w:cs="Georgia" w:eastAsia="Georgia" w:hint="default"/>
          <w:spacing w:val="2"/>
          <w:sz w:val="24"/>
          <w:szCs w:val="24"/>
        </w:rPr>
        <w:t> </w:t>
      </w:r>
      <w:r>
        <w:rPr>
          <w:rFonts w:ascii="宋体" w:hAnsi="宋体" w:cs="宋体" w:eastAsia="宋体" w:hint="default"/>
          <w:spacing w:val="-4"/>
          <w:sz w:val="24"/>
          <w:szCs w:val="24"/>
        </w:rPr>
        <w:t>日的合并及公司资产负债表，</w:t>
      </w:r>
      <w:r>
        <w:rPr>
          <w:rFonts w:ascii="Georgia" w:hAnsi="Georgia" w:cs="Georgia" w:eastAsia="Georgia" w:hint="default"/>
          <w:spacing w:val="-4"/>
          <w:sz w:val="24"/>
          <w:szCs w:val="24"/>
        </w:rPr>
        <w:t>2011</w:t>
      </w:r>
      <w:r>
        <w:rPr>
          <w:rFonts w:ascii="Georgia" w:hAnsi="Georgia" w:cs="Georgia" w:eastAsia="Georgia" w:hint="default"/>
          <w:spacing w:val="2"/>
          <w:sz w:val="24"/>
          <w:szCs w:val="24"/>
        </w:rPr>
        <w:t> </w:t>
      </w:r>
      <w:r>
        <w:rPr>
          <w:rFonts w:ascii="宋体" w:hAnsi="宋体" w:cs="宋体" w:eastAsia="宋体" w:hint="default"/>
          <w:sz w:val="24"/>
          <w:szCs w:val="24"/>
        </w:rPr>
        <w:t>年度的合并及公司利</w:t>
      </w:r>
      <w:r>
        <w:rPr>
          <w:rFonts w:ascii="宋体" w:hAnsi="宋体" w:cs="宋体" w:eastAsia="宋体" w:hint="default"/>
          <w:spacing w:val="-1"/>
          <w:sz w:val="24"/>
          <w:szCs w:val="24"/>
        </w:rPr>
        <w:t> </w:t>
      </w:r>
      <w:r>
        <w:rPr>
          <w:rFonts w:ascii="宋体" w:hAnsi="宋体" w:cs="宋体" w:eastAsia="宋体" w:hint="default"/>
          <w:sz w:val="24"/>
          <w:szCs w:val="24"/>
        </w:rPr>
        <w:t>润表、合并及公司股东权益变动表和合并及公司现金流量表以及财务报表附注。</w:t>
      </w:r>
    </w:p>
    <w:p>
      <w:pPr>
        <w:spacing w:line="580" w:lineRule="atLeast" w:before="5"/>
        <w:ind w:left="1076" w:right="2224" w:firstLine="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26"/>
          <w:sz w:val="24"/>
          <w:szCs w:val="24"/>
        </w:rPr>
        <w:t> </w:t>
      </w:r>
      <w:r>
        <w:rPr>
          <w:rFonts w:ascii="宋体" w:hAnsi="宋体" w:cs="宋体" w:eastAsia="宋体" w:hint="default"/>
          <w:sz w:val="24"/>
          <w:szCs w:val="24"/>
        </w:rPr>
        <w:t>管理层对财务报表的责任</w:t>
      </w:r>
      <w:r>
        <w:rPr>
          <w:rFonts w:ascii="宋体" w:hAnsi="宋体" w:cs="宋体" w:eastAsia="宋体" w:hint="default"/>
          <w:sz w:val="24"/>
          <w:szCs w:val="24"/>
        </w:rPr>
        <w:t> 编制和公允列报财务报表是贵公司管理层的责任。这种责任包括：</w:t>
      </w:r>
    </w:p>
    <w:p>
      <w:pPr>
        <w:spacing w:line="320" w:lineRule="exact" w:before="0"/>
        <w:ind w:left="1076" w:right="0" w:firstLine="0"/>
        <w:jc w:val="both"/>
        <w:rPr>
          <w:rFonts w:ascii="宋体" w:hAnsi="宋体" w:cs="宋体" w:eastAsia="宋体" w:hint="default"/>
          <w:sz w:val="24"/>
          <w:szCs w:val="24"/>
        </w:rPr>
      </w:pPr>
      <w:r>
        <w:rPr>
          <w:rFonts w:ascii="Georgia" w:hAnsi="Georgia" w:cs="Georgia" w:eastAsia="Georgia" w:hint="default"/>
          <w:sz w:val="24"/>
          <w:szCs w:val="24"/>
        </w:rPr>
        <w:t>(1)    </w:t>
      </w:r>
      <w:r>
        <w:rPr>
          <w:rFonts w:ascii="Georgia" w:hAnsi="Georgia" w:cs="Georgia" w:eastAsia="Georgia" w:hint="default"/>
          <w:spacing w:val="2"/>
          <w:sz w:val="24"/>
          <w:szCs w:val="24"/>
        </w:rPr>
        <w:t> </w:t>
      </w:r>
      <w:r>
        <w:rPr>
          <w:rFonts w:ascii="宋体" w:hAnsi="宋体" w:cs="宋体" w:eastAsia="宋体" w:hint="default"/>
          <w:sz w:val="24"/>
          <w:szCs w:val="24"/>
        </w:rPr>
        <w:t>按照企业会计准则的规定编制财务报表，并使其实现公允反映；</w:t>
      </w:r>
    </w:p>
    <w:p>
      <w:pPr>
        <w:tabs>
          <w:tab w:pos="1643" w:val="left" w:leader="none"/>
        </w:tabs>
        <w:spacing w:line="310" w:lineRule="exact" w:before="21"/>
        <w:ind w:left="1643" w:right="486" w:hanging="567"/>
        <w:jc w:val="left"/>
        <w:rPr>
          <w:rFonts w:ascii="宋体" w:hAnsi="宋体" w:cs="宋体" w:eastAsia="宋体" w:hint="default"/>
          <w:sz w:val="24"/>
          <w:szCs w:val="24"/>
        </w:rPr>
      </w:pPr>
      <w:r>
        <w:rPr>
          <w:rFonts w:ascii="Georgia" w:hAnsi="Georgia" w:cs="Georgia" w:eastAsia="Georgia" w:hint="default"/>
          <w:sz w:val="24"/>
          <w:szCs w:val="24"/>
        </w:rPr>
        <w:t>(2)</w:t>
        <w:tab/>
      </w:r>
      <w:r>
        <w:rPr>
          <w:rFonts w:ascii="宋体" w:hAnsi="宋体" w:cs="宋体" w:eastAsia="宋体" w:hint="default"/>
          <w:spacing w:val="-1"/>
          <w:sz w:val="24"/>
          <w:szCs w:val="24"/>
        </w:rPr>
        <w:t>设计、执行和维护必要的内部控制，以使财务报表不存在由于舞弊或错误导致</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的重大错报。</w:t>
      </w:r>
    </w:p>
    <w:p>
      <w:pPr>
        <w:spacing w:line="240" w:lineRule="auto" w:before="7"/>
        <w:rPr>
          <w:rFonts w:ascii="宋体" w:hAnsi="宋体" w:cs="宋体" w:eastAsia="宋体" w:hint="default"/>
          <w:sz w:val="18"/>
          <w:szCs w:val="18"/>
        </w:rPr>
      </w:pPr>
    </w:p>
    <w:p>
      <w:pPr>
        <w:spacing w:before="0"/>
        <w:ind w:left="1076" w:right="0" w:firstLine="0"/>
        <w:jc w:val="both"/>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26"/>
          <w:sz w:val="24"/>
          <w:szCs w:val="24"/>
        </w:rPr>
        <w:t> </w:t>
      </w:r>
      <w:r>
        <w:rPr>
          <w:rFonts w:ascii="宋体" w:hAnsi="宋体" w:cs="宋体" w:eastAsia="宋体" w:hint="default"/>
          <w:sz w:val="24"/>
          <w:szCs w:val="24"/>
        </w:rPr>
        <w:t>注册会计师的责任</w:t>
      </w:r>
    </w:p>
    <w:p>
      <w:pPr>
        <w:spacing w:line="240" w:lineRule="auto" w:before="11"/>
        <w:rPr>
          <w:rFonts w:ascii="宋体" w:hAnsi="宋体" w:cs="宋体" w:eastAsia="宋体" w:hint="default"/>
          <w:sz w:val="20"/>
          <w:szCs w:val="20"/>
        </w:rPr>
      </w:pPr>
    </w:p>
    <w:p>
      <w:pPr>
        <w:spacing w:line="237" w:lineRule="auto" w:before="0"/>
        <w:ind w:left="1076" w:right="485" w:firstLine="0"/>
        <w:jc w:val="both"/>
        <w:rPr>
          <w:rFonts w:ascii="宋体" w:hAnsi="宋体" w:cs="宋体" w:eastAsia="宋体" w:hint="default"/>
          <w:sz w:val="24"/>
          <w:szCs w:val="24"/>
        </w:rPr>
      </w:pPr>
      <w:r>
        <w:rPr>
          <w:rFonts w:ascii="宋体" w:hAnsi="宋体" w:cs="宋体" w:eastAsia="宋体" w:hint="default"/>
          <w:sz w:val="24"/>
          <w:szCs w:val="24"/>
        </w:rPr>
        <w:t>我们的责任是在执行审计工作的基础上对财务报表发表审计意见。我们按照中国注</w:t>
      </w:r>
      <w:r>
        <w:rPr>
          <w:rFonts w:ascii="宋体" w:hAnsi="宋体" w:cs="宋体" w:eastAsia="宋体" w:hint="default"/>
          <w:spacing w:val="-49"/>
          <w:sz w:val="24"/>
          <w:szCs w:val="24"/>
        </w:rPr>
        <w:t> </w:t>
      </w:r>
      <w:r>
        <w:rPr>
          <w:rFonts w:ascii="宋体" w:hAnsi="宋体" w:cs="宋体" w:eastAsia="宋体" w:hint="default"/>
          <w:sz w:val="24"/>
          <w:szCs w:val="24"/>
        </w:rPr>
        <w:t>册会计师审计准则的规定执行了审计工作。中国注册会计师审计准则要求我们遵守</w:t>
      </w:r>
      <w:r>
        <w:rPr>
          <w:rFonts w:ascii="宋体" w:hAnsi="宋体" w:cs="宋体" w:eastAsia="宋体" w:hint="default"/>
          <w:spacing w:val="-49"/>
          <w:sz w:val="24"/>
          <w:szCs w:val="24"/>
        </w:rPr>
        <w:t> </w:t>
      </w:r>
      <w:r>
        <w:rPr>
          <w:rFonts w:ascii="宋体" w:hAnsi="宋体" w:cs="宋体" w:eastAsia="宋体" w:hint="default"/>
          <w:sz w:val="24"/>
          <w:szCs w:val="24"/>
        </w:rPr>
        <w:t>中国注册会计师职业道德守则，计划和执行审计工作以对财务报表是否不存在重大</w:t>
      </w:r>
      <w:r>
        <w:rPr>
          <w:rFonts w:ascii="宋体" w:hAnsi="宋体" w:cs="宋体" w:eastAsia="宋体" w:hint="default"/>
          <w:spacing w:val="-49"/>
          <w:sz w:val="24"/>
          <w:szCs w:val="24"/>
        </w:rPr>
        <w:t> </w:t>
      </w:r>
      <w:r>
        <w:rPr>
          <w:rFonts w:ascii="宋体" w:hAnsi="宋体" w:cs="宋体" w:eastAsia="宋体" w:hint="default"/>
          <w:sz w:val="24"/>
          <w:szCs w:val="24"/>
        </w:rPr>
        <w:t>错报获取合理保证。</w:t>
      </w:r>
    </w:p>
    <w:p>
      <w:pPr>
        <w:spacing w:line="240" w:lineRule="auto" w:before="11"/>
        <w:rPr>
          <w:rFonts w:ascii="宋体" w:hAnsi="宋体" w:cs="宋体" w:eastAsia="宋体" w:hint="default"/>
          <w:sz w:val="20"/>
          <w:szCs w:val="20"/>
        </w:rPr>
      </w:pPr>
    </w:p>
    <w:p>
      <w:pPr>
        <w:spacing w:line="237" w:lineRule="auto" w:before="0"/>
        <w:ind w:left="1076" w:right="485" w:firstLine="0"/>
        <w:jc w:val="both"/>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审计工作涉及实施审计程序，以获取有关财务报表金额和披露的审计证据。选择的</w:t>
      </w:r>
      <w:r>
        <w:rPr>
          <w:rFonts w:ascii="宋体" w:hAnsi="宋体" w:cs="宋体" w:eastAsia="宋体" w:hint="default"/>
          <w:spacing w:val="-51"/>
          <w:sz w:val="24"/>
          <w:szCs w:val="24"/>
        </w:rPr>
        <w:t> </w:t>
      </w:r>
      <w:r>
        <w:rPr>
          <w:rFonts w:ascii="宋体" w:hAnsi="宋体" w:cs="宋体" w:eastAsia="宋体" w:hint="default"/>
          <w:spacing w:val="-51"/>
          <w:sz w:val="24"/>
          <w:szCs w:val="24"/>
        </w:rPr>
      </w:r>
      <w:r>
        <w:rPr>
          <w:rFonts w:ascii="宋体" w:hAnsi="宋体" w:cs="宋体" w:eastAsia="宋体" w:hint="default"/>
          <w:sz w:val="24"/>
          <w:szCs w:val="24"/>
        </w:rPr>
        <w:t>审计程序取决于注册会计师的判断，包括对由于舞弊或错误导致的财务报表重大错</w:t>
      </w:r>
      <w:r>
        <w:rPr>
          <w:rFonts w:ascii="宋体" w:hAnsi="宋体" w:cs="宋体" w:eastAsia="宋体" w:hint="default"/>
          <w:spacing w:val="-51"/>
          <w:sz w:val="24"/>
          <w:szCs w:val="24"/>
        </w:rPr>
        <w:t> </w:t>
      </w:r>
      <w:r>
        <w:rPr>
          <w:rFonts w:ascii="宋体" w:hAnsi="宋体" w:cs="宋体" w:eastAsia="宋体" w:hint="default"/>
          <w:spacing w:val="-51"/>
          <w:sz w:val="24"/>
          <w:szCs w:val="24"/>
        </w:rPr>
      </w:r>
      <w:r>
        <w:rPr>
          <w:rFonts w:ascii="宋体" w:hAnsi="宋体" w:cs="宋体" w:eastAsia="宋体" w:hint="default"/>
          <w:sz w:val="24"/>
          <w:szCs w:val="24"/>
        </w:rPr>
        <w:t>报风险的评估。在进行风险评估时，注册会计师考虑与财务报表编制和公允列报相</w:t>
      </w:r>
      <w:r>
        <w:rPr>
          <w:rFonts w:ascii="宋体" w:hAnsi="宋体" w:cs="宋体" w:eastAsia="宋体" w:hint="default"/>
          <w:spacing w:val="-51"/>
          <w:sz w:val="24"/>
          <w:szCs w:val="24"/>
        </w:rPr>
        <w:t> </w:t>
      </w:r>
      <w:r>
        <w:rPr>
          <w:rFonts w:ascii="宋体" w:hAnsi="宋体" w:cs="宋体" w:eastAsia="宋体" w:hint="default"/>
          <w:spacing w:val="-51"/>
          <w:sz w:val="24"/>
          <w:szCs w:val="24"/>
        </w:rPr>
      </w:r>
      <w:r>
        <w:rPr>
          <w:rFonts w:ascii="宋体" w:hAnsi="宋体" w:cs="宋体" w:eastAsia="宋体" w:hint="default"/>
          <w:sz w:val="24"/>
          <w:szCs w:val="24"/>
        </w:rPr>
        <w:t>关的内部控制，以设计恰当的审计程序。审计工作还包括评价管理层选用会计政策</w:t>
      </w:r>
      <w:r>
        <w:rPr>
          <w:rFonts w:ascii="宋体" w:hAnsi="宋体" w:cs="宋体" w:eastAsia="宋体" w:hint="default"/>
          <w:spacing w:val="-51"/>
          <w:sz w:val="24"/>
          <w:szCs w:val="24"/>
        </w:rPr>
        <w:t> </w:t>
      </w:r>
      <w:r>
        <w:rPr>
          <w:rFonts w:ascii="宋体" w:hAnsi="宋体" w:cs="宋体" w:eastAsia="宋体" w:hint="default"/>
          <w:spacing w:val="-51"/>
          <w:sz w:val="24"/>
          <w:szCs w:val="24"/>
        </w:rPr>
      </w:r>
      <w:r>
        <w:rPr>
          <w:rFonts w:ascii="宋体" w:hAnsi="宋体" w:cs="宋体" w:eastAsia="宋体" w:hint="default"/>
          <w:sz w:val="24"/>
          <w:szCs w:val="24"/>
        </w:rPr>
        <w:t>的恰当性和作出会计估计的合理性，以及评价财务报表的总体列报。</w:t>
      </w:r>
    </w:p>
    <w:p>
      <w:pPr>
        <w:spacing w:line="240" w:lineRule="auto" w:before="9"/>
        <w:rPr>
          <w:rFonts w:ascii="宋体" w:hAnsi="宋体" w:cs="宋体" w:eastAsia="宋体" w:hint="default"/>
          <w:sz w:val="20"/>
          <w:szCs w:val="20"/>
        </w:rPr>
      </w:pPr>
    </w:p>
    <w:p>
      <w:pPr>
        <w:spacing w:before="0"/>
        <w:ind w:left="1076" w:right="0" w:firstLine="0"/>
        <w:jc w:val="both"/>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143" w:lineRule="exact"/>
        <w:ind w:left="740" w:right="0" w:firstLine="0"/>
        <w:rPr>
          <w:rFonts w:ascii="宋体" w:hAnsi="宋体" w:cs="宋体" w:eastAsia="宋体" w:hint="default"/>
          <w:sz w:val="14"/>
          <w:szCs w:val="14"/>
        </w:rPr>
      </w:pPr>
      <w:r>
        <w:rPr>
          <w:rFonts w:ascii="宋体" w:hAnsi="宋体" w:cs="宋体" w:eastAsia="宋体" w:hint="default"/>
          <w:position w:val="-2"/>
          <w:sz w:val="14"/>
          <w:szCs w:val="14"/>
        </w:rPr>
        <w:pict>
          <v:group style="width:467.3pt;height:7.2pt;mso-position-horizontal-relative:char;mso-position-vertical-relative:line" coordorigin="0,0" coordsize="9346,144">
            <v:group style="position:absolute;left:10;top:10;width:9326;height:124" coordorigin="10,10" coordsize="9326,124">
              <v:shape style="position:absolute;left:10;top:10;width:9326;height:124" coordorigin="10,10" coordsize="9326,124" path="m10,134l10,10,9335,10e" filled="false" stroked="true" strokeweight="1pt" strokecolor="#000000">
                <v:path arrowok="t"/>
                <v:stroke dashstyle="dash"/>
              </v:shape>
            </v:group>
          </v:group>
        </w:pict>
      </w:r>
      <w:r>
        <w:rPr>
          <w:rFonts w:ascii="宋体" w:hAnsi="宋体" w:cs="宋体" w:eastAsia="宋体" w:hint="default"/>
          <w:position w:val="-2"/>
          <w:sz w:val="14"/>
          <w:szCs w:val="14"/>
        </w:rPr>
      </w:r>
    </w:p>
    <w:p>
      <w:pPr>
        <w:spacing w:line="241" w:lineRule="exact" w:before="72"/>
        <w:ind w:left="1093" w:right="2224" w:firstLine="0"/>
        <w:jc w:val="left"/>
        <w:rPr>
          <w:rFonts w:ascii="宋体" w:hAnsi="宋体" w:cs="宋体" w:eastAsia="宋体" w:hint="default"/>
          <w:sz w:val="19"/>
          <w:szCs w:val="19"/>
        </w:rPr>
      </w:pPr>
      <w:r>
        <w:rPr>
          <w:rFonts w:ascii="宋体" w:hAnsi="宋体" w:cs="宋体" w:eastAsia="宋体" w:hint="default"/>
          <w:i/>
          <w:sz w:val="19"/>
          <w:szCs w:val="19"/>
        </w:rPr>
        <w:t>普华永道中天会计师事务所有限公司</w:t>
      </w:r>
      <w:r>
        <w:rPr>
          <w:rFonts w:ascii="宋体" w:hAnsi="宋体" w:cs="宋体" w:eastAsia="宋体" w:hint="default"/>
          <w:sz w:val="19"/>
          <w:szCs w:val="19"/>
        </w:rPr>
      </w:r>
    </w:p>
    <w:p>
      <w:pPr>
        <w:spacing w:line="240" w:lineRule="exact" w:before="0"/>
        <w:ind w:left="1093" w:right="2224" w:firstLine="0"/>
        <w:jc w:val="left"/>
        <w:rPr>
          <w:rFonts w:ascii="Georgia" w:hAnsi="Georgia" w:cs="Georgia" w:eastAsia="Georgia" w:hint="default"/>
          <w:sz w:val="18"/>
          <w:szCs w:val="18"/>
        </w:rPr>
      </w:pPr>
      <w:r>
        <w:rPr>
          <w:rFonts w:ascii="宋体" w:hAnsi="宋体" w:cs="宋体" w:eastAsia="宋体" w:hint="default"/>
          <w:i/>
          <w:w w:val="95"/>
          <w:sz w:val="19"/>
          <w:szCs w:val="19"/>
        </w:rPr>
        <w:t>中国上海市黄浦区湖滨路</w:t>
      </w:r>
      <w:r>
        <w:rPr>
          <w:rFonts w:ascii="宋体" w:hAnsi="宋体" w:cs="宋体" w:eastAsia="宋体" w:hint="default"/>
          <w:i/>
          <w:spacing w:val="-42"/>
          <w:w w:val="95"/>
          <w:sz w:val="19"/>
          <w:szCs w:val="19"/>
        </w:rPr>
        <w:t> </w:t>
      </w:r>
      <w:r>
        <w:rPr>
          <w:rFonts w:ascii="Georgia" w:hAnsi="Georgia" w:cs="Georgia" w:eastAsia="Georgia" w:hint="default"/>
          <w:i/>
          <w:w w:val="95"/>
          <w:sz w:val="18"/>
          <w:szCs w:val="18"/>
        </w:rPr>
        <w:t>202</w:t>
      </w:r>
      <w:r>
        <w:rPr>
          <w:rFonts w:ascii="Georgia" w:hAnsi="Georgia" w:cs="Georgia" w:eastAsia="Georgia" w:hint="default"/>
          <w:i/>
          <w:spacing w:val="8"/>
          <w:w w:val="95"/>
          <w:sz w:val="18"/>
          <w:szCs w:val="18"/>
        </w:rPr>
        <w:t> </w:t>
      </w:r>
      <w:r>
        <w:rPr>
          <w:rFonts w:ascii="宋体" w:hAnsi="宋体" w:cs="宋体" w:eastAsia="宋体" w:hint="default"/>
          <w:i/>
          <w:w w:val="95"/>
          <w:sz w:val="19"/>
          <w:szCs w:val="19"/>
        </w:rPr>
        <w:t>号企业天地</w:t>
      </w:r>
      <w:r>
        <w:rPr>
          <w:rFonts w:ascii="宋体" w:hAnsi="宋体" w:cs="宋体" w:eastAsia="宋体" w:hint="default"/>
          <w:i/>
          <w:spacing w:val="-41"/>
          <w:w w:val="95"/>
          <w:sz w:val="19"/>
          <w:szCs w:val="19"/>
        </w:rPr>
        <w:t> </w:t>
      </w:r>
      <w:r>
        <w:rPr>
          <w:rFonts w:ascii="Georgia" w:hAnsi="Georgia" w:cs="Georgia" w:eastAsia="Georgia" w:hint="default"/>
          <w:i/>
          <w:w w:val="95"/>
          <w:sz w:val="18"/>
          <w:szCs w:val="18"/>
        </w:rPr>
        <w:t>2</w:t>
      </w:r>
      <w:r>
        <w:rPr>
          <w:rFonts w:ascii="Georgia" w:hAnsi="Georgia" w:cs="Georgia" w:eastAsia="Georgia" w:hint="default"/>
          <w:i/>
          <w:spacing w:val="8"/>
          <w:w w:val="95"/>
          <w:sz w:val="18"/>
          <w:szCs w:val="18"/>
        </w:rPr>
        <w:t> </w:t>
      </w:r>
      <w:r>
        <w:rPr>
          <w:rFonts w:ascii="宋体" w:hAnsi="宋体" w:cs="宋体" w:eastAsia="宋体" w:hint="default"/>
          <w:i/>
          <w:w w:val="95"/>
          <w:sz w:val="19"/>
          <w:szCs w:val="19"/>
        </w:rPr>
        <w:t>号楼普华永道中心</w:t>
      </w:r>
      <w:r>
        <w:rPr>
          <w:rFonts w:ascii="宋体" w:hAnsi="宋体" w:cs="宋体" w:eastAsia="宋体" w:hint="default"/>
          <w:i/>
          <w:spacing w:val="-42"/>
          <w:w w:val="95"/>
          <w:sz w:val="19"/>
          <w:szCs w:val="19"/>
        </w:rPr>
        <w:t> </w:t>
      </w:r>
      <w:r>
        <w:rPr>
          <w:rFonts w:ascii="Georgia" w:hAnsi="Georgia" w:cs="Georgia" w:eastAsia="Georgia" w:hint="default"/>
          <w:i/>
          <w:w w:val="95"/>
          <w:sz w:val="18"/>
          <w:szCs w:val="18"/>
        </w:rPr>
        <w:t>11</w:t>
      </w:r>
      <w:r>
        <w:rPr>
          <w:rFonts w:ascii="Georgia" w:hAnsi="Georgia" w:cs="Georgia" w:eastAsia="Georgia" w:hint="default"/>
          <w:i/>
          <w:spacing w:val="7"/>
          <w:w w:val="95"/>
          <w:sz w:val="18"/>
          <w:szCs w:val="18"/>
        </w:rPr>
        <w:t> </w:t>
      </w:r>
      <w:r>
        <w:rPr>
          <w:rFonts w:ascii="宋体" w:hAnsi="宋体" w:cs="宋体" w:eastAsia="宋体" w:hint="default"/>
          <w:i/>
          <w:w w:val="95"/>
          <w:sz w:val="19"/>
          <w:szCs w:val="19"/>
        </w:rPr>
        <w:t>楼</w:t>
      </w:r>
      <w:r>
        <w:rPr>
          <w:rFonts w:ascii="宋体" w:hAnsi="宋体" w:cs="宋体" w:eastAsia="宋体" w:hint="default"/>
          <w:i/>
          <w:spacing w:val="10"/>
          <w:w w:val="95"/>
          <w:sz w:val="19"/>
          <w:szCs w:val="19"/>
        </w:rPr>
        <w:t> </w:t>
      </w:r>
      <w:r>
        <w:rPr>
          <w:rFonts w:ascii="宋体" w:hAnsi="宋体" w:cs="宋体" w:eastAsia="宋体" w:hint="default"/>
          <w:i/>
          <w:w w:val="95"/>
          <w:sz w:val="19"/>
          <w:szCs w:val="19"/>
        </w:rPr>
        <w:t>邮编</w:t>
      </w:r>
      <w:r>
        <w:rPr>
          <w:rFonts w:ascii="宋体" w:hAnsi="宋体" w:cs="宋体" w:eastAsia="宋体" w:hint="default"/>
          <w:i/>
          <w:spacing w:val="-42"/>
          <w:w w:val="95"/>
          <w:sz w:val="19"/>
          <w:szCs w:val="19"/>
        </w:rPr>
        <w:t> </w:t>
      </w:r>
      <w:r>
        <w:rPr>
          <w:rFonts w:ascii="Georgia" w:hAnsi="Georgia" w:cs="Georgia" w:eastAsia="Georgia" w:hint="default"/>
          <w:i/>
          <w:w w:val="95"/>
          <w:sz w:val="18"/>
          <w:szCs w:val="18"/>
        </w:rPr>
        <w:t>200021</w:t>
      </w:r>
      <w:r>
        <w:rPr>
          <w:rFonts w:ascii="Georgia" w:hAnsi="Georgia" w:cs="Georgia" w:eastAsia="Georgia" w:hint="default"/>
          <w:w w:val="95"/>
          <w:sz w:val="18"/>
          <w:szCs w:val="18"/>
        </w:rPr>
      </w:r>
    </w:p>
    <w:p>
      <w:pPr>
        <w:spacing w:line="248" w:lineRule="exact" w:before="0"/>
        <w:ind w:left="1093" w:right="2224" w:firstLine="0"/>
        <w:jc w:val="left"/>
        <w:rPr>
          <w:rFonts w:ascii="Georgia" w:hAnsi="Georgia" w:cs="Georgia" w:eastAsia="Georgia" w:hint="default"/>
          <w:sz w:val="18"/>
          <w:szCs w:val="18"/>
        </w:rPr>
      </w:pPr>
      <w:r>
        <w:rPr>
          <w:rFonts w:ascii="宋体" w:hAnsi="宋体" w:cs="宋体" w:eastAsia="宋体" w:hint="default"/>
          <w:i/>
          <w:sz w:val="19"/>
          <w:szCs w:val="19"/>
        </w:rPr>
        <w:t>总机</w:t>
      </w:r>
      <w:r>
        <w:rPr>
          <w:rFonts w:ascii="Georgia" w:hAnsi="Georgia" w:cs="Georgia" w:eastAsia="Georgia" w:hint="default"/>
          <w:i/>
          <w:sz w:val="18"/>
          <w:szCs w:val="18"/>
        </w:rPr>
        <w:t>: +86 (21) 2323 8888, </w:t>
      </w:r>
      <w:r>
        <w:rPr>
          <w:rFonts w:ascii="宋体" w:hAnsi="宋体" w:cs="宋体" w:eastAsia="宋体" w:hint="default"/>
          <w:i/>
          <w:sz w:val="19"/>
          <w:szCs w:val="19"/>
        </w:rPr>
        <w:t>传真</w:t>
      </w:r>
      <w:r>
        <w:rPr>
          <w:rFonts w:ascii="Georgia" w:hAnsi="Georgia" w:cs="Georgia" w:eastAsia="Georgia" w:hint="default"/>
          <w:i/>
          <w:sz w:val="18"/>
          <w:szCs w:val="18"/>
        </w:rPr>
        <w:t>: +86 (21) 2323 8800,</w:t>
      </w:r>
      <w:r>
        <w:rPr>
          <w:rFonts w:ascii="Georgia" w:hAnsi="Georgia" w:cs="Georgia" w:eastAsia="Georgia" w:hint="default"/>
          <w:i/>
          <w:spacing w:val="-30"/>
          <w:sz w:val="18"/>
          <w:szCs w:val="18"/>
        </w:rPr>
        <w:t> </w:t>
      </w:r>
      <w:hyperlink r:id="rId24">
        <w:r>
          <w:rPr>
            <w:rFonts w:ascii="Georgia" w:hAnsi="Georgia" w:cs="Georgia" w:eastAsia="Georgia" w:hint="default"/>
            <w:i/>
            <w:sz w:val="18"/>
            <w:szCs w:val="18"/>
          </w:rPr>
          <w:t>www.pwccn.com</w:t>
        </w:r>
        <w:r>
          <w:rPr>
            <w:rFonts w:ascii="Georgia" w:hAnsi="Georgia" w:cs="Georgia" w:eastAsia="Georgia" w:hint="default"/>
            <w:sz w:val="18"/>
            <w:szCs w:val="18"/>
          </w:rPr>
        </w:r>
      </w:hyperlink>
    </w:p>
    <w:p>
      <w:pPr>
        <w:pStyle w:val="BodyText"/>
        <w:spacing w:line="240" w:lineRule="auto" w:before="55"/>
        <w:ind w:left="4102" w:right="4347"/>
        <w:jc w:val="center"/>
        <w:rPr>
          <w:rFonts w:ascii="Arial" w:hAnsi="Arial" w:cs="Arial" w:eastAsia="Arial" w:hint="default"/>
        </w:rPr>
      </w:pPr>
      <w:r>
        <w:rPr>
          <w:rFonts w:ascii="Arial"/>
        </w:rPr>
        <w:t>55</w:t>
      </w:r>
    </w:p>
    <w:p>
      <w:pPr>
        <w:spacing w:after="0" w:line="240" w:lineRule="auto"/>
        <w:jc w:val="center"/>
        <w:rPr>
          <w:rFonts w:ascii="Arial" w:hAnsi="Arial" w:cs="Arial" w:eastAsia="Arial" w:hint="default"/>
        </w:rPr>
        <w:sectPr>
          <w:headerReference w:type="default" r:id="rId17"/>
          <w:footerReference w:type="default" r:id="rId18"/>
          <w:pgSz w:w="11900" w:h="16840"/>
          <w:pgMar w:header="960" w:footer="0" w:top="1520" w:bottom="280" w:left="920" w:right="700"/>
        </w:sectPr>
      </w:pPr>
    </w:p>
    <w:p>
      <w:pPr>
        <w:spacing w:line="240" w:lineRule="auto" w:before="3"/>
        <w:rPr>
          <w:rFonts w:ascii="Arial" w:hAnsi="Arial" w:cs="Arial" w:eastAsia="Arial" w:hint="default"/>
          <w:sz w:val="9"/>
          <w:szCs w:val="9"/>
        </w:rPr>
      </w:pPr>
    </w:p>
    <w:p>
      <w:pPr>
        <w:tabs>
          <w:tab w:pos="8618" w:val="left" w:leader="none"/>
        </w:tabs>
        <w:spacing w:line="442" w:lineRule="exact"/>
        <w:ind w:left="119" w:right="0" w:firstLine="0"/>
        <w:rPr>
          <w:rFonts w:ascii="Arial" w:hAnsi="Arial" w:cs="Arial" w:eastAsia="Arial" w:hint="default"/>
          <w:sz w:val="20"/>
          <w:szCs w:val="20"/>
        </w:rPr>
      </w:pPr>
      <w:r>
        <w:rPr>
          <w:rFonts w:ascii="Arial"/>
          <w:position w:val="-8"/>
          <w:sz w:val="20"/>
        </w:rPr>
        <w:drawing>
          <wp:inline distT="0" distB="0" distL="0" distR="0">
            <wp:extent cx="729996" cy="272796"/>
            <wp:effectExtent l="0" t="0" r="0" b="0"/>
            <wp:docPr id="7" name="image10.png" descr=""/>
            <wp:cNvGraphicFramePr>
              <a:graphicFrameLocks noChangeAspect="1"/>
            </wp:cNvGraphicFramePr>
            <a:graphic>
              <a:graphicData uri="http://schemas.openxmlformats.org/drawingml/2006/picture">
                <pic:pic>
                  <pic:nvPicPr>
                    <pic:cNvPr id="8" name="image10.png"/>
                    <pic:cNvPicPr/>
                  </pic:nvPicPr>
                  <pic:blipFill>
                    <a:blip r:embed="rId26" cstate="print"/>
                    <a:stretch>
                      <a:fillRect/>
                    </a:stretch>
                  </pic:blipFill>
                  <pic:spPr>
                    <a:xfrm>
                      <a:off x="0" y="0"/>
                      <a:ext cx="729996" cy="272796"/>
                    </a:xfrm>
                    <a:prstGeom prst="rect">
                      <a:avLst/>
                    </a:prstGeom>
                  </pic:spPr>
                </pic:pic>
              </a:graphicData>
            </a:graphic>
          </wp:inline>
        </w:drawing>
      </w:r>
      <w:r>
        <w:rPr>
          <w:rFonts w:ascii="Arial"/>
          <w:position w:val="-8"/>
          <w:sz w:val="20"/>
        </w:rPr>
      </w:r>
      <w:r>
        <w:rPr>
          <w:rFonts w:ascii="Arial"/>
          <w:position w:val="-8"/>
          <w:sz w:val="20"/>
        </w:rPr>
        <w:tab/>
      </w:r>
      <w:r>
        <w:rPr>
          <w:rFonts w:ascii="Arial"/>
          <w:position w:val="4"/>
          <w:sz w:val="20"/>
        </w:rPr>
        <w:pict>
          <v:group style="width:63.8pt;height:15.5pt;mso-position-horizontal-relative:char;mso-position-vertical-relative:line" coordorigin="0,0" coordsize="1276,310">
            <v:shape style="position:absolute;left:978;top:10;width:298;height:276" type="#_x0000_t75" stroked="false">
              <v:imagedata r:id="rId20" o:title=""/>
            </v:shape>
            <v:shape style="position:absolute;left:658;top:17;width:287;height:282" type="#_x0000_t75" stroked="false">
              <v:imagedata r:id="rId21" o:title=""/>
            </v:shape>
            <v:shape style="position:absolute;left:0;top:0;width:294;height:304" type="#_x0000_t75" stroked="false">
              <v:imagedata r:id="rId22" o:title=""/>
            </v:shape>
            <v:shape style="position:absolute;left:338;top:13;width:272;height:296" type="#_x0000_t75" stroked="false">
              <v:imagedata r:id="rId23" o:title=""/>
            </v:shape>
          </v:group>
        </w:pict>
      </w:r>
      <w:r>
        <w:rPr>
          <w:rFonts w:ascii="Arial"/>
          <w:position w:val="4"/>
          <w:sz w:val="2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7"/>
          <w:szCs w:val="27"/>
        </w:rPr>
      </w:pPr>
    </w:p>
    <w:p>
      <w:pPr>
        <w:pStyle w:val="Heading2"/>
        <w:spacing w:line="322" w:lineRule="exact" w:before="26"/>
        <w:ind w:left="0" w:right="710"/>
        <w:jc w:val="right"/>
      </w:pPr>
      <w:r>
        <w:rPr/>
        <w:t>普华永道中天审字</w:t>
      </w:r>
      <w:r>
        <w:rPr>
          <w:rFonts w:ascii="Georgia" w:hAnsi="Georgia" w:cs="Georgia" w:eastAsia="Georgia" w:hint="default"/>
        </w:rPr>
        <w:t>(2012)</w:t>
      </w:r>
      <w:r>
        <w:rPr/>
        <w:t>第</w:t>
      </w:r>
      <w:r>
        <w:rPr>
          <w:spacing w:val="-63"/>
        </w:rPr>
        <w:t> </w:t>
      </w:r>
      <w:r>
        <w:rPr>
          <w:rFonts w:ascii="Georgia" w:hAnsi="Georgia" w:cs="Georgia" w:eastAsia="Georgia" w:hint="default"/>
        </w:rPr>
        <w:t>10006</w:t>
      </w:r>
      <w:r>
        <w:rPr>
          <w:rFonts w:ascii="Georgia" w:hAnsi="Georgia" w:cs="Georgia" w:eastAsia="Georgia" w:hint="default"/>
          <w:spacing w:val="-2"/>
        </w:rPr>
        <w:t> </w:t>
      </w:r>
      <w:r>
        <w:rPr/>
        <w:t>号</w:t>
      </w:r>
    </w:p>
    <w:p>
      <w:pPr>
        <w:spacing w:line="303" w:lineRule="exact" w:before="0"/>
        <w:ind w:left="0" w:right="710" w:firstLine="0"/>
        <w:jc w:val="right"/>
        <w:rPr>
          <w:rFonts w:ascii="宋体" w:hAnsi="宋体" w:cs="宋体" w:eastAsia="宋体" w:hint="default"/>
          <w:sz w:val="24"/>
          <w:szCs w:val="24"/>
        </w:rPr>
      </w:pPr>
      <w:r>
        <w:rPr>
          <w:rFonts w:ascii="宋体" w:hAnsi="宋体" w:cs="宋体" w:eastAsia="宋体" w:hint="default"/>
          <w:sz w:val="24"/>
          <w:szCs w:val="24"/>
        </w:rPr>
        <w:t>（第二页，共二页）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26"/>
        <w:ind w:left="1129" w:right="0" w:firstLine="0"/>
        <w:jc w:val="both"/>
        <w:rPr>
          <w:rFonts w:ascii="宋体" w:hAnsi="宋体" w:cs="宋体" w:eastAsia="宋体" w:hint="default"/>
          <w:sz w:val="24"/>
          <w:szCs w:val="24"/>
        </w:rPr>
      </w:pPr>
      <w:r>
        <w:rPr>
          <w:rFonts w:ascii="宋体" w:hAnsi="宋体" w:cs="宋体" w:eastAsia="宋体" w:hint="default"/>
          <w:sz w:val="24"/>
          <w:szCs w:val="24"/>
        </w:rPr>
        <w:t>三、审计意见</w:t>
      </w:r>
    </w:p>
    <w:p>
      <w:pPr>
        <w:spacing w:line="240" w:lineRule="auto" w:before="2"/>
        <w:rPr>
          <w:rFonts w:ascii="宋体" w:hAnsi="宋体" w:cs="宋体" w:eastAsia="宋体" w:hint="default"/>
          <w:sz w:val="23"/>
          <w:szCs w:val="23"/>
        </w:rPr>
      </w:pPr>
    </w:p>
    <w:p>
      <w:pPr>
        <w:spacing w:line="310" w:lineRule="exact" w:before="0"/>
        <w:ind w:left="1129" w:right="701" w:firstLine="0"/>
        <w:jc w:val="both"/>
        <w:rPr>
          <w:rFonts w:ascii="宋体" w:hAnsi="宋体" w:cs="宋体" w:eastAsia="宋体" w:hint="default"/>
          <w:sz w:val="24"/>
          <w:szCs w:val="24"/>
        </w:rPr>
      </w:pPr>
      <w:r>
        <w:rPr>
          <w:rFonts w:ascii="宋体" w:hAnsi="宋体" w:cs="宋体" w:eastAsia="宋体" w:hint="default"/>
          <w:sz w:val="24"/>
          <w:szCs w:val="24"/>
        </w:rPr>
        <w:t>我们认为，上述贵公司的财务报表在所有重大方面按照企业会计准则的规定编 制，公允反映了贵公司</w:t>
      </w:r>
      <w:r>
        <w:rPr>
          <w:rFonts w:ascii="宋体" w:hAnsi="宋体" w:cs="宋体" w:eastAsia="宋体" w:hint="default"/>
          <w:spacing w:val="-61"/>
          <w:sz w:val="24"/>
          <w:szCs w:val="24"/>
        </w:rPr>
        <w:t> </w:t>
      </w:r>
      <w:r>
        <w:rPr>
          <w:rFonts w:ascii="Georgia" w:hAnsi="Georgia" w:cs="Georgia" w:eastAsia="Georgia" w:hint="default"/>
          <w:sz w:val="24"/>
          <w:szCs w:val="24"/>
        </w:rPr>
        <w:t>2011</w:t>
      </w:r>
      <w:r>
        <w:rPr>
          <w:rFonts w:ascii="Georgia" w:hAnsi="Georgia" w:cs="Georgia" w:eastAsia="Georgia"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Georgia" w:hAnsi="Georgia" w:cs="Georgia" w:eastAsia="Georgia" w:hint="default"/>
          <w:sz w:val="24"/>
          <w:szCs w:val="24"/>
        </w:rPr>
        <w:t>12</w:t>
      </w:r>
      <w:r>
        <w:rPr>
          <w:rFonts w:ascii="Georgia" w:hAnsi="Georgia" w:cs="Georgia" w:eastAsia="Georgia"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Georgia" w:hAnsi="Georgia" w:cs="Georgia" w:eastAsia="Georgia" w:hint="default"/>
          <w:sz w:val="24"/>
          <w:szCs w:val="24"/>
        </w:rPr>
        <w:t>31</w:t>
      </w:r>
      <w:r>
        <w:rPr>
          <w:rFonts w:ascii="Georgia" w:hAnsi="Georgia" w:cs="Georgia" w:eastAsia="Georgia" w:hint="default"/>
          <w:spacing w:val="1"/>
          <w:sz w:val="24"/>
          <w:szCs w:val="24"/>
        </w:rPr>
        <w:t> </w:t>
      </w:r>
      <w:r>
        <w:rPr>
          <w:rFonts w:ascii="宋体" w:hAnsi="宋体" w:cs="宋体" w:eastAsia="宋体" w:hint="default"/>
          <w:sz w:val="24"/>
          <w:szCs w:val="24"/>
        </w:rPr>
        <w:t>日的合并及公司财务状况以及</w:t>
      </w:r>
      <w:r>
        <w:rPr>
          <w:rFonts w:ascii="宋体" w:hAnsi="宋体" w:cs="宋体" w:eastAsia="宋体" w:hint="default"/>
          <w:spacing w:val="-61"/>
          <w:sz w:val="24"/>
          <w:szCs w:val="24"/>
        </w:rPr>
        <w:t> </w:t>
      </w:r>
      <w:r>
        <w:rPr>
          <w:rFonts w:ascii="Georgia" w:hAnsi="Georgia" w:cs="Georgia" w:eastAsia="Georgia" w:hint="default"/>
          <w:sz w:val="24"/>
          <w:szCs w:val="24"/>
        </w:rPr>
        <w:t>2011</w:t>
      </w:r>
      <w:r>
        <w:rPr>
          <w:rFonts w:ascii="Georgia" w:hAnsi="Georgia" w:cs="Georgia" w:eastAsia="Georgia" w:hint="default"/>
          <w:spacing w:val="-1"/>
          <w:sz w:val="24"/>
          <w:szCs w:val="24"/>
        </w:rPr>
        <w:t> </w:t>
      </w:r>
      <w:r>
        <w:rPr>
          <w:rFonts w:ascii="宋体" w:hAnsi="宋体" w:cs="宋体" w:eastAsia="宋体" w:hint="default"/>
          <w:sz w:val="24"/>
          <w:szCs w:val="24"/>
        </w:rPr>
        <w:t>年 度的合并及公司经营成果和现金流量。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5"/>
          <w:pgSz w:w="11900" w:h="16840"/>
          <w:pgMar w:footer="752" w:header="960" w:top="1520" w:bottom="940" w:left="860" w:right="1040"/>
          <w:pgNumType w:start="56"/>
        </w:sectPr>
      </w:pPr>
    </w:p>
    <w:p>
      <w:pPr>
        <w:spacing w:line="259" w:lineRule="auto" w:before="26"/>
        <w:ind w:left="1093" w:right="-20" w:firstLine="0"/>
        <w:jc w:val="left"/>
        <w:rPr>
          <w:rFonts w:ascii="宋体" w:hAnsi="宋体" w:cs="宋体" w:eastAsia="宋体" w:hint="default"/>
          <w:sz w:val="24"/>
          <w:szCs w:val="24"/>
        </w:rPr>
      </w:pPr>
      <w:r>
        <w:rPr>
          <w:rFonts w:ascii="宋体" w:hAnsi="宋体" w:cs="宋体" w:eastAsia="宋体" w:hint="default"/>
          <w:sz w:val="24"/>
          <w:szCs w:val="24"/>
        </w:rPr>
        <w:t>普华永道中天 会计师事务所有限公司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spacing w:before="0"/>
        <w:ind w:left="1093" w:right="-20" w:firstLine="0"/>
        <w:jc w:val="left"/>
        <w:rPr>
          <w:rFonts w:ascii="宋体" w:hAnsi="宋体" w:cs="宋体" w:eastAsia="宋体" w:hint="default"/>
          <w:sz w:val="24"/>
          <w:szCs w:val="24"/>
        </w:rPr>
      </w:pPr>
      <w:r>
        <w:rPr>
          <w:rFonts w:ascii="宋体" w:hAnsi="宋体" w:cs="宋体" w:eastAsia="宋体" w:hint="default"/>
          <w:sz w:val="24"/>
          <w:szCs w:val="24"/>
        </w:rPr>
        <w:t>中国</w:t>
      </w:r>
      <w:r>
        <w:rPr>
          <w:rFonts w:ascii="Georgia" w:hAnsi="Georgia" w:cs="Georgia" w:eastAsia="Georgia" w:hint="default"/>
          <w:sz w:val="24"/>
          <w:szCs w:val="24"/>
        </w:rPr>
        <w:t>•</w:t>
      </w:r>
      <w:r>
        <w:rPr>
          <w:rFonts w:ascii="宋体" w:hAnsi="宋体" w:cs="宋体" w:eastAsia="宋体" w:hint="default"/>
          <w:sz w:val="24"/>
          <w:szCs w:val="24"/>
        </w:rPr>
        <w:t>上海市</w:t>
      </w:r>
    </w:p>
    <w:p>
      <w:pPr>
        <w:spacing w:before="6"/>
        <w:ind w:left="1093" w:right="-20" w:firstLine="0"/>
        <w:jc w:val="left"/>
        <w:rPr>
          <w:rFonts w:ascii="宋体" w:hAnsi="宋体" w:cs="宋体" w:eastAsia="宋体" w:hint="default"/>
          <w:sz w:val="24"/>
          <w:szCs w:val="24"/>
        </w:rPr>
      </w:pPr>
      <w:r>
        <w:rPr>
          <w:rFonts w:ascii="Georgia" w:hAnsi="Georgia" w:cs="Georgia" w:eastAsia="Georgia" w:hint="default"/>
          <w:sz w:val="24"/>
          <w:szCs w:val="24"/>
        </w:rPr>
        <w:t>2012</w:t>
      </w:r>
      <w:r>
        <w:rPr>
          <w:rFonts w:ascii="Georgia" w:hAnsi="Georgia" w:cs="Georgia" w:eastAsia="Georgia"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Georgia" w:hAnsi="Georgia" w:cs="Georgia" w:eastAsia="Georgia"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Georgia" w:hAnsi="Georgia" w:cs="Georgia" w:eastAsia="Georgia" w:hint="default"/>
          <w:sz w:val="24"/>
          <w:szCs w:val="24"/>
        </w:rPr>
        <w:t>22</w:t>
      </w:r>
      <w:r>
        <w:rPr>
          <w:rFonts w:ascii="Georgia" w:hAnsi="Georgia" w:cs="Georgia" w:eastAsia="Georgia" w:hint="default"/>
          <w:spacing w:val="2"/>
          <w:sz w:val="24"/>
          <w:szCs w:val="24"/>
        </w:rPr>
        <w:t> </w:t>
      </w:r>
      <w:r>
        <w:rPr>
          <w:rFonts w:ascii="宋体" w:hAnsi="宋体" w:cs="宋体" w:eastAsia="宋体" w:hint="default"/>
          <w:sz w:val="24"/>
          <w:szCs w:val="24"/>
        </w:rPr>
        <w:t>日</w:t>
      </w:r>
    </w:p>
    <w:p>
      <w:pPr>
        <w:tabs>
          <w:tab w:pos="3108" w:val="left" w:leader="none"/>
          <w:tab w:pos="3828" w:val="left" w:leader="none"/>
        </w:tabs>
        <w:spacing w:before="26"/>
        <w:ind w:left="1093"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注册会计师</w:t>
        <w:tab/>
        <w:t>胡</w:t>
        <w:tab/>
        <w:t>杰</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3"/>
          <w:szCs w:val="33"/>
        </w:rPr>
      </w:pPr>
    </w:p>
    <w:p>
      <w:pPr>
        <w:tabs>
          <w:tab w:pos="3108" w:val="left" w:leader="none"/>
          <w:tab w:pos="3828" w:val="left" w:leader="none"/>
        </w:tabs>
        <w:spacing w:before="0"/>
        <w:ind w:left="1093" w:right="0" w:firstLine="0"/>
        <w:jc w:val="left"/>
        <w:rPr>
          <w:rFonts w:ascii="宋体" w:hAnsi="宋体" w:cs="宋体" w:eastAsia="宋体" w:hint="default"/>
          <w:sz w:val="24"/>
          <w:szCs w:val="24"/>
        </w:rPr>
      </w:pPr>
      <w:r>
        <w:rPr>
          <w:rFonts w:ascii="宋体" w:hAnsi="宋体" w:cs="宋体" w:eastAsia="宋体" w:hint="default"/>
          <w:sz w:val="24"/>
          <w:szCs w:val="24"/>
        </w:rPr>
        <w:t>注册会计师</w:t>
        <w:tab/>
        <w:t>杨</w:t>
        <w:tab/>
        <w:t>桢</w:t>
      </w:r>
    </w:p>
    <w:p>
      <w:pPr>
        <w:spacing w:after="0"/>
        <w:jc w:val="left"/>
        <w:rPr>
          <w:rFonts w:ascii="宋体" w:hAnsi="宋体" w:cs="宋体" w:eastAsia="宋体" w:hint="default"/>
          <w:sz w:val="24"/>
          <w:szCs w:val="24"/>
        </w:rPr>
        <w:sectPr>
          <w:type w:val="continuous"/>
          <w:pgSz w:w="11900" w:h="16840"/>
          <w:pgMar w:top="1600" w:bottom="280" w:left="860" w:right="1040"/>
          <w:cols w:num="2" w:equalWidth="0">
            <w:col w:w="3494" w:space="539"/>
            <w:col w:w="5967"/>
          </w:cols>
        </w:sectPr>
      </w:pPr>
    </w:p>
    <w:p>
      <w:pPr>
        <w:pStyle w:val="BodyText"/>
        <w:spacing w:line="240" w:lineRule="auto" w:before="2"/>
        <w:ind w:left="109"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09"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7"/>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7"/>
        </w:rPr>
        <w:t> </w:t>
      </w:r>
      <w:r>
        <w:rPr>
          <w:rFonts w:ascii="黑体" w:hAnsi="黑体" w:cs="黑体" w:eastAsia="黑体" w:hint="default"/>
        </w:rPr>
        <w:t>日合并及公司资产负债表</w:t>
      </w:r>
    </w:p>
    <w:p>
      <w:pPr>
        <w:pStyle w:val="BodyText"/>
        <w:spacing w:line="279" w:lineRule="exact"/>
        <w:ind w:left="109"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2"/>
        <w:rPr>
          <w:rFonts w:ascii="黑体" w:hAnsi="黑体" w:cs="黑体" w:eastAsia="黑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2515"/>
        <w:gridCol w:w="1146"/>
        <w:gridCol w:w="1692"/>
        <w:gridCol w:w="1868"/>
        <w:gridCol w:w="1672"/>
        <w:gridCol w:w="1721"/>
      </w:tblGrid>
      <w:tr>
        <w:trPr>
          <w:trHeight w:val="594"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22"/>
              <w:jc w:val="center"/>
              <w:rPr>
                <w:rFonts w:ascii="黑体" w:hAnsi="黑体" w:cs="黑体" w:eastAsia="黑体" w:hint="default"/>
                <w:sz w:val="18"/>
                <w:szCs w:val="18"/>
              </w:rPr>
            </w:pPr>
            <w:r>
              <w:rPr>
                <w:rFonts w:ascii="黑体" w:hAnsi="黑体" w:cs="黑体" w:eastAsia="黑体" w:hint="default"/>
                <w:sz w:val="18"/>
                <w:szCs w:val="18"/>
              </w:rPr>
              <w:t>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403"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left="25" w:right="0"/>
              <w:jc w:val="center"/>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70"/>
              <w:jc w:val="center"/>
              <w:rPr>
                <w:rFonts w:ascii="黑体" w:hAnsi="黑体" w:cs="黑体" w:eastAsia="黑体" w:hint="default"/>
                <w:sz w:val="18"/>
                <w:szCs w:val="18"/>
              </w:rPr>
            </w:pPr>
            <w:r>
              <w:rPr>
                <w:rFonts w:ascii="黑体" w:hAnsi="黑体" w:cs="黑体" w:eastAsia="黑体" w:hint="default"/>
                <w:sz w:val="18"/>
                <w:szCs w:val="18"/>
              </w:rPr>
              <w:t>合并</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left="23" w:right="0"/>
              <w:jc w:val="center"/>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5" w:right="0"/>
              <w:jc w:val="center"/>
              <w:rPr>
                <w:rFonts w:ascii="黑体" w:hAnsi="黑体" w:cs="黑体" w:eastAsia="黑体" w:hint="default"/>
                <w:sz w:val="18"/>
                <w:szCs w:val="18"/>
              </w:rPr>
            </w:pPr>
            <w:r>
              <w:rPr>
                <w:rFonts w:ascii="黑体" w:hAnsi="黑体" w:cs="黑体" w:eastAsia="黑体" w:hint="default"/>
                <w:sz w:val="18"/>
                <w:szCs w:val="18"/>
              </w:rPr>
              <w:t>合并（经重列）</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right="12"/>
              <w:jc w:val="center"/>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7" w:right="0"/>
              <w:jc w:val="center"/>
              <w:rPr>
                <w:rFonts w:ascii="黑体" w:hAnsi="黑体" w:cs="黑体" w:eastAsia="黑体" w:hint="default"/>
                <w:sz w:val="18"/>
                <w:szCs w:val="18"/>
              </w:rPr>
            </w:pPr>
            <w:r>
              <w:rPr>
                <w:rFonts w:ascii="黑体" w:hAnsi="黑体" w:cs="黑体" w:eastAsia="黑体" w:hint="default"/>
                <w:sz w:val="18"/>
                <w:szCs w:val="18"/>
              </w:rPr>
              <w:t>公司</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left="22" w:right="0"/>
              <w:jc w:val="center"/>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3" w:right="0"/>
              <w:jc w:val="center"/>
              <w:rPr>
                <w:rFonts w:ascii="黑体" w:hAnsi="黑体" w:cs="黑体" w:eastAsia="黑体" w:hint="default"/>
                <w:sz w:val="18"/>
                <w:szCs w:val="18"/>
              </w:rPr>
            </w:pPr>
            <w:r>
              <w:rPr>
                <w:rFonts w:ascii="黑体" w:hAnsi="黑体" w:cs="黑体" w:eastAsia="黑体" w:hint="default"/>
                <w:sz w:val="18"/>
                <w:szCs w:val="18"/>
              </w:rPr>
              <w:t>公司</w:t>
            </w: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w:t>
            </w:r>
            <w:r>
              <w:rPr>
                <w:rFonts w:ascii="宋体" w:hAnsi="宋体" w:cs="宋体" w:eastAsia="宋体" w:hint="default"/>
                <w:sz w:val="18"/>
                <w:szCs w:val="18"/>
              </w:rPr>
              <w:t>十六</w:t>
            </w:r>
            <w:r>
              <w:rPr>
                <w:rFonts w:ascii="Arial" w:hAnsi="Arial" w:cs="Arial" w:eastAsia="Arial" w:hint="default"/>
                <w:sz w:val="18"/>
                <w:szCs w:val="18"/>
              </w:rPr>
              <w:t>(1)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2"/>
              <w:jc w:val="right"/>
              <w:rPr>
                <w:rFonts w:ascii="Arial" w:hAnsi="Arial" w:cs="Arial" w:eastAsia="Arial" w:hint="default"/>
                <w:sz w:val="18"/>
                <w:szCs w:val="18"/>
              </w:rPr>
            </w:pPr>
            <w:r>
              <w:rPr>
                <w:rFonts w:ascii="Arial"/>
                <w:spacing w:val="-1"/>
                <w:sz w:val="18"/>
              </w:rPr>
              <w:t>15,439,016,285</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22,892,569,517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28,383,556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8"/>
              <w:jc w:val="right"/>
              <w:rPr>
                <w:rFonts w:ascii="Arial" w:hAnsi="Arial" w:cs="Arial" w:eastAsia="Arial" w:hint="default"/>
                <w:sz w:val="18"/>
                <w:szCs w:val="18"/>
              </w:rPr>
            </w:pPr>
            <w:r>
              <w:rPr>
                <w:rFonts w:ascii="Arial"/>
                <w:spacing w:val="-1"/>
                <w:sz w:val="18"/>
              </w:rPr>
              <w:t>22,094,474</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1"/>
              <w:jc w:val="right"/>
              <w:rPr>
                <w:rFonts w:ascii="Arial" w:hAnsi="Arial" w:cs="Arial" w:eastAsia="Arial" w:hint="default"/>
                <w:sz w:val="18"/>
                <w:szCs w:val="18"/>
              </w:rPr>
            </w:pPr>
            <w:r>
              <w:rPr>
                <w:rFonts w:ascii="Arial"/>
                <w:spacing w:val="-1"/>
                <w:sz w:val="18"/>
              </w:rPr>
              <w:t>31,490,161</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spacing w:val="-1"/>
                <w:sz w:val="18"/>
              </w:rPr>
              <w:t>61,453,402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1"/>
              <w:jc w:val="right"/>
              <w:rPr>
                <w:rFonts w:ascii="Arial" w:hAnsi="Arial" w:cs="Arial" w:eastAsia="Arial" w:hint="default"/>
                <w:sz w:val="18"/>
                <w:szCs w:val="18"/>
              </w:rPr>
            </w:pPr>
            <w:r>
              <w:rPr>
                <w:rFonts w:ascii="Arial"/>
                <w:spacing w:val="-1"/>
                <w:sz w:val="18"/>
              </w:rPr>
              <w:t>12,439,244,269</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10,425,387,072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9"/>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3,689,114,396</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3,067,243,483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1,583,338</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1,654,138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06" w:right="0"/>
              <w:jc w:val="left"/>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w w:val="99"/>
                <w:sz w:val="18"/>
              </w:rPr>
              <w:t>-</w:t>
            </w:r>
            <w:r>
              <w:rPr>
                <w:rFonts w:ascii="Arial"/>
                <w:sz w:val="18"/>
              </w:rPr>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spacing w:val="-1"/>
                <w:sz w:val="18"/>
              </w:rPr>
              <w:t>479,119,262</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spacing w:val="-1"/>
                <w:sz w:val="18"/>
              </w:rPr>
              <w:t>423,498,119</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1"/>
              <w:jc w:val="right"/>
              <w:rPr>
                <w:rFonts w:ascii="Arial" w:hAnsi="Arial" w:cs="Arial" w:eastAsia="Arial" w:hint="default"/>
                <w:sz w:val="18"/>
                <w:szCs w:val="18"/>
              </w:rPr>
            </w:pPr>
            <w:r>
              <w:rPr>
                <w:rFonts w:ascii="Arial"/>
                <w:spacing w:val="-1"/>
                <w:sz w:val="18"/>
              </w:rPr>
              <w:t>1,924,610,778</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spacing w:val="-1"/>
                <w:sz w:val="18"/>
              </w:rPr>
              <w:t>1,616,633,144</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1,835,991</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8"/>
              <w:jc w:val="right"/>
              <w:rPr>
                <w:rFonts w:ascii="Arial" w:hAnsi="Arial" w:cs="Arial" w:eastAsia="Arial" w:hint="default"/>
                <w:sz w:val="18"/>
                <w:szCs w:val="18"/>
              </w:rPr>
            </w:pPr>
            <w:r>
              <w:rPr>
                <w:rFonts w:ascii="Arial"/>
                <w:spacing w:val="-1"/>
                <w:sz w:val="18"/>
              </w:rPr>
              <w:t>1,840,968</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0"/>
              <w:jc w:val="right"/>
              <w:rPr>
                <w:rFonts w:ascii="Arial" w:hAnsi="Arial" w:cs="Arial" w:eastAsia="Arial" w:hint="default"/>
                <w:sz w:val="18"/>
                <w:szCs w:val="18"/>
              </w:rPr>
            </w:pPr>
            <w:r>
              <w:rPr>
                <w:rFonts w:ascii="Arial"/>
                <w:spacing w:val="-1"/>
                <w:sz w:val="18"/>
              </w:rPr>
              <w:t>4,651,374,730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spacing w:val="-1"/>
                <w:sz w:val="18"/>
              </w:rPr>
              <w:t>3,728,424,300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696,047,622</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619,616,472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38,872,481,579</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42,412,981,528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9"/>
              <w:jc w:val="right"/>
              <w:rPr>
                <w:rFonts w:ascii="Arial" w:hAnsi="Arial" w:cs="Arial" w:eastAsia="Arial" w:hint="default"/>
                <w:sz w:val="18"/>
                <w:szCs w:val="18"/>
              </w:rPr>
            </w:pPr>
            <w:r>
              <w:rPr>
                <w:rFonts w:ascii="Arial"/>
                <w:spacing w:val="-1"/>
                <w:sz w:val="18"/>
              </w:rPr>
              <w:t>509,338,809</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9"/>
              <w:jc w:val="right"/>
              <w:rPr>
                <w:rFonts w:ascii="Arial" w:hAnsi="Arial" w:cs="Arial" w:eastAsia="Arial" w:hint="default"/>
                <w:sz w:val="18"/>
                <w:szCs w:val="18"/>
              </w:rPr>
            </w:pPr>
            <w:r>
              <w:rPr>
                <w:rFonts w:ascii="Arial"/>
                <w:spacing w:val="-1"/>
                <w:sz w:val="18"/>
              </w:rPr>
              <w:t>447,433,561</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0"/>
              <w:jc w:val="right"/>
              <w:rPr>
                <w:rFonts w:ascii="Arial" w:hAnsi="Arial" w:cs="Arial" w:eastAsia="Arial" w:hint="default"/>
                <w:sz w:val="18"/>
                <w:szCs w:val="18"/>
              </w:rPr>
            </w:pPr>
            <w:r>
              <w:rPr>
                <w:rFonts w:ascii="Arial"/>
                <w:spacing w:val="-1"/>
                <w:sz w:val="18"/>
              </w:rPr>
              <w:t>6,951,106,326</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spacing w:val="-1"/>
                <w:sz w:val="18"/>
              </w:rPr>
              <w:t>6,213,538,603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(8),</w:t>
            </w:r>
            <w:r>
              <w:rPr>
                <w:rFonts w:ascii="宋体" w:hAnsi="宋体" w:cs="宋体" w:eastAsia="宋体" w:hint="default"/>
                <w:sz w:val="18"/>
                <w:szCs w:val="18"/>
              </w:rPr>
              <w:t>十六</w:t>
            </w:r>
            <w:r>
              <w:rPr>
                <w:rFonts w:ascii="Arial" w:hAnsi="Arial" w:cs="Arial" w:eastAsia="Arial" w:hint="default"/>
                <w:sz w:val="18"/>
                <w:szCs w:val="18"/>
              </w:rPr>
              <w:t>(3)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1"/>
              <w:jc w:val="right"/>
              <w:rPr>
                <w:rFonts w:ascii="Arial" w:hAnsi="Arial" w:cs="Arial" w:eastAsia="Arial" w:hint="default"/>
                <w:sz w:val="18"/>
                <w:szCs w:val="18"/>
              </w:rPr>
            </w:pPr>
            <w:r>
              <w:rPr>
                <w:rFonts w:ascii="Arial"/>
                <w:spacing w:val="-1"/>
                <w:sz w:val="18"/>
              </w:rPr>
              <w:t>47,465,488</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47,713,824</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38,538,133,791</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8"/>
              <w:jc w:val="right"/>
              <w:rPr>
                <w:rFonts w:ascii="Arial" w:hAnsi="Arial" w:cs="Arial" w:eastAsia="Arial" w:hint="default"/>
                <w:sz w:val="18"/>
                <w:szCs w:val="18"/>
              </w:rPr>
            </w:pPr>
            <w:r>
              <w:rPr>
                <w:rFonts w:ascii="Arial"/>
                <w:spacing w:val="-1"/>
                <w:sz w:val="18"/>
              </w:rPr>
              <w:t>38,538,133,791</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1"/>
              <w:jc w:val="right"/>
              <w:rPr>
                <w:rFonts w:ascii="Arial" w:hAnsi="Arial" w:cs="Arial" w:eastAsia="Arial" w:hint="default"/>
                <w:sz w:val="18"/>
                <w:szCs w:val="18"/>
              </w:rPr>
            </w:pPr>
            <w:r>
              <w:rPr>
                <w:rFonts w:ascii="Arial"/>
                <w:spacing w:val="-1"/>
                <w:sz w:val="18"/>
              </w:rPr>
              <w:t>325,436,125,614</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304,440,266,558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spacing w:val="-1"/>
                <w:sz w:val="18"/>
              </w:rPr>
              <w:t>5,960,958</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8"/>
              <w:jc w:val="right"/>
              <w:rPr>
                <w:rFonts w:ascii="Arial" w:hAnsi="Arial" w:cs="Arial" w:eastAsia="Arial" w:hint="default"/>
                <w:sz w:val="18"/>
                <w:szCs w:val="18"/>
              </w:rPr>
            </w:pPr>
            <w:r>
              <w:rPr>
                <w:rFonts w:ascii="Arial"/>
                <w:spacing w:val="-1"/>
                <w:sz w:val="18"/>
              </w:rPr>
              <w:t>6,352,817</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1"/>
              <w:jc w:val="right"/>
              <w:rPr>
                <w:rFonts w:ascii="Arial" w:hAnsi="Arial" w:cs="Arial" w:eastAsia="Arial" w:hint="default"/>
                <w:sz w:val="18"/>
                <w:szCs w:val="18"/>
              </w:rPr>
            </w:pPr>
            <w:r>
              <w:rPr>
                <w:rFonts w:ascii="Arial"/>
                <w:spacing w:val="-1"/>
                <w:sz w:val="18"/>
              </w:rPr>
              <w:t>52,328,892,232</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55,861,735,600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9"/>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2,337,301,169</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3,366,791,778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2"/>
              <w:jc w:val="right"/>
              <w:rPr>
                <w:rFonts w:ascii="Arial" w:hAnsi="Arial" w:cs="Arial" w:eastAsia="Arial" w:hint="default"/>
                <w:sz w:val="18"/>
                <w:szCs w:val="18"/>
              </w:rPr>
            </w:pPr>
            <w:r>
              <w:rPr>
                <w:rFonts w:ascii="Arial"/>
                <w:spacing w:val="-1"/>
                <w:sz w:val="18"/>
              </w:rPr>
              <w:t>20,739,627,902</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19,871,863,623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9"/>
              <w:jc w:val="right"/>
              <w:rPr>
                <w:rFonts w:ascii="Arial" w:hAnsi="Arial" w:cs="Arial" w:eastAsia="Arial" w:hint="default"/>
                <w:sz w:val="18"/>
                <w:szCs w:val="18"/>
              </w:rPr>
            </w:pPr>
            <w:r>
              <w:rPr>
                <w:rFonts w:ascii="Arial"/>
                <w:spacing w:val="-1"/>
                <w:sz w:val="18"/>
              </w:rPr>
              <w:t>10,751,448</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8"/>
              <w:jc w:val="right"/>
              <w:rPr>
                <w:rFonts w:ascii="Arial" w:hAnsi="Arial" w:cs="Arial" w:eastAsia="Arial" w:hint="default"/>
                <w:sz w:val="18"/>
                <w:szCs w:val="18"/>
              </w:rPr>
            </w:pPr>
            <w:r>
              <w:rPr>
                <w:rFonts w:ascii="Arial"/>
                <w:spacing w:val="-1"/>
                <w:sz w:val="18"/>
              </w:rPr>
              <w:t>10,999,555</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4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0"/>
              <w:jc w:val="right"/>
              <w:rPr>
                <w:rFonts w:ascii="Arial" w:hAnsi="Arial" w:cs="Arial" w:eastAsia="Arial" w:hint="default"/>
                <w:sz w:val="18"/>
                <w:szCs w:val="18"/>
              </w:rPr>
            </w:pPr>
            <w:r>
              <w:rPr>
                <w:rFonts w:ascii="Arial"/>
                <w:spacing w:val="-1"/>
                <w:sz w:val="18"/>
              </w:rPr>
              <w:t>8,100,299,374</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spacing w:val="-1"/>
                <w:sz w:val="18"/>
              </w:rPr>
              <w:t>7,724,362,908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70"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20"/>
              <w:jc w:val="right"/>
              <w:rPr>
                <w:rFonts w:ascii="Arial" w:hAnsi="Arial" w:cs="Arial" w:eastAsia="Arial" w:hint="default"/>
                <w:sz w:val="18"/>
                <w:szCs w:val="18"/>
              </w:rPr>
            </w:pPr>
            <w:r>
              <w:rPr>
                <w:rFonts w:ascii="Arial"/>
                <w:spacing w:val="-1"/>
                <w:sz w:val="18"/>
              </w:rPr>
              <w:t>3,710,544,195</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17"/>
              <w:jc w:val="right"/>
              <w:rPr>
                <w:rFonts w:ascii="Arial" w:hAnsi="Arial" w:cs="Arial" w:eastAsia="Arial" w:hint="default"/>
                <w:sz w:val="18"/>
                <w:szCs w:val="18"/>
              </w:rPr>
            </w:pPr>
            <w:r>
              <w:rPr>
                <w:rFonts w:ascii="Arial"/>
                <w:spacing w:val="-1"/>
                <w:sz w:val="18"/>
              </w:rPr>
              <w:t>3,668,413,433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17"/>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1"/>
              <w:jc w:val="right"/>
              <w:rPr>
                <w:rFonts w:ascii="Arial" w:hAnsi="Arial" w:cs="Arial" w:eastAsia="Arial" w:hint="default"/>
                <w:sz w:val="18"/>
                <w:szCs w:val="18"/>
              </w:rPr>
            </w:pPr>
            <w:r>
              <w:rPr>
                <w:rFonts w:ascii="Arial"/>
                <w:spacing w:val="-1"/>
                <w:sz w:val="18"/>
              </w:rPr>
              <w:t>419,651,362,300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8"/>
              <w:jc w:val="right"/>
              <w:rPr>
                <w:rFonts w:ascii="Arial" w:hAnsi="Arial" w:cs="Arial" w:eastAsia="Arial" w:hint="default"/>
                <w:sz w:val="18"/>
                <w:szCs w:val="18"/>
              </w:rPr>
            </w:pPr>
            <w:r>
              <w:rPr>
                <w:rFonts w:ascii="Arial"/>
                <w:spacing w:val="-1"/>
                <w:sz w:val="18"/>
              </w:rPr>
              <w:t>401,194,686,327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7"/>
              <w:jc w:val="right"/>
              <w:rPr>
                <w:rFonts w:ascii="Arial" w:hAnsi="Arial" w:cs="Arial" w:eastAsia="Arial" w:hint="default"/>
                <w:sz w:val="18"/>
                <w:szCs w:val="18"/>
              </w:rPr>
            </w:pPr>
            <w:r>
              <w:rPr>
                <w:rFonts w:ascii="Arial"/>
                <w:spacing w:val="-1"/>
                <w:sz w:val="18"/>
              </w:rPr>
              <w:t>38,554,846,197</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38,555,486,163</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1"/>
              <w:jc w:val="right"/>
              <w:rPr>
                <w:rFonts w:ascii="Arial" w:hAnsi="Arial" w:cs="Arial" w:eastAsia="Arial" w:hint="default"/>
                <w:sz w:val="18"/>
                <w:szCs w:val="18"/>
              </w:rPr>
            </w:pPr>
            <w:r>
              <w:rPr>
                <w:rFonts w:ascii="Arial"/>
                <w:spacing w:val="-1"/>
                <w:sz w:val="18"/>
              </w:rPr>
              <w:t>458,523,843,879</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spacing w:val="-1"/>
                <w:sz w:val="18"/>
              </w:rPr>
              <w:t>443,607,667,855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39,064,185,006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spacing w:val="-1"/>
                <w:sz w:val="18"/>
              </w:rPr>
              <w:t>39,002,919,724</w:t>
            </w:r>
          </w:p>
        </w:tc>
      </w:tr>
    </w:tbl>
    <w:p>
      <w:pPr>
        <w:spacing w:after="0" w:line="240" w:lineRule="auto"/>
        <w:jc w:val="right"/>
        <w:rPr>
          <w:rFonts w:ascii="Arial" w:hAnsi="Arial" w:cs="Arial" w:eastAsia="Arial" w:hint="default"/>
          <w:sz w:val="18"/>
          <w:szCs w:val="18"/>
        </w:rPr>
        <w:sectPr>
          <w:headerReference w:type="default" r:id="rId27"/>
          <w:footerReference w:type="default" r:id="rId28"/>
          <w:pgSz w:w="11900" w:h="16840"/>
          <w:pgMar w:header="0" w:footer="752" w:top="1260" w:bottom="940" w:left="800" w:right="260"/>
          <w:pgNumType w:start="57"/>
        </w:sectPr>
      </w:pPr>
    </w:p>
    <w:p>
      <w:pPr>
        <w:pStyle w:val="BodyText"/>
        <w:spacing w:line="240" w:lineRule="auto" w:before="2"/>
        <w:ind w:left="115"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15"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7"/>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7"/>
        </w:rPr>
        <w:t> </w:t>
      </w:r>
      <w:r>
        <w:rPr>
          <w:rFonts w:ascii="黑体" w:hAnsi="黑体" w:cs="黑体" w:eastAsia="黑体" w:hint="default"/>
        </w:rPr>
        <w:t>日合并及公司资产负债表（续）</w:t>
      </w:r>
    </w:p>
    <w:p>
      <w:pPr>
        <w:pStyle w:val="BodyText"/>
        <w:spacing w:line="279" w:lineRule="exact"/>
        <w:ind w:left="115"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2"/>
        <w:rPr>
          <w:rFonts w:ascii="黑体" w:hAnsi="黑体" w:cs="黑体" w:eastAsia="黑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2576"/>
        <w:gridCol w:w="1218"/>
        <w:gridCol w:w="1732"/>
        <w:gridCol w:w="1711"/>
        <w:gridCol w:w="1727"/>
        <w:gridCol w:w="1705"/>
      </w:tblGrid>
      <w:tr>
        <w:trPr>
          <w:trHeight w:val="58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649" w:right="0"/>
              <w:jc w:val="left"/>
              <w:rPr>
                <w:rFonts w:ascii="黑体" w:hAnsi="黑体" w:cs="黑体" w:eastAsia="黑体" w:hint="default"/>
                <w:sz w:val="18"/>
                <w:szCs w:val="18"/>
              </w:rPr>
            </w:pPr>
            <w:r>
              <w:rPr>
                <w:rFonts w:ascii="黑体" w:hAnsi="黑体" w:cs="黑体" w:eastAsia="黑体" w:hint="default"/>
                <w:sz w:val="18"/>
                <w:szCs w:val="18"/>
              </w:rPr>
              <w:t>负债和股东权益</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1"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1"/>
              <w:ind w:left="11" w:right="0"/>
              <w:jc w:val="center"/>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1"/>
              <w:jc w:val="center"/>
              <w:rPr>
                <w:rFonts w:ascii="黑体" w:hAnsi="黑体" w:cs="黑体" w:eastAsia="黑体" w:hint="default"/>
                <w:sz w:val="18"/>
                <w:szCs w:val="18"/>
              </w:rPr>
            </w:pPr>
            <w:r>
              <w:rPr>
                <w:rFonts w:ascii="黑体" w:hAnsi="黑体" w:cs="黑体" w:eastAsia="黑体" w:hint="default"/>
                <w:sz w:val="18"/>
                <w:szCs w:val="18"/>
              </w:rPr>
              <w:t>合并</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1"/>
              <w:ind w:right="16"/>
              <w:jc w:val="center"/>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35" w:right="0"/>
              <w:jc w:val="center"/>
              <w:rPr>
                <w:rFonts w:ascii="黑体" w:hAnsi="黑体" w:cs="黑体" w:eastAsia="黑体" w:hint="default"/>
                <w:sz w:val="18"/>
                <w:szCs w:val="18"/>
              </w:rPr>
            </w:pPr>
            <w:r>
              <w:rPr>
                <w:rFonts w:ascii="黑体" w:hAnsi="黑体" w:cs="黑体" w:eastAsia="黑体" w:hint="default"/>
                <w:sz w:val="18"/>
                <w:szCs w:val="18"/>
              </w:rPr>
              <w:t>合并（经重列）</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1"/>
              <w:ind w:left="19" w:right="0"/>
              <w:jc w:val="center"/>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5" w:right="0"/>
              <w:jc w:val="center"/>
              <w:rPr>
                <w:rFonts w:ascii="黑体" w:hAnsi="黑体" w:cs="黑体" w:eastAsia="黑体" w:hint="default"/>
                <w:sz w:val="18"/>
                <w:szCs w:val="18"/>
              </w:rPr>
            </w:pPr>
            <w:r>
              <w:rPr>
                <w:rFonts w:ascii="黑体" w:hAnsi="黑体" w:cs="黑体" w:eastAsia="黑体" w:hint="default"/>
                <w:sz w:val="18"/>
                <w:szCs w:val="18"/>
              </w:rPr>
              <w:t>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1"/>
              <w:ind w:right="26"/>
              <w:jc w:val="center"/>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4"/>
              <w:jc w:val="center"/>
              <w:rPr>
                <w:rFonts w:ascii="黑体" w:hAnsi="黑体" w:cs="黑体" w:eastAsia="黑体" w:hint="default"/>
                <w:sz w:val="18"/>
                <w:szCs w:val="18"/>
              </w:rPr>
            </w:pPr>
            <w:r>
              <w:rPr>
                <w:rFonts w:ascii="黑体" w:hAnsi="黑体" w:cs="黑体" w:eastAsia="黑体" w:hint="default"/>
                <w:sz w:val="18"/>
                <w:szCs w:val="18"/>
              </w:rPr>
              <w:t>公司</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(15)</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32,321,530,000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36,726,520,000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应付短期债券</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(16)</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38,000,000,000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23,000,000,000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(17)</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6"/>
              <w:jc w:val="right"/>
              <w:rPr>
                <w:rFonts w:ascii="Arial" w:hAnsi="Arial" w:cs="Arial" w:eastAsia="Arial" w:hint="default"/>
                <w:sz w:val="18"/>
                <w:szCs w:val="18"/>
              </w:rPr>
            </w:pPr>
            <w:r>
              <w:rPr>
                <w:rFonts w:ascii="Arial"/>
                <w:spacing w:val="-1"/>
                <w:sz w:val="18"/>
              </w:rPr>
              <w:t>1,046,319,417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585,181,600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(18)</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91,138,684,831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93,688,780,320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(19)</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36,620,704,885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29,972,285,104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(20)</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6"/>
              <w:jc w:val="right"/>
              <w:rPr>
                <w:rFonts w:ascii="Arial" w:hAnsi="Arial" w:cs="Arial" w:eastAsia="Arial" w:hint="default"/>
                <w:sz w:val="18"/>
                <w:szCs w:val="18"/>
              </w:rPr>
            </w:pPr>
            <w:r>
              <w:rPr>
                <w:rFonts w:ascii="Arial"/>
                <w:spacing w:val="-1"/>
                <w:sz w:val="18"/>
              </w:rPr>
              <w:t>3,550,320,691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3,404,906,636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(21)</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1,233,433,789</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4"/>
              <w:jc w:val="right"/>
              <w:rPr>
                <w:rFonts w:ascii="Arial" w:hAnsi="Arial" w:cs="Arial" w:eastAsia="Arial" w:hint="default"/>
                <w:sz w:val="18"/>
                <w:szCs w:val="18"/>
              </w:rPr>
            </w:pPr>
            <w:r>
              <w:rPr>
                <w:rFonts w:ascii="Arial"/>
                <w:spacing w:val="-1"/>
                <w:sz w:val="18"/>
              </w:rPr>
              <w:t>1,483,483,552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spacing w:val="-1"/>
                <w:sz w:val="18"/>
              </w:rPr>
              <w:t>71,267</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28,281</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(22)</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6"/>
              <w:jc w:val="right"/>
              <w:rPr>
                <w:rFonts w:ascii="Arial" w:hAnsi="Arial" w:cs="Arial" w:eastAsia="Arial" w:hint="default"/>
                <w:sz w:val="18"/>
                <w:szCs w:val="18"/>
              </w:rPr>
            </w:pPr>
            <w:r>
              <w:rPr>
                <w:rFonts w:ascii="Arial"/>
                <w:spacing w:val="-1"/>
                <w:sz w:val="18"/>
              </w:rPr>
              <w:t>834,595,861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743,909,825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(23)</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8,940,742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4"/>
              <w:jc w:val="right"/>
              <w:rPr>
                <w:rFonts w:ascii="Arial" w:hAnsi="Arial" w:cs="Arial" w:eastAsia="Arial" w:hint="default"/>
                <w:sz w:val="18"/>
                <w:szCs w:val="18"/>
              </w:rPr>
            </w:pPr>
            <w:r>
              <w:rPr>
                <w:rFonts w:ascii="Arial"/>
                <w:spacing w:val="-1"/>
                <w:sz w:val="18"/>
              </w:rPr>
              <w:t>24,118,117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61,049</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(24)</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8,607,473,651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8,078,377,564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spacing w:val="-1"/>
                <w:sz w:val="18"/>
              </w:rPr>
              <w:t>2,816,515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5,823,876</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(25)</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6"/>
              <w:jc w:val="right"/>
              <w:rPr>
                <w:rFonts w:ascii="Arial" w:hAnsi="Arial" w:cs="Arial" w:eastAsia="Arial" w:hint="default"/>
                <w:sz w:val="18"/>
                <w:szCs w:val="18"/>
              </w:rPr>
            </w:pPr>
            <w:r>
              <w:rPr>
                <w:rFonts w:ascii="Arial"/>
                <w:spacing w:val="-1"/>
                <w:sz w:val="18"/>
              </w:rPr>
              <w:t>127,919,616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184,035,033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213,489,923,483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197,891,597,751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spacing w:val="-1"/>
                <w:sz w:val="18"/>
              </w:rPr>
              <w:t>2,887,782</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5,913,206</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(26)</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6"/>
              <w:jc w:val="right"/>
              <w:rPr>
                <w:rFonts w:ascii="Arial" w:hAnsi="Arial" w:cs="Arial" w:eastAsia="Arial" w:hint="default"/>
                <w:sz w:val="18"/>
                <w:szCs w:val="18"/>
              </w:rPr>
            </w:pPr>
            <w:r>
              <w:rPr>
                <w:rFonts w:ascii="Arial"/>
                <w:spacing w:val="-1"/>
                <w:sz w:val="18"/>
              </w:rPr>
              <w:t>1,383,679,474</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1,462,239,790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(27)</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33,118,105,681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33,557,754,642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(28)</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6"/>
              <w:jc w:val="right"/>
              <w:rPr>
                <w:rFonts w:ascii="Arial" w:hAnsi="Arial" w:cs="Arial" w:eastAsia="Arial" w:hint="default"/>
                <w:sz w:val="18"/>
                <w:szCs w:val="18"/>
              </w:rPr>
            </w:pPr>
            <w:r>
              <w:rPr>
                <w:rFonts w:ascii="Arial"/>
                <w:spacing w:val="-1"/>
                <w:sz w:val="18"/>
              </w:rPr>
              <w:t>88,460,997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161,603,695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pacing w:val="-5"/>
                <w:sz w:val="18"/>
                <w:szCs w:val="18"/>
              </w:rPr>
              <w:t>其他非流动负债（递延收益）</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(29)</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6"/>
              <w:jc w:val="right"/>
              <w:rPr>
                <w:rFonts w:ascii="Arial" w:hAnsi="Arial" w:cs="Arial" w:eastAsia="Arial" w:hint="default"/>
                <w:sz w:val="18"/>
                <w:szCs w:val="18"/>
              </w:rPr>
            </w:pPr>
            <w:r>
              <w:rPr>
                <w:rFonts w:ascii="Arial"/>
                <w:spacing w:val="-1"/>
                <w:sz w:val="18"/>
              </w:rPr>
              <w:t>1,801,330,590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2,170,526,901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(44)</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31,647,601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40,130,185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36,423,224,343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37,392,255,213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249,913,147,826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235,283,852,964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spacing w:val="-1"/>
                <w:sz w:val="18"/>
              </w:rPr>
              <w:t>2,887,782</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5,913,206</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(30)</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21,196,596,395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21,196,596,395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21,196,596,395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21,196,596,395</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(31)</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27,159,443,685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27,859,867,254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17,111,103,108</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17,111,103,108</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(32),</w:t>
            </w:r>
            <w:r>
              <w:rPr>
                <w:rFonts w:ascii="宋体" w:hAnsi="宋体" w:cs="宋体" w:eastAsia="宋体" w:hint="default"/>
                <w:sz w:val="18"/>
                <w:szCs w:val="18"/>
              </w:rPr>
              <w:t>十六</w:t>
            </w:r>
            <w:r>
              <w:rPr>
                <w:rFonts w:ascii="Arial" w:hAnsi="Arial" w:cs="Arial" w:eastAsia="Arial" w:hint="default"/>
                <w:sz w:val="18"/>
                <w:szCs w:val="18"/>
              </w:rPr>
              <w:t>(4)</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746,495,256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684,955,035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spacing w:val="-1"/>
                <w:sz w:val="18"/>
              </w:rPr>
              <w:t>746,495,256</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684,955,035</w:t>
            </w:r>
          </w:p>
        </w:tc>
      </w:tr>
      <w:tr>
        <w:trPr>
          <w:trHeight w:val="27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28"/>
              <w:jc w:val="right"/>
              <w:rPr>
                <w:rFonts w:ascii="Arial" w:hAnsi="Arial" w:cs="Arial" w:eastAsia="Arial" w:hint="default"/>
                <w:sz w:val="18"/>
                <w:szCs w:val="18"/>
              </w:rPr>
            </w:pPr>
            <w:r>
              <w:rPr>
                <w:rFonts w:ascii="Arial"/>
                <w:spacing w:val="-1"/>
                <w:sz w:val="18"/>
              </w:rPr>
              <w:t>21,944,910,470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12"/>
              <w:jc w:val="right"/>
              <w:rPr>
                <w:rFonts w:ascii="Arial" w:hAnsi="Arial" w:cs="Arial" w:eastAsia="Arial" w:hint="default"/>
                <w:sz w:val="18"/>
                <w:szCs w:val="18"/>
              </w:rPr>
            </w:pPr>
            <w:r>
              <w:rPr>
                <w:rFonts w:ascii="Arial"/>
                <w:spacing w:val="-1"/>
                <w:sz w:val="18"/>
              </w:rPr>
              <w:t>21,160,924,580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17"/>
              <w:jc w:val="right"/>
              <w:rPr>
                <w:rFonts w:ascii="Arial" w:hAnsi="Arial" w:cs="Arial" w:eastAsia="Arial" w:hint="default"/>
                <w:sz w:val="18"/>
                <w:szCs w:val="18"/>
              </w:rPr>
            </w:pPr>
            <w:r>
              <w:rPr>
                <w:rFonts w:ascii="Arial"/>
                <w:spacing w:val="-1"/>
                <w:sz w:val="18"/>
              </w:rPr>
              <w:t>7,102,465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8"/>
              <w:jc w:val="right"/>
              <w:rPr>
                <w:rFonts w:ascii="Arial" w:hAnsi="Arial" w:cs="Arial" w:eastAsia="Arial" w:hint="default"/>
                <w:sz w:val="18"/>
                <w:szCs w:val="18"/>
              </w:rPr>
            </w:pPr>
            <w:r>
              <w:rPr>
                <w:rFonts w:ascii="Arial"/>
                <w:spacing w:val="-1"/>
                <w:sz w:val="18"/>
              </w:rPr>
              <w:t>4,351,980</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6"/>
              <w:jc w:val="right"/>
              <w:rPr>
                <w:rFonts w:ascii="Arial" w:hAnsi="Arial" w:cs="Arial" w:eastAsia="Arial" w:hint="default"/>
                <w:sz w:val="18"/>
                <w:szCs w:val="18"/>
              </w:rPr>
            </w:pPr>
            <w:r>
              <w:rPr>
                <w:rFonts w:ascii="Arial"/>
                <w:spacing w:val="-1"/>
                <w:sz w:val="18"/>
              </w:rPr>
              <w:t>(23,643,600)</w:t>
            </w:r>
            <w:r>
              <w:rPr>
                <w:rFonts w:ascii="Arial"/>
                <w:sz w:val="18"/>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53"/>
              <w:jc w:val="right"/>
              <w:rPr>
                <w:rFonts w:ascii="Arial" w:hAnsi="Arial" w:cs="Arial" w:eastAsia="Arial" w:hint="default"/>
                <w:sz w:val="18"/>
                <w:szCs w:val="18"/>
              </w:rPr>
            </w:pPr>
            <w:r>
              <w:rPr>
                <w:rFonts w:ascii="Arial"/>
                <w:spacing w:val="-1"/>
                <w:sz w:val="18"/>
              </w:rPr>
              <w:t>(17,733,819)</w:t>
            </w:r>
            <w:r>
              <w:rPr>
                <w:rFonts w:ascii="Arial"/>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9"/>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黑体" w:hAnsi="黑体" w:cs="黑体" w:eastAsia="黑体" w:hint="default"/>
                <w:sz w:val="18"/>
                <w:szCs w:val="18"/>
              </w:rPr>
            </w:pPr>
            <w:r>
              <w:rPr>
                <w:rFonts w:ascii="黑体" w:hAnsi="黑体" w:cs="黑体" w:eastAsia="黑体" w:hint="default"/>
                <w:sz w:val="18"/>
                <w:szCs w:val="18"/>
              </w:rPr>
              <w:t>归属母公司股东权益合计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6"/>
              <w:jc w:val="right"/>
              <w:rPr>
                <w:rFonts w:ascii="Arial" w:hAnsi="Arial" w:cs="Arial" w:eastAsia="Arial" w:hint="default"/>
                <w:sz w:val="18"/>
                <w:szCs w:val="18"/>
              </w:rPr>
            </w:pPr>
            <w:r>
              <w:rPr>
                <w:rFonts w:ascii="Arial"/>
                <w:spacing w:val="-1"/>
                <w:sz w:val="18"/>
              </w:rPr>
              <w:t>71,023,802,206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70,884,609,445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39,061,297,224</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38,997,006,518</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6"/>
              <w:jc w:val="right"/>
              <w:rPr>
                <w:rFonts w:ascii="Arial" w:hAnsi="Arial" w:cs="Arial" w:eastAsia="Arial" w:hint="default"/>
                <w:sz w:val="18"/>
                <w:szCs w:val="18"/>
              </w:rPr>
            </w:pPr>
            <w:r>
              <w:rPr>
                <w:rFonts w:ascii="Arial"/>
                <w:spacing w:val="-1"/>
                <w:sz w:val="18"/>
              </w:rPr>
              <w:t>137,586,893,847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137,439,205,446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208,610,696,053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4"/>
              <w:jc w:val="right"/>
              <w:rPr>
                <w:rFonts w:ascii="Arial" w:hAnsi="Arial" w:cs="Arial" w:eastAsia="Arial" w:hint="default"/>
                <w:sz w:val="18"/>
                <w:szCs w:val="18"/>
              </w:rPr>
            </w:pPr>
            <w:r>
              <w:rPr>
                <w:rFonts w:ascii="Arial"/>
                <w:spacing w:val="-1"/>
                <w:sz w:val="18"/>
              </w:rPr>
              <w:t>208,323,814,891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39,061,297,224</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38,997,006,518</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负债和股东权益总计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7"/>
              <w:jc w:val="right"/>
              <w:rPr>
                <w:rFonts w:ascii="Arial" w:hAnsi="Arial" w:cs="Arial" w:eastAsia="Arial" w:hint="default"/>
                <w:sz w:val="18"/>
                <w:szCs w:val="18"/>
              </w:rPr>
            </w:pPr>
            <w:r>
              <w:rPr>
                <w:rFonts w:ascii="Arial"/>
                <w:spacing w:val="-1"/>
                <w:sz w:val="18"/>
              </w:rPr>
              <w:t>458,523,843,879</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4"/>
              <w:jc w:val="right"/>
              <w:rPr>
                <w:rFonts w:ascii="Arial" w:hAnsi="Arial" w:cs="Arial" w:eastAsia="Arial" w:hint="default"/>
                <w:sz w:val="18"/>
                <w:szCs w:val="18"/>
              </w:rPr>
            </w:pPr>
            <w:r>
              <w:rPr>
                <w:rFonts w:ascii="Arial"/>
                <w:spacing w:val="-1"/>
                <w:sz w:val="18"/>
              </w:rPr>
              <w:t>443,607,667,855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39,064,185,006</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39,002,919,724</w:t>
            </w:r>
          </w:p>
        </w:tc>
      </w:tr>
    </w:tbl>
    <w:p>
      <w:pPr>
        <w:spacing w:line="240" w:lineRule="auto" w:before="4"/>
        <w:rPr>
          <w:rFonts w:ascii="黑体" w:hAnsi="黑体" w:cs="黑体" w:eastAsia="黑体" w:hint="default"/>
          <w:sz w:val="12"/>
          <w:szCs w:val="12"/>
        </w:rPr>
      </w:pPr>
    </w:p>
    <w:p>
      <w:pPr>
        <w:spacing w:before="38"/>
        <w:ind w:left="129"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tabs>
          <w:tab w:pos="3688" w:val="left" w:leader="none"/>
          <w:tab w:pos="7063" w:val="left" w:leader="none"/>
        </w:tabs>
        <w:spacing w:line="240" w:lineRule="auto" w:before="148"/>
        <w:ind w:left="129"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29"/>
          <w:footerReference w:type="default" r:id="rId30"/>
          <w:pgSz w:w="11900" w:h="16840"/>
          <w:pgMar w:header="0" w:footer="752" w:top="1260" w:bottom="940" w:left="780" w:right="220"/>
          <w:pgNumType w:start="58"/>
        </w:sectPr>
      </w:pPr>
    </w:p>
    <w:p>
      <w:pPr>
        <w:pStyle w:val="BodyText"/>
        <w:spacing w:line="240" w:lineRule="auto" w:before="20"/>
        <w:ind w:left="115"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94" w:lineRule="exact"/>
        <w:ind w:left="115"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9"/>
        </w:rPr>
        <w:t> </w:t>
      </w:r>
      <w:r>
        <w:rPr>
          <w:rFonts w:ascii="黑体" w:hAnsi="黑体" w:cs="黑体" w:eastAsia="黑体" w:hint="default"/>
        </w:rPr>
        <w:t>年度合并及公司利润表</w:t>
      </w:r>
    </w:p>
    <w:p>
      <w:pPr>
        <w:pStyle w:val="BodyText"/>
        <w:spacing w:line="278" w:lineRule="exact"/>
        <w:ind w:left="115"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2"/>
        <w:rPr>
          <w:rFonts w:ascii="黑体" w:hAnsi="黑体" w:cs="黑体" w:eastAsia="黑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3528"/>
        <w:gridCol w:w="1170"/>
        <w:gridCol w:w="1560"/>
        <w:gridCol w:w="1624"/>
        <w:gridCol w:w="1346"/>
        <w:gridCol w:w="1320"/>
      </w:tblGrid>
      <w:tr>
        <w:trPr>
          <w:trHeight w:val="594"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黑体" w:hAnsi="黑体" w:cs="黑体" w:eastAsia="黑体" w:hint="default"/>
                <w:sz w:val="18"/>
                <w:szCs w:val="18"/>
              </w:rPr>
            </w:pPr>
            <w:r>
              <w:rPr>
                <w:rFonts w:ascii="黑体" w:hAnsi="黑体" w:cs="黑体" w:eastAsia="黑体" w:hint="default"/>
                <w:sz w:val="18"/>
                <w:szCs w:val="18"/>
              </w:rPr>
              <w:t>附注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left="591" w:right="371" w:hanging="222"/>
              <w:jc w:val="left"/>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黑体" w:hAnsi="黑体" w:cs="黑体" w:eastAsia="黑体" w:hint="default"/>
                <w:sz w:val="18"/>
                <w:szCs w:val="18"/>
              </w:rPr>
              <w:t>年度 合并</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left="174" w:right="173" w:firstLine="228"/>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7"/>
                <w:sz w:val="18"/>
                <w:szCs w:val="18"/>
              </w:rPr>
              <w:t> </w:t>
            </w:r>
            <w:r>
              <w:rPr>
                <w:rFonts w:ascii="黑体" w:hAnsi="黑体" w:cs="黑体" w:eastAsia="黑体" w:hint="default"/>
                <w:sz w:val="18"/>
                <w:szCs w:val="18"/>
              </w:rPr>
              <w:t>年度 合并（经重列）</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left="483" w:right="263" w:hanging="221"/>
              <w:jc w:val="left"/>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黑体" w:hAnsi="黑体" w:cs="黑体" w:eastAsia="黑体" w:hint="default"/>
                <w:sz w:val="18"/>
                <w:szCs w:val="18"/>
              </w:rPr>
              <w:t>年度 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left="471" w:right="249" w:hanging="222"/>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黑体" w:hAnsi="黑体" w:cs="黑体" w:eastAsia="黑体" w:hint="default"/>
                <w:sz w:val="18"/>
                <w:szCs w:val="18"/>
              </w:rPr>
              <w:t>年度 公司</w:t>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黑体" w:hAnsi="黑体" w:cs="黑体" w:eastAsia="黑体" w:hint="default"/>
                <w:sz w:val="18"/>
                <w:szCs w:val="18"/>
              </w:rPr>
            </w:pPr>
            <w:r>
              <w:rPr>
                <w:rFonts w:ascii="黑体" w:hAnsi="黑体" w:cs="黑体" w:eastAsia="黑体" w:hint="default"/>
                <w:sz w:val="18"/>
                <w:szCs w:val="18"/>
              </w:rPr>
              <w:t>一、营业收入</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215,518,511,458</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6" w:right="0"/>
              <w:jc w:val="left"/>
              <w:rPr>
                <w:rFonts w:ascii="Arial" w:hAnsi="Arial" w:cs="Arial" w:eastAsia="Arial" w:hint="default"/>
                <w:sz w:val="18"/>
                <w:szCs w:val="18"/>
              </w:rPr>
            </w:pPr>
            <w:r>
              <w:rPr>
                <w:rFonts w:ascii="Arial"/>
                <w:sz w:val="18"/>
              </w:rPr>
              <w:t>176,243,422,124</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44"/>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2"/>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70"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40"/>
              <w:jc w:val="right"/>
              <w:rPr>
                <w:rFonts w:ascii="Arial" w:hAnsi="Arial" w:cs="Arial" w:eastAsia="Arial" w:hint="default"/>
                <w:sz w:val="18"/>
                <w:szCs w:val="18"/>
              </w:rPr>
            </w:pPr>
            <w:r>
              <w:rPr>
                <w:rFonts w:ascii="Arial"/>
                <w:spacing w:val="-1"/>
                <w:sz w:val="18"/>
              </w:rPr>
              <w:t>(154,414,023,686)</w:t>
            </w:r>
            <w:r>
              <w:rPr>
                <w:rFonts w:ascii="Arial"/>
                <w:sz w:val="18"/>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38"/>
              <w:jc w:val="right"/>
              <w:rPr>
                <w:rFonts w:ascii="Arial" w:hAnsi="Arial" w:cs="Arial" w:eastAsia="Arial" w:hint="default"/>
                <w:sz w:val="18"/>
                <w:szCs w:val="18"/>
              </w:rPr>
            </w:pPr>
            <w:r>
              <w:rPr>
                <w:rFonts w:ascii="Arial"/>
                <w:spacing w:val="-1"/>
                <w:sz w:val="18"/>
              </w:rPr>
              <w:t>(123,763,218,376)</w:t>
            </w:r>
            <w:r>
              <w:rPr>
                <w:rFonts w:ascii="Arial"/>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44"/>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2"/>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8"/>
              <w:jc w:val="right"/>
              <w:rPr>
                <w:rFonts w:ascii="Arial" w:hAnsi="Arial" w:cs="Arial" w:eastAsia="Arial" w:hint="default"/>
                <w:sz w:val="18"/>
                <w:szCs w:val="18"/>
              </w:rPr>
            </w:pPr>
            <w:r>
              <w:rPr>
                <w:rFonts w:ascii="Arial"/>
                <w:spacing w:val="-1"/>
                <w:sz w:val="18"/>
              </w:rPr>
              <w:t>(6,351,628,168)</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8"/>
              <w:jc w:val="right"/>
              <w:rPr>
                <w:rFonts w:ascii="Arial" w:hAnsi="Arial" w:cs="Arial" w:eastAsia="Arial" w:hint="default"/>
                <w:sz w:val="18"/>
                <w:szCs w:val="18"/>
              </w:rPr>
            </w:pPr>
            <w:r>
              <w:rPr>
                <w:rFonts w:ascii="Arial"/>
                <w:spacing w:val="-1"/>
                <w:sz w:val="18"/>
              </w:rPr>
              <w:t>(4,873,381,319)</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44"/>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sz w:val="18"/>
              </w:rPr>
              <w:t>(28,750,690,843)</w:t>
            </w:r>
            <w:r>
              <w:rPr>
                <w:rFonts w:ascii="Arial"/>
                <w:sz w:val="18"/>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9"/>
              <w:jc w:val="right"/>
              <w:rPr>
                <w:rFonts w:ascii="Arial" w:hAnsi="Arial" w:cs="Arial" w:eastAsia="Arial" w:hint="default"/>
                <w:sz w:val="18"/>
                <w:szCs w:val="18"/>
              </w:rPr>
            </w:pPr>
            <w:r>
              <w:rPr>
                <w:rFonts w:ascii="Arial"/>
                <w:spacing w:val="-1"/>
                <w:sz w:val="18"/>
              </w:rPr>
              <w:t>(23,734,742,786)</w:t>
            </w:r>
            <w:r>
              <w:rPr>
                <w:rFonts w:ascii="Arial"/>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44"/>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3"/>
              <w:jc w:val="right"/>
              <w:rPr>
                <w:rFonts w:ascii="Arial" w:hAnsi="Arial" w:cs="Arial" w:eastAsia="Arial" w:hint="default"/>
                <w:sz w:val="18"/>
                <w:szCs w:val="18"/>
              </w:rPr>
            </w:pPr>
            <w:r>
              <w:rPr>
                <w:rFonts w:ascii="宋体" w:hAnsi="宋体" w:cs="宋体" w:eastAsia="宋体" w:hint="default"/>
                <w:spacing w:val="-1"/>
                <w:sz w:val="18"/>
                <w:szCs w:val="18"/>
              </w:rPr>
              <w:t>五</w:t>
            </w:r>
            <w:r>
              <w:rPr>
                <w:rFonts w:ascii="Arial" w:hAnsi="Arial" w:cs="Arial" w:eastAsia="Arial" w:hint="default"/>
                <w:spacing w:val="-1"/>
                <w:sz w:val="18"/>
                <w:szCs w:val="18"/>
              </w:rPr>
              <w:t>(38),</w:t>
            </w:r>
            <w:r>
              <w:rPr>
                <w:rFonts w:ascii="宋体" w:hAnsi="宋体" w:cs="宋体" w:eastAsia="宋体" w:hint="default"/>
                <w:spacing w:val="-1"/>
                <w:sz w:val="18"/>
                <w:szCs w:val="18"/>
              </w:rPr>
              <w:t>十六</w:t>
            </w:r>
            <w:r>
              <w:rPr>
                <w:rFonts w:ascii="Arial" w:hAnsi="Arial" w:cs="Arial" w:eastAsia="Arial" w:hint="default"/>
                <w:spacing w:val="-1"/>
                <w:sz w:val="18"/>
                <w:szCs w:val="18"/>
              </w:rPr>
              <w:t>(5)</w:t>
            </w:r>
            <w:r>
              <w:rPr>
                <w:rFonts w:ascii="Arial" w:hAnsi="Arial" w:cs="Arial" w:eastAsia="Arial"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sz w:val="18"/>
              </w:rPr>
              <w:t>(18,199,737,712)</w:t>
            </w:r>
            <w:r>
              <w:rPr>
                <w:rFonts w:ascii="Arial"/>
                <w:sz w:val="18"/>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9"/>
              <w:jc w:val="right"/>
              <w:rPr>
                <w:rFonts w:ascii="Arial" w:hAnsi="Arial" w:cs="Arial" w:eastAsia="Arial" w:hint="default"/>
                <w:sz w:val="18"/>
                <w:szCs w:val="18"/>
              </w:rPr>
            </w:pPr>
            <w:r>
              <w:rPr>
                <w:rFonts w:ascii="Arial"/>
                <w:spacing w:val="-1"/>
                <w:sz w:val="18"/>
              </w:rPr>
              <w:t>(16,123,273,282)</w:t>
            </w:r>
            <w:r>
              <w:rPr>
                <w:rFonts w:ascii="Arial"/>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0"/>
              <w:jc w:val="right"/>
              <w:rPr>
                <w:rFonts w:ascii="Arial" w:hAnsi="Arial" w:cs="Arial" w:eastAsia="Arial" w:hint="default"/>
                <w:sz w:val="18"/>
                <w:szCs w:val="18"/>
              </w:rPr>
            </w:pPr>
            <w:r>
              <w:rPr>
                <w:rFonts w:ascii="Arial"/>
                <w:spacing w:val="-1"/>
                <w:sz w:val="18"/>
              </w:rPr>
              <w:t>(10,676,612)</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9"/>
              <w:jc w:val="right"/>
              <w:rPr>
                <w:rFonts w:ascii="Arial" w:hAnsi="Arial" w:cs="Arial" w:eastAsia="Arial" w:hint="default"/>
                <w:sz w:val="18"/>
                <w:szCs w:val="18"/>
              </w:rPr>
            </w:pPr>
            <w:r>
              <w:rPr>
                <w:rFonts w:ascii="Arial"/>
                <w:spacing w:val="-1"/>
                <w:sz w:val="18"/>
              </w:rPr>
              <w:t>(10,442,402)</w:t>
            </w:r>
            <w:r>
              <w:rPr>
                <w:rFonts w:ascii="Arial"/>
                <w:sz w:val="18"/>
              </w:rPr>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42" w:right="0"/>
              <w:jc w:val="left"/>
              <w:rPr>
                <w:rFonts w:ascii="宋体" w:hAnsi="宋体" w:cs="宋体" w:eastAsia="宋体" w:hint="default"/>
                <w:sz w:val="18"/>
                <w:szCs w:val="18"/>
              </w:rPr>
            </w:pPr>
            <w:r>
              <w:rPr>
                <w:rFonts w:ascii="宋体" w:hAnsi="宋体" w:cs="宋体" w:eastAsia="宋体" w:hint="default"/>
                <w:sz w:val="18"/>
                <w:szCs w:val="18"/>
              </w:rPr>
              <w:t>财务费用（加：收入）</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9"/>
              <w:jc w:val="right"/>
              <w:rPr>
                <w:rFonts w:ascii="Arial" w:hAnsi="Arial" w:cs="Arial" w:eastAsia="Arial" w:hint="default"/>
                <w:sz w:val="18"/>
                <w:szCs w:val="18"/>
              </w:rPr>
            </w:pPr>
            <w:r>
              <w:rPr>
                <w:rFonts w:ascii="Arial"/>
                <w:spacing w:val="-1"/>
                <w:sz w:val="18"/>
              </w:rPr>
              <w:t>(1,243,082,687)</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8"/>
              <w:jc w:val="right"/>
              <w:rPr>
                <w:rFonts w:ascii="Arial" w:hAnsi="Arial" w:cs="Arial" w:eastAsia="Arial" w:hint="default"/>
                <w:sz w:val="18"/>
                <w:szCs w:val="18"/>
              </w:rPr>
            </w:pPr>
            <w:r>
              <w:rPr>
                <w:rFonts w:ascii="Arial"/>
                <w:spacing w:val="-1"/>
                <w:sz w:val="18"/>
              </w:rPr>
              <w:t>(1,624,003,124)</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Arial" w:hAnsi="Arial" w:cs="Arial" w:eastAsia="Arial" w:hint="default"/>
                <w:sz w:val="18"/>
                <w:szCs w:val="18"/>
              </w:rPr>
            </w:pPr>
            <w:r>
              <w:rPr>
                <w:rFonts w:ascii="Arial"/>
                <w:spacing w:val="-1"/>
                <w:sz w:val="18"/>
              </w:rPr>
              <w:t>473,714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9"/>
              <w:jc w:val="right"/>
              <w:rPr>
                <w:rFonts w:ascii="Arial" w:hAnsi="Arial" w:cs="Arial" w:eastAsia="Arial" w:hint="default"/>
                <w:sz w:val="18"/>
                <w:szCs w:val="18"/>
              </w:rPr>
            </w:pPr>
            <w:r>
              <w:rPr>
                <w:rFonts w:ascii="Arial"/>
                <w:spacing w:val="-1"/>
                <w:sz w:val="18"/>
              </w:rPr>
              <w:t>(2,422,076)</w:t>
            </w:r>
            <w:r>
              <w:rPr>
                <w:rFonts w:ascii="Arial"/>
                <w:sz w:val="18"/>
              </w:rPr>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8"/>
              <w:jc w:val="right"/>
              <w:rPr>
                <w:rFonts w:ascii="Arial" w:hAnsi="Arial" w:cs="Arial" w:eastAsia="Arial" w:hint="default"/>
                <w:sz w:val="18"/>
                <w:szCs w:val="18"/>
              </w:rPr>
            </w:pPr>
            <w:r>
              <w:rPr>
                <w:rFonts w:ascii="Arial"/>
                <w:spacing w:val="-1"/>
                <w:sz w:val="18"/>
              </w:rPr>
              <w:t>(2,771,213,069)</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8"/>
              <w:jc w:val="right"/>
              <w:rPr>
                <w:rFonts w:ascii="Arial" w:hAnsi="Arial" w:cs="Arial" w:eastAsia="Arial" w:hint="default"/>
                <w:sz w:val="18"/>
                <w:szCs w:val="18"/>
              </w:rPr>
            </w:pPr>
            <w:r>
              <w:rPr>
                <w:rFonts w:ascii="Arial"/>
                <w:spacing w:val="-1"/>
                <w:sz w:val="18"/>
              </w:rPr>
              <w:t>(2,667,652,270)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44"/>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81" w:right="0"/>
              <w:jc w:val="left"/>
              <w:rPr>
                <w:rFonts w:ascii="宋体" w:hAnsi="宋体" w:cs="宋体" w:eastAsia="宋体" w:hint="default"/>
                <w:sz w:val="18"/>
                <w:szCs w:val="18"/>
              </w:rPr>
            </w:pPr>
            <w:r>
              <w:rPr>
                <w:rFonts w:ascii="宋体" w:hAnsi="宋体" w:cs="宋体" w:eastAsia="宋体" w:hint="default"/>
                <w:sz w:val="18"/>
                <w:szCs w:val="18"/>
              </w:rPr>
              <w:t>加：投资收益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3"/>
              <w:jc w:val="right"/>
              <w:rPr>
                <w:rFonts w:ascii="Arial" w:hAnsi="Arial" w:cs="Arial" w:eastAsia="Arial" w:hint="default"/>
                <w:sz w:val="18"/>
                <w:szCs w:val="18"/>
              </w:rPr>
            </w:pPr>
            <w:r>
              <w:rPr>
                <w:rFonts w:ascii="宋体" w:hAnsi="宋体" w:cs="宋体" w:eastAsia="宋体" w:hint="default"/>
                <w:spacing w:val="-1"/>
                <w:sz w:val="18"/>
                <w:szCs w:val="18"/>
              </w:rPr>
              <w:t>五</w:t>
            </w:r>
            <w:r>
              <w:rPr>
                <w:rFonts w:ascii="Arial" w:hAnsi="Arial" w:cs="Arial" w:eastAsia="Arial" w:hint="default"/>
                <w:spacing w:val="-1"/>
                <w:sz w:val="18"/>
                <w:szCs w:val="18"/>
              </w:rPr>
              <w:t>(40),</w:t>
            </w:r>
            <w:r>
              <w:rPr>
                <w:rFonts w:ascii="宋体" w:hAnsi="宋体" w:cs="宋体" w:eastAsia="宋体" w:hint="default"/>
                <w:spacing w:val="-1"/>
                <w:sz w:val="18"/>
                <w:szCs w:val="18"/>
              </w:rPr>
              <w:t>十六</w:t>
            </w:r>
            <w:r>
              <w:rPr>
                <w:rFonts w:ascii="Arial" w:hAnsi="Arial" w:cs="Arial" w:eastAsia="Arial" w:hint="default"/>
                <w:spacing w:val="-1"/>
                <w:sz w:val="18"/>
                <w:szCs w:val="18"/>
              </w:rPr>
              <w:t>(6)</w:t>
            </w:r>
            <w:r>
              <w:rPr>
                <w:rFonts w:ascii="Arial" w:hAnsi="Arial" w:cs="Arial" w:eastAsia="Arial"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866,240,576</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484,626,759</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Arial" w:hAnsi="Arial" w:cs="Arial" w:eastAsia="Arial" w:hint="default"/>
                <w:sz w:val="18"/>
                <w:szCs w:val="18"/>
              </w:rPr>
            </w:pPr>
            <w:r>
              <w:rPr>
                <w:rFonts w:ascii="Arial"/>
                <w:spacing w:val="-1"/>
                <w:sz w:val="18"/>
              </w:rPr>
              <w:t>625,590,662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spacing w:val="-1"/>
                <w:sz w:val="18"/>
              </w:rPr>
              <w:t>1,277,413,763</w:t>
            </w:r>
          </w:p>
        </w:tc>
      </w:tr>
      <w:tr>
        <w:trPr>
          <w:trHeight w:val="222" w:hRule="exact"/>
        </w:trPr>
        <w:tc>
          <w:tcPr>
            <w:tcW w:w="352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黑体" w:hAnsi="黑体" w:cs="黑体" w:eastAsia="黑体" w:hint="default"/>
                <w:sz w:val="18"/>
                <w:szCs w:val="18"/>
              </w:rPr>
            </w:pPr>
            <w:r>
              <w:rPr>
                <w:rFonts w:ascii="黑体" w:hAnsi="黑体" w:cs="黑体" w:eastAsia="黑体" w:hint="default"/>
                <w:sz w:val="18"/>
                <w:szCs w:val="18"/>
              </w:rPr>
              <w:t>二、营业利润</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9"/>
              <w:jc w:val="right"/>
              <w:rPr>
                <w:rFonts w:ascii="Arial" w:hAnsi="Arial" w:cs="Arial" w:eastAsia="Arial" w:hint="default"/>
                <w:sz w:val="18"/>
                <w:szCs w:val="18"/>
              </w:rPr>
            </w:pPr>
            <w:r>
              <w:rPr>
                <w:rFonts w:ascii="Arial"/>
                <w:spacing w:val="-1"/>
                <w:sz w:val="18"/>
              </w:rPr>
              <w:t>4,654,375,869</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57" w:right="0"/>
              <w:jc w:val="left"/>
              <w:rPr>
                <w:rFonts w:ascii="Arial" w:hAnsi="Arial" w:cs="Arial" w:eastAsia="Arial" w:hint="default"/>
                <w:sz w:val="18"/>
                <w:szCs w:val="18"/>
              </w:rPr>
            </w:pPr>
            <w:r>
              <w:rPr>
                <w:rFonts w:ascii="Arial"/>
                <w:sz w:val="18"/>
              </w:rPr>
              <w:t>3,941,777,726</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9"/>
              <w:jc w:val="right"/>
              <w:rPr>
                <w:rFonts w:ascii="Arial" w:hAnsi="Arial" w:cs="Arial" w:eastAsia="Arial" w:hint="default"/>
                <w:sz w:val="18"/>
                <w:szCs w:val="18"/>
              </w:rPr>
            </w:pPr>
            <w:r>
              <w:rPr>
                <w:rFonts w:ascii="Arial"/>
                <w:spacing w:val="-1"/>
                <w:sz w:val="18"/>
              </w:rPr>
              <w:t>615,387,764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
              <w:jc w:val="right"/>
              <w:rPr>
                <w:rFonts w:ascii="Arial" w:hAnsi="Arial" w:cs="Arial" w:eastAsia="Arial" w:hint="default"/>
                <w:sz w:val="18"/>
                <w:szCs w:val="18"/>
              </w:rPr>
            </w:pPr>
            <w:r>
              <w:rPr>
                <w:rFonts w:ascii="Arial"/>
                <w:spacing w:val="-1"/>
                <w:sz w:val="18"/>
              </w:rPr>
              <w:t>1,264,549,285</w:t>
            </w:r>
          </w:p>
        </w:tc>
      </w:tr>
      <w:tr>
        <w:trPr>
          <w:trHeight w:val="254"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0"/>
              <w:jc w:val="right"/>
              <w:rPr>
                <w:rFonts w:ascii="Arial" w:hAnsi="Arial" w:cs="Arial" w:eastAsia="Arial" w:hint="default"/>
                <w:sz w:val="18"/>
                <w:szCs w:val="18"/>
              </w:rPr>
            </w:pPr>
            <w:r>
              <w:rPr>
                <w:rFonts w:ascii="Arial"/>
                <w:spacing w:val="-1"/>
                <w:sz w:val="18"/>
              </w:rPr>
              <w:t>1,874,449,694</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56" w:right="0"/>
              <w:jc w:val="left"/>
              <w:rPr>
                <w:rFonts w:ascii="Arial" w:hAnsi="Arial" w:cs="Arial" w:eastAsia="Arial" w:hint="default"/>
                <w:sz w:val="18"/>
                <w:szCs w:val="18"/>
              </w:rPr>
            </w:pPr>
            <w:r>
              <w:rPr>
                <w:rFonts w:ascii="Arial"/>
                <w:sz w:val="18"/>
              </w:rPr>
              <w:t>1,060,169,149</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9"/>
              <w:jc w:val="right"/>
              <w:rPr>
                <w:rFonts w:ascii="Arial" w:hAnsi="Arial" w:cs="Arial" w:eastAsia="Arial" w:hint="default"/>
                <w:sz w:val="18"/>
                <w:szCs w:val="18"/>
              </w:rPr>
            </w:pPr>
            <w:r>
              <w:rPr>
                <w:rFonts w:ascii="Arial"/>
                <w:spacing w:val="-1"/>
                <w:sz w:val="18"/>
              </w:rPr>
              <w:t>23,449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9"/>
              <w:jc w:val="right"/>
              <w:rPr>
                <w:rFonts w:ascii="Arial" w:hAnsi="Arial" w:cs="Arial" w:eastAsia="Arial" w:hint="default"/>
                <w:sz w:val="18"/>
                <w:szCs w:val="18"/>
              </w:rPr>
            </w:pPr>
            <w:r>
              <w:rPr>
                <w:rFonts w:ascii="Arial"/>
                <w:spacing w:val="-1"/>
                <w:sz w:val="18"/>
              </w:rPr>
              <w:t>(864,784,747)</w:t>
            </w:r>
            <w:r>
              <w:rPr>
                <w:rFonts w:ascii="Arial"/>
                <w:sz w:val="18"/>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9"/>
              <w:jc w:val="right"/>
              <w:rPr>
                <w:rFonts w:ascii="Arial" w:hAnsi="Arial" w:cs="Arial" w:eastAsia="Arial" w:hint="default"/>
                <w:sz w:val="18"/>
                <w:szCs w:val="18"/>
              </w:rPr>
            </w:pPr>
            <w:r>
              <w:rPr>
                <w:rFonts w:ascii="Arial"/>
                <w:spacing w:val="-1"/>
                <w:sz w:val="18"/>
              </w:rPr>
              <w:t>(330,192,862)</w:t>
            </w:r>
            <w:r>
              <w:rPr>
                <w:rFonts w:ascii="Arial"/>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50"/>
              <w:jc w:val="right"/>
              <w:rPr>
                <w:rFonts w:ascii="Arial" w:hAnsi="Arial" w:cs="Arial" w:eastAsia="Arial" w:hint="default"/>
                <w:sz w:val="18"/>
                <w:szCs w:val="18"/>
              </w:rPr>
            </w:pPr>
            <w:r>
              <w:rPr>
                <w:rFonts w:ascii="Arial"/>
                <w:spacing w:val="-1"/>
                <w:w w:val="95"/>
                <w:sz w:val="18"/>
              </w:rPr>
              <w:t>(9,001)</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52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黑体" w:hAnsi="黑体" w:cs="黑体" w:eastAsia="黑体" w:hint="default"/>
                <w:sz w:val="18"/>
                <w:szCs w:val="18"/>
              </w:rPr>
            </w:pPr>
            <w:r>
              <w:rPr>
                <w:rFonts w:ascii="黑体" w:hAnsi="黑体" w:cs="黑体" w:eastAsia="黑体" w:hint="default"/>
                <w:sz w:val="18"/>
                <w:szCs w:val="18"/>
              </w:rPr>
              <w:t>三、利润总额</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9"/>
              <w:jc w:val="right"/>
              <w:rPr>
                <w:rFonts w:ascii="Arial" w:hAnsi="Arial" w:cs="Arial" w:eastAsia="Arial" w:hint="default"/>
                <w:sz w:val="18"/>
                <w:szCs w:val="18"/>
              </w:rPr>
            </w:pPr>
            <w:r>
              <w:rPr>
                <w:rFonts w:ascii="Arial"/>
                <w:spacing w:val="-1"/>
                <w:sz w:val="18"/>
              </w:rPr>
              <w:t>5,664,040,816</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57" w:right="0"/>
              <w:jc w:val="left"/>
              <w:rPr>
                <w:rFonts w:ascii="Arial" w:hAnsi="Arial" w:cs="Arial" w:eastAsia="Arial" w:hint="default"/>
                <w:sz w:val="18"/>
                <w:szCs w:val="18"/>
              </w:rPr>
            </w:pPr>
            <w:r>
              <w:rPr>
                <w:rFonts w:ascii="Arial"/>
                <w:sz w:val="18"/>
              </w:rPr>
              <w:t>4,671,754,013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9"/>
              <w:jc w:val="right"/>
              <w:rPr>
                <w:rFonts w:ascii="Arial" w:hAnsi="Arial" w:cs="Arial" w:eastAsia="Arial" w:hint="default"/>
                <w:sz w:val="18"/>
                <w:szCs w:val="18"/>
              </w:rPr>
            </w:pPr>
            <w:r>
              <w:rPr>
                <w:rFonts w:ascii="Arial"/>
                <w:spacing w:val="-1"/>
                <w:sz w:val="18"/>
              </w:rPr>
              <w:t>615,402,212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
              <w:jc w:val="right"/>
              <w:rPr>
                <w:rFonts w:ascii="Arial" w:hAnsi="Arial" w:cs="Arial" w:eastAsia="Arial" w:hint="default"/>
                <w:sz w:val="18"/>
                <w:szCs w:val="18"/>
              </w:rPr>
            </w:pPr>
            <w:r>
              <w:rPr>
                <w:rFonts w:ascii="Arial"/>
                <w:spacing w:val="-1"/>
                <w:sz w:val="18"/>
              </w:rPr>
              <w:t>1,264,549,285</w:t>
            </w:r>
          </w:p>
        </w:tc>
      </w:tr>
      <w:tr>
        <w:trPr>
          <w:trHeight w:val="254"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9"/>
              <w:jc w:val="right"/>
              <w:rPr>
                <w:rFonts w:ascii="Arial" w:hAnsi="Arial" w:cs="Arial" w:eastAsia="Arial" w:hint="default"/>
                <w:sz w:val="18"/>
                <w:szCs w:val="18"/>
              </w:rPr>
            </w:pPr>
            <w:r>
              <w:rPr>
                <w:rFonts w:ascii="Arial"/>
                <w:spacing w:val="-1"/>
                <w:sz w:val="18"/>
              </w:rPr>
              <w:t>(1,476,075,431)</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9"/>
              <w:jc w:val="right"/>
              <w:rPr>
                <w:rFonts w:ascii="Arial" w:hAnsi="Arial" w:cs="Arial" w:eastAsia="Arial" w:hint="default"/>
                <w:sz w:val="18"/>
                <w:szCs w:val="18"/>
              </w:rPr>
            </w:pPr>
            <w:r>
              <w:rPr>
                <w:rFonts w:ascii="Arial"/>
                <w:spacing w:val="-1"/>
                <w:sz w:val="18"/>
              </w:rPr>
              <w:t>(980,121,278)</w:t>
            </w:r>
            <w:r>
              <w:rPr>
                <w:rFonts w:ascii="Arial"/>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44"/>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52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黑体" w:hAnsi="黑体" w:cs="黑体" w:eastAsia="黑体" w:hint="default"/>
                <w:sz w:val="18"/>
                <w:szCs w:val="18"/>
              </w:rPr>
            </w:pPr>
            <w:r>
              <w:rPr>
                <w:rFonts w:ascii="黑体" w:hAnsi="黑体" w:cs="黑体" w:eastAsia="黑体" w:hint="default"/>
                <w:sz w:val="18"/>
                <w:szCs w:val="18"/>
              </w:rPr>
              <w:t>四、净利润</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9"/>
              <w:jc w:val="right"/>
              <w:rPr>
                <w:rFonts w:ascii="Arial" w:hAnsi="Arial" w:cs="Arial" w:eastAsia="Arial" w:hint="default"/>
                <w:sz w:val="18"/>
                <w:szCs w:val="18"/>
              </w:rPr>
            </w:pPr>
            <w:r>
              <w:rPr>
                <w:rFonts w:ascii="Arial"/>
                <w:spacing w:val="-1"/>
                <w:sz w:val="18"/>
              </w:rPr>
              <w:t>4,187,965,385</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57" w:right="0"/>
              <w:jc w:val="left"/>
              <w:rPr>
                <w:rFonts w:ascii="Arial" w:hAnsi="Arial" w:cs="Arial" w:eastAsia="Arial" w:hint="default"/>
                <w:sz w:val="18"/>
                <w:szCs w:val="18"/>
              </w:rPr>
            </w:pPr>
            <w:r>
              <w:rPr>
                <w:rFonts w:ascii="Arial"/>
                <w:sz w:val="18"/>
              </w:rPr>
              <w:t>3,691,632,735</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9"/>
              <w:jc w:val="right"/>
              <w:rPr>
                <w:rFonts w:ascii="Arial" w:hAnsi="Arial" w:cs="Arial" w:eastAsia="Arial" w:hint="default"/>
                <w:sz w:val="18"/>
                <w:szCs w:val="18"/>
              </w:rPr>
            </w:pPr>
            <w:r>
              <w:rPr>
                <w:rFonts w:ascii="Arial"/>
                <w:spacing w:val="-1"/>
                <w:sz w:val="18"/>
              </w:rPr>
              <w:t>615,402,212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
              <w:jc w:val="right"/>
              <w:rPr>
                <w:rFonts w:ascii="Arial" w:hAnsi="Arial" w:cs="Arial" w:eastAsia="Arial" w:hint="default"/>
                <w:sz w:val="18"/>
                <w:szCs w:val="18"/>
              </w:rPr>
            </w:pPr>
            <w:r>
              <w:rPr>
                <w:rFonts w:ascii="Arial"/>
                <w:spacing w:val="-1"/>
                <w:sz w:val="18"/>
              </w:rPr>
              <w:t>1,264,549,285</w:t>
            </w:r>
          </w:p>
        </w:tc>
      </w:tr>
      <w:tr>
        <w:trPr>
          <w:trHeight w:val="270"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451" w:right="0"/>
              <w:jc w:val="left"/>
              <w:rPr>
                <w:rFonts w:ascii="宋体" w:hAnsi="宋体" w:cs="宋体" w:eastAsia="宋体" w:hint="default"/>
                <w:sz w:val="18"/>
                <w:szCs w:val="18"/>
              </w:rPr>
            </w:pPr>
            <w:r>
              <w:rPr>
                <w:rFonts w:ascii="宋体" w:hAnsi="宋体" w:cs="宋体" w:eastAsia="宋体" w:hint="default"/>
                <w:sz w:val="18"/>
                <w:szCs w:val="18"/>
              </w:rPr>
              <w:t>归属于母公司普通股股东净利润</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9"/>
              <w:jc w:val="right"/>
              <w:rPr>
                <w:rFonts w:ascii="Arial" w:hAnsi="Arial" w:cs="Arial" w:eastAsia="Arial" w:hint="default"/>
                <w:sz w:val="18"/>
                <w:szCs w:val="18"/>
              </w:rPr>
            </w:pPr>
            <w:r>
              <w:rPr>
                <w:rFonts w:ascii="Arial"/>
                <w:spacing w:val="-1"/>
                <w:sz w:val="18"/>
              </w:rPr>
              <w:t>1,412,245,739</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57" w:right="0"/>
              <w:jc w:val="left"/>
              <w:rPr>
                <w:rFonts w:ascii="Arial" w:hAnsi="Arial" w:cs="Arial" w:eastAsia="Arial" w:hint="default"/>
                <w:sz w:val="18"/>
                <w:szCs w:val="18"/>
              </w:rPr>
            </w:pPr>
            <w:r>
              <w:rPr>
                <w:rFonts w:ascii="Arial"/>
                <w:sz w:val="18"/>
              </w:rPr>
              <w:t>1,234,506,831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9"/>
              <w:jc w:val="right"/>
              <w:rPr>
                <w:rFonts w:ascii="Arial" w:hAnsi="Arial" w:cs="Arial" w:eastAsia="Arial" w:hint="default"/>
                <w:sz w:val="18"/>
                <w:szCs w:val="18"/>
              </w:rPr>
            </w:pPr>
            <w:r>
              <w:rPr>
                <w:rFonts w:ascii="Arial"/>
                <w:spacing w:val="-1"/>
                <w:sz w:val="18"/>
              </w:rPr>
              <w:t>615,402,212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3"/>
              <w:jc w:val="right"/>
              <w:rPr>
                <w:rFonts w:ascii="Arial" w:hAnsi="Arial" w:cs="Arial" w:eastAsia="Arial" w:hint="default"/>
                <w:sz w:val="18"/>
                <w:szCs w:val="18"/>
              </w:rPr>
            </w:pPr>
            <w:r>
              <w:rPr>
                <w:rFonts w:ascii="Arial"/>
                <w:spacing w:val="-1"/>
                <w:sz w:val="18"/>
              </w:rPr>
              <w:t>1,264,549,285</w:t>
            </w:r>
          </w:p>
        </w:tc>
      </w:tr>
      <w:tr>
        <w:trPr>
          <w:trHeight w:val="256"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5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9"/>
              <w:jc w:val="right"/>
              <w:rPr>
                <w:rFonts w:ascii="Arial" w:hAnsi="Arial" w:cs="Arial" w:eastAsia="Arial" w:hint="default"/>
                <w:sz w:val="18"/>
                <w:szCs w:val="18"/>
              </w:rPr>
            </w:pPr>
            <w:r>
              <w:rPr>
                <w:rFonts w:ascii="Arial"/>
                <w:spacing w:val="-1"/>
                <w:sz w:val="18"/>
              </w:rPr>
              <w:t>2,775,719,646</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57" w:right="0"/>
              <w:jc w:val="left"/>
              <w:rPr>
                <w:rFonts w:ascii="Arial" w:hAnsi="Arial" w:cs="Arial" w:eastAsia="Arial" w:hint="default"/>
                <w:sz w:val="18"/>
                <w:szCs w:val="18"/>
              </w:rPr>
            </w:pPr>
            <w:r>
              <w:rPr>
                <w:rFonts w:ascii="Arial"/>
                <w:sz w:val="18"/>
              </w:rPr>
              <w:t>2,457,125,904</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43"/>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52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8"/>
              <w:jc w:val="left"/>
              <w:rPr>
                <w:rFonts w:ascii="黑体" w:hAnsi="黑体" w:cs="黑体" w:eastAsia="黑体" w:hint="default"/>
                <w:sz w:val="18"/>
                <w:szCs w:val="18"/>
              </w:rPr>
            </w:pPr>
            <w:r>
              <w:rPr>
                <w:rFonts w:ascii="黑体" w:hAnsi="黑体" w:cs="黑体" w:eastAsia="黑体" w:hint="default"/>
                <w:sz w:val="18"/>
                <w:szCs w:val="18"/>
              </w:rPr>
              <w:t>五、同一控制下企业合并中被合并方在合并</w:t>
            </w:r>
          </w:p>
          <w:p>
            <w:pPr>
              <w:pStyle w:val="TableParagraph"/>
              <w:spacing w:line="234" w:lineRule="exact"/>
              <w:ind w:left="632" w:right="0"/>
              <w:jc w:val="left"/>
              <w:rPr>
                <w:rFonts w:ascii="黑体" w:hAnsi="黑体" w:cs="黑体" w:eastAsia="黑体" w:hint="default"/>
                <w:sz w:val="18"/>
                <w:szCs w:val="18"/>
              </w:rPr>
            </w:pPr>
            <w:r>
              <w:rPr>
                <w:rFonts w:ascii="黑体" w:hAnsi="黑体" w:cs="黑体" w:eastAsia="黑体" w:hint="default"/>
                <w:sz w:val="18"/>
                <w:szCs w:val="18"/>
              </w:rPr>
              <w:t>前实现的净利润</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320" w:right="0"/>
              <w:jc w:val="left"/>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8,940,742</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20,356,428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54" w:hRule="exact"/>
        </w:trPr>
        <w:tc>
          <w:tcPr>
            <w:tcW w:w="352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黑体" w:hAnsi="黑体" w:cs="黑体" w:eastAsia="黑体" w:hint="default"/>
                <w:sz w:val="18"/>
                <w:szCs w:val="18"/>
              </w:rPr>
            </w:pPr>
            <w:r>
              <w:rPr>
                <w:rFonts w:ascii="黑体" w:hAnsi="黑体" w:cs="黑体" w:eastAsia="黑体" w:hint="default"/>
                <w:sz w:val="18"/>
                <w:szCs w:val="18"/>
              </w:rPr>
              <w:t>六、每股收益（归属于母公司普通股股东）</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460" w:right="0"/>
              <w:jc w:val="left"/>
              <w:rPr>
                <w:rFonts w:ascii="黑体" w:hAnsi="黑体" w:cs="黑体" w:eastAsia="黑体" w:hint="default"/>
                <w:sz w:val="18"/>
                <w:szCs w:val="18"/>
              </w:rPr>
            </w:pPr>
            <w:r>
              <w:rPr>
                <w:rFonts w:ascii="黑体" w:hAnsi="黑体" w:cs="黑体" w:eastAsia="黑体" w:hint="default"/>
                <w:sz w:val="18"/>
                <w:szCs w:val="18"/>
              </w:rPr>
              <w:t>基本每股收益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2"/>
              <w:jc w:val="right"/>
              <w:rPr>
                <w:rFonts w:ascii="Arial" w:hAnsi="Arial" w:cs="Arial" w:eastAsia="Arial" w:hint="default"/>
                <w:sz w:val="18"/>
                <w:szCs w:val="18"/>
              </w:rPr>
            </w:pPr>
            <w:r>
              <w:rPr>
                <w:rFonts w:ascii="Arial"/>
                <w:spacing w:val="-1"/>
                <w:sz w:val="18"/>
              </w:rPr>
              <w:t>0.0666</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57"/>
              <w:jc w:val="right"/>
              <w:rPr>
                <w:rFonts w:ascii="Arial" w:hAnsi="Arial" w:cs="Arial" w:eastAsia="Arial" w:hint="default"/>
                <w:sz w:val="18"/>
                <w:szCs w:val="18"/>
              </w:rPr>
            </w:pPr>
            <w:r>
              <w:rPr>
                <w:rFonts w:ascii="Arial"/>
                <w:spacing w:val="-1"/>
                <w:sz w:val="18"/>
              </w:rPr>
              <w:t>0.0582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0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8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54"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460" w:right="0"/>
              <w:jc w:val="left"/>
              <w:rPr>
                <w:rFonts w:ascii="黑体" w:hAnsi="黑体" w:cs="黑体" w:eastAsia="黑体" w:hint="default"/>
                <w:sz w:val="18"/>
                <w:szCs w:val="18"/>
              </w:rPr>
            </w:pPr>
            <w:r>
              <w:rPr>
                <w:rFonts w:ascii="黑体" w:hAnsi="黑体" w:cs="黑体" w:eastAsia="黑体" w:hint="default"/>
                <w:sz w:val="18"/>
                <w:szCs w:val="18"/>
              </w:rPr>
              <w:t>稀释每股收益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2"/>
              <w:jc w:val="right"/>
              <w:rPr>
                <w:rFonts w:ascii="Arial" w:hAnsi="Arial" w:cs="Arial" w:eastAsia="Arial" w:hint="default"/>
                <w:sz w:val="18"/>
                <w:szCs w:val="18"/>
              </w:rPr>
            </w:pPr>
            <w:r>
              <w:rPr>
                <w:rFonts w:ascii="Arial"/>
                <w:spacing w:val="-1"/>
                <w:sz w:val="18"/>
              </w:rPr>
              <w:t>0.0660</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57"/>
              <w:jc w:val="right"/>
              <w:rPr>
                <w:rFonts w:ascii="Arial" w:hAnsi="Arial" w:cs="Arial" w:eastAsia="Arial" w:hint="default"/>
                <w:sz w:val="18"/>
                <w:szCs w:val="18"/>
              </w:rPr>
            </w:pPr>
            <w:r>
              <w:rPr>
                <w:rFonts w:ascii="Arial"/>
                <w:spacing w:val="-1"/>
                <w:sz w:val="18"/>
              </w:rPr>
              <w:t>0.0579</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0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8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22" w:hRule="exact"/>
        </w:trPr>
        <w:tc>
          <w:tcPr>
            <w:tcW w:w="352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8" w:right="0"/>
              <w:jc w:val="left"/>
              <w:rPr>
                <w:rFonts w:ascii="黑体" w:hAnsi="黑体" w:cs="黑体" w:eastAsia="黑体" w:hint="default"/>
                <w:sz w:val="18"/>
                <w:szCs w:val="18"/>
              </w:rPr>
            </w:pPr>
            <w:r>
              <w:rPr>
                <w:rFonts w:ascii="黑体" w:hAnsi="黑体" w:cs="黑体" w:eastAsia="黑体" w:hint="default"/>
                <w:sz w:val="18"/>
                <w:szCs w:val="18"/>
              </w:rPr>
              <w:t>七、其他综合收益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6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8"/>
              <w:jc w:val="right"/>
              <w:rPr>
                <w:rFonts w:ascii="Arial" w:hAnsi="Arial" w:cs="Arial" w:eastAsia="Arial" w:hint="default"/>
                <w:sz w:val="18"/>
                <w:szCs w:val="18"/>
              </w:rPr>
            </w:pPr>
            <w:r>
              <w:rPr>
                <w:rFonts w:ascii="Arial"/>
                <w:spacing w:val="-1"/>
                <w:sz w:val="18"/>
              </w:rPr>
              <w:t>(1,990,478,831)</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8"/>
              <w:jc w:val="right"/>
              <w:rPr>
                <w:rFonts w:ascii="Arial" w:hAnsi="Arial" w:cs="Arial" w:eastAsia="Arial" w:hint="default"/>
                <w:sz w:val="18"/>
                <w:szCs w:val="18"/>
              </w:rPr>
            </w:pPr>
            <w:r>
              <w:rPr>
                <w:rFonts w:ascii="Arial"/>
                <w:spacing w:val="-1"/>
                <w:sz w:val="18"/>
              </w:rPr>
              <w:t>(1,334,815,631)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44"/>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5"/>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352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8" w:right="0"/>
              <w:jc w:val="left"/>
              <w:rPr>
                <w:rFonts w:ascii="黑体" w:hAnsi="黑体" w:cs="黑体" w:eastAsia="黑体" w:hint="default"/>
                <w:sz w:val="18"/>
                <w:szCs w:val="18"/>
              </w:rPr>
            </w:pPr>
            <w:r>
              <w:rPr>
                <w:rFonts w:ascii="黑体" w:hAnsi="黑体" w:cs="黑体" w:eastAsia="黑体" w:hint="default"/>
                <w:sz w:val="18"/>
                <w:szCs w:val="18"/>
              </w:rPr>
              <w:t>八、综合收益总额</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2,197,486,554</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57" w:right="0"/>
              <w:jc w:val="left"/>
              <w:rPr>
                <w:rFonts w:ascii="Arial" w:hAnsi="Arial" w:cs="Arial" w:eastAsia="Arial" w:hint="default"/>
                <w:sz w:val="18"/>
                <w:szCs w:val="18"/>
              </w:rPr>
            </w:pPr>
            <w:r>
              <w:rPr>
                <w:rFonts w:ascii="Arial"/>
                <w:sz w:val="18"/>
              </w:rPr>
              <w:t>2,356,817,104</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Arial" w:hAnsi="Arial" w:cs="Arial" w:eastAsia="Arial" w:hint="default"/>
                <w:sz w:val="18"/>
                <w:szCs w:val="18"/>
              </w:rPr>
            </w:pPr>
            <w:r>
              <w:rPr>
                <w:rFonts w:ascii="Arial"/>
                <w:spacing w:val="-1"/>
                <w:sz w:val="18"/>
              </w:rPr>
              <w:t>615,402,212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spacing w:val="-1"/>
                <w:sz w:val="18"/>
              </w:rPr>
              <w:t>1,264,549,285</w:t>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
              <w:jc w:val="right"/>
              <w:rPr>
                <w:rFonts w:ascii="黑体" w:hAnsi="黑体" w:cs="黑体" w:eastAsia="黑体" w:hint="default"/>
                <w:sz w:val="18"/>
                <w:szCs w:val="18"/>
              </w:rPr>
            </w:pPr>
            <w:r>
              <w:rPr>
                <w:rFonts w:ascii="黑体" w:hAnsi="黑体" w:cs="黑体" w:eastAsia="黑体" w:hint="default"/>
                <w:sz w:val="18"/>
                <w:szCs w:val="18"/>
              </w:rPr>
              <w:t>归属于母公司普通股股东综合收益总额</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737,787,260</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782,214,796</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Arial" w:hAnsi="Arial" w:cs="Arial" w:eastAsia="Arial" w:hint="default"/>
                <w:sz w:val="18"/>
                <w:szCs w:val="18"/>
              </w:rPr>
            </w:pPr>
            <w:r>
              <w:rPr>
                <w:rFonts w:ascii="Arial"/>
                <w:spacing w:val="-1"/>
                <w:sz w:val="18"/>
              </w:rPr>
              <w:t>615,402,212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spacing w:val="-1"/>
                <w:sz w:val="18"/>
              </w:rPr>
              <w:t>1,264,549,285</w:t>
            </w:r>
          </w:p>
        </w:tc>
      </w:tr>
      <w:tr>
        <w:trPr>
          <w:trHeight w:val="2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黑体" w:hAnsi="黑体" w:cs="黑体" w:eastAsia="黑体" w:hint="default"/>
                <w:sz w:val="18"/>
                <w:szCs w:val="18"/>
              </w:rPr>
            </w:pPr>
            <w:r>
              <w:rPr>
                <w:rFonts w:ascii="黑体" w:hAnsi="黑体" w:cs="黑体" w:eastAsia="黑体" w:hint="default"/>
                <w:sz w:val="18"/>
                <w:szCs w:val="18"/>
              </w:rPr>
              <w:t>归属于少数股东的综合收益总额</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1,459,699,294</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57" w:right="0"/>
              <w:jc w:val="left"/>
              <w:rPr>
                <w:rFonts w:ascii="Arial" w:hAnsi="Arial" w:cs="Arial" w:eastAsia="Arial" w:hint="default"/>
                <w:sz w:val="18"/>
                <w:szCs w:val="18"/>
              </w:rPr>
            </w:pPr>
            <w:r>
              <w:rPr>
                <w:rFonts w:ascii="Arial"/>
                <w:sz w:val="18"/>
              </w:rPr>
              <w:t>1,574,602,308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44"/>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3"/>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3"/>
        <w:rPr>
          <w:rFonts w:ascii="黑体" w:hAnsi="黑体" w:cs="黑体" w:eastAsia="黑体" w:hint="default"/>
          <w:sz w:val="12"/>
          <w:szCs w:val="12"/>
        </w:rPr>
      </w:pPr>
    </w:p>
    <w:p>
      <w:pPr>
        <w:spacing w:before="38"/>
        <w:ind w:left="115"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tabs>
          <w:tab w:pos="4066" w:val="left" w:leader="none"/>
          <w:tab w:pos="7423" w:val="left" w:leader="none"/>
        </w:tabs>
        <w:spacing w:line="240" w:lineRule="auto" w:before="160"/>
        <w:ind w:left="129"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31"/>
          <w:footerReference w:type="default" r:id="rId32"/>
          <w:pgSz w:w="11900" w:h="16840"/>
          <w:pgMar w:header="0" w:footer="752" w:top="1240" w:bottom="940" w:left="780" w:right="340"/>
          <w:pgNumType w:start="59"/>
        </w:sectPr>
      </w:pPr>
    </w:p>
    <w:p>
      <w:pPr>
        <w:pStyle w:val="BodyText"/>
        <w:spacing w:line="240" w:lineRule="auto" w:before="20"/>
        <w:ind w:left="107"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94" w:lineRule="exact"/>
        <w:ind w:left="107"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9"/>
        </w:rPr>
        <w:t> </w:t>
      </w:r>
      <w:r>
        <w:rPr>
          <w:rFonts w:ascii="黑体" w:hAnsi="黑体" w:cs="黑体" w:eastAsia="黑体" w:hint="default"/>
        </w:rPr>
        <w:t>年度合并及公司现金流量表</w:t>
      </w:r>
    </w:p>
    <w:p>
      <w:pPr>
        <w:pStyle w:val="BodyText"/>
        <w:spacing w:line="278" w:lineRule="exact"/>
        <w:ind w:left="107"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9"/>
        <w:rPr>
          <w:rFonts w:ascii="黑体" w:hAnsi="黑体" w:cs="黑体" w:eastAsia="黑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4718"/>
        <w:gridCol w:w="532"/>
        <w:gridCol w:w="1414"/>
        <w:gridCol w:w="1414"/>
        <w:gridCol w:w="1289"/>
        <w:gridCol w:w="1232"/>
      </w:tblGrid>
      <w:tr>
        <w:trPr>
          <w:trHeight w:val="622"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3"/>
                <w:szCs w:val="13"/>
              </w:rPr>
            </w:pPr>
          </w:p>
          <w:p>
            <w:pPr>
              <w:pStyle w:val="TableParagraph"/>
              <w:spacing w:line="240" w:lineRule="auto"/>
              <w:ind w:right="2"/>
              <w:jc w:val="center"/>
              <w:rPr>
                <w:rFonts w:ascii="黑体" w:hAnsi="黑体" w:cs="黑体" w:eastAsia="黑体" w:hint="default"/>
                <w:sz w:val="16"/>
                <w:szCs w:val="16"/>
              </w:rPr>
            </w:pPr>
            <w:r>
              <w:rPr>
                <w:rFonts w:ascii="黑体" w:hAnsi="黑体" w:cs="黑体" w:eastAsia="黑体" w:hint="default"/>
                <w:sz w:val="16"/>
                <w:szCs w:val="16"/>
              </w:rPr>
              <w:t>项目</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3"/>
                <w:szCs w:val="13"/>
              </w:rPr>
            </w:pPr>
          </w:p>
          <w:p>
            <w:pPr>
              <w:pStyle w:val="TableParagraph"/>
              <w:spacing w:line="240" w:lineRule="auto"/>
              <w:ind w:right="35"/>
              <w:jc w:val="center"/>
              <w:rPr>
                <w:rFonts w:ascii="黑体" w:hAnsi="黑体" w:cs="黑体" w:eastAsia="黑体" w:hint="default"/>
                <w:sz w:val="16"/>
                <w:szCs w:val="16"/>
              </w:rPr>
            </w:pPr>
            <w:r>
              <w:rPr>
                <w:rFonts w:ascii="黑体" w:hAnsi="黑体" w:cs="黑体" w:eastAsia="黑体" w:hint="default"/>
                <w:sz w:val="16"/>
                <w:szCs w:val="16"/>
              </w:rPr>
              <w:t>附注</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before="92"/>
              <w:ind w:left="553" w:right="341" w:hanging="213"/>
              <w:jc w:val="left"/>
              <w:rPr>
                <w:rFonts w:ascii="黑体" w:hAnsi="黑体" w:cs="黑体" w:eastAsia="黑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黑体" w:hAnsi="黑体" w:cs="黑体" w:eastAsia="黑体" w:hint="default"/>
                <w:sz w:val="16"/>
                <w:szCs w:val="16"/>
              </w:rPr>
              <w:t>年度</w:t>
            </w:r>
            <w:r>
              <w:rPr>
                <w:rFonts w:ascii="黑体" w:hAnsi="黑体" w:cs="黑体" w:eastAsia="黑体" w:hint="default"/>
                <w:spacing w:val="1"/>
                <w:w w:val="99"/>
                <w:sz w:val="16"/>
                <w:szCs w:val="16"/>
              </w:rPr>
              <w:t> </w:t>
            </w:r>
            <w:r>
              <w:rPr>
                <w:rFonts w:ascii="黑体" w:hAnsi="黑体" w:cs="黑体" w:eastAsia="黑体" w:hint="default"/>
                <w:sz w:val="16"/>
                <w:szCs w:val="16"/>
              </w:rPr>
              <w:t>合并</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before="92"/>
              <w:ind w:left="137" w:right="140" w:firstLine="202"/>
              <w:jc w:val="left"/>
              <w:rPr>
                <w:rFonts w:ascii="黑体" w:hAnsi="黑体" w:cs="黑体" w:eastAsia="黑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黑体" w:hAnsi="黑体" w:cs="黑体" w:eastAsia="黑体" w:hint="default"/>
                <w:sz w:val="16"/>
                <w:szCs w:val="16"/>
              </w:rPr>
              <w:t>年度</w:t>
            </w:r>
            <w:r>
              <w:rPr>
                <w:rFonts w:ascii="黑体" w:hAnsi="黑体" w:cs="黑体" w:eastAsia="黑体" w:hint="default"/>
                <w:spacing w:val="1"/>
                <w:w w:val="99"/>
                <w:sz w:val="16"/>
                <w:szCs w:val="16"/>
              </w:rPr>
              <w:t> </w:t>
            </w:r>
            <w:r>
              <w:rPr>
                <w:rFonts w:ascii="黑体" w:hAnsi="黑体" w:cs="黑体" w:eastAsia="黑体" w:hint="default"/>
                <w:sz w:val="16"/>
                <w:szCs w:val="16"/>
              </w:rPr>
              <w:t>合并（经重列）</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before="92"/>
              <w:ind w:left="476" w:right="277" w:hanging="198"/>
              <w:jc w:val="left"/>
              <w:rPr>
                <w:rFonts w:ascii="黑体" w:hAnsi="黑体" w:cs="黑体" w:eastAsia="黑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黑体" w:hAnsi="黑体" w:cs="黑体" w:eastAsia="黑体" w:hint="default"/>
                <w:sz w:val="16"/>
                <w:szCs w:val="16"/>
              </w:rPr>
              <w:t>年度</w:t>
            </w:r>
            <w:r>
              <w:rPr>
                <w:rFonts w:ascii="黑体" w:hAnsi="黑体" w:cs="黑体" w:eastAsia="黑体" w:hint="default"/>
                <w:spacing w:val="1"/>
                <w:w w:val="99"/>
                <w:sz w:val="16"/>
                <w:szCs w:val="16"/>
              </w:rPr>
              <w:t> </w:t>
            </w:r>
            <w:r>
              <w:rPr>
                <w:rFonts w:ascii="黑体" w:hAnsi="黑体" w:cs="黑体" w:eastAsia="黑体" w:hint="default"/>
                <w:sz w:val="16"/>
                <w:szCs w:val="16"/>
              </w:rPr>
              <w:t>公司</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before="92"/>
              <w:ind w:left="446" w:right="250" w:hanging="197"/>
              <w:jc w:val="left"/>
              <w:rPr>
                <w:rFonts w:ascii="黑体" w:hAnsi="黑体" w:cs="黑体" w:eastAsia="黑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黑体" w:hAnsi="黑体" w:cs="黑体" w:eastAsia="黑体" w:hint="default"/>
                <w:sz w:val="16"/>
                <w:szCs w:val="16"/>
              </w:rPr>
              <w:t>年度</w:t>
            </w:r>
            <w:r>
              <w:rPr>
                <w:rFonts w:ascii="黑体" w:hAnsi="黑体" w:cs="黑体" w:eastAsia="黑体" w:hint="default"/>
                <w:spacing w:val="1"/>
                <w:w w:val="99"/>
                <w:sz w:val="16"/>
                <w:szCs w:val="16"/>
              </w:rPr>
              <w:t> </w:t>
            </w:r>
            <w:r>
              <w:rPr>
                <w:rFonts w:ascii="黑体" w:hAnsi="黑体" w:cs="黑体" w:eastAsia="黑体" w:hint="default"/>
                <w:sz w:val="16"/>
                <w:szCs w:val="16"/>
              </w:rPr>
              <w:t>公司</w:t>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一、经营活动产生的现金流量</w:t>
            </w:r>
            <w:r>
              <w:rPr>
                <w:rFonts w:ascii="Arial" w:hAnsi="Arial" w:cs="Arial" w:eastAsia="Arial" w:hint="default"/>
                <w:sz w:val="16"/>
                <w:szCs w:val="16"/>
              </w:rPr>
              <w:t>—</w:t>
            </w:r>
            <w:r>
              <w:rPr>
                <w:rFonts w:ascii="黑体" w:hAnsi="黑体" w:cs="黑体" w:eastAsia="黑体" w:hint="default"/>
                <w:sz w:val="16"/>
                <w:szCs w:val="16"/>
              </w:rPr>
              <w:t>持续经营业务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7" w:right="0"/>
              <w:jc w:val="left"/>
              <w:rPr>
                <w:rFonts w:ascii="Arial" w:hAnsi="Arial" w:cs="Arial" w:eastAsia="Arial" w:hint="default"/>
                <w:sz w:val="16"/>
                <w:szCs w:val="16"/>
              </w:rPr>
            </w:pPr>
            <w:r>
              <w:rPr>
                <w:rFonts w:ascii="Arial"/>
                <w:sz w:val="16"/>
              </w:rPr>
              <w:t>205,738,561,772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Arial" w:hAnsi="Arial" w:cs="Arial" w:eastAsia="Arial" w:hint="default"/>
                <w:sz w:val="16"/>
                <w:szCs w:val="16"/>
              </w:rPr>
            </w:pPr>
            <w:r>
              <w:rPr>
                <w:rFonts w:ascii="Arial"/>
                <w:w w:val="95"/>
                <w:sz w:val="16"/>
              </w:rPr>
              <w:t>170,248,492,218</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收到的税款返还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Arial" w:hAnsi="Arial" w:cs="Arial" w:eastAsia="Arial" w:hint="default"/>
                <w:sz w:val="16"/>
                <w:szCs w:val="16"/>
              </w:rPr>
            </w:pPr>
            <w:r>
              <w:rPr>
                <w:rFonts w:ascii="Arial"/>
                <w:spacing w:val="-1"/>
                <w:w w:val="95"/>
                <w:sz w:val="16"/>
              </w:rPr>
              <w:t>27,664,445</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1"/>
              <w:jc w:val="right"/>
              <w:rPr>
                <w:rFonts w:ascii="Arial" w:hAnsi="Arial" w:cs="Arial" w:eastAsia="Arial" w:hint="default"/>
                <w:sz w:val="16"/>
                <w:szCs w:val="16"/>
              </w:rPr>
            </w:pPr>
            <w:r>
              <w:rPr>
                <w:rFonts w:ascii="Arial"/>
                <w:spacing w:val="-1"/>
                <w:w w:val="95"/>
                <w:sz w:val="16"/>
              </w:rPr>
              <w:t>97,762,455</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1"/>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2"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09" w:right="0"/>
              <w:jc w:val="left"/>
              <w:rPr>
                <w:rFonts w:ascii="Arial" w:hAnsi="Arial" w:cs="Arial" w:eastAsia="Arial" w:hint="default"/>
                <w:sz w:val="16"/>
                <w:szCs w:val="16"/>
              </w:rPr>
            </w:pPr>
            <w:r>
              <w:rPr>
                <w:rFonts w:ascii="Arial"/>
                <w:sz w:val="16"/>
              </w:rPr>
              <w:t>547,931,509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Arial" w:hAnsi="Arial" w:cs="Arial" w:eastAsia="Arial" w:hint="default"/>
                <w:sz w:val="16"/>
                <w:szCs w:val="16"/>
              </w:rPr>
            </w:pPr>
            <w:r>
              <w:rPr>
                <w:rFonts w:ascii="Arial"/>
                <w:w w:val="95"/>
                <w:sz w:val="16"/>
              </w:rPr>
              <w:t>1,887,813,551</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经营活动现金流入小计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97" w:right="0"/>
              <w:jc w:val="left"/>
              <w:rPr>
                <w:rFonts w:ascii="Arial" w:hAnsi="Arial" w:cs="Arial" w:eastAsia="Arial" w:hint="default"/>
                <w:sz w:val="16"/>
                <w:szCs w:val="16"/>
              </w:rPr>
            </w:pPr>
            <w:r>
              <w:rPr>
                <w:rFonts w:ascii="Arial"/>
                <w:sz w:val="16"/>
              </w:rPr>
              <w:t>206,314,157,726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1"/>
              <w:jc w:val="right"/>
              <w:rPr>
                <w:rFonts w:ascii="Arial" w:hAnsi="Arial" w:cs="Arial" w:eastAsia="Arial" w:hint="default"/>
                <w:sz w:val="16"/>
                <w:szCs w:val="16"/>
              </w:rPr>
            </w:pPr>
            <w:r>
              <w:rPr>
                <w:rFonts w:ascii="Arial"/>
                <w:w w:val="95"/>
                <w:sz w:val="16"/>
              </w:rPr>
              <w:t>172,234,068,224</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1"/>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(100,918,902,794)</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(73,721,453,945)</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(10,149,436)</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(8,549,309)</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5"/>
              <w:jc w:val="right"/>
              <w:rPr>
                <w:rFonts w:ascii="Arial" w:hAnsi="Arial" w:cs="Arial" w:eastAsia="Arial" w:hint="default"/>
                <w:sz w:val="16"/>
                <w:szCs w:val="16"/>
              </w:rPr>
            </w:pPr>
            <w:r>
              <w:rPr>
                <w:rFonts w:ascii="Arial"/>
                <w:w w:val="95"/>
                <w:sz w:val="16"/>
              </w:rPr>
              <w:t>(26,443,414,889)</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6"/>
              <w:jc w:val="right"/>
              <w:rPr>
                <w:rFonts w:ascii="Arial" w:hAnsi="Arial" w:cs="Arial" w:eastAsia="Arial" w:hint="default"/>
                <w:sz w:val="16"/>
                <w:szCs w:val="16"/>
              </w:rPr>
            </w:pPr>
            <w:r>
              <w:rPr>
                <w:rFonts w:ascii="Arial"/>
                <w:w w:val="95"/>
                <w:sz w:val="16"/>
              </w:rPr>
              <w:t>(23,504,105,093)</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36"/>
              <w:jc w:val="right"/>
              <w:rPr>
                <w:rFonts w:ascii="Arial" w:hAnsi="Arial" w:cs="Arial" w:eastAsia="Arial" w:hint="default"/>
                <w:sz w:val="16"/>
                <w:szCs w:val="16"/>
              </w:rPr>
            </w:pPr>
            <w:r>
              <w:rPr>
                <w:rFonts w:ascii="Arial"/>
                <w:w w:val="95"/>
                <w:sz w:val="16"/>
              </w:rPr>
              <w:t>(2,876,826)</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6"/>
              <w:jc w:val="right"/>
              <w:rPr>
                <w:rFonts w:ascii="Arial" w:hAnsi="Arial" w:cs="Arial" w:eastAsia="Arial" w:hint="default"/>
                <w:sz w:val="16"/>
                <w:szCs w:val="16"/>
              </w:rPr>
            </w:pPr>
            <w:r>
              <w:rPr>
                <w:rFonts w:ascii="Arial"/>
                <w:w w:val="95"/>
                <w:sz w:val="16"/>
              </w:rPr>
              <w:t>(2,898,004)</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spacing w:val="-1"/>
                <w:w w:val="95"/>
                <w:sz w:val="16"/>
              </w:rPr>
              <w:t>(9,498,977,137)</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7"/>
              <w:jc w:val="right"/>
              <w:rPr>
                <w:rFonts w:ascii="Arial" w:hAnsi="Arial" w:cs="Arial" w:eastAsia="Arial" w:hint="default"/>
                <w:sz w:val="16"/>
                <w:szCs w:val="16"/>
              </w:rPr>
            </w:pPr>
            <w:r>
              <w:rPr>
                <w:rFonts w:ascii="Arial"/>
                <w:spacing w:val="-1"/>
                <w:w w:val="95"/>
                <w:sz w:val="16"/>
              </w:rPr>
              <w:t>(6,767,502,730)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经营活动现金流出小计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5"/>
              <w:jc w:val="right"/>
              <w:rPr>
                <w:rFonts w:ascii="Arial" w:hAnsi="Arial" w:cs="Arial" w:eastAsia="Arial" w:hint="default"/>
                <w:sz w:val="16"/>
                <w:szCs w:val="16"/>
              </w:rPr>
            </w:pPr>
            <w:r>
              <w:rPr>
                <w:rFonts w:ascii="Arial"/>
                <w:w w:val="95"/>
                <w:sz w:val="16"/>
              </w:rPr>
              <w:t>(136,861,294,820)</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5"/>
              <w:jc w:val="right"/>
              <w:rPr>
                <w:rFonts w:ascii="Arial" w:hAnsi="Arial" w:cs="Arial" w:eastAsia="Arial" w:hint="default"/>
                <w:sz w:val="16"/>
                <w:szCs w:val="16"/>
              </w:rPr>
            </w:pPr>
            <w:r>
              <w:rPr>
                <w:rFonts w:ascii="Arial"/>
                <w:w w:val="95"/>
                <w:sz w:val="16"/>
              </w:rPr>
              <w:t>(103,993,061,768)</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36"/>
              <w:jc w:val="right"/>
              <w:rPr>
                <w:rFonts w:ascii="Arial" w:hAnsi="Arial" w:cs="Arial" w:eastAsia="Arial" w:hint="default"/>
                <w:sz w:val="16"/>
                <w:szCs w:val="16"/>
              </w:rPr>
            </w:pPr>
            <w:r>
              <w:rPr>
                <w:rFonts w:ascii="Arial"/>
                <w:w w:val="95"/>
                <w:sz w:val="16"/>
              </w:rPr>
              <w:t>(13,026,262)</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5"/>
              <w:jc w:val="right"/>
              <w:rPr>
                <w:rFonts w:ascii="Arial" w:hAnsi="Arial" w:cs="Arial" w:eastAsia="Arial" w:hint="default"/>
                <w:sz w:val="16"/>
                <w:szCs w:val="16"/>
              </w:rPr>
            </w:pPr>
            <w:r>
              <w:rPr>
                <w:rFonts w:ascii="Arial"/>
                <w:w w:val="95"/>
                <w:sz w:val="16"/>
              </w:rPr>
              <w:t>(11,447,313)</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黑体" w:hAnsi="黑体" w:cs="黑体" w:eastAsia="黑体" w:hint="default"/>
                <w:sz w:val="16"/>
                <w:szCs w:val="16"/>
              </w:rPr>
            </w:pPr>
            <w:r>
              <w:rPr>
                <w:rFonts w:ascii="黑体" w:hAnsi="黑体" w:cs="黑体" w:eastAsia="黑体" w:hint="default"/>
                <w:sz w:val="16"/>
                <w:szCs w:val="16"/>
              </w:rPr>
              <w:t>经营活动产生的现金流量净额（减：支付）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6" w:right="0"/>
              <w:jc w:val="left"/>
              <w:rPr>
                <w:rFonts w:ascii="Arial" w:hAnsi="Arial" w:cs="Arial" w:eastAsia="Arial" w:hint="default"/>
                <w:sz w:val="16"/>
                <w:szCs w:val="16"/>
              </w:rPr>
            </w:pPr>
            <w:r>
              <w:rPr>
                <w:rFonts w:ascii="Arial"/>
                <w:sz w:val="16"/>
              </w:rPr>
              <w:t>69,452,862,906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68,241,006,456</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(13,026,262)</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(11,447,313)</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二、投资活动产生的现金流量</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238"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436" w:right="0"/>
              <w:jc w:val="left"/>
              <w:rPr>
                <w:rFonts w:ascii="宋体" w:hAnsi="宋体" w:cs="宋体" w:eastAsia="宋体" w:hint="default"/>
                <w:sz w:val="16"/>
                <w:szCs w:val="16"/>
              </w:rPr>
            </w:pPr>
            <w:r>
              <w:rPr>
                <w:rFonts w:ascii="宋体" w:hAnsi="宋体" w:cs="宋体" w:eastAsia="宋体" w:hint="default"/>
                <w:sz w:val="16"/>
                <w:szCs w:val="16"/>
              </w:rPr>
              <w:t>处置固定资产、无形资产所收回的现金净额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74" w:right="0"/>
              <w:jc w:val="left"/>
              <w:rPr>
                <w:rFonts w:ascii="Arial" w:hAnsi="Arial" w:cs="Arial" w:eastAsia="Arial" w:hint="default"/>
                <w:sz w:val="16"/>
                <w:szCs w:val="16"/>
              </w:rPr>
            </w:pPr>
            <w:r>
              <w:rPr>
                <w:rFonts w:ascii="Arial"/>
                <w:sz w:val="16"/>
              </w:rPr>
              <w:t>1,431,320,599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0"/>
              <w:jc w:val="right"/>
              <w:rPr>
                <w:rFonts w:ascii="Arial" w:hAnsi="Arial" w:cs="Arial" w:eastAsia="Arial" w:hint="default"/>
                <w:sz w:val="16"/>
                <w:szCs w:val="16"/>
              </w:rPr>
            </w:pPr>
            <w:r>
              <w:rPr>
                <w:rFonts w:ascii="Arial"/>
                <w:w w:val="95"/>
                <w:sz w:val="16"/>
              </w:rPr>
              <w:t>374,602,080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2"/>
              <w:jc w:val="right"/>
              <w:rPr>
                <w:rFonts w:ascii="Arial" w:hAnsi="Arial" w:cs="Arial" w:eastAsia="Arial" w:hint="default"/>
                <w:sz w:val="16"/>
                <w:szCs w:val="16"/>
              </w:rPr>
            </w:pPr>
            <w:r>
              <w:rPr>
                <w:rFonts w:ascii="Arial"/>
                <w:w w:val="95"/>
                <w:sz w:val="16"/>
              </w:rPr>
              <w:t>41,000</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取得投资收益所收到的现金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74" w:right="0"/>
              <w:jc w:val="left"/>
              <w:rPr>
                <w:rFonts w:ascii="Arial" w:hAnsi="Arial" w:cs="Arial" w:eastAsia="Arial" w:hint="default"/>
                <w:sz w:val="16"/>
                <w:szCs w:val="16"/>
              </w:rPr>
            </w:pPr>
            <w:r>
              <w:rPr>
                <w:rFonts w:ascii="Arial"/>
                <w:sz w:val="16"/>
              </w:rPr>
              <w:t>1,047,765,284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561,683,784</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3" w:right="0"/>
              <w:jc w:val="left"/>
              <w:rPr>
                <w:rFonts w:ascii="Arial" w:hAnsi="Arial" w:cs="Arial" w:eastAsia="Arial" w:hint="default"/>
                <w:sz w:val="16"/>
                <w:szCs w:val="16"/>
              </w:rPr>
            </w:pPr>
            <w:r>
              <w:rPr>
                <w:rFonts w:ascii="Arial"/>
                <w:sz w:val="16"/>
              </w:rPr>
              <w:t>570,446,899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Arial" w:hAnsi="Arial" w:cs="Arial" w:eastAsia="Arial" w:hint="default"/>
                <w:sz w:val="16"/>
                <w:szCs w:val="16"/>
              </w:rPr>
            </w:pPr>
            <w:r>
              <w:rPr>
                <w:rFonts w:ascii="Arial"/>
                <w:w w:val="95"/>
                <w:sz w:val="16"/>
              </w:rPr>
              <w:t>1,158,858,348</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7"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09" w:right="0"/>
              <w:jc w:val="left"/>
              <w:rPr>
                <w:rFonts w:ascii="Arial" w:hAnsi="Arial" w:cs="Arial" w:eastAsia="Arial" w:hint="default"/>
                <w:sz w:val="16"/>
                <w:szCs w:val="16"/>
              </w:rPr>
            </w:pPr>
            <w:r>
              <w:rPr>
                <w:rFonts w:ascii="Arial"/>
                <w:sz w:val="16"/>
              </w:rPr>
              <w:t>181,172,648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Arial" w:hAnsi="Arial" w:cs="Arial" w:eastAsia="Arial" w:hint="default"/>
                <w:sz w:val="16"/>
                <w:szCs w:val="16"/>
              </w:rPr>
            </w:pPr>
            <w:r>
              <w:rPr>
                <w:rFonts w:ascii="Arial"/>
                <w:w w:val="95"/>
                <w:sz w:val="16"/>
              </w:rPr>
              <w:t>1,200,945,107</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持续经营业务投资活动现金流入小计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74" w:right="0"/>
              <w:jc w:val="left"/>
              <w:rPr>
                <w:rFonts w:ascii="Arial" w:hAnsi="Arial" w:cs="Arial" w:eastAsia="Arial" w:hint="default"/>
                <w:sz w:val="16"/>
                <w:szCs w:val="16"/>
              </w:rPr>
            </w:pPr>
            <w:r>
              <w:rPr>
                <w:rFonts w:ascii="Arial"/>
                <w:sz w:val="16"/>
              </w:rPr>
              <w:t>2,660,258,531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2,137,230,971</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3" w:right="0"/>
              <w:jc w:val="left"/>
              <w:rPr>
                <w:rFonts w:ascii="Arial" w:hAnsi="Arial" w:cs="Arial" w:eastAsia="Arial" w:hint="default"/>
                <w:sz w:val="16"/>
                <w:szCs w:val="16"/>
              </w:rPr>
            </w:pPr>
            <w:r>
              <w:rPr>
                <w:rFonts w:ascii="Arial"/>
                <w:sz w:val="16"/>
              </w:rPr>
              <w:t>570,487,899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1,158,858,348</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购建固定资产、无形资产所支付的现金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(81,817,902,431)</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(78,086,433,622)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(696,878)</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投资所支付的现金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spacing w:val="-1"/>
                <w:w w:val="95"/>
                <w:sz w:val="16"/>
              </w:rPr>
              <w:t>(3,367,586,262)</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spacing w:val="-1"/>
                <w:w w:val="95"/>
                <w:sz w:val="16"/>
              </w:rPr>
              <w:t>(46,275,271)</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支付的其他与投资活动有关的现金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7"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spacing w:val="-1"/>
                <w:w w:val="95"/>
                <w:sz w:val="16"/>
              </w:rPr>
              <w:t>(212,436,455)</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7"/>
              <w:jc w:val="right"/>
              <w:rPr>
                <w:rFonts w:ascii="Arial" w:hAnsi="Arial" w:cs="Arial" w:eastAsia="Arial" w:hint="default"/>
                <w:sz w:val="16"/>
                <w:szCs w:val="16"/>
              </w:rPr>
            </w:pPr>
            <w:r>
              <w:rPr>
                <w:rFonts w:ascii="Arial"/>
                <w:spacing w:val="-1"/>
                <w:w w:val="95"/>
                <w:sz w:val="16"/>
              </w:rPr>
              <w:t>(477,672,520)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持续经营业务投资活动现金流出小计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(85,397,925,148)</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(78,610,381,413)</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(696,878)</w:t>
            </w:r>
            <w:r>
              <w:rPr>
                <w:rFonts w:ascii="Arial"/>
                <w:sz w:val="16"/>
              </w:rPr>
            </w:r>
          </w:p>
        </w:tc>
      </w:tr>
      <w:tr>
        <w:trPr>
          <w:trHeight w:val="278"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592" w:right="0"/>
              <w:jc w:val="left"/>
              <w:rPr>
                <w:rFonts w:ascii="黑体" w:hAnsi="黑体" w:cs="黑体" w:eastAsia="黑体" w:hint="default"/>
                <w:sz w:val="16"/>
                <w:szCs w:val="16"/>
              </w:rPr>
            </w:pPr>
            <w:r>
              <w:rPr>
                <w:rFonts w:ascii="黑体" w:hAnsi="黑体" w:cs="黑体" w:eastAsia="黑体" w:hint="default"/>
                <w:sz w:val="16"/>
                <w:szCs w:val="16"/>
              </w:rPr>
              <w:t>持续经营业务投资活动产生的现金流量净额（减：支付）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5"/>
              <w:jc w:val="right"/>
              <w:rPr>
                <w:rFonts w:ascii="Arial" w:hAnsi="Arial" w:cs="Arial" w:eastAsia="Arial" w:hint="default"/>
                <w:sz w:val="16"/>
                <w:szCs w:val="16"/>
              </w:rPr>
            </w:pPr>
            <w:r>
              <w:rPr>
                <w:rFonts w:ascii="Arial"/>
                <w:w w:val="95"/>
                <w:sz w:val="16"/>
              </w:rPr>
              <w:t>(82,737,666,617)</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5"/>
              <w:jc w:val="right"/>
              <w:rPr>
                <w:rFonts w:ascii="Arial" w:hAnsi="Arial" w:cs="Arial" w:eastAsia="Arial" w:hint="default"/>
                <w:sz w:val="16"/>
                <w:szCs w:val="16"/>
              </w:rPr>
            </w:pPr>
            <w:r>
              <w:rPr>
                <w:rFonts w:ascii="Arial"/>
                <w:w w:val="95"/>
                <w:sz w:val="16"/>
              </w:rPr>
              <w:t>(76,473,150,442)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293" w:right="0"/>
              <w:jc w:val="left"/>
              <w:rPr>
                <w:rFonts w:ascii="Arial" w:hAnsi="Arial" w:cs="Arial" w:eastAsia="Arial" w:hint="default"/>
                <w:sz w:val="16"/>
                <w:szCs w:val="16"/>
              </w:rPr>
            </w:pPr>
            <w:r>
              <w:rPr>
                <w:rFonts w:ascii="Arial"/>
                <w:sz w:val="16"/>
              </w:rPr>
              <w:t>570,487,899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00"/>
              <w:jc w:val="right"/>
              <w:rPr>
                <w:rFonts w:ascii="Arial" w:hAnsi="Arial" w:cs="Arial" w:eastAsia="Arial" w:hint="default"/>
                <w:sz w:val="16"/>
                <w:szCs w:val="16"/>
              </w:rPr>
            </w:pPr>
            <w:r>
              <w:rPr>
                <w:rFonts w:ascii="Arial"/>
                <w:w w:val="95"/>
                <w:sz w:val="16"/>
              </w:rPr>
              <w:t>1,158,161,470</w:t>
            </w:r>
            <w:r>
              <w:rPr>
                <w:rFonts w:ascii="Arial"/>
                <w:sz w:val="16"/>
              </w:rPr>
            </w:r>
          </w:p>
        </w:tc>
      </w:tr>
      <w:tr>
        <w:trPr>
          <w:trHeight w:val="26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2" w:right="0"/>
              <w:jc w:val="left"/>
              <w:rPr>
                <w:rFonts w:ascii="黑体" w:hAnsi="黑体" w:cs="黑体" w:eastAsia="黑体" w:hint="default"/>
                <w:sz w:val="16"/>
                <w:szCs w:val="16"/>
              </w:rPr>
            </w:pPr>
            <w:r>
              <w:rPr>
                <w:rFonts w:ascii="黑体" w:hAnsi="黑体" w:cs="黑体" w:eastAsia="黑体" w:hint="default"/>
                <w:sz w:val="16"/>
                <w:szCs w:val="16"/>
              </w:rPr>
              <w:t>终止经营业务投资活动产生的现金流量净额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6"/>
                <w:szCs w:val="16"/>
              </w:rPr>
            </w:pPr>
            <w:r>
              <w:rPr>
                <w:rFonts w:ascii="Arial"/>
                <w:w w:val="99"/>
                <w:sz w:val="16"/>
              </w:rPr>
              <w:t>-</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6"/>
                <w:szCs w:val="16"/>
              </w:rPr>
            </w:pPr>
            <w:r>
              <w:rPr>
                <w:rFonts w:ascii="Arial"/>
                <w:spacing w:val="-1"/>
                <w:sz w:val="16"/>
              </w:rPr>
              <w:t>5,121,123,007</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黑体" w:hAnsi="黑体" w:cs="黑体" w:eastAsia="黑体" w:hint="default"/>
                <w:sz w:val="16"/>
                <w:szCs w:val="16"/>
              </w:rPr>
            </w:pPr>
            <w:r>
              <w:rPr>
                <w:rFonts w:ascii="黑体" w:hAnsi="黑体" w:cs="黑体" w:eastAsia="黑体" w:hint="default"/>
                <w:sz w:val="16"/>
                <w:szCs w:val="16"/>
              </w:rPr>
              <w:t>投资活动产生的现金流量净额（减：支付）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(82,737,666,617)</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(71,352,027,435)</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3" w:right="0"/>
              <w:jc w:val="left"/>
              <w:rPr>
                <w:rFonts w:ascii="Arial" w:hAnsi="Arial" w:cs="Arial" w:eastAsia="Arial" w:hint="default"/>
                <w:sz w:val="16"/>
                <w:szCs w:val="16"/>
              </w:rPr>
            </w:pPr>
            <w:r>
              <w:rPr>
                <w:rFonts w:ascii="Arial"/>
                <w:sz w:val="16"/>
              </w:rPr>
              <w:t>570,487,899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1,158,161,470</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三、筹资活动产生的现金流量</w:t>
            </w:r>
            <w:r>
              <w:rPr>
                <w:rFonts w:ascii="Arial" w:hAnsi="Arial" w:cs="Arial" w:eastAsia="Arial" w:hint="default"/>
                <w:sz w:val="16"/>
                <w:szCs w:val="16"/>
              </w:rPr>
              <w:t>—</w:t>
            </w:r>
            <w:r>
              <w:rPr>
                <w:rFonts w:ascii="黑体" w:hAnsi="黑体" w:cs="黑体" w:eastAsia="黑体" w:hint="default"/>
                <w:sz w:val="16"/>
                <w:szCs w:val="16"/>
              </w:rPr>
              <w:t>持续经营业务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子公司吸收少数股东投资所收到的现金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2"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spacing w:val="-1"/>
                <w:w w:val="95"/>
                <w:sz w:val="16"/>
              </w:rPr>
              <w:t>33,422,359</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Arial" w:hAnsi="Arial" w:cs="Arial" w:eastAsia="Arial" w:hint="default"/>
                <w:sz w:val="16"/>
                <w:szCs w:val="16"/>
              </w:rPr>
            </w:pPr>
            <w:r>
              <w:rPr>
                <w:rFonts w:ascii="Arial"/>
                <w:spacing w:val="-1"/>
                <w:w w:val="95"/>
                <w:sz w:val="16"/>
              </w:rPr>
              <w:t>405,515</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发行可转换债券所收到的现金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Arial" w:hAnsi="Arial" w:cs="Arial" w:eastAsia="Arial" w:hint="default"/>
                <w:sz w:val="16"/>
                <w:szCs w:val="16"/>
              </w:rPr>
            </w:pPr>
            <w:r>
              <w:rPr>
                <w:rFonts w:ascii="Arial"/>
                <w:w w:val="99"/>
                <w:sz w:val="16"/>
              </w:rPr>
              <w:t>-</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1"/>
              <w:jc w:val="right"/>
              <w:rPr>
                <w:rFonts w:ascii="Arial" w:hAnsi="Arial" w:cs="Arial" w:eastAsia="Arial" w:hint="default"/>
                <w:sz w:val="16"/>
                <w:szCs w:val="16"/>
              </w:rPr>
            </w:pPr>
            <w:r>
              <w:rPr>
                <w:rFonts w:ascii="Arial"/>
                <w:spacing w:val="-1"/>
                <w:sz w:val="16"/>
              </w:rPr>
              <w:t>12,143,781,219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6" w:right="0"/>
              <w:jc w:val="left"/>
              <w:rPr>
                <w:rFonts w:ascii="Arial" w:hAnsi="Arial" w:cs="Arial" w:eastAsia="Arial" w:hint="default"/>
                <w:sz w:val="16"/>
                <w:szCs w:val="16"/>
              </w:rPr>
            </w:pPr>
            <w:r>
              <w:rPr>
                <w:rFonts w:ascii="Arial"/>
                <w:sz w:val="16"/>
              </w:rPr>
              <w:t>61,866,594,907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Arial" w:hAnsi="Arial" w:cs="Arial" w:eastAsia="Arial" w:hint="default"/>
                <w:sz w:val="16"/>
                <w:szCs w:val="16"/>
              </w:rPr>
            </w:pPr>
            <w:r>
              <w:rPr>
                <w:rFonts w:ascii="Arial"/>
                <w:w w:val="95"/>
                <w:sz w:val="16"/>
              </w:rPr>
              <w:t>37,881,800,000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取得借款所收到的现金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86" w:right="0"/>
              <w:jc w:val="left"/>
              <w:rPr>
                <w:rFonts w:ascii="Arial" w:hAnsi="Arial" w:cs="Arial" w:eastAsia="Arial" w:hint="default"/>
                <w:sz w:val="16"/>
                <w:szCs w:val="16"/>
              </w:rPr>
            </w:pPr>
            <w:r>
              <w:rPr>
                <w:rFonts w:ascii="Arial"/>
                <w:sz w:val="16"/>
              </w:rPr>
              <w:t>55,460,955,472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1"/>
              <w:jc w:val="right"/>
              <w:rPr>
                <w:rFonts w:ascii="Arial" w:hAnsi="Arial" w:cs="Arial" w:eastAsia="Arial" w:hint="default"/>
                <w:sz w:val="16"/>
                <w:szCs w:val="16"/>
              </w:rPr>
            </w:pPr>
            <w:r>
              <w:rPr>
                <w:rFonts w:ascii="Arial"/>
                <w:w w:val="95"/>
                <w:sz w:val="16"/>
              </w:rPr>
              <w:t>114,981,978,200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760" w:right="0"/>
              <w:jc w:val="left"/>
              <w:rPr>
                <w:rFonts w:ascii="黑体" w:hAnsi="黑体" w:cs="黑体" w:eastAsia="黑体" w:hint="default"/>
                <w:sz w:val="16"/>
                <w:szCs w:val="16"/>
              </w:rPr>
            </w:pPr>
            <w:r>
              <w:rPr>
                <w:rFonts w:ascii="黑体" w:hAnsi="黑体" w:cs="黑体" w:eastAsia="黑体" w:hint="default"/>
                <w:sz w:val="16"/>
                <w:szCs w:val="16"/>
              </w:rPr>
              <w:t>筹资活动现金流入小计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7" w:right="0"/>
              <w:jc w:val="left"/>
              <w:rPr>
                <w:rFonts w:ascii="Arial" w:hAnsi="Arial" w:cs="Arial" w:eastAsia="Arial" w:hint="default"/>
                <w:sz w:val="16"/>
                <w:szCs w:val="16"/>
              </w:rPr>
            </w:pPr>
            <w:r>
              <w:rPr>
                <w:rFonts w:ascii="Arial"/>
                <w:sz w:val="16"/>
              </w:rPr>
              <w:t>117,360,972,738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Arial" w:hAnsi="Arial" w:cs="Arial" w:eastAsia="Arial" w:hint="default"/>
                <w:sz w:val="16"/>
                <w:szCs w:val="16"/>
              </w:rPr>
            </w:pPr>
            <w:r>
              <w:rPr>
                <w:rFonts w:ascii="Arial"/>
                <w:w w:val="95"/>
                <w:sz w:val="16"/>
              </w:rPr>
              <w:t>165,007,964,934</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偿还债务所支付的现金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6"/>
              <w:jc w:val="right"/>
              <w:rPr>
                <w:rFonts w:ascii="Arial" w:hAnsi="Arial" w:cs="Arial" w:eastAsia="Arial" w:hint="default"/>
                <w:sz w:val="16"/>
                <w:szCs w:val="16"/>
              </w:rPr>
            </w:pPr>
            <w:r>
              <w:rPr>
                <w:rFonts w:ascii="Arial"/>
                <w:spacing w:val="-1"/>
                <w:sz w:val="16"/>
              </w:rPr>
              <w:t>(106,305,374,182)</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7"/>
              <w:jc w:val="right"/>
              <w:rPr>
                <w:rFonts w:ascii="Arial" w:hAnsi="Arial" w:cs="Arial" w:eastAsia="Arial" w:hint="default"/>
                <w:sz w:val="16"/>
                <w:szCs w:val="16"/>
              </w:rPr>
            </w:pPr>
            <w:r>
              <w:rPr>
                <w:rFonts w:ascii="Arial"/>
                <w:spacing w:val="-1"/>
                <w:sz w:val="16"/>
              </w:rPr>
              <w:t>(141,451,449,465)</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(5,255,611,884)</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(5,732,243,210)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(551,172,555)</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7"/>
              <w:jc w:val="right"/>
              <w:rPr>
                <w:rFonts w:ascii="Arial" w:hAnsi="Arial" w:cs="Arial" w:eastAsia="Arial" w:hint="default"/>
                <w:sz w:val="16"/>
                <w:szCs w:val="16"/>
              </w:rPr>
            </w:pPr>
            <w:r>
              <w:rPr>
                <w:rFonts w:ascii="Arial"/>
                <w:w w:val="95"/>
                <w:sz w:val="16"/>
              </w:rPr>
              <w:t>(1,136,153,057)</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筹资活动现金流出小计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5"/>
              <w:jc w:val="right"/>
              <w:rPr>
                <w:rFonts w:ascii="Arial" w:hAnsi="Arial" w:cs="Arial" w:eastAsia="Arial" w:hint="default"/>
                <w:sz w:val="16"/>
                <w:szCs w:val="16"/>
              </w:rPr>
            </w:pPr>
            <w:r>
              <w:rPr>
                <w:rFonts w:ascii="Arial"/>
                <w:w w:val="95"/>
                <w:sz w:val="16"/>
              </w:rPr>
              <w:t>(111,560,986,066)</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5"/>
              <w:jc w:val="right"/>
              <w:rPr>
                <w:rFonts w:ascii="Arial" w:hAnsi="Arial" w:cs="Arial" w:eastAsia="Arial" w:hint="default"/>
                <w:sz w:val="16"/>
                <w:szCs w:val="16"/>
              </w:rPr>
            </w:pPr>
            <w:r>
              <w:rPr>
                <w:rFonts w:ascii="Arial"/>
                <w:w w:val="95"/>
                <w:sz w:val="16"/>
              </w:rPr>
              <w:t>(147,183,692,675)</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36"/>
              <w:jc w:val="right"/>
              <w:rPr>
                <w:rFonts w:ascii="Arial" w:hAnsi="Arial" w:cs="Arial" w:eastAsia="Arial" w:hint="default"/>
                <w:sz w:val="16"/>
                <w:szCs w:val="16"/>
              </w:rPr>
            </w:pPr>
            <w:r>
              <w:rPr>
                <w:rFonts w:ascii="Arial"/>
                <w:w w:val="95"/>
                <w:sz w:val="16"/>
              </w:rPr>
              <w:t>(551,172,555)</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6"/>
              <w:jc w:val="right"/>
              <w:rPr>
                <w:rFonts w:ascii="Arial" w:hAnsi="Arial" w:cs="Arial" w:eastAsia="Arial" w:hint="default"/>
                <w:sz w:val="16"/>
                <w:szCs w:val="16"/>
              </w:rPr>
            </w:pPr>
            <w:r>
              <w:rPr>
                <w:rFonts w:ascii="Arial"/>
                <w:w w:val="95"/>
                <w:sz w:val="16"/>
              </w:rPr>
              <w:t>(1,136,153,057)</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黑体" w:hAnsi="黑体" w:cs="黑体" w:eastAsia="黑体" w:hint="default"/>
                <w:sz w:val="16"/>
                <w:szCs w:val="16"/>
              </w:rPr>
            </w:pPr>
            <w:r>
              <w:rPr>
                <w:rFonts w:ascii="黑体" w:hAnsi="黑体" w:cs="黑体" w:eastAsia="黑体" w:hint="default"/>
                <w:sz w:val="16"/>
                <w:szCs w:val="16"/>
              </w:rPr>
              <w:t>筹资活动产生的现金流量净额（减：支付）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74" w:right="0"/>
              <w:jc w:val="left"/>
              <w:rPr>
                <w:rFonts w:ascii="Arial" w:hAnsi="Arial" w:cs="Arial" w:eastAsia="Arial" w:hint="default"/>
                <w:sz w:val="16"/>
                <w:szCs w:val="16"/>
              </w:rPr>
            </w:pPr>
            <w:r>
              <w:rPr>
                <w:rFonts w:ascii="Arial"/>
                <w:sz w:val="16"/>
              </w:rPr>
              <w:t>5,799,986,672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17,824,272,259</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(551,172,555)</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(1,136,153,057)</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四、汇率变动对现金的影响</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Arial" w:hAnsi="Arial" w:cs="Arial" w:eastAsia="Arial" w:hint="default"/>
                <w:sz w:val="16"/>
                <w:szCs w:val="16"/>
              </w:rPr>
            </w:pPr>
            <w:r>
              <w:rPr>
                <w:rFonts w:ascii="Arial"/>
                <w:w w:val="99"/>
                <w:sz w:val="16"/>
              </w:rPr>
              <w:t>-</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Arial" w:hAnsi="Arial" w:cs="Arial" w:eastAsia="Arial" w:hint="default"/>
                <w:sz w:val="16"/>
                <w:szCs w:val="16"/>
              </w:rPr>
            </w:pPr>
            <w:r>
              <w:rPr>
                <w:rFonts w:ascii="Arial"/>
                <w:w w:val="99"/>
                <w:sz w:val="16"/>
              </w:rPr>
              <w:t>-</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8"/>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黑体" w:hAnsi="黑体" w:cs="黑体" w:eastAsia="黑体" w:hint="default"/>
                <w:sz w:val="16"/>
                <w:szCs w:val="16"/>
              </w:rPr>
            </w:pPr>
            <w:r>
              <w:rPr>
                <w:rFonts w:ascii="黑体" w:hAnsi="黑体" w:cs="黑体" w:eastAsia="黑体" w:hint="default"/>
                <w:sz w:val="16"/>
                <w:szCs w:val="16"/>
              </w:rPr>
              <w:t>五、现金及现金等价物净增加（减少）额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2"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(7,484,817,039)</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14,713,251,280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5"/>
                <w:sz w:val="16"/>
              </w:rPr>
              <w:t>6,289,082</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10,561,100</w:t>
            </w:r>
            <w:r>
              <w:rPr>
                <w:rFonts w:ascii="Arial"/>
                <w:sz w:val="16"/>
              </w:rPr>
            </w:r>
          </w:p>
        </w:tc>
      </w:tr>
      <w:tr>
        <w:trPr>
          <w:trHeight w:val="26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1" w:right="0"/>
              <w:jc w:val="left"/>
              <w:rPr>
                <w:rFonts w:ascii="黑体" w:hAnsi="黑体" w:cs="黑体" w:eastAsia="黑体" w:hint="default"/>
                <w:sz w:val="16"/>
                <w:szCs w:val="16"/>
              </w:rPr>
            </w:pPr>
            <w:r>
              <w:rPr>
                <w:rFonts w:ascii="黑体" w:hAnsi="黑体" w:cs="黑体" w:eastAsia="黑体" w:hint="default"/>
                <w:sz w:val="16"/>
                <w:szCs w:val="16"/>
              </w:rPr>
              <w:t>持续经营业务期末现金及现金等价物净增加额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45"/>
              <w:jc w:val="right"/>
              <w:rPr>
                <w:rFonts w:ascii="Arial" w:hAnsi="Arial" w:cs="Arial" w:eastAsia="Arial" w:hint="default"/>
                <w:sz w:val="16"/>
                <w:szCs w:val="16"/>
              </w:rPr>
            </w:pPr>
            <w:r>
              <w:rPr>
                <w:rFonts w:ascii="Arial"/>
                <w:w w:val="95"/>
                <w:sz w:val="16"/>
              </w:rPr>
              <w:t>(7,484,817,039)</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6"/>
                <w:szCs w:val="16"/>
              </w:rPr>
            </w:pPr>
            <w:r>
              <w:rPr>
                <w:rFonts w:ascii="Arial"/>
                <w:w w:val="95"/>
                <w:sz w:val="16"/>
              </w:rPr>
              <w:t>9,592,128,273</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0"/>
              <w:jc w:val="right"/>
              <w:rPr>
                <w:rFonts w:ascii="Arial" w:hAnsi="Arial" w:cs="Arial" w:eastAsia="Arial" w:hint="default"/>
                <w:sz w:val="16"/>
                <w:szCs w:val="16"/>
              </w:rPr>
            </w:pPr>
            <w:r>
              <w:rPr>
                <w:rFonts w:ascii="Arial"/>
                <w:w w:val="95"/>
                <w:sz w:val="16"/>
              </w:rPr>
              <w:t>6,289,082</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6"/>
                <w:szCs w:val="16"/>
              </w:rPr>
            </w:pPr>
            <w:r>
              <w:rPr>
                <w:rFonts w:ascii="Arial"/>
                <w:w w:val="95"/>
                <w:sz w:val="16"/>
              </w:rPr>
              <w:t>10,561,100</w:t>
            </w:r>
            <w:r>
              <w:rPr>
                <w:rFonts w:ascii="Arial"/>
                <w:sz w:val="16"/>
              </w:rPr>
            </w:r>
          </w:p>
        </w:tc>
      </w:tr>
      <w:tr>
        <w:trPr>
          <w:trHeight w:val="26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1" w:right="0"/>
              <w:jc w:val="left"/>
              <w:rPr>
                <w:rFonts w:ascii="黑体" w:hAnsi="黑体" w:cs="黑体" w:eastAsia="黑体" w:hint="default"/>
                <w:sz w:val="16"/>
                <w:szCs w:val="16"/>
              </w:rPr>
            </w:pPr>
            <w:r>
              <w:rPr>
                <w:rFonts w:ascii="黑体" w:hAnsi="黑体" w:cs="黑体" w:eastAsia="黑体" w:hint="default"/>
                <w:sz w:val="16"/>
                <w:szCs w:val="16"/>
              </w:rPr>
              <w:t>终止经营业务期末现金及现金等价物净增加（减少）额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6"/>
                <w:szCs w:val="16"/>
              </w:rPr>
            </w:pPr>
            <w:r>
              <w:rPr>
                <w:rFonts w:ascii="Arial"/>
                <w:w w:val="99"/>
                <w:sz w:val="16"/>
              </w:rPr>
              <w:t>-</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1"/>
              <w:jc w:val="right"/>
              <w:rPr>
                <w:rFonts w:ascii="Arial" w:hAnsi="Arial" w:cs="Arial" w:eastAsia="Arial" w:hint="default"/>
                <w:sz w:val="16"/>
                <w:szCs w:val="16"/>
              </w:rPr>
            </w:pPr>
            <w:r>
              <w:rPr>
                <w:rFonts w:ascii="Arial"/>
                <w:spacing w:val="-1"/>
                <w:sz w:val="16"/>
              </w:rPr>
              <w:t>5,121,123,007</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9" w:right="0"/>
              <w:jc w:val="left"/>
              <w:rPr>
                <w:rFonts w:ascii="宋体" w:hAnsi="宋体" w:cs="宋体" w:eastAsia="宋体" w:hint="default"/>
                <w:sz w:val="16"/>
                <w:szCs w:val="16"/>
              </w:rPr>
            </w:pPr>
            <w:r>
              <w:rPr>
                <w:rFonts w:ascii="宋体" w:hAnsi="宋体" w:cs="宋体" w:eastAsia="宋体" w:hint="default"/>
                <w:sz w:val="16"/>
                <w:szCs w:val="16"/>
              </w:rPr>
              <w:t>加：年初现金及现金等价物余额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2"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6" w:right="0"/>
              <w:jc w:val="left"/>
              <w:rPr>
                <w:rFonts w:ascii="Arial" w:hAnsi="Arial" w:cs="Arial" w:eastAsia="Arial" w:hint="default"/>
                <w:sz w:val="16"/>
                <w:szCs w:val="16"/>
              </w:rPr>
            </w:pPr>
            <w:r>
              <w:rPr>
                <w:rFonts w:ascii="Arial"/>
                <w:sz w:val="16"/>
              </w:rPr>
              <w:t>22,619,788,582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7,906,537,302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82" w:right="0"/>
              <w:jc w:val="left"/>
              <w:rPr>
                <w:rFonts w:ascii="Arial" w:hAnsi="Arial" w:cs="Arial" w:eastAsia="Arial" w:hint="default"/>
                <w:sz w:val="16"/>
                <w:szCs w:val="16"/>
              </w:rPr>
            </w:pPr>
            <w:r>
              <w:rPr>
                <w:rFonts w:ascii="Arial"/>
                <w:sz w:val="16"/>
              </w:rPr>
              <w:t>22,094,474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11,533,374</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六、年末现金及现金等价物余额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2"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6" w:right="0"/>
              <w:jc w:val="left"/>
              <w:rPr>
                <w:rFonts w:ascii="Arial" w:hAnsi="Arial" w:cs="Arial" w:eastAsia="Arial" w:hint="default"/>
                <w:sz w:val="16"/>
                <w:szCs w:val="16"/>
              </w:rPr>
            </w:pPr>
            <w:r>
              <w:rPr>
                <w:rFonts w:ascii="Arial"/>
                <w:sz w:val="16"/>
              </w:rPr>
              <w:t>15,134,971,543</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22,619,788,582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82" w:right="0"/>
              <w:jc w:val="left"/>
              <w:rPr>
                <w:rFonts w:ascii="Arial" w:hAnsi="Arial" w:cs="Arial" w:eastAsia="Arial" w:hint="default"/>
                <w:sz w:val="16"/>
                <w:szCs w:val="16"/>
              </w:rPr>
            </w:pPr>
            <w:r>
              <w:rPr>
                <w:rFonts w:ascii="Arial"/>
                <w:sz w:val="16"/>
              </w:rPr>
              <w:t>28,383,556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2"/>
              <w:jc w:val="right"/>
              <w:rPr>
                <w:rFonts w:ascii="Arial" w:hAnsi="Arial" w:cs="Arial" w:eastAsia="Arial" w:hint="default"/>
                <w:sz w:val="16"/>
                <w:szCs w:val="16"/>
              </w:rPr>
            </w:pPr>
            <w:r>
              <w:rPr>
                <w:rFonts w:ascii="Arial"/>
                <w:w w:val="95"/>
                <w:sz w:val="16"/>
              </w:rPr>
              <w:t>22,094,474</w:t>
            </w:r>
            <w:r>
              <w:rPr>
                <w:rFonts w:ascii="Arial"/>
                <w:sz w:val="16"/>
              </w:rPr>
            </w:r>
          </w:p>
        </w:tc>
      </w:tr>
    </w:tbl>
    <w:p>
      <w:pPr>
        <w:spacing w:line="240" w:lineRule="auto" w:before="4"/>
        <w:rPr>
          <w:rFonts w:ascii="黑体" w:hAnsi="黑体" w:cs="黑体" w:eastAsia="黑体" w:hint="default"/>
          <w:sz w:val="12"/>
          <w:szCs w:val="12"/>
        </w:rPr>
      </w:pPr>
    </w:p>
    <w:p>
      <w:pPr>
        <w:spacing w:before="38"/>
        <w:ind w:left="120"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6"/>
          <w:szCs w:val="26"/>
        </w:rPr>
      </w:pPr>
    </w:p>
    <w:p>
      <w:pPr>
        <w:pStyle w:val="BodyText"/>
        <w:tabs>
          <w:tab w:pos="3996" w:val="left" w:leader="none"/>
          <w:tab w:pos="7371" w:val="left" w:leader="none"/>
        </w:tabs>
        <w:spacing w:line="240" w:lineRule="auto"/>
        <w:ind w:left="149"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33"/>
          <w:footerReference w:type="default" r:id="rId34"/>
          <w:pgSz w:w="11900" w:h="16840"/>
          <w:pgMar w:header="0" w:footer="752" w:top="1240" w:bottom="940" w:left="760" w:right="300"/>
          <w:pgNumType w:start="60"/>
        </w:sectPr>
      </w:pPr>
    </w:p>
    <w:p>
      <w:pPr>
        <w:pStyle w:val="BodyText"/>
        <w:spacing w:line="240" w:lineRule="auto" w:before="18"/>
        <w:ind w:left="121"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94" w:lineRule="exact"/>
        <w:ind w:left="121"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9"/>
        </w:rPr>
        <w:t> </w:t>
      </w:r>
      <w:r>
        <w:rPr>
          <w:rFonts w:ascii="黑体" w:hAnsi="黑体" w:cs="黑体" w:eastAsia="黑体" w:hint="default"/>
        </w:rPr>
        <w:t>年度合并股东权益变动表</w:t>
      </w:r>
    </w:p>
    <w:p>
      <w:pPr>
        <w:pStyle w:val="BodyText"/>
        <w:spacing w:line="278" w:lineRule="exact"/>
        <w:ind w:left="121"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2"/>
        <w:rPr>
          <w:rFonts w:ascii="黑体" w:hAnsi="黑体" w:cs="黑体" w:eastAsia="黑体"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4876"/>
        <w:gridCol w:w="496"/>
        <w:gridCol w:w="1214"/>
        <w:gridCol w:w="1170"/>
        <w:gridCol w:w="1000"/>
        <w:gridCol w:w="1152"/>
        <w:gridCol w:w="1206"/>
        <w:gridCol w:w="1260"/>
        <w:gridCol w:w="1268"/>
        <w:gridCol w:w="1548"/>
      </w:tblGrid>
      <w:tr>
        <w:trPr>
          <w:trHeight w:val="197" w:hRule="exact"/>
        </w:trPr>
        <w:tc>
          <w:tcPr>
            <w:tcW w:w="4876" w:type="dxa"/>
            <w:vMerge w:val="restart"/>
            <w:tcBorders>
              <w:top w:val="single" w:sz="6" w:space="0" w:color="000000"/>
              <w:left w:val="single" w:sz="6" w:space="0" w:color="000000"/>
              <w:right w:val="single" w:sz="6" w:space="0" w:color="000000"/>
            </w:tcBorders>
          </w:tcPr>
          <w:p>
            <w:pPr>
              <w:pStyle w:val="TableParagraph"/>
              <w:spacing w:line="240" w:lineRule="auto" w:before="76"/>
              <w:ind w:right="4"/>
              <w:jc w:val="center"/>
              <w:rPr>
                <w:rFonts w:ascii="黑体" w:hAnsi="黑体" w:cs="黑体" w:eastAsia="黑体" w:hint="default"/>
                <w:sz w:val="14"/>
                <w:szCs w:val="14"/>
              </w:rPr>
            </w:pPr>
            <w:r>
              <w:rPr>
                <w:rFonts w:ascii="黑体" w:hAnsi="黑体" w:cs="黑体" w:eastAsia="黑体" w:hint="default"/>
                <w:sz w:val="14"/>
                <w:szCs w:val="14"/>
              </w:rPr>
              <w:t>项目</w:t>
            </w:r>
          </w:p>
        </w:tc>
        <w:tc>
          <w:tcPr>
            <w:tcW w:w="496" w:type="dxa"/>
            <w:vMerge w:val="restart"/>
            <w:tcBorders>
              <w:top w:val="single" w:sz="6" w:space="0" w:color="000000"/>
              <w:left w:val="single" w:sz="6" w:space="0" w:color="000000"/>
              <w:right w:val="single" w:sz="6" w:space="0" w:color="000000"/>
            </w:tcBorders>
          </w:tcPr>
          <w:p>
            <w:pPr>
              <w:pStyle w:val="TableParagraph"/>
              <w:spacing w:line="240" w:lineRule="auto" w:before="76"/>
              <w:ind w:left="98" w:right="0"/>
              <w:jc w:val="left"/>
              <w:rPr>
                <w:rFonts w:ascii="黑体" w:hAnsi="黑体" w:cs="黑体" w:eastAsia="黑体" w:hint="default"/>
                <w:sz w:val="14"/>
                <w:szCs w:val="14"/>
              </w:rPr>
            </w:pPr>
            <w:r>
              <w:rPr>
                <w:rFonts w:ascii="黑体" w:hAnsi="黑体" w:cs="黑体" w:eastAsia="黑体" w:hint="default"/>
                <w:sz w:val="14"/>
                <w:szCs w:val="14"/>
              </w:rPr>
              <w:t>附注</w:t>
            </w:r>
          </w:p>
        </w:tc>
        <w:tc>
          <w:tcPr>
            <w:tcW w:w="5742" w:type="dxa"/>
            <w:gridSpan w:val="5"/>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2"/>
              <w:jc w:val="center"/>
              <w:rPr>
                <w:rFonts w:ascii="黑体" w:hAnsi="黑体" w:cs="黑体" w:eastAsia="黑体" w:hint="default"/>
                <w:sz w:val="14"/>
                <w:szCs w:val="14"/>
              </w:rPr>
            </w:pPr>
            <w:r>
              <w:rPr>
                <w:rFonts w:ascii="黑体" w:hAnsi="黑体" w:cs="黑体" w:eastAsia="黑体" w:hint="default"/>
                <w:sz w:val="14"/>
                <w:szCs w:val="14"/>
              </w:rPr>
              <w:t>归属于母公司股东权益</w:t>
            </w:r>
          </w:p>
        </w:tc>
        <w:tc>
          <w:tcPr>
            <w:tcW w:w="1260" w:type="dxa"/>
            <w:vMerge w:val="restart"/>
            <w:tcBorders>
              <w:top w:val="single" w:sz="6" w:space="0" w:color="000000"/>
              <w:left w:val="single" w:sz="6" w:space="0" w:color="000000"/>
              <w:right w:val="single" w:sz="6" w:space="0" w:color="000000"/>
            </w:tcBorders>
          </w:tcPr>
          <w:p>
            <w:pPr>
              <w:pStyle w:val="TableParagraph"/>
              <w:spacing w:line="240" w:lineRule="auto" w:before="76"/>
              <w:ind w:left="199" w:right="0"/>
              <w:jc w:val="left"/>
              <w:rPr>
                <w:rFonts w:ascii="黑体" w:hAnsi="黑体" w:cs="黑体" w:eastAsia="黑体" w:hint="default"/>
                <w:sz w:val="14"/>
                <w:szCs w:val="14"/>
              </w:rPr>
            </w:pPr>
            <w:r>
              <w:rPr>
                <w:rFonts w:ascii="黑体" w:hAnsi="黑体" w:cs="黑体" w:eastAsia="黑体" w:hint="default"/>
                <w:sz w:val="14"/>
                <w:szCs w:val="14"/>
              </w:rPr>
              <w:t>少数股东权益</w:t>
            </w:r>
          </w:p>
        </w:tc>
        <w:tc>
          <w:tcPr>
            <w:tcW w:w="1268" w:type="dxa"/>
            <w:vMerge w:val="restart"/>
            <w:tcBorders>
              <w:top w:val="single" w:sz="6" w:space="0" w:color="000000"/>
              <w:left w:val="single" w:sz="6" w:space="0" w:color="000000"/>
              <w:right w:val="single" w:sz="6" w:space="0" w:color="000000"/>
            </w:tcBorders>
          </w:tcPr>
          <w:p>
            <w:pPr>
              <w:pStyle w:val="TableParagraph"/>
              <w:spacing w:line="240" w:lineRule="auto" w:before="76"/>
              <w:ind w:left="204" w:right="0"/>
              <w:jc w:val="left"/>
              <w:rPr>
                <w:rFonts w:ascii="黑体" w:hAnsi="黑体" w:cs="黑体" w:eastAsia="黑体" w:hint="default"/>
                <w:sz w:val="14"/>
                <w:szCs w:val="14"/>
              </w:rPr>
            </w:pPr>
            <w:r>
              <w:rPr>
                <w:rFonts w:ascii="黑体" w:hAnsi="黑体" w:cs="黑体" w:eastAsia="黑体" w:hint="default"/>
                <w:sz w:val="14"/>
                <w:szCs w:val="14"/>
              </w:rPr>
              <w:t>股东权益合计</w:t>
            </w:r>
          </w:p>
        </w:tc>
        <w:tc>
          <w:tcPr>
            <w:tcW w:w="1548" w:type="dxa"/>
            <w:vMerge w:val="restart"/>
            <w:tcBorders>
              <w:top w:val="single" w:sz="6" w:space="0" w:color="000000"/>
              <w:left w:val="single" w:sz="6" w:space="0" w:color="000000"/>
              <w:right w:val="single" w:sz="6" w:space="0" w:color="000000"/>
            </w:tcBorders>
          </w:tcPr>
          <w:p>
            <w:pPr>
              <w:pStyle w:val="TableParagraph"/>
              <w:spacing w:line="182" w:lineRule="exact" w:before="3"/>
              <w:ind w:left="142" w:right="61" w:hanging="144"/>
              <w:jc w:val="left"/>
              <w:rPr>
                <w:rFonts w:ascii="黑体" w:hAnsi="黑体" w:cs="黑体" w:eastAsia="黑体" w:hint="default"/>
                <w:sz w:val="14"/>
                <w:szCs w:val="14"/>
              </w:rPr>
            </w:pPr>
            <w:r>
              <w:rPr>
                <w:rFonts w:ascii="黑体" w:hAnsi="黑体" w:cs="黑体" w:eastAsia="黑体" w:hint="default"/>
                <w:spacing w:val="-7"/>
                <w:w w:val="100"/>
                <w:sz w:val="14"/>
                <w:szCs w:val="14"/>
              </w:rPr>
              <w:t>其中：同一控制下收购业</w:t>
            </w:r>
            <w:r>
              <w:rPr>
                <w:rFonts w:ascii="黑体" w:hAnsi="黑体" w:cs="黑体" w:eastAsia="黑体" w:hint="default"/>
                <w:spacing w:val="-69"/>
                <w:w w:val="100"/>
                <w:sz w:val="14"/>
                <w:szCs w:val="14"/>
              </w:rPr>
              <w:t> </w:t>
            </w:r>
            <w:r>
              <w:rPr>
                <w:rFonts w:ascii="黑体" w:hAnsi="黑体" w:cs="黑体" w:eastAsia="黑体" w:hint="default"/>
                <w:spacing w:val="-69"/>
                <w:w w:val="100"/>
                <w:sz w:val="14"/>
                <w:szCs w:val="14"/>
              </w:rPr>
            </w:r>
            <w:r>
              <w:rPr>
                <w:rFonts w:ascii="黑体" w:hAnsi="黑体" w:cs="黑体" w:eastAsia="黑体" w:hint="default"/>
                <w:sz w:val="14"/>
                <w:szCs w:val="14"/>
              </w:rPr>
              <w:t>务对股东权益的影响</w:t>
            </w:r>
          </w:p>
        </w:tc>
      </w:tr>
      <w:tr>
        <w:trPr>
          <w:trHeight w:val="197" w:hRule="exact"/>
        </w:trPr>
        <w:tc>
          <w:tcPr>
            <w:tcW w:w="4876" w:type="dxa"/>
            <w:vMerge/>
            <w:tcBorders>
              <w:left w:val="single" w:sz="6" w:space="0" w:color="000000"/>
              <w:bottom w:val="single" w:sz="6" w:space="0" w:color="000000"/>
              <w:right w:val="single" w:sz="6" w:space="0" w:color="000000"/>
            </w:tcBorders>
          </w:tcPr>
          <w:p>
            <w:pPr/>
          </w:p>
        </w:tc>
        <w:tc>
          <w:tcPr>
            <w:tcW w:w="496" w:type="dxa"/>
            <w:vMerge/>
            <w:tcBorders>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2"/>
              <w:jc w:val="center"/>
              <w:rPr>
                <w:rFonts w:ascii="黑体" w:hAnsi="黑体" w:cs="黑体" w:eastAsia="黑体" w:hint="default"/>
                <w:sz w:val="14"/>
                <w:szCs w:val="14"/>
              </w:rPr>
            </w:pPr>
            <w:r>
              <w:rPr>
                <w:rFonts w:ascii="黑体" w:hAnsi="黑体" w:cs="黑体" w:eastAsia="黑体" w:hint="default"/>
                <w:sz w:val="14"/>
                <w:szCs w:val="14"/>
              </w:rPr>
              <w:t>股本</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293" w:right="0"/>
              <w:jc w:val="left"/>
              <w:rPr>
                <w:rFonts w:ascii="黑体" w:hAnsi="黑体" w:cs="黑体" w:eastAsia="黑体" w:hint="default"/>
                <w:sz w:val="14"/>
                <w:szCs w:val="14"/>
              </w:rPr>
            </w:pPr>
            <w:r>
              <w:rPr>
                <w:rFonts w:ascii="黑体" w:hAnsi="黑体" w:cs="黑体" w:eastAsia="黑体" w:hint="default"/>
                <w:sz w:val="14"/>
                <w:szCs w:val="14"/>
              </w:rPr>
              <w:t>资本公积</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208" w:right="0"/>
              <w:jc w:val="left"/>
              <w:rPr>
                <w:rFonts w:ascii="黑体" w:hAnsi="黑体" w:cs="黑体" w:eastAsia="黑体" w:hint="default"/>
                <w:sz w:val="14"/>
                <w:szCs w:val="14"/>
              </w:rPr>
            </w:pPr>
            <w:r>
              <w:rPr>
                <w:rFonts w:ascii="黑体" w:hAnsi="黑体" w:cs="黑体" w:eastAsia="黑体" w:hint="default"/>
                <w:sz w:val="14"/>
                <w:szCs w:val="14"/>
              </w:rPr>
              <w:t>盈余公积</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216" w:right="0"/>
              <w:jc w:val="left"/>
              <w:rPr>
                <w:rFonts w:ascii="黑体" w:hAnsi="黑体" w:cs="黑体" w:eastAsia="黑体" w:hint="default"/>
                <w:sz w:val="14"/>
                <w:szCs w:val="14"/>
              </w:rPr>
            </w:pPr>
            <w:r>
              <w:rPr>
                <w:rFonts w:ascii="黑体" w:hAnsi="黑体" w:cs="黑体" w:eastAsia="黑体" w:hint="default"/>
                <w:sz w:val="14"/>
                <w:szCs w:val="14"/>
              </w:rPr>
              <w:t>未分配利润</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36"/>
              <w:jc w:val="right"/>
              <w:rPr>
                <w:rFonts w:ascii="黑体" w:hAnsi="黑体" w:cs="黑体" w:eastAsia="黑体" w:hint="default"/>
                <w:sz w:val="14"/>
                <w:szCs w:val="14"/>
              </w:rPr>
            </w:pPr>
            <w:r>
              <w:rPr>
                <w:rFonts w:ascii="黑体" w:hAnsi="黑体" w:cs="黑体" w:eastAsia="黑体" w:hint="default"/>
                <w:spacing w:val="-1"/>
                <w:sz w:val="14"/>
                <w:szCs w:val="14"/>
              </w:rPr>
              <w:t>外币报表折算差额</w:t>
            </w:r>
          </w:p>
        </w:tc>
        <w:tc>
          <w:tcPr>
            <w:tcW w:w="1260" w:type="dxa"/>
            <w:vMerge/>
            <w:tcBorders>
              <w:left w:val="single" w:sz="6" w:space="0" w:color="000000"/>
              <w:bottom w:val="single" w:sz="6" w:space="0" w:color="000000"/>
              <w:right w:val="single" w:sz="6" w:space="0" w:color="000000"/>
            </w:tcBorders>
          </w:tcPr>
          <w:p>
            <w:pPr/>
          </w:p>
        </w:tc>
        <w:tc>
          <w:tcPr>
            <w:tcW w:w="1268" w:type="dxa"/>
            <w:vMerge/>
            <w:tcBorders>
              <w:left w:val="single" w:sz="6" w:space="0" w:color="000000"/>
              <w:bottom w:val="single" w:sz="6" w:space="0" w:color="000000"/>
              <w:right w:val="single" w:sz="6" w:space="0" w:color="000000"/>
            </w:tcBorders>
          </w:tcPr>
          <w:p>
            <w:pPr/>
          </w:p>
        </w:tc>
        <w:tc>
          <w:tcPr>
            <w:tcW w:w="1548" w:type="dxa"/>
            <w:vMerge/>
            <w:tcBorders>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2" w:right="0"/>
              <w:jc w:val="left"/>
              <w:rPr>
                <w:rFonts w:ascii="宋体" w:hAnsi="宋体" w:cs="宋体" w:eastAsia="宋体" w:hint="default"/>
                <w:sz w:val="14"/>
                <w:szCs w:val="14"/>
              </w:rPr>
            </w:pPr>
            <w:r>
              <w:rPr>
                <w:rFonts w:ascii="Arial" w:hAnsi="Arial" w:cs="Arial" w:eastAsia="Arial" w:hint="default"/>
                <w:sz w:val="14"/>
                <w:szCs w:val="14"/>
              </w:rPr>
              <w:t>2009</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7"/>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5" w:right="0"/>
              <w:jc w:val="left"/>
              <w:rPr>
                <w:rFonts w:ascii="Arial" w:hAnsi="Arial" w:cs="Arial" w:eastAsia="Arial" w:hint="default"/>
                <w:sz w:val="14"/>
                <w:szCs w:val="14"/>
              </w:rPr>
            </w:pPr>
            <w:r>
              <w:rPr>
                <w:rFonts w:ascii="Arial"/>
                <w:sz w:val="14"/>
              </w:rPr>
              <w:t>28,060,074,201</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558,500,106</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21,188,259,723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(19,544,587)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137,861,586,694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208,845,472,532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122" w:right="0"/>
              <w:jc w:val="left"/>
              <w:rPr>
                <w:rFonts w:ascii="宋体" w:hAnsi="宋体" w:cs="宋体" w:eastAsia="宋体" w:hint="default"/>
                <w:sz w:val="14"/>
                <w:szCs w:val="14"/>
              </w:rPr>
            </w:pPr>
            <w:r>
              <w:rPr>
                <w:rFonts w:ascii="宋体" w:hAnsi="宋体" w:cs="宋体" w:eastAsia="宋体" w:hint="default"/>
                <w:sz w:val="14"/>
                <w:szCs w:val="14"/>
              </w:rPr>
              <w:t>宽带在线同一控制下收购联通新时讯转入的净资产</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82" w:right="0"/>
              <w:jc w:val="left"/>
              <w:rPr>
                <w:rFonts w:ascii="Arial" w:hAnsi="Arial" w:cs="Arial" w:eastAsia="Arial" w:hint="default"/>
                <w:sz w:val="14"/>
                <w:szCs w:val="14"/>
              </w:rPr>
            </w:pPr>
            <w:r>
              <w:rPr>
                <w:rFonts w:ascii="宋体" w:hAnsi="宋体" w:cs="宋体" w:eastAsia="宋体" w:hint="default"/>
                <w:sz w:val="14"/>
                <w:szCs w:val="14"/>
              </w:rPr>
              <w:t>四</w:t>
            </w:r>
            <w:r>
              <w:rPr>
                <w:rFonts w:ascii="Arial" w:hAnsi="Arial" w:cs="Arial" w:eastAsia="Arial" w:hint="default"/>
                <w:sz w:val="14"/>
                <w:szCs w:val="14"/>
              </w:rPr>
              <w:t>(3)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3"/>
              <w:jc w:val="right"/>
              <w:rPr>
                <w:rFonts w:ascii="Arial" w:hAnsi="Arial" w:cs="Arial" w:eastAsia="Arial" w:hint="default"/>
                <w:sz w:val="14"/>
                <w:szCs w:val="14"/>
              </w:rPr>
            </w:pPr>
            <w:r>
              <w:rPr>
                <w:rFonts w:ascii="Arial"/>
                <w:spacing w:val="-1"/>
                <w:sz w:val="14"/>
              </w:rPr>
              <w:t>40,926,482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3"/>
              <w:jc w:val="right"/>
              <w:rPr>
                <w:rFonts w:ascii="Arial" w:hAnsi="Arial" w:cs="Arial" w:eastAsia="Arial" w:hint="default"/>
                <w:sz w:val="14"/>
                <w:szCs w:val="14"/>
              </w:rPr>
            </w:pPr>
            <w:r>
              <w:rPr>
                <w:rFonts w:ascii="Arial"/>
                <w:sz w:val="14"/>
              </w:rPr>
              <w:t>750,522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4"/>
              <w:jc w:val="right"/>
              <w:rPr>
                <w:rFonts w:ascii="Arial" w:hAnsi="Arial" w:cs="Arial" w:eastAsia="Arial" w:hint="default"/>
                <w:sz w:val="14"/>
                <w:szCs w:val="14"/>
              </w:rPr>
            </w:pPr>
            <w:r>
              <w:rPr>
                <w:rFonts w:ascii="Arial"/>
                <w:spacing w:val="-1"/>
                <w:sz w:val="14"/>
              </w:rPr>
              <w:t>81,335,445</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123,012,449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spacing w:val="-1"/>
                <w:sz w:val="14"/>
              </w:rPr>
              <w:t>123,012,449</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2" w:right="0"/>
              <w:jc w:val="left"/>
              <w:rPr>
                <w:rFonts w:ascii="宋体" w:hAnsi="宋体" w:cs="宋体" w:eastAsia="宋体" w:hint="default"/>
                <w:sz w:val="14"/>
                <w:szCs w:val="14"/>
              </w:rPr>
            </w:pPr>
            <w:r>
              <w:rPr>
                <w:rFonts w:ascii="Arial" w:hAnsi="Arial" w:cs="Arial" w:eastAsia="Arial" w:hint="default"/>
                <w:sz w:val="14"/>
                <w:szCs w:val="14"/>
              </w:rPr>
              <w:t>2010</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7"/>
                <w:sz w:val="14"/>
                <w:szCs w:val="14"/>
              </w:rPr>
              <w:t> </w:t>
            </w:r>
            <w:r>
              <w:rPr>
                <w:rFonts w:ascii="Arial" w:hAnsi="Arial" w:cs="Arial" w:eastAsia="Arial" w:hint="default"/>
                <w:sz w:val="14"/>
                <w:szCs w:val="14"/>
              </w:rPr>
              <w:t>1</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1</w:t>
            </w:r>
            <w:r>
              <w:rPr>
                <w:rFonts w:ascii="Arial" w:hAnsi="Arial" w:cs="Arial" w:eastAsia="Arial" w:hint="default"/>
                <w:spacing w:val="-6"/>
                <w:sz w:val="14"/>
                <w:szCs w:val="14"/>
              </w:rPr>
              <w:t> </w:t>
            </w:r>
            <w:r>
              <w:rPr>
                <w:rFonts w:ascii="宋体" w:hAnsi="宋体" w:cs="宋体" w:eastAsia="宋体" w:hint="default"/>
                <w:sz w:val="14"/>
                <w:szCs w:val="14"/>
              </w:rPr>
              <w:t>日年初余额（经重列）</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5" w:right="0"/>
              <w:jc w:val="left"/>
              <w:rPr>
                <w:rFonts w:ascii="Arial" w:hAnsi="Arial" w:cs="Arial" w:eastAsia="Arial" w:hint="default"/>
                <w:sz w:val="14"/>
                <w:szCs w:val="14"/>
              </w:rPr>
            </w:pPr>
            <w:r>
              <w:rPr>
                <w:rFonts w:ascii="Arial"/>
                <w:sz w:val="14"/>
              </w:rPr>
              <w:t>28,101,000,683</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5"/>
              <w:jc w:val="right"/>
              <w:rPr>
                <w:rFonts w:ascii="Arial" w:hAnsi="Arial" w:cs="Arial" w:eastAsia="Arial" w:hint="default"/>
                <w:sz w:val="14"/>
                <w:szCs w:val="14"/>
              </w:rPr>
            </w:pPr>
            <w:r>
              <w:rPr>
                <w:rFonts w:ascii="Arial"/>
                <w:spacing w:val="-1"/>
                <w:sz w:val="14"/>
              </w:rPr>
              <w:t>558,500,106</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3"/>
              <w:jc w:val="right"/>
              <w:rPr>
                <w:rFonts w:ascii="Arial" w:hAnsi="Arial" w:cs="Arial" w:eastAsia="Arial" w:hint="default"/>
                <w:sz w:val="14"/>
                <w:szCs w:val="14"/>
              </w:rPr>
            </w:pPr>
            <w:r>
              <w:rPr>
                <w:rFonts w:ascii="Arial"/>
                <w:spacing w:val="-1"/>
                <w:sz w:val="14"/>
              </w:rPr>
              <w:t>21,189,010,245</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(19,544,587)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5"/>
              <w:jc w:val="right"/>
              <w:rPr>
                <w:rFonts w:ascii="Arial" w:hAnsi="Arial" w:cs="Arial" w:eastAsia="Arial" w:hint="default"/>
                <w:sz w:val="14"/>
                <w:szCs w:val="14"/>
              </w:rPr>
            </w:pPr>
            <w:r>
              <w:rPr>
                <w:rFonts w:ascii="Arial"/>
                <w:spacing w:val="-1"/>
                <w:sz w:val="14"/>
              </w:rPr>
              <w:t>137,942,922,139</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208,968,484,981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spacing w:val="-1"/>
                <w:sz w:val="14"/>
              </w:rPr>
              <w:t>123,012,449</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1" w:right="0"/>
              <w:jc w:val="left"/>
              <w:rPr>
                <w:rFonts w:ascii="宋体" w:hAnsi="宋体" w:cs="宋体" w:eastAsia="宋体" w:hint="default"/>
                <w:sz w:val="14"/>
                <w:szCs w:val="14"/>
              </w:rPr>
            </w:pPr>
            <w:r>
              <w:rPr>
                <w:rFonts w:ascii="宋体" w:hAnsi="宋体" w:cs="宋体" w:eastAsia="宋体" w:hint="default"/>
                <w:sz w:val="14"/>
                <w:szCs w:val="14"/>
              </w:rPr>
              <w:t>（一）净利润（经重列）</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7"/>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spacing w:val="-1"/>
                <w:sz w:val="14"/>
              </w:rPr>
              <w:t>1,234,506,831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2,457,125,904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spacing w:val="-1"/>
                <w:sz w:val="14"/>
              </w:rPr>
              <w:t>3,691,632,735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spacing w:val="-1"/>
                <w:sz w:val="14"/>
              </w:rPr>
              <w:t>20,356,428</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1" w:right="0"/>
              <w:jc w:val="left"/>
              <w:rPr>
                <w:rFonts w:ascii="宋体" w:hAnsi="宋体" w:cs="宋体" w:eastAsia="宋体" w:hint="default"/>
                <w:sz w:val="14"/>
                <w:szCs w:val="14"/>
              </w:rPr>
            </w:pPr>
            <w:r>
              <w:rPr>
                <w:rFonts w:ascii="宋体" w:hAnsi="宋体" w:cs="宋体" w:eastAsia="宋体" w:hint="default"/>
                <w:sz w:val="14"/>
                <w:szCs w:val="14"/>
              </w:rPr>
              <w:t>（二）其他综合收益－直接计入股东权益的利得和损失</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可供出售金融资产公允价值变动净额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3" w:right="0"/>
              <w:jc w:val="left"/>
              <w:rPr>
                <w:rFonts w:ascii="Arial" w:hAnsi="Arial" w:cs="Arial" w:eastAsia="Arial" w:hint="default"/>
                <w:sz w:val="14"/>
                <w:szCs w:val="14"/>
              </w:rPr>
            </w:pPr>
            <w:r>
              <w:rPr>
                <w:rFonts w:ascii="Arial"/>
                <w:sz w:val="14"/>
              </w:rPr>
              <w:t>(454,102,803)</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(886,056,812)</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7"/>
              <w:jc w:val="right"/>
              <w:rPr>
                <w:rFonts w:ascii="Arial" w:hAnsi="Arial" w:cs="Arial" w:eastAsia="Arial" w:hint="default"/>
                <w:sz w:val="14"/>
                <w:szCs w:val="14"/>
              </w:rPr>
            </w:pPr>
            <w:r>
              <w:rPr>
                <w:rFonts w:ascii="Arial"/>
                <w:spacing w:val="-1"/>
                <w:sz w:val="14"/>
              </w:rPr>
              <w:t>(1,340,159,615)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47"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外币报表折算差额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1,810,768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5"/>
              <w:jc w:val="right"/>
              <w:rPr>
                <w:rFonts w:ascii="Arial" w:hAnsi="Arial" w:cs="Arial" w:eastAsia="Arial" w:hint="default"/>
                <w:sz w:val="14"/>
                <w:szCs w:val="14"/>
              </w:rPr>
            </w:pPr>
            <w:r>
              <w:rPr>
                <w:rFonts w:ascii="Arial"/>
                <w:spacing w:val="-1"/>
                <w:sz w:val="14"/>
              </w:rPr>
              <w:t>3,533,216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5,343,984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4"/>
              <w:jc w:val="right"/>
              <w:rPr>
                <w:rFonts w:ascii="Arial" w:hAnsi="Arial" w:cs="Arial" w:eastAsia="Arial" w:hint="default"/>
                <w:sz w:val="14"/>
                <w:szCs w:val="14"/>
              </w:rPr>
            </w:pPr>
            <w:r>
              <w:rPr>
                <w:rFonts w:ascii="Arial"/>
                <w:w w:val="100"/>
                <w:sz w:val="14"/>
              </w:rPr>
              <w:t>-</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41" w:right="0"/>
              <w:jc w:val="left"/>
              <w:rPr>
                <w:rFonts w:ascii="宋体" w:hAnsi="宋体" w:cs="宋体" w:eastAsia="宋体" w:hint="default"/>
                <w:sz w:val="14"/>
                <w:szCs w:val="14"/>
              </w:rPr>
            </w:pPr>
            <w:r>
              <w:rPr>
                <w:rFonts w:ascii="宋体" w:hAnsi="宋体" w:cs="宋体" w:eastAsia="宋体" w:hint="default"/>
                <w:sz w:val="14"/>
                <w:szCs w:val="14"/>
              </w:rPr>
              <w:t>（三）股东投入和减少的资本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54"/>
              <w:jc w:val="right"/>
              <w:rPr>
                <w:rFonts w:ascii="宋体" w:hAnsi="宋体" w:cs="宋体" w:eastAsia="宋体" w:hint="default"/>
                <w:sz w:val="14"/>
                <w:szCs w:val="14"/>
              </w:rPr>
            </w:pPr>
            <w:r>
              <w:rPr>
                <w:rFonts w:ascii="Arial" w:hAnsi="Arial" w:cs="Arial" w:eastAsia="Arial" w:hint="default"/>
                <w:spacing w:val="-1"/>
                <w:sz w:val="14"/>
                <w:szCs w:val="14"/>
              </w:rPr>
              <w:t>1.</w:t>
            </w:r>
            <w:r>
              <w:rPr>
                <w:rFonts w:ascii="宋体" w:hAnsi="宋体" w:cs="宋体" w:eastAsia="宋体" w:hint="default"/>
                <w:spacing w:val="-1"/>
                <w:sz w:val="14"/>
                <w:szCs w:val="14"/>
              </w:rPr>
              <w:t>股东投入资本－确认子公司员工行使股份期权所增加的子公司权益影响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z w:val="14"/>
              </w:rPr>
              <w:t>137,236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z w:val="14"/>
              </w:rPr>
              <w:t>268,279</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z w:val="14"/>
              </w:rPr>
              <w:t>405,515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股份支付计入股东权益的金额－与股份支付相关的员工薪酬的确认</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19,289,626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37,638,405</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56,928,031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其他－确认子公司发行可转换债券所增加的子公司权益影响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9" w:right="0"/>
              <w:jc w:val="left"/>
              <w:rPr>
                <w:rFonts w:ascii="Arial" w:hAnsi="Arial" w:cs="Arial" w:eastAsia="Arial" w:hint="default"/>
                <w:sz w:val="14"/>
                <w:szCs w:val="14"/>
              </w:rPr>
            </w:pPr>
            <w:r>
              <w:rPr>
                <w:rFonts w:ascii="Arial"/>
                <w:sz w:val="14"/>
              </w:rPr>
              <w:t>193,689,579</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377,931,980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571,621,559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734"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3"/>
              <w:jc w:val="right"/>
              <w:rPr>
                <w:rFonts w:ascii="Arial" w:hAnsi="Arial" w:cs="Arial" w:eastAsia="Arial" w:hint="default"/>
                <w:sz w:val="14"/>
                <w:szCs w:val="14"/>
              </w:rPr>
            </w:pPr>
            <w:r>
              <w:rPr>
                <w:rFonts w:ascii="Arial"/>
                <w:sz w:val="14"/>
              </w:rPr>
              <w:t>101,579</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7"/>
              <w:jc w:val="right"/>
              <w:rPr>
                <w:rFonts w:ascii="Arial" w:hAnsi="Arial" w:cs="Arial" w:eastAsia="Arial" w:hint="default"/>
                <w:sz w:val="14"/>
                <w:szCs w:val="14"/>
              </w:rPr>
            </w:pPr>
            <w:r>
              <w:rPr>
                <w:rFonts w:ascii="Arial"/>
                <w:spacing w:val="-1"/>
                <w:sz w:val="14"/>
              </w:rPr>
              <w:t>(1,885,272)</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7"/>
              <w:jc w:val="right"/>
              <w:rPr>
                <w:rFonts w:ascii="Arial" w:hAnsi="Arial" w:cs="Arial" w:eastAsia="Arial" w:hint="default"/>
                <w:sz w:val="14"/>
                <w:szCs w:val="14"/>
              </w:rPr>
            </w:pPr>
            <w:r>
              <w:rPr>
                <w:rFonts w:ascii="Arial"/>
                <w:spacing w:val="-1"/>
                <w:sz w:val="14"/>
              </w:rPr>
              <w:t>(1,783,693)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5"/>
              <w:jc w:val="right"/>
              <w:rPr>
                <w:rFonts w:ascii="Arial" w:hAnsi="Arial" w:cs="Arial" w:eastAsia="Arial" w:hint="default"/>
                <w:sz w:val="14"/>
                <w:szCs w:val="14"/>
              </w:rPr>
            </w:pPr>
            <w:r>
              <w:rPr>
                <w:rFonts w:ascii="Arial"/>
                <w:w w:val="100"/>
                <w:sz w:val="14"/>
              </w:rPr>
              <w:t>-</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41" w:right="0"/>
              <w:jc w:val="left"/>
              <w:rPr>
                <w:rFonts w:ascii="宋体" w:hAnsi="宋体" w:cs="宋体" w:eastAsia="宋体" w:hint="default"/>
                <w:sz w:val="14"/>
                <w:szCs w:val="14"/>
              </w:rPr>
            </w:pPr>
            <w:r>
              <w:rPr>
                <w:rFonts w:ascii="宋体" w:hAnsi="宋体" w:cs="宋体" w:eastAsia="宋体" w:hint="default"/>
                <w:sz w:val="14"/>
                <w:szCs w:val="14"/>
              </w:rPr>
              <w:t>（四）利润分配</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提取盈余公积－法定公积金</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spacing w:val="-1"/>
                <w:sz w:val="14"/>
              </w:rPr>
              <w:t>126,454,929</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(126,454,929)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100"/>
                <w:sz w:val="14"/>
              </w:rPr>
              <w:t>-</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向股东分派的普通股股利</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(1,136,137,567)</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(2,492,521,039)</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7"/>
              <w:jc w:val="right"/>
              <w:rPr>
                <w:rFonts w:ascii="Arial" w:hAnsi="Arial" w:cs="Arial" w:eastAsia="Arial" w:hint="default"/>
                <w:sz w:val="14"/>
                <w:szCs w:val="14"/>
              </w:rPr>
            </w:pPr>
            <w:r>
              <w:rPr>
                <w:rFonts w:ascii="Arial"/>
                <w:spacing w:val="-1"/>
                <w:sz w:val="14"/>
              </w:rPr>
              <w:t>(3,628,658,606)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1" w:right="0"/>
              <w:jc w:val="left"/>
              <w:rPr>
                <w:rFonts w:ascii="宋体" w:hAnsi="宋体" w:cs="宋体" w:eastAsia="宋体" w:hint="default"/>
                <w:sz w:val="14"/>
                <w:szCs w:val="14"/>
              </w:rPr>
            </w:pPr>
            <w:r>
              <w:rPr>
                <w:rFonts w:ascii="宋体" w:hAnsi="宋体" w:cs="宋体" w:eastAsia="宋体" w:hint="default"/>
                <w:sz w:val="14"/>
                <w:szCs w:val="14"/>
              </w:rPr>
              <w:t>（五）股东权益的内部结转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47"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其他－因所持子公司股份变化对资本公积的影响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right"/>
              <w:rPr>
                <w:rFonts w:ascii="Arial" w:hAnsi="Arial" w:cs="Arial" w:eastAsia="Arial" w:hint="default"/>
                <w:sz w:val="14"/>
                <w:szCs w:val="14"/>
              </w:rPr>
            </w:pPr>
            <w:r>
              <w:rPr>
                <w:rFonts w:ascii="Arial"/>
                <w:spacing w:val="-1"/>
                <w:sz w:val="14"/>
              </w:rPr>
              <w:t>(248,646)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5"/>
              <w:jc w:val="right"/>
              <w:rPr>
                <w:rFonts w:ascii="Arial" w:hAnsi="Arial" w:cs="Arial" w:eastAsia="Arial" w:hint="default"/>
                <w:sz w:val="14"/>
                <w:szCs w:val="14"/>
              </w:rPr>
            </w:pPr>
            <w:r>
              <w:rPr>
                <w:rFonts w:ascii="Arial"/>
                <w:sz w:val="14"/>
              </w:rPr>
              <w:t>248,646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4"/>
              <w:jc w:val="right"/>
              <w:rPr>
                <w:rFonts w:ascii="Arial" w:hAnsi="Arial" w:cs="Arial" w:eastAsia="Arial" w:hint="default"/>
                <w:sz w:val="14"/>
                <w:szCs w:val="14"/>
              </w:rPr>
            </w:pPr>
            <w:r>
              <w:rPr>
                <w:rFonts w:ascii="Arial"/>
                <w:w w:val="100"/>
                <w:sz w:val="14"/>
              </w:rPr>
              <w:t>-</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2" w:right="0"/>
              <w:jc w:val="left"/>
              <w:rPr>
                <w:rFonts w:ascii="宋体" w:hAnsi="宋体" w:cs="宋体" w:eastAsia="宋体" w:hint="default"/>
                <w:sz w:val="14"/>
                <w:szCs w:val="14"/>
              </w:rPr>
            </w:pPr>
            <w:r>
              <w:rPr>
                <w:rFonts w:ascii="Arial" w:hAnsi="Arial" w:cs="Arial" w:eastAsia="Arial" w:hint="default"/>
                <w:sz w:val="14"/>
                <w:szCs w:val="14"/>
              </w:rPr>
              <w:t>2010</w:t>
            </w:r>
            <w:r>
              <w:rPr>
                <w:rFonts w:ascii="Arial" w:hAnsi="Arial" w:cs="Arial" w:eastAsia="Arial" w:hint="default"/>
                <w:spacing w:val="-7"/>
                <w:sz w:val="14"/>
                <w:szCs w:val="14"/>
              </w:rPr>
              <w:t> </w:t>
            </w:r>
            <w:r>
              <w:rPr>
                <w:rFonts w:ascii="宋体" w:hAnsi="宋体" w:cs="宋体" w:eastAsia="宋体" w:hint="default"/>
                <w:sz w:val="14"/>
                <w:szCs w:val="14"/>
              </w:rPr>
              <w:t>年</w:t>
            </w:r>
            <w:r>
              <w:rPr>
                <w:rFonts w:ascii="宋体" w:hAnsi="宋体" w:cs="宋体" w:eastAsia="宋体" w:hint="default"/>
                <w:spacing w:val="-38"/>
                <w:sz w:val="14"/>
                <w:szCs w:val="14"/>
              </w:rPr>
              <w:t> </w:t>
            </w:r>
            <w:r>
              <w:rPr>
                <w:rFonts w:ascii="Arial" w:hAnsi="Arial" w:cs="Arial" w:eastAsia="Arial" w:hint="default"/>
                <w:sz w:val="14"/>
                <w:szCs w:val="14"/>
              </w:rPr>
              <w:t>12</w:t>
            </w:r>
            <w:r>
              <w:rPr>
                <w:rFonts w:ascii="Arial" w:hAnsi="Arial" w:cs="Arial" w:eastAsia="Arial" w:hint="default"/>
                <w:spacing w:val="-7"/>
                <w:sz w:val="14"/>
                <w:szCs w:val="14"/>
              </w:rPr>
              <w:t> </w:t>
            </w:r>
            <w:r>
              <w:rPr>
                <w:rFonts w:ascii="宋体" w:hAnsi="宋体" w:cs="宋体" w:eastAsia="宋体" w:hint="default"/>
                <w:sz w:val="14"/>
                <w:szCs w:val="14"/>
              </w:rPr>
              <w:t>月</w:t>
            </w:r>
            <w:r>
              <w:rPr>
                <w:rFonts w:ascii="宋体" w:hAnsi="宋体" w:cs="宋体" w:eastAsia="宋体" w:hint="default"/>
                <w:spacing w:val="-38"/>
                <w:sz w:val="14"/>
                <w:szCs w:val="14"/>
              </w:rPr>
              <w:t> </w:t>
            </w:r>
            <w:r>
              <w:rPr>
                <w:rFonts w:ascii="Arial" w:hAnsi="Arial" w:cs="Arial" w:eastAsia="Arial" w:hint="default"/>
                <w:sz w:val="14"/>
                <w:szCs w:val="14"/>
              </w:rPr>
              <w:t>31</w:t>
            </w:r>
            <w:r>
              <w:rPr>
                <w:rFonts w:ascii="Arial" w:hAnsi="Arial" w:cs="Arial" w:eastAsia="Arial" w:hint="default"/>
                <w:spacing w:val="-7"/>
                <w:sz w:val="14"/>
                <w:szCs w:val="14"/>
              </w:rPr>
              <w:t> </w:t>
            </w:r>
            <w:r>
              <w:rPr>
                <w:rFonts w:ascii="宋体" w:hAnsi="宋体" w:cs="宋体" w:eastAsia="宋体" w:hint="default"/>
                <w:sz w:val="14"/>
                <w:szCs w:val="14"/>
              </w:rPr>
              <w:t>日年末余额（经重列）</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5" w:right="0"/>
              <w:jc w:val="left"/>
              <w:rPr>
                <w:rFonts w:ascii="Arial" w:hAnsi="Arial" w:cs="Arial" w:eastAsia="Arial" w:hint="default"/>
                <w:sz w:val="14"/>
                <w:szCs w:val="14"/>
              </w:rPr>
            </w:pPr>
            <w:r>
              <w:rPr>
                <w:rFonts w:ascii="Arial"/>
                <w:sz w:val="14"/>
              </w:rPr>
              <w:t>27,859,867,254</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6"/>
              <w:jc w:val="right"/>
              <w:rPr>
                <w:rFonts w:ascii="Arial" w:hAnsi="Arial" w:cs="Arial" w:eastAsia="Arial" w:hint="default"/>
                <w:sz w:val="14"/>
                <w:szCs w:val="14"/>
              </w:rPr>
            </w:pPr>
            <w:r>
              <w:rPr>
                <w:rFonts w:ascii="Arial"/>
                <w:spacing w:val="-1"/>
                <w:sz w:val="14"/>
              </w:rPr>
              <w:t>684,955,035</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3"/>
              <w:jc w:val="right"/>
              <w:rPr>
                <w:rFonts w:ascii="Arial" w:hAnsi="Arial" w:cs="Arial" w:eastAsia="Arial" w:hint="default"/>
                <w:sz w:val="14"/>
                <w:szCs w:val="14"/>
              </w:rPr>
            </w:pPr>
            <w:r>
              <w:rPr>
                <w:rFonts w:ascii="Arial"/>
                <w:spacing w:val="-1"/>
                <w:sz w:val="14"/>
              </w:rPr>
              <w:t>21,160,924,580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(17,733,819)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5"/>
              <w:jc w:val="right"/>
              <w:rPr>
                <w:rFonts w:ascii="Arial" w:hAnsi="Arial" w:cs="Arial" w:eastAsia="Arial" w:hint="default"/>
                <w:sz w:val="14"/>
                <w:szCs w:val="14"/>
              </w:rPr>
            </w:pPr>
            <w:r>
              <w:rPr>
                <w:rFonts w:ascii="Arial"/>
                <w:spacing w:val="-1"/>
                <w:sz w:val="14"/>
              </w:rPr>
              <w:t>137,439,205,446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208,323,814,891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spacing w:val="-1"/>
                <w:sz w:val="14"/>
              </w:rPr>
              <w:t>143,368,877</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1" w:right="0"/>
              <w:jc w:val="left"/>
              <w:rPr>
                <w:rFonts w:ascii="宋体" w:hAnsi="宋体" w:cs="宋体" w:eastAsia="宋体" w:hint="default"/>
                <w:sz w:val="14"/>
                <w:szCs w:val="14"/>
              </w:rPr>
            </w:pPr>
            <w:r>
              <w:rPr>
                <w:rFonts w:ascii="宋体" w:hAnsi="宋体" w:cs="宋体" w:eastAsia="宋体" w:hint="default"/>
                <w:sz w:val="14"/>
                <w:szCs w:val="14"/>
              </w:rPr>
              <w:t>（一）净利润</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7"/>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spacing w:val="-1"/>
                <w:sz w:val="14"/>
              </w:rPr>
              <w:t>1,412,245,739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2,775,719,646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spacing w:val="-1"/>
                <w:sz w:val="14"/>
              </w:rPr>
              <w:t>4,187,965,385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spacing w:val="-1"/>
                <w:sz w:val="14"/>
              </w:rPr>
              <w:t>8,940,742</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1" w:right="0"/>
              <w:jc w:val="left"/>
              <w:rPr>
                <w:rFonts w:ascii="宋体" w:hAnsi="宋体" w:cs="宋体" w:eastAsia="宋体" w:hint="default"/>
                <w:sz w:val="14"/>
                <w:szCs w:val="14"/>
              </w:rPr>
            </w:pPr>
            <w:r>
              <w:rPr>
                <w:rFonts w:ascii="宋体" w:hAnsi="宋体" w:cs="宋体" w:eastAsia="宋体" w:hint="default"/>
                <w:sz w:val="14"/>
                <w:szCs w:val="14"/>
              </w:rPr>
              <w:t>（二）其他综合收益－直接计入股东权益的利得和损失</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可供出售金融资产公允价值变动净额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(668,548,698)</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(1,304,489,038)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7"/>
              <w:jc w:val="right"/>
              <w:rPr>
                <w:rFonts w:ascii="Arial" w:hAnsi="Arial" w:cs="Arial" w:eastAsia="Arial" w:hint="default"/>
                <w:sz w:val="14"/>
                <w:szCs w:val="14"/>
              </w:rPr>
            </w:pPr>
            <w:r>
              <w:rPr>
                <w:rFonts w:ascii="Arial"/>
                <w:spacing w:val="-1"/>
                <w:sz w:val="14"/>
              </w:rPr>
              <w:t>(1,973,037,736)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47"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外币报表折算差额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(5,909,781)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(11,531,314)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7"/>
              <w:jc w:val="right"/>
              <w:rPr>
                <w:rFonts w:ascii="Arial" w:hAnsi="Arial" w:cs="Arial" w:eastAsia="Arial" w:hint="default"/>
                <w:sz w:val="14"/>
                <w:szCs w:val="14"/>
              </w:rPr>
            </w:pPr>
            <w:r>
              <w:rPr>
                <w:rFonts w:ascii="Arial"/>
                <w:spacing w:val="-1"/>
                <w:sz w:val="14"/>
              </w:rPr>
              <w:t>(17,441,095)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41" w:right="0"/>
              <w:jc w:val="left"/>
              <w:rPr>
                <w:rFonts w:ascii="宋体" w:hAnsi="宋体" w:cs="宋体" w:eastAsia="宋体" w:hint="default"/>
                <w:sz w:val="14"/>
                <w:szCs w:val="14"/>
              </w:rPr>
            </w:pPr>
            <w:r>
              <w:rPr>
                <w:rFonts w:ascii="宋体" w:hAnsi="宋体" w:cs="宋体" w:eastAsia="宋体" w:hint="default"/>
                <w:sz w:val="14"/>
                <w:szCs w:val="14"/>
              </w:rPr>
              <w:t>（三）股东投入和减少的资本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54"/>
              <w:jc w:val="right"/>
              <w:rPr>
                <w:rFonts w:ascii="宋体" w:hAnsi="宋体" w:cs="宋体" w:eastAsia="宋体" w:hint="default"/>
                <w:sz w:val="14"/>
                <w:szCs w:val="14"/>
              </w:rPr>
            </w:pPr>
            <w:r>
              <w:rPr>
                <w:rFonts w:ascii="Arial" w:hAnsi="Arial" w:cs="Arial" w:eastAsia="Arial" w:hint="default"/>
                <w:spacing w:val="-1"/>
                <w:sz w:val="14"/>
                <w:szCs w:val="14"/>
              </w:rPr>
              <w:t>1.</w:t>
            </w:r>
            <w:r>
              <w:rPr>
                <w:rFonts w:ascii="宋体" w:hAnsi="宋体" w:cs="宋体" w:eastAsia="宋体" w:hint="default"/>
                <w:spacing w:val="-1"/>
                <w:sz w:val="14"/>
                <w:szCs w:val="14"/>
              </w:rPr>
              <w:t>股东投入资本－确认子公司员工行使股份期权所增加的子公司权益影响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(45)</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11,324,910</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22,097,449</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33,422,359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股份支付计入股东权益的金额－与股份支付相关的员工薪酬的确认</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5,881,018</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11,475,189</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17,356,207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其他－宽带在线同一控制下收购联通新时讯支付的价款</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9" w:right="0"/>
              <w:jc w:val="left"/>
              <w:rPr>
                <w:rFonts w:ascii="Arial" w:hAnsi="Arial" w:cs="Arial" w:eastAsia="Arial" w:hint="default"/>
                <w:sz w:val="14"/>
                <w:szCs w:val="14"/>
              </w:rPr>
            </w:pPr>
            <w:r>
              <w:rPr>
                <w:rFonts w:ascii="Arial"/>
                <w:sz w:val="14"/>
              </w:rPr>
              <w:t>(40,926,482)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0"/>
              <w:jc w:val="right"/>
              <w:rPr>
                <w:rFonts w:ascii="Arial" w:hAnsi="Arial" w:cs="Arial" w:eastAsia="Arial" w:hint="default"/>
                <w:sz w:val="14"/>
                <w:szCs w:val="14"/>
              </w:rPr>
            </w:pPr>
            <w:r>
              <w:rPr>
                <w:rFonts w:ascii="Arial"/>
                <w:spacing w:val="-1"/>
                <w:sz w:val="14"/>
              </w:rPr>
              <w:t>(12,578,971)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(104,419,447)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7"/>
              <w:jc w:val="right"/>
              <w:rPr>
                <w:rFonts w:ascii="Arial" w:hAnsi="Arial" w:cs="Arial" w:eastAsia="Arial" w:hint="default"/>
                <w:sz w:val="14"/>
                <w:szCs w:val="14"/>
              </w:rPr>
            </w:pPr>
            <w:r>
              <w:rPr>
                <w:rFonts w:ascii="Arial"/>
                <w:spacing w:val="-1"/>
                <w:sz w:val="14"/>
              </w:rPr>
              <w:t>(157,924,900)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6"/>
              <w:jc w:val="right"/>
              <w:rPr>
                <w:rFonts w:ascii="Arial" w:hAnsi="Arial" w:cs="Arial" w:eastAsia="Arial" w:hint="default"/>
                <w:sz w:val="14"/>
                <w:szCs w:val="14"/>
              </w:rPr>
            </w:pPr>
            <w:r>
              <w:rPr>
                <w:rFonts w:ascii="Arial"/>
                <w:spacing w:val="-1"/>
                <w:sz w:val="14"/>
              </w:rPr>
              <w:t>(157,924,900)</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41" w:right="0"/>
              <w:jc w:val="left"/>
              <w:rPr>
                <w:rFonts w:ascii="宋体" w:hAnsi="宋体" w:cs="宋体" w:eastAsia="宋体" w:hint="default"/>
                <w:sz w:val="14"/>
                <w:szCs w:val="14"/>
              </w:rPr>
            </w:pPr>
            <w:r>
              <w:rPr>
                <w:rFonts w:ascii="宋体" w:hAnsi="宋体" w:cs="宋体" w:eastAsia="宋体" w:hint="default"/>
                <w:sz w:val="14"/>
                <w:szCs w:val="14"/>
              </w:rPr>
              <w:t>（四）利润分配</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47"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提取盈余公积－法定公积金</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5"/>
              <w:jc w:val="right"/>
              <w:rPr>
                <w:rFonts w:ascii="Arial" w:hAnsi="Arial" w:cs="Arial" w:eastAsia="Arial" w:hint="default"/>
                <w:sz w:val="14"/>
                <w:szCs w:val="14"/>
              </w:rPr>
            </w:pPr>
            <w:r>
              <w:rPr>
                <w:rFonts w:ascii="Arial"/>
                <w:spacing w:val="-1"/>
                <w:sz w:val="14"/>
              </w:rPr>
              <w:t>61,540,221</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right"/>
              <w:rPr>
                <w:rFonts w:ascii="Arial" w:hAnsi="Arial" w:cs="Arial" w:eastAsia="Arial" w:hint="default"/>
                <w:sz w:val="14"/>
                <w:szCs w:val="14"/>
              </w:rPr>
            </w:pPr>
            <w:r>
              <w:rPr>
                <w:rFonts w:ascii="Arial"/>
                <w:spacing w:val="-1"/>
                <w:sz w:val="14"/>
              </w:rPr>
              <w:t>(61,540,221)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4"/>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7"/>
              <w:jc w:val="right"/>
              <w:rPr>
                <w:rFonts w:ascii="Arial" w:hAnsi="Arial" w:cs="Arial" w:eastAsia="Arial" w:hint="default"/>
                <w:sz w:val="14"/>
                <w:szCs w:val="14"/>
              </w:rPr>
            </w:pPr>
            <w:r>
              <w:rPr>
                <w:rFonts w:ascii="Arial"/>
                <w:w w:val="100"/>
                <w:sz w:val="14"/>
              </w:rPr>
              <w:t>-</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5"/>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向股东分派的普通股股利</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(551,111,506)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(1,243,406,810)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7"/>
              <w:jc w:val="right"/>
              <w:rPr>
                <w:rFonts w:ascii="Arial" w:hAnsi="Arial" w:cs="Arial" w:eastAsia="Arial" w:hint="default"/>
                <w:sz w:val="14"/>
                <w:szCs w:val="14"/>
              </w:rPr>
            </w:pPr>
            <w:r>
              <w:rPr>
                <w:rFonts w:ascii="Arial"/>
                <w:spacing w:val="-1"/>
                <w:sz w:val="14"/>
              </w:rPr>
              <w:t>(1,794,518,316)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47"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同一控制下宽带在线所收购的联通新时讯向联通集团分配利润</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(23)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(3,029,151)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(5,911,591)</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(8,940,742)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6"/>
              <w:jc w:val="right"/>
              <w:rPr>
                <w:rFonts w:ascii="Arial" w:hAnsi="Arial" w:cs="Arial" w:eastAsia="Arial" w:hint="default"/>
                <w:sz w:val="14"/>
                <w:szCs w:val="14"/>
              </w:rPr>
            </w:pPr>
            <w:r>
              <w:rPr>
                <w:rFonts w:ascii="Arial"/>
                <w:spacing w:val="-1"/>
                <w:sz w:val="14"/>
              </w:rPr>
              <w:t>(8,940,742)</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1" w:right="0"/>
              <w:jc w:val="left"/>
              <w:rPr>
                <w:rFonts w:ascii="宋体" w:hAnsi="宋体" w:cs="宋体" w:eastAsia="宋体" w:hint="default"/>
                <w:sz w:val="14"/>
                <w:szCs w:val="14"/>
              </w:rPr>
            </w:pPr>
            <w:r>
              <w:rPr>
                <w:rFonts w:ascii="宋体" w:hAnsi="宋体" w:cs="宋体" w:eastAsia="宋体" w:hint="default"/>
                <w:sz w:val="14"/>
                <w:szCs w:val="14"/>
              </w:rPr>
              <w:t>（五）股东权益的内部结转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47"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其他－因所持子公司股份变化对资本公积的影响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4" w:right="0"/>
              <w:jc w:val="left"/>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(8,154,317)</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8,154,317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
              <w:jc w:val="right"/>
              <w:rPr>
                <w:rFonts w:ascii="Arial" w:hAnsi="Arial" w:cs="Arial" w:eastAsia="Arial" w:hint="default"/>
                <w:sz w:val="14"/>
                <w:szCs w:val="14"/>
              </w:rPr>
            </w:pPr>
            <w:r>
              <w:rPr>
                <w:rFonts w:ascii="Arial"/>
                <w:w w:val="100"/>
                <w:sz w:val="14"/>
              </w:rPr>
              <w:t>-</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2" w:right="0"/>
              <w:jc w:val="left"/>
              <w:rPr>
                <w:rFonts w:ascii="宋体" w:hAnsi="宋体" w:cs="宋体" w:eastAsia="宋体" w:hint="default"/>
                <w:sz w:val="14"/>
                <w:szCs w:val="14"/>
              </w:rPr>
            </w:pPr>
            <w:r>
              <w:rPr>
                <w:rFonts w:ascii="Arial" w:hAnsi="Arial" w:cs="Arial" w:eastAsia="Arial" w:hint="default"/>
                <w:sz w:val="14"/>
                <w:szCs w:val="14"/>
              </w:rPr>
              <w:t>2011</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7"/>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5" w:right="0"/>
              <w:jc w:val="left"/>
              <w:rPr>
                <w:rFonts w:ascii="Arial" w:hAnsi="Arial" w:cs="Arial" w:eastAsia="Arial" w:hint="default"/>
                <w:sz w:val="14"/>
                <w:szCs w:val="14"/>
              </w:rPr>
            </w:pPr>
            <w:r>
              <w:rPr>
                <w:rFonts w:ascii="Arial"/>
                <w:sz w:val="14"/>
              </w:rPr>
              <w:t>27,159,443,685</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spacing w:val="-1"/>
                <w:sz w:val="14"/>
              </w:rPr>
              <w:t>746,495,256</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spacing w:val="-1"/>
                <w:sz w:val="14"/>
              </w:rPr>
              <w:t>21,944,910,470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(23,643,600)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5"/>
              <w:jc w:val="right"/>
              <w:rPr>
                <w:rFonts w:ascii="Arial" w:hAnsi="Arial" w:cs="Arial" w:eastAsia="Arial" w:hint="default"/>
                <w:sz w:val="14"/>
                <w:szCs w:val="14"/>
              </w:rPr>
            </w:pPr>
            <w:r>
              <w:rPr>
                <w:rFonts w:ascii="Arial"/>
                <w:spacing w:val="-1"/>
                <w:sz w:val="14"/>
              </w:rPr>
              <w:t>137,586,893,847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1"/>
              <w:jc w:val="right"/>
              <w:rPr>
                <w:rFonts w:ascii="Arial" w:hAnsi="Arial" w:cs="Arial" w:eastAsia="Arial" w:hint="default"/>
                <w:sz w:val="14"/>
                <w:szCs w:val="14"/>
              </w:rPr>
            </w:pPr>
            <w:r>
              <w:rPr>
                <w:rFonts w:ascii="Arial"/>
                <w:spacing w:val="-1"/>
                <w:sz w:val="14"/>
              </w:rPr>
              <w:t>208,610,696,053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56"/>
              <w:jc w:val="right"/>
              <w:rPr>
                <w:rFonts w:ascii="Arial" w:hAnsi="Arial" w:cs="Arial" w:eastAsia="Arial" w:hint="default"/>
                <w:sz w:val="14"/>
                <w:szCs w:val="14"/>
              </w:rPr>
            </w:pPr>
            <w:r>
              <w:rPr>
                <w:rFonts w:ascii="Arial"/>
                <w:spacing w:val="-1"/>
                <w:sz w:val="14"/>
              </w:rPr>
              <w:t>(14,556,023)</w:t>
            </w:r>
          </w:p>
        </w:tc>
      </w:tr>
    </w:tbl>
    <w:p>
      <w:pPr>
        <w:spacing w:line="240" w:lineRule="auto" w:before="4"/>
        <w:rPr>
          <w:rFonts w:ascii="黑体" w:hAnsi="黑体" w:cs="黑体" w:eastAsia="黑体" w:hint="default"/>
          <w:sz w:val="12"/>
          <w:szCs w:val="12"/>
        </w:rPr>
      </w:pPr>
    </w:p>
    <w:p>
      <w:pPr>
        <w:spacing w:before="38"/>
        <w:ind w:left="121"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3"/>
          <w:szCs w:val="23"/>
        </w:rPr>
      </w:pPr>
    </w:p>
    <w:p>
      <w:pPr>
        <w:pStyle w:val="BodyText"/>
        <w:tabs>
          <w:tab w:pos="5678" w:val="left" w:leader="none"/>
          <w:tab w:pos="11039" w:val="left" w:leader="none"/>
        </w:tabs>
        <w:spacing w:line="240" w:lineRule="auto"/>
        <w:ind w:left="121"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35"/>
          <w:footerReference w:type="default" r:id="rId36"/>
          <w:pgSz w:w="16840" w:h="11900" w:orient="landscape"/>
          <w:pgMar w:header="0" w:footer="464" w:top="1080" w:bottom="660" w:left="880" w:right="520"/>
          <w:pgNumType w:start="61"/>
        </w:sectPr>
      </w:pPr>
    </w:p>
    <w:p>
      <w:pPr>
        <w:pStyle w:val="BodyText"/>
        <w:spacing w:line="240" w:lineRule="auto" w:before="18"/>
        <w:ind w:left="121"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94" w:lineRule="exact"/>
        <w:ind w:left="121"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9"/>
        </w:rPr>
        <w:t> </w:t>
      </w:r>
      <w:r>
        <w:rPr>
          <w:rFonts w:ascii="黑体" w:hAnsi="黑体" w:cs="黑体" w:eastAsia="黑体" w:hint="default"/>
        </w:rPr>
        <w:t>年度公司股东权益变动表</w:t>
      </w:r>
    </w:p>
    <w:p>
      <w:pPr>
        <w:pStyle w:val="BodyText"/>
        <w:spacing w:line="278" w:lineRule="exact"/>
        <w:ind w:left="121"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4618"/>
        <w:gridCol w:w="750"/>
        <w:gridCol w:w="1910"/>
        <w:gridCol w:w="2004"/>
        <w:gridCol w:w="1918"/>
        <w:gridCol w:w="1970"/>
        <w:gridCol w:w="1993"/>
      </w:tblGrid>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
              <w:jc w:val="center"/>
              <w:rPr>
                <w:rFonts w:ascii="黑体" w:hAnsi="黑体" w:cs="黑体" w:eastAsia="黑体" w:hint="default"/>
                <w:sz w:val="19"/>
                <w:szCs w:val="19"/>
              </w:rPr>
            </w:pPr>
            <w:r>
              <w:rPr>
                <w:rFonts w:ascii="黑体" w:hAnsi="黑体" w:cs="黑体" w:eastAsia="黑体" w:hint="default"/>
                <w:sz w:val="19"/>
                <w:szCs w:val="19"/>
              </w:rPr>
              <w:t>项目</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4"/>
              <w:jc w:val="center"/>
              <w:rPr>
                <w:rFonts w:ascii="黑体" w:hAnsi="黑体" w:cs="黑体" w:eastAsia="黑体" w:hint="default"/>
                <w:sz w:val="19"/>
                <w:szCs w:val="19"/>
              </w:rPr>
            </w:pPr>
            <w:r>
              <w:rPr>
                <w:rFonts w:ascii="黑体" w:hAnsi="黑体" w:cs="黑体" w:eastAsia="黑体" w:hint="default"/>
                <w:sz w:val="19"/>
                <w:szCs w:val="19"/>
              </w:rPr>
              <w:t>附注</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
              <w:jc w:val="center"/>
              <w:rPr>
                <w:rFonts w:ascii="黑体" w:hAnsi="黑体" w:cs="黑体" w:eastAsia="黑体" w:hint="default"/>
                <w:sz w:val="19"/>
                <w:szCs w:val="19"/>
              </w:rPr>
            </w:pPr>
            <w:r>
              <w:rPr>
                <w:rFonts w:ascii="黑体" w:hAnsi="黑体" w:cs="黑体" w:eastAsia="黑体" w:hint="default"/>
                <w:sz w:val="19"/>
                <w:szCs w:val="19"/>
              </w:rPr>
              <w:t>股本</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613" w:right="0"/>
              <w:jc w:val="left"/>
              <w:rPr>
                <w:rFonts w:ascii="黑体" w:hAnsi="黑体" w:cs="黑体" w:eastAsia="黑体" w:hint="default"/>
                <w:sz w:val="19"/>
                <w:szCs w:val="19"/>
              </w:rPr>
            </w:pPr>
            <w:r>
              <w:rPr>
                <w:rFonts w:ascii="黑体" w:hAnsi="黑体" w:cs="黑体" w:eastAsia="黑体" w:hint="default"/>
                <w:sz w:val="19"/>
                <w:szCs w:val="19"/>
              </w:rPr>
              <w:t>资本公积</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570" w:right="0"/>
              <w:jc w:val="left"/>
              <w:rPr>
                <w:rFonts w:ascii="黑体" w:hAnsi="黑体" w:cs="黑体" w:eastAsia="黑体" w:hint="default"/>
                <w:sz w:val="19"/>
                <w:szCs w:val="19"/>
              </w:rPr>
            </w:pPr>
            <w:r>
              <w:rPr>
                <w:rFonts w:ascii="黑体" w:hAnsi="黑体" w:cs="黑体" w:eastAsia="黑体" w:hint="default"/>
                <w:sz w:val="19"/>
                <w:szCs w:val="19"/>
              </w:rPr>
              <w:t>盈余公积</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500" w:right="0"/>
              <w:jc w:val="left"/>
              <w:rPr>
                <w:rFonts w:ascii="黑体" w:hAnsi="黑体" w:cs="黑体" w:eastAsia="黑体" w:hint="default"/>
                <w:sz w:val="19"/>
                <w:szCs w:val="19"/>
              </w:rPr>
            </w:pPr>
            <w:r>
              <w:rPr>
                <w:rFonts w:ascii="黑体" w:hAnsi="黑体" w:cs="黑体" w:eastAsia="黑体" w:hint="default"/>
                <w:sz w:val="19"/>
                <w:szCs w:val="19"/>
              </w:rPr>
              <w:t>未分配利润</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17" w:right="0"/>
              <w:jc w:val="left"/>
              <w:rPr>
                <w:rFonts w:ascii="黑体" w:hAnsi="黑体" w:cs="黑体" w:eastAsia="黑体" w:hint="default"/>
                <w:sz w:val="19"/>
                <w:szCs w:val="19"/>
              </w:rPr>
            </w:pPr>
            <w:r>
              <w:rPr>
                <w:rFonts w:ascii="黑体" w:hAnsi="黑体" w:cs="黑体" w:eastAsia="黑体" w:hint="default"/>
                <w:sz w:val="19"/>
                <w:szCs w:val="19"/>
              </w:rPr>
              <w:t>股东权益合计</w:t>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9"/>
                <w:szCs w:val="19"/>
              </w:rPr>
            </w:pPr>
            <w:r>
              <w:rPr>
                <w:rFonts w:ascii="Arial" w:hAnsi="Arial" w:cs="Arial" w:eastAsia="Arial" w:hint="default"/>
                <w:sz w:val="19"/>
                <w:szCs w:val="19"/>
              </w:rPr>
              <w:t>2010</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日年初余额</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5"/>
                <w:sz w:val="19"/>
              </w:rPr>
              <w:t>21,196,596,395</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558,500,106</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4"/>
              <w:jc w:val="right"/>
              <w:rPr>
                <w:rFonts w:ascii="Arial" w:hAnsi="Arial" w:cs="Arial" w:eastAsia="Arial" w:hint="default"/>
                <w:sz w:val="19"/>
                <w:szCs w:val="19"/>
              </w:rPr>
            </w:pPr>
            <w:r>
              <w:rPr>
                <w:rFonts w:ascii="Arial"/>
                <w:w w:val="95"/>
                <w:sz w:val="19"/>
              </w:rPr>
              <w:t>2,395,191</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8"/>
              <w:jc w:val="right"/>
              <w:rPr>
                <w:rFonts w:ascii="Arial" w:hAnsi="Arial" w:cs="Arial" w:eastAsia="Arial" w:hint="default"/>
                <w:sz w:val="19"/>
                <w:szCs w:val="19"/>
              </w:rPr>
            </w:pPr>
            <w:r>
              <w:rPr>
                <w:rFonts w:ascii="Arial"/>
                <w:w w:val="95"/>
                <w:sz w:val="19"/>
              </w:rPr>
              <w:t>38,868,594,800</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（一）净利润</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7"/>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Arial" w:hAnsi="Arial" w:cs="Arial" w:eastAsia="Arial" w:hint="default"/>
                <w:sz w:val="19"/>
                <w:szCs w:val="19"/>
              </w:rPr>
            </w:pPr>
            <w:r>
              <w:rPr>
                <w:rFonts w:ascii="Arial"/>
                <w:w w:val="95"/>
                <w:sz w:val="19"/>
              </w:rPr>
              <w:t>1,264,549,285</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5"/>
                <w:sz w:val="19"/>
              </w:rPr>
              <w:t>1,264,549,285</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12" w:right="0"/>
              <w:jc w:val="left"/>
              <w:rPr>
                <w:rFonts w:ascii="宋体" w:hAnsi="宋体" w:cs="宋体" w:eastAsia="宋体" w:hint="default"/>
                <w:sz w:val="19"/>
                <w:szCs w:val="19"/>
              </w:rPr>
            </w:pPr>
            <w:r>
              <w:rPr>
                <w:rFonts w:ascii="宋体" w:hAnsi="宋体" w:cs="宋体" w:eastAsia="宋体" w:hint="default"/>
                <w:sz w:val="19"/>
                <w:szCs w:val="19"/>
              </w:rPr>
              <w:t>（二）利润分配</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510"/>
              <w:jc w:val="right"/>
              <w:rPr>
                <w:rFonts w:ascii="宋体" w:hAnsi="宋体" w:cs="宋体" w:eastAsia="宋体" w:hint="default"/>
                <w:sz w:val="19"/>
                <w:szCs w:val="19"/>
              </w:rPr>
            </w:pPr>
            <w:r>
              <w:rPr>
                <w:rFonts w:ascii="Arial" w:hAnsi="Arial" w:cs="Arial" w:eastAsia="Arial" w:hint="default"/>
                <w:w w:val="95"/>
                <w:sz w:val="19"/>
                <w:szCs w:val="19"/>
              </w:rPr>
              <w:t>1.</w:t>
            </w:r>
            <w:r>
              <w:rPr>
                <w:rFonts w:ascii="宋体" w:hAnsi="宋体" w:cs="宋体" w:eastAsia="宋体" w:hint="default"/>
                <w:w w:val="95"/>
                <w:sz w:val="19"/>
                <w:szCs w:val="19"/>
              </w:rPr>
              <w:t>提取盈余公积－法定公积金</w:t>
            </w:r>
            <w:r>
              <w:rPr>
                <w:rFonts w:ascii="宋体" w:hAnsi="宋体" w:cs="宋体" w:eastAsia="宋体" w:hint="default"/>
                <w:sz w:val="19"/>
                <w:szCs w:val="19"/>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126,454,929</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0"/>
              <w:jc w:val="right"/>
              <w:rPr>
                <w:rFonts w:ascii="Arial" w:hAnsi="Arial" w:cs="Arial" w:eastAsia="Arial" w:hint="default"/>
                <w:sz w:val="19"/>
                <w:szCs w:val="19"/>
              </w:rPr>
            </w:pPr>
            <w:r>
              <w:rPr>
                <w:rFonts w:ascii="Arial"/>
                <w:w w:val="95"/>
                <w:sz w:val="19"/>
              </w:rPr>
              <w:t>(126,454,929)</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652"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向股东分派的普通股股利</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(33)</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7"/>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81"/>
              <w:jc w:val="right"/>
              <w:rPr>
                <w:rFonts w:ascii="Arial" w:hAnsi="Arial" w:cs="Arial" w:eastAsia="Arial" w:hint="default"/>
                <w:sz w:val="19"/>
                <w:szCs w:val="19"/>
              </w:rPr>
            </w:pPr>
            <w:r>
              <w:rPr>
                <w:rFonts w:ascii="Arial"/>
                <w:w w:val="95"/>
                <w:sz w:val="19"/>
              </w:rPr>
              <w:t>(1,136,137,567)</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85"/>
              <w:jc w:val="right"/>
              <w:rPr>
                <w:rFonts w:ascii="Arial" w:hAnsi="Arial" w:cs="Arial" w:eastAsia="Arial" w:hint="default"/>
                <w:sz w:val="19"/>
                <w:szCs w:val="19"/>
              </w:rPr>
            </w:pPr>
            <w:r>
              <w:rPr>
                <w:rFonts w:ascii="Arial"/>
                <w:w w:val="95"/>
                <w:sz w:val="19"/>
              </w:rPr>
              <w:t>(1,136,137,567)</w:t>
            </w:r>
            <w:r>
              <w:rPr>
                <w:rFonts w:ascii="Arial"/>
                <w:sz w:val="19"/>
              </w:rPr>
            </w:r>
          </w:p>
        </w:tc>
      </w:tr>
      <w:tr>
        <w:trPr>
          <w:trHeight w:val="260"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19"/>
                <w:szCs w:val="19"/>
              </w:rPr>
            </w:pPr>
            <w:r>
              <w:rPr>
                <w:rFonts w:ascii="Arial" w:hAnsi="Arial" w:cs="Arial" w:eastAsia="Arial" w:hint="default"/>
                <w:sz w:val="19"/>
                <w:szCs w:val="19"/>
              </w:rPr>
              <w:t>2010</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9"/>
              <w:jc w:val="right"/>
              <w:rPr>
                <w:rFonts w:ascii="Arial" w:hAnsi="Arial" w:cs="Arial" w:eastAsia="Arial" w:hint="default"/>
                <w:sz w:val="19"/>
                <w:szCs w:val="19"/>
              </w:rPr>
            </w:pPr>
            <w:r>
              <w:rPr>
                <w:rFonts w:ascii="Arial"/>
                <w:w w:val="95"/>
                <w:sz w:val="19"/>
              </w:rPr>
              <w:t>21,196,596,395</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5"/>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6"/>
              <w:jc w:val="right"/>
              <w:rPr>
                <w:rFonts w:ascii="Arial" w:hAnsi="Arial" w:cs="Arial" w:eastAsia="Arial" w:hint="default"/>
                <w:sz w:val="19"/>
                <w:szCs w:val="19"/>
              </w:rPr>
            </w:pPr>
            <w:r>
              <w:rPr>
                <w:rFonts w:ascii="Arial"/>
                <w:w w:val="95"/>
                <w:sz w:val="19"/>
              </w:rPr>
              <w:t>684,955,035</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4"/>
              <w:jc w:val="right"/>
              <w:rPr>
                <w:rFonts w:ascii="Arial" w:hAnsi="Arial" w:cs="Arial" w:eastAsia="Arial" w:hint="default"/>
                <w:sz w:val="19"/>
                <w:szCs w:val="19"/>
              </w:rPr>
            </w:pPr>
            <w:r>
              <w:rPr>
                <w:rFonts w:ascii="Arial"/>
                <w:w w:val="95"/>
                <w:sz w:val="19"/>
              </w:rPr>
              <w:t>4,351,980</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9"/>
              <w:jc w:val="right"/>
              <w:rPr>
                <w:rFonts w:ascii="Arial" w:hAnsi="Arial" w:cs="Arial" w:eastAsia="Arial" w:hint="default"/>
                <w:sz w:val="19"/>
                <w:szCs w:val="19"/>
              </w:rPr>
            </w:pPr>
            <w:r>
              <w:rPr>
                <w:rFonts w:ascii="Arial"/>
                <w:w w:val="95"/>
                <w:sz w:val="19"/>
              </w:rPr>
              <w:t>38,997,006,518</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（一）净利润</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4"/>
              <w:jc w:val="right"/>
              <w:rPr>
                <w:rFonts w:ascii="Arial" w:hAnsi="Arial" w:cs="Arial" w:eastAsia="Arial" w:hint="default"/>
                <w:sz w:val="19"/>
                <w:szCs w:val="19"/>
              </w:rPr>
            </w:pPr>
            <w:r>
              <w:rPr>
                <w:rFonts w:ascii="Arial"/>
                <w:w w:val="95"/>
                <w:sz w:val="19"/>
              </w:rPr>
              <w:t>615,402,212</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5"/>
                <w:sz w:val="19"/>
              </w:rPr>
              <w:t>615,402,212</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（二）利润分配</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510"/>
              <w:jc w:val="right"/>
              <w:rPr>
                <w:rFonts w:ascii="宋体" w:hAnsi="宋体" w:cs="宋体" w:eastAsia="宋体" w:hint="default"/>
                <w:sz w:val="19"/>
                <w:szCs w:val="19"/>
              </w:rPr>
            </w:pPr>
            <w:r>
              <w:rPr>
                <w:rFonts w:ascii="Arial" w:hAnsi="Arial" w:cs="Arial" w:eastAsia="Arial" w:hint="default"/>
                <w:w w:val="95"/>
                <w:sz w:val="19"/>
                <w:szCs w:val="19"/>
              </w:rPr>
              <w:t>1.</w:t>
            </w:r>
            <w:r>
              <w:rPr>
                <w:rFonts w:ascii="宋体" w:hAnsi="宋体" w:cs="宋体" w:eastAsia="宋体" w:hint="default"/>
                <w:w w:val="95"/>
                <w:sz w:val="19"/>
                <w:szCs w:val="19"/>
              </w:rPr>
              <w:t>提取盈余公积－法定公积金</w:t>
            </w:r>
            <w:r>
              <w:rPr>
                <w:rFonts w:ascii="宋体" w:hAnsi="宋体" w:cs="宋体" w:eastAsia="宋体" w:hint="default"/>
                <w:sz w:val="19"/>
                <w:szCs w:val="19"/>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61,540,221</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0"/>
              <w:jc w:val="right"/>
              <w:rPr>
                <w:rFonts w:ascii="Arial" w:hAnsi="Arial" w:cs="Arial" w:eastAsia="Arial" w:hint="default"/>
                <w:sz w:val="19"/>
                <w:szCs w:val="19"/>
              </w:rPr>
            </w:pPr>
            <w:r>
              <w:rPr>
                <w:rFonts w:ascii="Arial"/>
                <w:w w:val="95"/>
                <w:sz w:val="19"/>
              </w:rPr>
              <w:t>(61,540,221)</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652"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向股东分派的普通股股利</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(33)</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7"/>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1"/>
              <w:jc w:val="right"/>
              <w:rPr>
                <w:rFonts w:ascii="Arial" w:hAnsi="Arial" w:cs="Arial" w:eastAsia="Arial" w:hint="default"/>
                <w:sz w:val="19"/>
                <w:szCs w:val="19"/>
              </w:rPr>
            </w:pPr>
            <w:r>
              <w:rPr>
                <w:rFonts w:ascii="Arial"/>
                <w:w w:val="95"/>
                <w:sz w:val="19"/>
              </w:rPr>
              <w:t>(551,111,506)</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5"/>
              <w:jc w:val="right"/>
              <w:rPr>
                <w:rFonts w:ascii="Arial" w:hAnsi="Arial" w:cs="Arial" w:eastAsia="Arial" w:hint="default"/>
                <w:sz w:val="19"/>
                <w:szCs w:val="19"/>
              </w:rPr>
            </w:pPr>
            <w:r>
              <w:rPr>
                <w:rFonts w:ascii="Arial"/>
                <w:w w:val="95"/>
                <w:sz w:val="19"/>
              </w:rPr>
              <w:t>(551,111,506)</w:t>
            </w:r>
            <w:r>
              <w:rPr>
                <w:rFonts w:ascii="Arial"/>
                <w:sz w:val="19"/>
              </w:rPr>
            </w:r>
          </w:p>
        </w:tc>
      </w:tr>
      <w:tr>
        <w:trPr>
          <w:trHeight w:val="260"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19"/>
                <w:szCs w:val="19"/>
              </w:rPr>
            </w:pPr>
            <w:r>
              <w:rPr>
                <w:rFonts w:ascii="Arial" w:hAnsi="Arial" w:cs="Arial" w:eastAsia="Arial" w:hint="default"/>
                <w:sz w:val="19"/>
                <w:szCs w:val="19"/>
              </w:rPr>
              <w:t>2011</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9"/>
              <w:jc w:val="right"/>
              <w:rPr>
                <w:rFonts w:ascii="Arial" w:hAnsi="Arial" w:cs="Arial" w:eastAsia="Arial" w:hint="default"/>
                <w:sz w:val="19"/>
                <w:szCs w:val="19"/>
              </w:rPr>
            </w:pPr>
            <w:r>
              <w:rPr>
                <w:rFonts w:ascii="Arial"/>
                <w:w w:val="95"/>
                <w:sz w:val="19"/>
              </w:rPr>
              <w:t>21,196,596,395</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5"/>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6"/>
              <w:jc w:val="right"/>
              <w:rPr>
                <w:rFonts w:ascii="Arial" w:hAnsi="Arial" w:cs="Arial" w:eastAsia="Arial" w:hint="default"/>
                <w:sz w:val="19"/>
                <w:szCs w:val="19"/>
              </w:rPr>
            </w:pPr>
            <w:r>
              <w:rPr>
                <w:rFonts w:ascii="Arial"/>
                <w:w w:val="95"/>
                <w:sz w:val="19"/>
              </w:rPr>
              <w:t>746,495,256</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4"/>
              <w:jc w:val="right"/>
              <w:rPr>
                <w:rFonts w:ascii="Arial" w:hAnsi="Arial" w:cs="Arial" w:eastAsia="Arial" w:hint="default"/>
                <w:sz w:val="19"/>
                <w:szCs w:val="19"/>
              </w:rPr>
            </w:pPr>
            <w:r>
              <w:rPr>
                <w:rFonts w:ascii="Arial"/>
                <w:w w:val="95"/>
                <w:sz w:val="19"/>
              </w:rPr>
              <w:t>7,102,465</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9"/>
              <w:jc w:val="right"/>
              <w:rPr>
                <w:rFonts w:ascii="Arial" w:hAnsi="Arial" w:cs="Arial" w:eastAsia="Arial" w:hint="default"/>
                <w:sz w:val="19"/>
                <w:szCs w:val="19"/>
              </w:rPr>
            </w:pPr>
            <w:r>
              <w:rPr>
                <w:rFonts w:ascii="Arial"/>
                <w:w w:val="95"/>
                <w:sz w:val="19"/>
              </w:rPr>
              <w:t>39,061,297,224</w:t>
            </w:r>
            <w:r>
              <w:rPr>
                <w:rFonts w:ascii="Arial"/>
                <w:sz w:val="19"/>
              </w:rPr>
            </w:r>
          </w:p>
        </w:tc>
      </w:tr>
    </w:tbl>
    <w:p>
      <w:pPr>
        <w:spacing w:line="240" w:lineRule="auto" w:before="5"/>
        <w:rPr>
          <w:rFonts w:ascii="黑体" w:hAnsi="黑体" w:cs="黑体" w:eastAsia="黑体" w:hint="default"/>
          <w:sz w:val="11"/>
          <w:szCs w:val="11"/>
        </w:rPr>
      </w:pPr>
    </w:p>
    <w:p>
      <w:pPr>
        <w:spacing w:before="38"/>
        <w:ind w:left="107"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8"/>
          <w:szCs w:val="28"/>
        </w:rPr>
      </w:pPr>
    </w:p>
    <w:p>
      <w:pPr>
        <w:pStyle w:val="BodyText"/>
        <w:tabs>
          <w:tab w:pos="5678" w:val="left" w:leader="none"/>
          <w:tab w:pos="11039" w:val="left" w:leader="none"/>
        </w:tabs>
        <w:spacing w:line="240" w:lineRule="auto"/>
        <w:ind w:left="121"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37"/>
          <w:footerReference w:type="default" r:id="rId38"/>
          <w:pgSz w:w="16840" w:h="11900" w:orient="landscape"/>
          <w:pgMar w:header="0" w:footer="464" w:top="1080" w:bottom="660" w:left="880" w:right="560"/>
          <w:pgNumType w:start="62"/>
        </w:sectPr>
      </w:pPr>
    </w:p>
    <w:p>
      <w:pPr>
        <w:spacing w:line="240" w:lineRule="auto" w:before="10"/>
        <w:rPr>
          <w:rFonts w:ascii="黑体" w:hAnsi="黑体" w:cs="黑体" w:eastAsia="黑体" w:hint="default"/>
          <w:sz w:val="16"/>
          <w:szCs w:val="16"/>
        </w:rPr>
      </w:pPr>
    </w:p>
    <w:p>
      <w:pPr>
        <w:pStyle w:val="BodyText"/>
        <w:tabs>
          <w:tab w:pos="536" w:val="left" w:leader="none"/>
        </w:tabs>
        <w:spacing w:line="240" w:lineRule="auto" w:before="31"/>
        <w:ind w:left="104" w:right="91"/>
        <w:jc w:val="left"/>
        <w:rPr>
          <w:rFonts w:ascii="黑体" w:hAnsi="黑体" w:cs="黑体" w:eastAsia="黑体" w:hint="default"/>
        </w:rPr>
      </w:pPr>
      <w:r>
        <w:rPr>
          <w:rFonts w:ascii="黑体" w:hAnsi="黑体" w:cs="黑体" w:eastAsia="黑体" w:hint="default"/>
          <w:w w:val="95"/>
        </w:rPr>
        <w:t>一</w:t>
        <w:tab/>
      </w:r>
      <w:r>
        <w:rPr>
          <w:rFonts w:ascii="黑体" w:hAnsi="黑体" w:cs="黑体" w:eastAsia="黑体" w:hint="default"/>
        </w:rPr>
        <w:t>公司简介</w:t>
      </w:r>
    </w:p>
    <w:p>
      <w:pPr>
        <w:spacing w:line="240" w:lineRule="auto" w:before="8"/>
        <w:rPr>
          <w:rFonts w:ascii="黑体" w:hAnsi="黑体" w:cs="黑体" w:eastAsia="黑体" w:hint="default"/>
          <w:sz w:val="15"/>
          <w:szCs w:val="15"/>
        </w:rPr>
      </w:pPr>
    </w:p>
    <w:p>
      <w:pPr>
        <w:pStyle w:val="BodyText"/>
        <w:spacing w:line="240" w:lineRule="auto"/>
        <w:ind w:left="122" w:right="91"/>
        <w:jc w:val="left"/>
      </w:pPr>
      <w:r>
        <w:rPr>
          <w:rFonts w:ascii="Arial" w:hAnsi="Arial" w:cs="Arial" w:eastAsia="Arial" w:hint="default"/>
        </w:rPr>
        <w:t>1</w:t>
      </w:r>
      <w:r>
        <w:rPr/>
        <w:t>、</w:t>
      </w:r>
      <w:r>
        <w:rPr>
          <w:spacing w:val="-40"/>
        </w:rPr>
        <w:t> </w:t>
      </w:r>
      <w:r>
        <w:rPr/>
        <w:t>中国联合网络通信股份有限公司简介</w:t>
      </w:r>
    </w:p>
    <w:p>
      <w:pPr>
        <w:spacing w:line="240" w:lineRule="auto" w:before="7"/>
        <w:rPr>
          <w:rFonts w:ascii="宋体" w:hAnsi="宋体" w:cs="宋体" w:eastAsia="宋体" w:hint="default"/>
          <w:sz w:val="16"/>
          <w:szCs w:val="16"/>
        </w:rPr>
      </w:pPr>
    </w:p>
    <w:p>
      <w:pPr>
        <w:pStyle w:val="BodyText"/>
        <w:spacing w:line="286" w:lineRule="exact"/>
        <w:ind w:left="538" w:right="110"/>
        <w:jc w:val="left"/>
        <w:rPr>
          <w:rFonts w:ascii="Arial" w:hAnsi="Arial" w:cs="Arial" w:eastAsia="Arial" w:hint="default"/>
        </w:rPr>
      </w:pPr>
      <w:r>
        <w:rPr>
          <w:spacing w:val="2"/>
        </w:rPr>
        <w:t>中国联合网络通信股份有限公司（“本公司”）是根据国务院批准的重组方案，由中国联合</w:t>
      </w:r>
      <w:r>
        <w:rPr>
          <w:w w:val="99"/>
        </w:rPr>
        <w:t> </w:t>
      </w:r>
      <w:r>
        <w:rPr>
          <w:spacing w:val="-10"/>
        </w:rPr>
        <w:t>网络通信集团有限公司（“联通集团”）以其于中国联通（</w:t>
      </w:r>
      <w:r>
        <w:rPr>
          <w:rFonts w:ascii="Arial" w:hAnsi="Arial" w:cs="Arial" w:eastAsia="Arial" w:hint="default"/>
          <w:spacing w:val="-10"/>
        </w:rPr>
        <w:t>BVI</w:t>
      </w:r>
      <w:r>
        <w:rPr>
          <w:spacing w:val="-10"/>
        </w:rPr>
        <w:t>）有限公司（“联通</w:t>
      </w:r>
      <w:r>
        <w:rPr>
          <w:spacing w:val="-47"/>
        </w:rPr>
        <w:t> </w:t>
      </w:r>
      <w:r>
        <w:rPr>
          <w:rFonts w:ascii="Arial" w:hAnsi="Arial" w:cs="Arial" w:eastAsia="Arial" w:hint="default"/>
        </w:rPr>
        <w:t>BVI</w:t>
      </w:r>
      <w:r>
        <w:rPr>
          <w:rFonts w:ascii="Arial" w:hAnsi="Arial" w:cs="Arial" w:eastAsia="Arial" w:hint="default"/>
          <w:spacing w:val="2"/>
        </w:rPr>
        <w:t> </w:t>
      </w:r>
      <w:r>
        <w:rPr>
          <w:spacing w:val="-11"/>
        </w:rPr>
        <w:t>公司”）</w:t>
      </w:r>
      <w:r>
        <w:rPr>
          <w:spacing w:val="-108"/>
        </w:rPr>
        <w:t> </w:t>
      </w:r>
      <w:r>
        <w:rPr>
          <w:spacing w:val="-108"/>
        </w:rPr>
      </w:r>
      <w:r>
        <w:rPr/>
        <w:t>的</w:t>
      </w:r>
      <w:r>
        <w:rPr>
          <w:spacing w:val="-90"/>
        </w:rPr>
        <w:t> </w:t>
      </w:r>
      <w:r>
        <w:rPr>
          <w:rFonts w:ascii="Arial" w:hAnsi="Arial" w:cs="Arial" w:eastAsia="Arial" w:hint="default"/>
        </w:rPr>
        <w:t>51%</w:t>
      </w:r>
      <w:r>
        <w:rPr/>
        <w:t>股权投资所对应的经评估的净资产出资，并联合其他四家发起单位以现金出资于</w:t>
      </w:r>
      <w:r>
        <w:rPr>
          <w:spacing w:val="-90"/>
        </w:rPr>
        <w:t> </w:t>
      </w:r>
      <w:r>
        <w:rPr>
          <w:rFonts w:ascii="Arial" w:hAnsi="Arial" w:cs="Arial" w:eastAsia="Arial" w:hint="default"/>
        </w:rPr>
        <w:t>2001</w:t>
      </w:r>
    </w:p>
    <w:p>
      <w:pPr>
        <w:pStyle w:val="BodyText"/>
        <w:spacing w:line="225" w:lineRule="auto"/>
        <w:ind w:left="538" w:right="106"/>
        <w:jc w:val="left"/>
      </w:pPr>
      <w:r>
        <w:rPr/>
        <w:t>年</w:t>
      </w:r>
      <w:r>
        <w:rPr>
          <w:spacing w:val="-45"/>
        </w:rPr>
        <w:t> </w:t>
      </w:r>
      <w:r>
        <w:rPr>
          <w:rFonts w:ascii="Arial" w:hAnsi="Arial" w:cs="Arial" w:eastAsia="Arial" w:hint="default"/>
        </w:rPr>
        <w:t>12</w:t>
      </w:r>
      <w:r>
        <w:rPr>
          <w:rFonts w:ascii="Arial" w:hAnsi="Arial" w:cs="Arial" w:eastAsia="Arial" w:hint="default"/>
          <w:spacing w:val="5"/>
        </w:rPr>
        <w:t> </w:t>
      </w:r>
      <w:r>
        <w:rPr/>
        <w:t>月</w:t>
      </w:r>
      <w:r>
        <w:rPr>
          <w:spacing w:val="-45"/>
        </w:rPr>
        <w:t> </w:t>
      </w:r>
      <w:r>
        <w:rPr>
          <w:rFonts w:ascii="Arial" w:hAnsi="Arial" w:cs="Arial" w:eastAsia="Arial" w:hint="default"/>
        </w:rPr>
        <w:t>31</w:t>
      </w:r>
      <w:r>
        <w:rPr>
          <w:rFonts w:ascii="Arial" w:hAnsi="Arial" w:cs="Arial" w:eastAsia="Arial" w:hint="default"/>
          <w:spacing w:val="5"/>
        </w:rPr>
        <w:t> </w:t>
      </w:r>
      <w:r>
        <w:rPr/>
        <w:t>日在中华人民共和国（“中国”）成立的股份有限公司，经批准的经营范围为从</w:t>
      </w:r>
      <w:r>
        <w:rPr>
          <w:w w:val="99"/>
        </w:rPr>
        <w:t> </w:t>
      </w:r>
      <w:r>
        <w:rPr/>
        <w:t>事国（境）内外电信行业的投资。本公司目前只直接持有对联通 </w:t>
      </w:r>
      <w:r>
        <w:rPr>
          <w:rFonts w:ascii="Arial" w:hAnsi="Arial" w:cs="Arial" w:eastAsia="Arial" w:hint="default"/>
        </w:rPr>
        <w:t>BVI</w:t>
      </w:r>
      <w:r>
        <w:rPr>
          <w:rFonts w:ascii="Arial" w:hAnsi="Arial" w:cs="Arial" w:eastAsia="Arial" w:hint="default"/>
          <w:spacing w:val="6"/>
        </w:rPr>
        <w:t> </w:t>
      </w:r>
      <w:r>
        <w:rPr/>
        <w:t>公司的股权投资。本公</w:t>
      </w:r>
      <w:r>
        <w:rPr>
          <w:w w:val="99"/>
        </w:rPr>
        <w:t> </w:t>
      </w:r>
      <w:r>
        <w:rPr/>
        <w:t>司通过联通</w:t>
      </w:r>
      <w:r>
        <w:rPr>
          <w:spacing w:val="-49"/>
        </w:rPr>
        <w:t> </w:t>
      </w:r>
      <w:r>
        <w:rPr>
          <w:rFonts w:ascii="Arial" w:hAnsi="Arial" w:cs="Arial" w:eastAsia="Arial" w:hint="default"/>
        </w:rPr>
        <w:t>BVI</w:t>
      </w:r>
      <w:r>
        <w:rPr>
          <w:rFonts w:ascii="Arial" w:hAnsi="Arial" w:cs="Arial" w:eastAsia="Arial" w:hint="default"/>
          <w:spacing w:val="-1"/>
        </w:rPr>
        <w:t> </w:t>
      </w:r>
      <w:r>
        <w:rPr>
          <w:spacing w:val="-8"/>
        </w:rPr>
        <w:t>公司及其子公司中国联合网络通信（香港）股份有限公司（“联通红筹公司”）</w:t>
      </w:r>
      <w:r>
        <w:rPr>
          <w:w w:val="99"/>
        </w:rPr>
        <w:t> </w:t>
      </w:r>
      <w:r>
        <w:rPr>
          <w:spacing w:val="2"/>
        </w:rPr>
        <w:t>控股中国联合网络通信有限公司（“联通运营公司”），联通运营公司是一家在中国境内提</w:t>
      </w:r>
    </w:p>
    <w:p>
      <w:pPr>
        <w:pStyle w:val="BodyText"/>
        <w:spacing w:line="284" w:lineRule="exact" w:before="29"/>
        <w:ind w:left="538" w:right="223"/>
        <w:jc w:val="both"/>
      </w:pPr>
      <w:r>
        <w:rPr/>
        <w:t>供综合电信服务的大型电信公司，其经联通集团授权并自</w:t>
      </w:r>
      <w:r>
        <w:rPr>
          <w:spacing w:val="-51"/>
        </w:rPr>
        <w:t> </w:t>
      </w:r>
      <w:r>
        <w:rPr>
          <w:rFonts w:ascii="Arial" w:hAnsi="Arial" w:cs="Arial" w:eastAsia="Arial" w:hint="default"/>
        </w:rPr>
        <w:t>2009</w:t>
      </w:r>
      <w:r>
        <w:rPr>
          <w:rFonts w:ascii="Arial" w:hAnsi="Arial" w:cs="Arial" w:eastAsia="Arial" w:hint="default"/>
          <w:spacing w:val="-3"/>
        </w:rPr>
        <w:t> </w:t>
      </w:r>
      <w:r>
        <w:rPr/>
        <w:t>年</w:t>
      </w:r>
      <w:r>
        <w:rPr>
          <w:spacing w:val="-52"/>
        </w:rPr>
        <w:t> </w:t>
      </w:r>
      <w:r>
        <w:rPr>
          <w:rFonts w:ascii="Arial" w:hAnsi="Arial" w:cs="Arial" w:eastAsia="Arial" w:hint="default"/>
        </w:rPr>
        <w:t>10</w:t>
      </w:r>
      <w:r>
        <w:rPr>
          <w:rFonts w:ascii="Arial" w:hAnsi="Arial" w:cs="Arial" w:eastAsia="Arial" w:hint="default"/>
          <w:spacing w:val="-2"/>
        </w:rPr>
        <w:t> </w:t>
      </w:r>
      <w:r>
        <w:rPr/>
        <w:t>月起正式在中国境内提</w:t>
      </w:r>
      <w:r>
        <w:rPr>
          <w:w w:val="99"/>
        </w:rPr>
        <w:t> </w:t>
      </w:r>
      <w:r>
        <w:rPr/>
        <w:t>供</w:t>
      </w:r>
      <w:r>
        <w:rPr>
          <w:spacing w:val="-60"/>
        </w:rPr>
        <w:t> </w:t>
      </w:r>
      <w:r>
        <w:rPr>
          <w:rFonts w:ascii="Arial" w:hAnsi="Arial" w:cs="Arial" w:eastAsia="Arial" w:hint="default"/>
        </w:rPr>
        <w:t>3G</w:t>
      </w:r>
      <w:r>
        <w:rPr/>
        <w:t>（</w:t>
      </w:r>
      <w:r>
        <w:rPr>
          <w:rFonts w:ascii="Arial" w:hAnsi="Arial" w:cs="Arial" w:eastAsia="Arial" w:hint="default"/>
        </w:rPr>
        <w:t>WCDMA</w:t>
      </w:r>
      <w:r>
        <w:rPr/>
        <w:t>）通信服务。</w:t>
      </w:r>
    </w:p>
    <w:p>
      <w:pPr>
        <w:spacing w:line="240" w:lineRule="auto" w:before="6"/>
        <w:rPr>
          <w:rFonts w:ascii="宋体" w:hAnsi="宋体" w:cs="宋体" w:eastAsia="宋体" w:hint="default"/>
          <w:sz w:val="15"/>
          <w:szCs w:val="15"/>
        </w:rPr>
      </w:pPr>
    </w:p>
    <w:p>
      <w:pPr>
        <w:pStyle w:val="BodyText"/>
        <w:spacing w:line="295" w:lineRule="exact"/>
        <w:ind w:left="538" w:right="0"/>
        <w:jc w:val="both"/>
      </w:pPr>
      <w:r>
        <w:rPr/>
        <w:t>于</w:t>
      </w:r>
      <w:r>
        <w:rPr>
          <w:spacing w:val="-44"/>
        </w:rPr>
        <w:t> </w:t>
      </w:r>
      <w:r>
        <w:rPr>
          <w:rFonts w:ascii="Arial" w:hAnsi="Arial" w:cs="Arial" w:eastAsia="Arial" w:hint="default"/>
        </w:rPr>
        <w:t>2002</w:t>
      </w:r>
      <w:r>
        <w:rPr>
          <w:rFonts w:ascii="Arial" w:hAnsi="Arial" w:cs="Arial" w:eastAsia="Arial" w:hint="default"/>
          <w:spacing w:val="5"/>
        </w:rPr>
        <w:t> </w:t>
      </w:r>
      <w:r>
        <w:rPr/>
        <w:t>年</w:t>
      </w:r>
      <w:r>
        <w:rPr>
          <w:spacing w:val="-45"/>
        </w:rPr>
        <w:t> </w:t>
      </w:r>
      <w:r>
        <w:rPr>
          <w:rFonts w:ascii="Arial" w:hAnsi="Arial" w:cs="Arial" w:eastAsia="Arial" w:hint="default"/>
        </w:rPr>
        <w:t>9</w:t>
      </w:r>
      <w:r>
        <w:rPr>
          <w:rFonts w:ascii="Arial" w:hAnsi="Arial" w:cs="Arial" w:eastAsia="Arial" w:hint="default"/>
          <w:spacing w:val="5"/>
        </w:rPr>
        <w:t> </w:t>
      </w:r>
      <w:r>
        <w:rPr/>
        <w:t>月</w:t>
      </w:r>
      <w:r>
        <w:rPr>
          <w:spacing w:val="-44"/>
        </w:rPr>
        <w:t> </w:t>
      </w:r>
      <w:r>
        <w:rPr>
          <w:rFonts w:ascii="Arial" w:hAnsi="Arial" w:cs="Arial" w:eastAsia="Arial" w:hint="default"/>
        </w:rPr>
        <w:t>20</w:t>
      </w:r>
      <w:r>
        <w:rPr>
          <w:rFonts w:ascii="Arial" w:hAnsi="Arial" w:cs="Arial" w:eastAsia="Arial" w:hint="default"/>
          <w:spacing w:val="5"/>
        </w:rPr>
        <w:t> </w:t>
      </w:r>
      <w:r>
        <w:rPr/>
        <w:t>日，本公司向社会公开发行人民币普通股股票</w:t>
      </w:r>
      <w:r>
        <w:rPr>
          <w:spacing w:val="-44"/>
        </w:rPr>
        <w:t> </w:t>
      </w:r>
      <w:r>
        <w:rPr>
          <w:rFonts w:ascii="Arial" w:hAnsi="Arial" w:cs="Arial" w:eastAsia="Arial" w:hint="default"/>
        </w:rPr>
        <w:t>50</w:t>
      </w:r>
      <w:r>
        <w:rPr>
          <w:rFonts w:ascii="Arial" w:hAnsi="Arial" w:cs="Arial" w:eastAsia="Arial" w:hint="default"/>
          <w:spacing w:val="5"/>
        </w:rPr>
        <w:t> </w:t>
      </w:r>
      <w:r>
        <w:rPr/>
        <w:t>亿股。上述股票公开发</w:t>
      </w:r>
    </w:p>
    <w:p>
      <w:pPr>
        <w:pStyle w:val="BodyText"/>
        <w:spacing w:line="225" w:lineRule="auto" w:before="6"/>
        <w:ind w:left="538" w:right="223"/>
        <w:jc w:val="both"/>
      </w:pPr>
      <w:r>
        <w:rPr/>
        <w:t>行后，本公司的股本增至</w:t>
      </w:r>
      <w:r>
        <w:rPr>
          <w:spacing w:val="-56"/>
        </w:rPr>
        <w:t> </w:t>
      </w:r>
      <w:r>
        <w:rPr>
          <w:rFonts w:ascii="Arial" w:hAnsi="Arial" w:cs="Arial" w:eastAsia="Arial" w:hint="default"/>
        </w:rPr>
        <w:t>19,696,596,395</w:t>
      </w:r>
      <w:r>
        <w:rPr>
          <w:rFonts w:ascii="Arial" w:hAnsi="Arial" w:cs="Arial" w:eastAsia="Arial" w:hint="default"/>
          <w:spacing w:val="-7"/>
        </w:rPr>
        <w:t> </w:t>
      </w:r>
      <w:r>
        <w:rPr/>
        <w:t>元。于</w:t>
      </w:r>
      <w:r>
        <w:rPr>
          <w:spacing w:val="-56"/>
        </w:rPr>
        <w:t> </w:t>
      </w:r>
      <w:r>
        <w:rPr>
          <w:rFonts w:ascii="Arial" w:hAnsi="Arial" w:cs="Arial" w:eastAsia="Arial" w:hint="default"/>
        </w:rPr>
        <w:t>2002</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11</w:t>
      </w:r>
      <w:r>
        <w:rPr>
          <w:rFonts w:ascii="Arial" w:hAnsi="Arial" w:cs="Arial" w:eastAsia="Arial" w:hint="default"/>
          <w:spacing w:val="-7"/>
        </w:rPr>
        <w:t> </w:t>
      </w:r>
      <w:r>
        <w:rPr/>
        <w:t>日，本公司以募集资金扣</w:t>
      </w:r>
      <w:r>
        <w:rPr>
          <w:w w:val="99"/>
        </w:rPr>
        <w:t> </w:t>
      </w:r>
      <w:r>
        <w:rPr/>
        <w:t>除发行费用后的全额向联通集团增购其持有的联通</w:t>
      </w:r>
      <w:r>
        <w:rPr>
          <w:spacing w:val="-55"/>
        </w:rPr>
        <w:t> </w:t>
      </w:r>
      <w:r>
        <w:rPr>
          <w:rFonts w:ascii="Arial" w:hAnsi="Arial" w:cs="Arial" w:eastAsia="Arial" w:hint="default"/>
        </w:rPr>
        <w:t>BVI</w:t>
      </w:r>
      <w:r>
        <w:rPr>
          <w:rFonts w:ascii="Arial" w:hAnsi="Arial" w:cs="Arial" w:eastAsia="Arial" w:hint="default"/>
          <w:spacing w:val="-6"/>
        </w:rPr>
        <w:t> </w:t>
      </w:r>
      <w:r>
        <w:rPr/>
        <w:t>公司的</w:t>
      </w:r>
      <w:r>
        <w:rPr>
          <w:spacing w:val="-55"/>
        </w:rPr>
        <w:t> </w:t>
      </w:r>
      <w:r>
        <w:rPr>
          <w:rFonts w:ascii="Arial" w:hAnsi="Arial" w:cs="Arial" w:eastAsia="Arial" w:hint="default"/>
          <w:spacing w:val="-5"/>
        </w:rPr>
        <w:t>22.84%</w:t>
      </w:r>
      <w:r>
        <w:rPr>
          <w:spacing w:val="-5"/>
        </w:rPr>
        <w:t>的股权。收购交易完成</w:t>
      </w:r>
      <w:r>
        <w:rPr>
          <w:w w:val="99"/>
        </w:rPr>
        <w:t> </w:t>
      </w:r>
      <w:r>
        <w:rPr/>
        <w:t>后，本公司对联通</w:t>
      </w:r>
      <w:r>
        <w:rPr>
          <w:spacing w:val="-58"/>
        </w:rPr>
        <w:t> </w:t>
      </w:r>
      <w:r>
        <w:rPr>
          <w:rFonts w:ascii="Arial" w:hAnsi="Arial" w:cs="Arial" w:eastAsia="Arial" w:hint="default"/>
        </w:rPr>
        <w:t>BVI</w:t>
      </w:r>
      <w:r>
        <w:rPr>
          <w:rFonts w:ascii="Arial" w:hAnsi="Arial" w:cs="Arial" w:eastAsia="Arial" w:hint="default"/>
          <w:spacing w:val="-8"/>
        </w:rPr>
        <w:t> </w:t>
      </w:r>
      <w:r>
        <w:rPr/>
        <w:t>公司持股比例由原来的</w:t>
      </w:r>
      <w:r>
        <w:rPr>
          <w:spacing w:val="-57"/>
        </w:rPr>
        <w:t> </w:t>
      </w:r>
      <w:r>
        <w:rPr>
          <w:rFonts w:ascii="Arial" w:hAnsi="Arial" w:cs="Arial" w:eastAsia="Arial" w:hint="default"/>
        </w:rPr>
        <w:t>51%</w:t>
      </w:r>
      <w:r>
        <w:rPr/>
        <w:t>增至</w:t>
      </w:r>
      <w:r>
        <w:rPr>
          <w:spacing w:val="-58"/>
        </w:rPr>
        <w:t> </w:t>
      </w:r>
      <w:r>
        <w:rPr>
          <w:rFonts w:ascii="Arial" w:hAnsi="Arial" w:cs="Arial" w:eastAsia="Arial" w:hint="default"/>
        </w:rPr>
        <w:t>73.84%</w:t>
      </w:r>
      <w:r>
        <w:rPr/>
        <w:t>。</w:t>
      </w:r>
    </w:p>
    <w:p>
      <w:pPr>
        <w:spacing w:line="240" w:lineRule="auto" w:before="6"/>
        <w:rPr>
          <w:rFonts w:ascii="宋体" w:hAnsi="宋体" w:cs="宋体" w:eastAsia="宋体" w:hint="default"/>
          <w:sz w:val="16"/>
          <w:szCs w:val="16"/>
        </w:rPr>
      </w:pPr>
    </w:p>
    <w:p>
      <w:pPr>
        <w:pStyle w:val="BodyText"/>
        <w:spacing w:line="294" w:lineRule="exact"/>
        <w:ind w:left="538" w:right="0"/>
        <w:jc w:val="both"/>
      </w:pPr>
      <w:r>
        <w:rPr/>
        <w:t>于</w:t>
      </w:r>
      <w:r>
        <w:rPr>
          <w:spacing w:val="-44"/>
        </w:rPr>
        <w:t> </w:t>
      </w:r>
      <w:r>
        <w:rPr>
          <w:rFonts w:ascii="Arial" w:hAnsi="Arial" w:cs="Arial" w:eastAsia="Arial" w:hint="default"/>
        </w:rPr>
        <w:t>2004</w:t>
      </w:r>
      <w:r>
        <w:rPr>
          <w:rFonts w:ascii="Arial" w:hAnsi="Arial" w:cs="Arial" w:eastAsia="Arial" w:hint="default"/>
          <w:spacing w:val="5"/>
        </w:rPr>
        <w:t> </w:t>
      </w:r>
      <w:r>
        <w:rPr/>
        <w:t>年</w:t>
      </w:r>
      <w:r>
        <w:rPr>
          <w:spacing w:val="-45"/>
        </w:rPr>
        <w:t> </w:t>
      </w:r>
      <w:r>
        <w:rPr>
          <w:rFonts w:ascii="Arial" w:hAnsi="Arial" w:cs="Arial" w:eastAsia="Arial" w:hint="default"/>
        </w:rPr>
        <w:t>7</w:t>
      </w:r>
      <w:r>
        <w:rPr>
          <w:rFonts w:ascii="Arial" w:hAnsi="Arial" w:cs="Arial" w:eastAsia="Arial" w:hint="default"/>
          <w:spacing w:val="5"/>
        </w:rPr>
        <w:t> </w:t>
      </w:r>
      <w:r>
        <w:rPr/>
        <w:t>月</w:t>
      </w:r>
      <w:r>
        <w:rPr>
          <w:spacing w:val="-44"/>
        </w:rPr>
        <w:t> </w:t>
      </w:r>
      <w:r>
        <w:rPr>
          <w:rFonts w:ascii="Arial" w:hAnsi="Arial" w:cs="Arial" w:eastAsia="Arial" w:hint="default"/>
        </w:rPr>
        <w:t>26</w:t>
      </w:r>
      <w:r>
        <w:rPr>
          <w:rFonts w:ascii="Arial" w:hAnsi="Arial" w:cs="Arial" w:eastAsia="Arial" w:hint="default"/>
          <w:spacing w:val="5"/>
        </w:rPr>
        <w:t> </w:t>
      </w:r>
      <w:r>
        <w:rPr/>
        <w:t>日，本公司完成了</w:t>
      </w:r>
      <w:r>
        <w:rPr>
          <w:spacing w:val="-44"/>
        </w:rPr>
        <w:t> </w:t>
      </w:r>
      <w:r>
        <w:rPr>
          <w:rFonts w:ascii="Arial" w:hAnsi="Arial" w:cs="Arial" w:eastAsia="Arial" w:hint="default"/>
        </w:rPr>
        <w:t>15</w:t>
      </w:r>
      <w:r>
        <w:rPr>
          <w:rFonts w:ascii="Arial" w:hAnsi="Arial" w:cs="Arial" w:eastAsia="Arial" w:hint="default"/>
          <w:spacing w:val="5"/>
        </w:rPr>
        <w:t> </w:t>
      </w:r>
      <w:r>
        <w:rPr/>
        <w:t>亿股人民币普通股的配售工作，股本增加至人民币</w:t>
      </w:r>
    </w:p>
    <w:p>
      <w:pPr>
        <w:pStyle w:val="BodyText"/>
        <w:spacing w:line="286" w:lineRule="exact" w:before="18"/>
        <w:ind w:left="538" w:right="223"/>
        <w:jc w:val="both"/>
      </w:pPr>
      <w:r>
        <w:rPr>
          <w:rFonts w:ascii="Arial" w:hAnsi="Arial" w:cs="Arial" w:eastAsia="Arial" w:hint="default"/>
        </w:rPr>
        <w:t>21,196,596,395</w:t>
      </w:r>
      <w:r>
        <w:rPr>
          <w:rFonts w:ascii="Arial" w:hAnsi="Arial" w:cs="Arial" w:eastAsia="Arial" w:hint="default"/>
          <w:spacing w:val="39"/>
        </w:rPr>
        <w:t> </w:t>
      </w:r>
      <w:r>
        <w:rPr/>
        <w:t>元。同日，根据董事会及股东大会决定的募集资金用途，本公司将配售募集</w:t>
      </w:r>
      <w:r>
        <w:rPr>
          <w:w w:val="99"/>
        </w:rPr>
        <w:t> </w:t>
      </w:r>
      <w:r>
        <w:rPr/>
        <w:t>资金扣除发行费用后的全额支付予联通集团收购其持有的联通 </w:t>
      </w:r>
      <w:r>
        <w:rPr>
          <w:rFonts w:ascii="Arial" w:hAnsi="Arial" w:cs="Arial" w:eastAsia="Arial" w:hint="default"/>
        </w:rPr>
        <w:t>BVI </w:t>
      </w:r>
      <w:r>
        <w:rPr/>
        <w:t>公司的</w:t>
      </w:r>
      <w:r>
        <w:rPr>
          <w:spacing w:val="-71"/>
        </w:rPr>
        <w:t> </w:t>
      </w:r>
      <w:r>
        <w:rPr>
          <w:rFonts w:ascii="Arial" w:hAnsi="Arial" w:cs="Arial" w:eastAsia="Arial" w:hint="default"/>
        </w:rPr>
        <w:t>8.26%</w:t>
      </w:r>
      <w:r>
        <w:rPr/>
        <w:t>的股权。收</w:t>
      </w:r>
      <w:r>
        <w:rPr>
          <w:w w:val="99"/>
        </w:rPr>
        <w:t> </w:t>
      </w:r>
      <w:r>
        <w:rPr/>
        <w:t>购交易完成后，本公司对联通</w:t>
      </w:r>
      <w:r>
        <w:rPr>
          <w:spacing w:val="-58"/>
        </w:rPr>
        <w:t> </w:t>
      </w:r>
      <w:r>
        <w:rPr>
          <w:rFonts w:ascii="Arial" w:hAnsi="Arial" w:cs="Arial" w:eastAsia="Arial" w:hint="default"/>
        </w:rPr>
        <w:t>BVI</w:t>
      </w:r>
      <w:r>
        <w:rPr>
          <w:rFonts w:ascii="Arial" w:hAnsi="Arial" w:cs="Arial" w:eastAsia="Arial" w:hint="default"/>
          <w:spacing w:val="-8"/>
        </w:rPr>
        <w:t> </w:t>
      </w:r>
      <w:r>
        <w:rPr/>
        <w:t>公司的持股比例上升至</w:t>
      </w:r>
      <w:r>
        <w:rPr>
          <w:spacing w:val="-57"/>
        </w:rPr>
        <w:t> </w:t>
      </w:r>
      <w:r>
        <w:rPr>
          <w:rFonts w:ascii="Arial" w:hAnsi="Arial" w:cs="Arial" w:eastAsia="Arial" w:hint="default"/>
        </w:rPr>
        <w:t>82.10%</w:t>
      </w:r>
      <w:r>
        <w:rPr/>
        <w:t>。</w:t>
      </w:r>
    </w:p>
    <w:p>
      <w:pPr>
        <w:spacing w:line="240" w:lineRule="auto" w:before="4"/>
        <w:rPr>
          <w:rFonts w:ascii="宋体" w:hAnsi="宋体" w:cs="宋体" w:eastAsia="宋体" w:hint="default"/>
          <w:sz w:val="15"/>
          <w:szCs w:val="15"/>
        </w:rPr>
      </w:pPr>
    </w:p>
    <w:p>
      <w:pPr>
        <w:pStyle w:val="BodyText"/>
        <w:spacing w:line="295" w:lineRule="exact"/>
        <w:ind w:left="538" w:right="0"/>
        <w:jc w:val="both"/>
      </w:pPr>
      <w:r>
        <w:rPr/>
        <w:t>于</w:t>
      </w:r>
      <w:r>
        <w:rPr>
          <w:spacing w:val="-56"/>
        </w:rPr>
        <w:t> </w:t>
      </w:r>
      <w:r>
        <w:rPr>
          <w:rFonts w:ascii="Arial" w:hAnsi="Arial" w:cs="Arial" w:eastAsia="Arial" w:hint="default"/>
        </w:rPr>
        <w:t>2006</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18</w:t>
      </w:r>
      <w:r>
        <w:rPr>
          <w:rFonts w:ascii="Arial" w:hAnsi="Arial" w:cs="Arial" w:eastAsia="Arial" w:hint="default"/>
          <w:spacing w:val="-7"/>
        </w:rPr>
        <w:t> </w:t>
      </w:r>
      <w:r>
        <w:rPr>
          <w:spacing w:val="-3"/>
        </w:rPr>
        <w:t>日，本公司完成了同年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5"/>
        </w:rPr>
        <w:t> </w:t>
      </w:r>
      <w:r>
        <w:rPr>
          <w:rFonts w:ascii="Arial" w:hAnsi="Arial" w:cs="Arial" w:eastAsia="Arial" w:hint="default"/>
        </w:rPr>
        <w:t>11</w:t>
      </w:r>
      <w:r>
        <w:rPr>
          <w:rFonts w:ascii="Arial" w:hAnsi="Arial" w:cs="Arial" w:eastAsia="Arial" w:hint="default"/>
          <w:spacing w:val="-7"/>
        </w:rPr>
        <w:t> </w:t>
      </w:r>
      <w:r>
        <w:rPr/>
        <w:t>日经本公司股东大会批准的股权分置方案，</w:t>
      </w:r>
    </w:p>
    <w:p>
      <w:pPr>
        <w:pStyle w:val="BodyText"/>
        <w:spacing w:line="408" w:lineRule="auto"/>
        <w:ind w:left="538" w:right="230"/>
        <w:jc w:val="both"/>
      </w:pPr>
      <w:r>
        <w:rPr/>
        <w:t>因实施股权分置方案而限售的普通股截至</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19</w:t>
      </w:r>
      <w:r>
        <w:rPr>
          <w:rFonts w:ascii="Arial" w:hAnsi="Arial" w:cs="Arial" w:eastAsia="Arial" w:hint="default"/>
          <w:spacing w:val="-7"/>
        </w:rPr>
        <w:t> </w:t>
      </w:r>
      <w:r>
        <w:rPr/>
        <w:t>日已全部解除限售可于市场流通。</w:t>
      </w:r>
      <w:r>
        <w:rPr>
          <w:w w:val="99"/>
        </w:rPr>
        <w:t> </w:t>
      </w:r>
      <w:r>
        <w:rPr/>
        <w:t>于下文中本公司及本公司之子公司（详情请参见附注四）统称“本集团”。</w:t>
      </w:r>
    </w:p>
    <w:p>
      <w:pPr>
        <w:pStyle w:val="BodyText"/>
        <w:spacing w:line="240" w:lineRule="auto" w:before="97"/>
        <w:ind w:left="118" w:right="91"/>
        <w:jc w:val="left"/>
      </w:pPr>
      <w:r>
        <w:rPr>
          <w:rFonts w:ascii="Arial" w:hAnsi="Arial" w:cs="Arial" w:eastAsia="Arial" w:hint="default"/>
        </w:rPr>
        <w:t>2</w:t>
      </w:r>
      <w:r>
        <w:rPr/>
        <w:t>、宽带在线合并联通新时讯</w:t>
      </w:r>
    </w:p>
    <w:p>
      <w:pPr>
        <w:spacing w:line="240" w:lineRule="auto" w:before="7"/>
        <w:rPr>
          <w:rFonts w:ascii="宋体" w:hAnsi="宋体" w:cs="宋体" w:eastAsia="宋体" w:hint="default"/>
          <w:sz w:val="16"/>
          <w:szCs w:val="16"/>
        </w:rPr>
      </w:pPr>
    </w:p>
    <w:p>
      <w:pPr>
        <w:pStyle w:val="BodyText"/>
        <w:spacing w:line="235" w:lineRule="auto"/>
        <w:ind w:left="478" w:right="157"/>
        <w:jc w:val="both"/>
      </w:pPr>
      <w:r>
        <w:rPr/>
        <w:t>于</w:t>
      </w:r>
      <w:r>
        <w:rPr>
          <w:spacing w:val="-45"/>
        </w:rPr>
        <w:t> </w:t>
      </w:r>
      <w:r>
        <w:rPr>
          <w:rFonts w:ascii="Arial" w:hAnsi="Arial" w:cs="Arial" w:eastAsia="Arial" w:hint="default"/>
        </w:rPr>
        <w:t>2011</w:t>
      </w:r>
      <w:r>
        <w:rPr>
          <w:rFonts w:ascii="Arial" w:hAnsi="Arial" w:cs="Arial" w:eastAsia="Arial" w:hint="default"/>
          <w:spacing w:val="5"/>
        </w:rPr>
        <w:t> </w:t>
      </w:r>
      <w:r>
        <w:rPr/>
        <w:t>年</w:t>
      </w:r>
      <w:r>
        <w:rPr>
          <w:spacing w:val="-44"/>
        </w:rPr>
        <w:t> </w:t>
      </w:r>
      <w:r>
        <w:rPr>
          <w:rFonts w:ascii="Arial" w:hAnsi="Arial" w:cs="Arial" w:eastAsia="Arial" w:hint="default"/>
        </w:rPr>
        <w:t>12</w:t>
      </w:r>
      <w:r>
        <w:rPr>
          <w:rFonts w:ascii="Arial" w:hAnsi="Arial" w:cs="Arial" w:eastAsia="Arial" w:hint="default"/>
          <w:spacing w:val="4"/>
        </w:rPr>
        <w:t> </w:t>
      </w:r>
      <w:r>
        <w:rPr/>
        <w:t>月</w:t>
      </w:r>
      <w:r>
        <w:rPr>
          <w:spacing w:val="-45"/>
        </w:rPr>
        <w:t> </w:t>
      </w:r>
      <w:r>
        <w:rPr>
          <w:rFonts w:ascii="Arial" w:hAnsi="Arial" w:cs="Arial" w:eastAsia="Arial" w:hint="default"/>
        </w:rPr>
        <w:t>1</w:t>
      </w:r>
      <w:r>
        <w:rPr>
          <w:rFonts w:ascii="Arial" w:hAnsi="Arial" w:cs="Arial" w:eastAsia="Arial" w:hint="default"/>
          <w:spacing w:val="5"/>
        </w:rPr>
        <w:t> </w:t>
      </w:r>
      <w:r>
        <w:rPr/>
        <w:t>日，联通运营公司的全资子公司联通宽带在线有限公司（“宽带在线”）</w:t>
      </w:r>
      <w:r>
        <w:rPr>
          <w:w w:val="99"/>
        </w:rPr>
        <w:t> </w:t>
      </w:r>
      <w:r>
        <w:rPr>
          <w:spacing w:val="-2"/>
        </w:rPr>
        <w:t>与联通集团及联通集团的全资子公司联通新时讯通信有限公司（“联通新时讯”）签订了《关</w:t>
      </w:r>
      <w:r>
        <w:rPr>
          <w:spacing w:val="-96"/>
        </w:rPr>
        <w:t> </w:t>
      </w:r>
      <w:r>
        <w:rPr>
          <w:spacing w:val="-96"/>
        </w:rPr>
      </w:r>
      <w:r>
        <w:rPr/>
        <w:t>于联通宽带在线有限公司吸收合并联通新时讯通信有限公司》（“收购联通新时讯协议”）。</w:t>
      </w:r>
      <w:r>
        <w:rPr>
          <w:w w:val="99"/>
        </w:rPr>
        <w:t> </w:t>
      </w:r>
      <w:r>
        <w:rPr>
          <w:spacing w:val="-2"/>
        </w:rPr>
        <w:t>根据此协议，宽带在线向联通集团收购其全资持有的联通新时讯的全部资产、负债、权益、业</w:t>
      </w:r>
      <w:r>
        <w:rPr>
          <w:spacing w:val="-96"/>
        </w:rPr>
        <w:t> </w:t>
      </w:r>
      <w:r>
        <w:rPr>
          <w:spacing w:val="-96"/>
        </w:rPr>
      </w:r>
      <w:r>
        <w:rPr/>
        <w:t>务和人员等，收购对价约人民币</w:t>
      </w:r>
      <w:r>
        <w:rPr>
          <w:spacing w:val="-57"/>
        </w:rPr>
        <w:t> </w:t>
      </w:r>
      <w:r>
        <w:rPr>
          <w:rFonts w:ascii="Arial" w:hAnsi="Arial" w:cs="Arial" w:eastAsia="Arial" w:hint="default"/>
        </w:rPr>
        <w:t>1.58</w:t>
      </w:r>
      <w:r>
        <w:rPr>
          <w:rFonts w:ascii="Arial" w:hAnsi="Arial" w:cs="Arial" w:eastAsia="Arial" w:hint="default"/>
          <w:spacing w:val="-8"/>
        </w:rPr>
        <w:t> </w:t>
      </w:r>
      <w:r>
        <w:rPr/>
        <w:t>亿元，该交易于同日完成。</w:t>
      </w:r>
    </w:p>
    <w:p>
      <w:pPr>
        <w:spacing w:line="240" w:lineRule="auto" w:before="4"/>
        <w:rPr>
          <w:rFonts w:ascii="宋体" w:hAnsi="宋体" w:cs="宋体" w:eastAsia="宋体" w:hint="default"/>
          <w:sz w:val="16"/>
          <w:szCs w:val="16"/>
        </w:rPr>
      </w:pPr>
    </w:p>
    <w:p>
      <w:pPr>
        <w:pStyle w:val="BodyText"/>
        <w:spacing w:line="240" w:lineRule="auto"/>
        <w:ind w:left="118" w:right="91"/>
        <w:jc w:val="left"/>
      </w:pPr>
      <w:r>
        <w:rPr>
          <w:rFonts w:ascii="Arial" w:hAnsi="Arial" w:cs="Arial" w:eastAsia="Arial" w:hint="default"/>
        </w:rPr>
        <w:t>3</w:t>
      </w:r>
      <w:r>
        <w:rPr/>
        <w:t>、本财务报表由本公司董事会于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22</w:t>
      </w:r>
      <w:r>
        <w:rPr>
          <w:rFonts w:ascii="Arial" w:hAnsi="Arial" w:cs="Arial" w:eastAsia="Arial" w:hint="default"/>
          <w:spacing w:val="-7"/>
        </w:rPr>
        <w:t> </w:t>
      </w:r>
      <w:r>
        <w:rPr/>
        <w:t>日批准报出。</w:t>
      </w:r>
    </w:p>
    <w:p>
      <w:pPr>
        <w:spacing w:after="0" w:line="240" w:lineRule="auto"/>
        <w:jc w:val="left"/>
        <w:sectPr>
          <w:headerReference w:type="default" r:id="rId39"/>
          <w:footerReference w:type="default" r:id="rId40"/>
          <w:pgSz w:w="11900" w:h="16840"/>
          <w:pgMar w:header="967" w:footer="600" w:top="2280" w:bottom="780" w:left="1440" w:right="800"/>
          <w:pgNumType w:start="63"/>
        </w:sectPr>
      </w:pPr>
    </w:p>
    <w:p>
      <w:pPr>
        <w:spacing w:line="240" w:lineRule="auto" w:before="13"/>
        <w:rPr>
          <w:rFonts w:ascii="宋体" w:hAnsi="宋体" w:cs="宋体" w:eastAsia="宋体" w:hint="default"/>
          <w:sz w:val="21"/>
          <w:szCs w:val="21"/>
        </w:rPr>
      </w:pPr>
    </w:p>
    <w:p>
      <w:pPr>
        <w:pStyle w:val="BodyText"/>
        <w:spacing w:line="240" w:lineRule="auto" w:before="31"/>
        <w:ind w:left="118" w:right="91"/>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87"/>
        </w:rPr>
        <w:t> </w:t>
      </w:r>
      <w:r>
        <w:rPr>
          <w:rFonts w:ascii="黑体" w:hAnsi="黑体" w:cs="黑体" w:eastAsia="黑体" w:hint="default"/>
        </w:rPr>
        <w:t>重要会计政策和会计估计</w:t>
      </w:r>
    </w:p>
    <w:p>
      <w:pPr>
        <w:spacing w:line="240" w:lineRule="auto" w:before="2"/>
        <w:rPr>
          <w:rFonts w:ascii="黑体" w:hAnsi="黑体" w:cs="黑体" w:eastAsia="黑体" w:hint="default"/>
          <w:sz w:val="19"/>
          <w:szCs w:val="19"/>
        </w:rPr>
      </w:pPr>
    </w:p>
    <w:p>
      <w:pPr>
        <w:pStyle w:val="BodyText"/>
        <w:spacing w:line="240" w:lineRule="auto"/>
        <w:ind w:left="118" w:right="91"/>
        <w:jc w:val="left"/>
      </w:pPr>
      <w:r>
        <w:rPr>
          <w:rFonts w:ascii="Arial" w:hAnsi="Arial" w:cs="Arial" w:eastAsia="Arial" w:hint="default"/>
        </w:rPr>
        <w:t>1</w:t>
      </w:r>
      <w:r>
        <w:rPr/>
        <w:t>、</w:t>
      </w:r>
      <w:r>
        <w:rPr>
          <w:spacing w:val="-38"/>
        </w:rPr>
        <w:t> </w:t>
      </w:r>
      <w:r>
        <w:rPr/>
        <w:t>财务报表的编制基础</w:t>
      </w:r>
    </w:p>
    <w:p>
      <w:pPr>
        <w:spacing w:line="240" w:lineRule="auto" w:before="0"/>
        <w:rPr>
          <w:rFonts w:ascii="宋体" w:hAnsi="宋体" w:cs="宋体" w:eastAsia="宋体" w:hint="default"/>
          <w:sz w:val="20"/>
          <w:szCs w:val="20"/>
        </w:rPr>
      </w:pPr>
    </w:p>
    <w:p>
      <w:pPr>
        <w:pStyle w:val="BodyText"/>
        <w:spacing w:line="286" w:lineRule="exact"/>
        <w:ind w:left="538" w:right="222"/>
        <w:jc w:val="both"/>
      </w:pPr>
      <w:r>
        <w:rPr>
          <w:spacing w:val="2"/>
        </w:rPr>
        <w:t>本财务报表按照财政部于</w:t>
      </w:r>
      <w:r>
        <w:rPr>
          <w:rFonts w:ascii="Arial" w:hAnsi="Arial" w:cs="Arial" w:eastAsia="Arial" w:hint="default"/>
          <w:spacing w:val="2"/>
        </w:rPr>
        <w:t>2006</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15</w:t>
      </w:r>
      <w:r>
        <w:rPr>
          <w:spacing w:val="2"/>
        </w:rPr>
        <w:t>日颁布的《企业会计准则—基本准则》和</w:t>
      </w:r>
      <w:r>
        <w:rPr>
          <w:rFonts w:ascii="Arial" w:hAnsi="Arial" w:cs="Arial" w:eastAsia="Arial" w:hint="default"/>
          <w:spacing w:val="2"/>
        </w:rPr>
        <w:t>38</w:t>
      </w:r>
      <w:r>
        <w:rPr>
          <w:spacing w:val="2"/>
        </w:rPr>
        <w:t>项具体会</w:t>
      </w:r>
      <w:r>
        <w:rPr>
          <w:spacing w:val="2"/>
          <w:w w:val="99"/>
        </w:rPr>
        <w:t> </w:t>
      </w:r>
      <w:r>
        <w:rPr>
          <w:spacing w:val="2"/>
        </w:rPr>
        <w:t>计准则、其后颁布的企业会计准则应用指南、企业会计准则解释及其他相关规定（以下合称</w:t>
      </w:r>
      <w:r>
        <w:rPr>
          <w:w w:val="99"/>
        </w:rPr>
        <w:t> </w:t>
      </w:r>
      <w:r>
        <w:rPr>
          <w:spacing w:val="2"/>
        </w:rPr>
        <w:t>“企业会计准则”）以及中国证券监督管理委员会《公开发行证券的公司信息披露编报规则</w:t>
      </w:r>
      <w:r>
        <w:rPr>
          <w:w w:val="99"/>
        </w:rPr>
        <w:t> </w:t>
      </w:r>
      <w:r>
        <w:rPr/>
        <w:t>第</w:t>
      </w:r>
      <w:r>
        <w:rPr>
          <w:rFonts w:ascii="Arial" w:hAnsi="Arial" w:cs="Arial" w:eastAsia="Arial" w:hint="default"/>
        </w:rPr>
        <w:t>15</w:t>
      </w:r>
      <w:r>
        <w:rPr/>
        <w:t>号—财务报告的一般规定》（</w:t>
      </w:r>
      <w:r>
        <w:rPr>
          <w:rFonts w:ascii="Arial" w:hAnsi="Arial" w:cs="Arial" w:eastAsia="Arial" w:hint="default"/>
        </w:rPr>
        <w:t>2010</w:t>
      </w:r>
      <w:r>
        <w:rPr/>
        <w:t>年修订）的披露规定编制。</w:t>
      </w:r>
    </w:p>
    <w:p>
      <w:pPr>
        <w:pStyle w:val="BodyText"/>
        <w:spacing w:line="240" w:lineRule="auto" w:before="194"/>
        <w:ind w:left="146" w:right="91"/>
        <w:jc w:val="left"/>
      </w:pPr>
      <w:r>
        <w:rPr>
          <w:rFonts w:ascii="Arial" w:hAnsi="Arial" w:cs="Arial" w:eastAsia="Arial" w:hint="default"/>
        </w:rPr>
        <w:t>(a)</w:t>
      </w:r>
      <w:r>
        <w:rPr>
          <w:rFonts w:ascii="Arial" w:hAnsi="Arial" w:cs="Arial" w:eastAsia="Arial" w:hint="default"/>
          <w:spacing w:val="58"/>
        </w:rPr>
        <w:t> </w:t>
      </w:r>
      <w:r>
        <w:rPr/>
        <w:t>企业合并</w:t>
      </w:r>
    </w:p>
    <w:p>
      <w:pPr>
        <w:spacing w:line="240" w:lineRule="auto" w:before="4"/>
        <w:rPr>
          <w:rFonts w:ascii="宋体" w:hAnsi="宋体" w:cs="宋体" w:eastAsia="宋体" w:hint="default"/>
          <w:sz w:val="17"/>
          <w:szCs w:val="17"/>
        </w:rPr>
      </w:pPr>
    </w:p>
    <w:p>
      <w:pPr>
        <w:pStyle w:val="BodyText"/>
        <w:spacing w:line="232" w:lineRule="auto"/>
        <w:ind w:left="538" w:right="222"/>
        <w:jc w:val="both"/>
      </w:pPr>
      <w:r>
        <w:rPr/>
        <w:t>如附注一</w:t>
      </w:r>
      <w:r>
        <w:rPr>
          <w:rFonts w:ascii="Arial" w:hAnsi="Arial" w:cs="Arial" w:eastAsia="Arial" w:hint="default"/>
        </w:rPr>
        <w:t>(2)</w:t>
      </w:r>
      <w:r>
        <w:rPr/>
        <w:t>所述，于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1</w:t>
      </w:r>
      <w:r>
        <w:rPr/>
        <w:t>日，宽带在线完成了对联通新时讯的合并。宽带在线和联</w:t>
      </w:r>
      <w:r>
        <w:rPr>
          <w:spacing w:val="-58"/>
        </w:rPr>
        <w:t> </w:t>
      </w:r>
      <w:r>
        <w:rPr>
          <w:spacing w:val="-58"/>
        </w:rPr>
      </w:r>
      <w:r>
        <w:rPr>
          <w:spacing w:val="2"/>
        </w:rPr>
        <w:t>通新时讯在合并前的最终控制方均为联通集团，因此，本集团认为宽带在线对联通新时讯的</w:t>
      </w:r>
      <w:r>
        <w:rPr>
          <w:w w:val="99"/>
        </w:rPr>
        <w:t> </w:t>
      </w:r>
      <w:r>
        <w:rPr/>
        <w:t>合并属于同一控制下的企业合并，并依照《企业会计准则第</w:t>
      </w:r>
      <w:r>
        <w:rPr>
          <w:rFonts w:ascii="Arial" w:hAnsi="Arial" w:cs="Arial" w:eastAsia="Arial" w:hint="default"/>
        </w:rPr>
        <w:t>20</w:t>
      </w:r>
      <w:r>
        <w:rPr/>
        <w:t>号－企业合并》中关于同一控</w:t>
      </w:r>
      <w:r>
        <w:rPr>
          <w:spacing w:val="-54"/>
        </w:rPr>
        <w:t> </w:t>
      </w:r>
      <w:r>
        <w:rPr>
          <w:spacing w:val="-54"/>
        </w:rPr>
      </w:r>
      <w:r>
        <w:rPr>
          <w:spacing w:val="2"/>
        </w:rPr>
        <w:t>制下企业合并的规定对宽带在线合并联通新时讯进行会计处理和披露。所以，联通新时讯的</w:t>
      </w:r>
      <w:r>
        <w:rPr>
          <w:w w:val="99"/>
        </w:rPr>
        <w:t> </w:t>
      </w:r>
      <w:r>
        <w:rPr>
          <w:spacing w:val="2"/>
        </w:rPr>
        <w:t>资产及负债将按其合并日财务账面价值并入本集团的合并财务报表当中，同时视同合并后的</w:t>
      </w:r>
      <w:r>
        <w:rPr>
          <w:w w:val="99"/>
        </w:rPr>
        <w:t> </w:t>
      </w:r>
      <w:r>
        <w:rPr/>
        <w:t>报告主体在以前期间一直存在。因此，合并财务报表中的</w:t>
      </w:r>
      <w:r>
        <w:rPr>
          <w:rFonts w:ascii="Arial" w:hAnsi="Arial" w:cs="Arial" w:eastAsia="Arial" w:hint="default"/>
        </w:rPr>
        <w:t>2010</w:t>
      </w:r>
      <w:r>
        <w:rPr/>
        <w:t>年度比较数据亦被重新列报以</w:t>
      </w:r>
      <w:r>
        <w:rPr>
          <w:spacing w:val="-75"/>
        </w:rPr>
        <w:t> </w:t>
      </w:r>
      <w:r>
        <w:rPr>
          <w:spacing w:val="-75"/>
        </w:rPr>
      </w:r>
      <w:r>
        <w:rPr/>
        <w:t>包括被合并方的财务状况、经营成果和现金流量。</w:t>
      </w:r>
    </w:p>
    <w:p>
      <w:pPr>
        <w:spacing w:line="240" w:lineRule="auto" w:before="12"/>
        <w:rPr>
          <w:rFonts w:ascii="宋体" w:hAnsi="宋体" w:cs="宋体" w:eastAsia="宋体" w:hint="default"/>
          <w:sz w:val="16"/>
          <w:szCs w:val="16"/>
        </w:rPr>
      </w:pPr>
    </w:p>
    <w:p>
      <w:pPr>
        <w:pStyle w:val="BodyText"/>
        <w:spacing w:line="240" w:lineRule="auto"/>
        <w:ind w:left="146" w:right="91"/>
        <w:jc w:val="left"/>
      </w:pPr>
      <w:r>
        <w:rPr>
          <w:rFonts w:ascii="Arial" w:hAnsi="Arial" w:cs="Arial" w:eastAsia="Arial" w:hint="default"/>
        </w:rPr>
        <w:t>(b)</w:t>
      </w:r>
      <w:r>
        <w:rPr>
          <w:rFonts w:ascii="Arial" w:hAnsi="Arial" w:cs="Arial" w:eastAsia="Arial" w:hint="default"/>
          <w:spacing w:val="58"/>
        </w:rPr>
        <w:t> </w:t>
      </w:r>
      <w:r>
        <w:rPr/>
        <w:t>合并报表</w:t>
      </w:r>
    </w:p>
    <w:p>
      <w:pPr>
        <w:spacing w:line="240" w:lineRule="auto" w:before="11"/>
        <w:rPr>
          <w:rFonts w:ascii="宋体" w:hAnsi="宋体" w:cs="宋体" w:eastAsia="宋体" w:hint="default"/>
          <w:sz w:val="17"/>
          <w:szCs w:val="17"/>
        </w:rPr>
      </w:pPr>
    </w:p>
    <w:p>
      <w:pPr>
        <w:pStyle w:val="BodyText"/>
        <w:spacing w:line="286" w:lineRule="exact"/>
        <w:ind w:left="538" w:right="110" w:hanging="1"/>
        <w:jc w:val="left"/>
      </w:pPr>
      <w:r>
        <w:rPr/>
        <w:t>于</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15</w:t>
      </w:r>
      <w:r>
        <w:rPr>
          <w:rFonts w:ascii="Arial" w:hAnsi="Arial" w:cs="Arial" w:eastAsia="Arial" w:hint="default"/>
          <w:spacing w:val="-7"/>
        </w:rPr>
        <w:t> </w:t>
      </w:r>
      <w:r>
        <w:rPr>
          <w:spacing w:val="-7"/>
        </w:rPr>
        <w:t>日，联通红筹公司与中国网通集团（香港）有限公司（“网通红筹公司”）</w:t>
      </w:r>
      <w:r>
        <w:rPr>
          <w:w w:val="99"/>
        </w:rPr>
        <w:t> </w:t>
      </w:r>
      <w:r>
        <w:rPr/>
        <w:t>以协议安排通过换股方式完成了两家公司的合并。交易完成后，本公司所属子公司联通 </w:t>
      </w:r>
      <w:r>
        <w:rPr>
          <w:rFonts w:ascii="Arial" w:hAnsi="Arial" w:cs="Arial" w:eastAsia="Arial" w:hint="default"/>
        </w:rPr>
        <w:t>BVI</w:t>
      </w:r>
      <w:r>
        <w:rPr>
          <w:rFonts w:ascii="Arial" w:hAnsi="Arial" w:cs="Arial" w:eastAsia="Arial" w:hint="default"/>
          <w:spacing w:val="-8"/>
        </w:rPr>
        <w:t> </w:t>
      </w:r>
      <w:r>
        <w:rPr/>
        <w:t>公司对联通红筹公司的持股比例由合并前的</w:t>
      </w:r>
      <w:r>
        <w:rPr>
          <w:spacing w:val="-44"/>
        </w:rPr>
        <w:t> </w:t>
      </w:r>
      <w:r>
        <w:rPr>
          <w:rFonts w:ascii="Arial" w:hAnsi="Arial" w:cs="Arial" w:eastAsia="Arial" w:hint="default"/>
        </w:rPr>
        <w:t>71.17%</w:t>
      </w:r>
      <w:r>
        <w:rPr/>
        <w:t>（于</w:t>
      </w:r>
      <w:r>
        <w:rPr>
          <w:spacing w:val="-44"/>
        </w:rPr>
        <w:t> </w:t>
      </w:r>
      <w:r>
        <w:rPr>
          <w:rFonts w:ascii="Arial" w:hAnsi="Arial" w:cs="Arial" w:eastAsia="Arial" w:hint="default"/>
        </w:rPr>
        <w:t>2008</w:t>
      </w:r>
      <w:r>
        <w:rPr>
          <w:rFonts w:ascii="Arial" w:hAnsi="Arial" w:cs="Arial" w:eastAsia="Arial" w:hint="default"/>
          <w:spacing w:val="5"/>
        </w:rPr>
        <w:t> </w:t>
      </w:r>
      <w:r>
        <w:rPr/>
        <w:t>年</w:t>
      </w:r>
      <w:r>
        <w:rPr>
          <w:spacing w:val="-44"/>
        </w:rPr>
        <w:t> </w:t>
      </w:r>
      <w:r>
        <w:rPr>
          <w:rFonts w:ascii="Arial" w:hAnsi="Arial" w:cs="Arial" w:eastAsia="Arial" w:hint="default"/>
        </w:rPr>
        <w:t>9</w:t>
      </w:r>
      <w:r>
        <w:rPr>
          <w:rFonts w:ascii="Arial" w:hAnsi="Arial" w:cs="Arial" w:eastAsia="Arial" w:hint="default"/>
          <w:spacing w:val="5"/>
        </w:rPr>
        <w:t> </w:t>
      </w:r>
      <w:r>
        <w:rPr/>
        <w:t>月</w:t>
      </w:r>
      <w:r>
        <w:rPr>
          <w:spacing w:val="-43"/>
        </w:rPr>
        <w:t> </w:t>
      </w:r>
      <w:r>
        <w:rPr>
          <w:rFonts w:ascii="Arial" w:hAnsi="Arial" w:cs="Arial" w:eastAsia="Arial" w:hint="default"/>
        </w:rPr>
        <w:t>30</w:t>
      </w:r>
      <w:r>
        <w:rPr>
          <w:rFonts w:ascii="Arial" w:hAnsi="Arial" w:cs="Arial" w:eastAsia="Arial" w:hint="default"/>
          <w:spacing w:val="5"/>
        </w:rPr>
        <w:t> </w:t>
      </w:r>
      <w:r>
        <w:rPr/>
        <w:t>日）下降为合并后</w:t>
      </w:r>
      <w:r>
        <w:rPr>
          <w:w w:val="99"/>
        </w:rPr>
        <w:t> </w:t>
      </w:r>
      <w:r>
        <w:rPr/>
        <w:t>的</w:t>
      </w:r>
      <w:r>
        <w:rPr>
          <w:spacing w:val="-58"/>
        </w:rPr>
        <w:t> </w:t>
      </w:r>
      <w:r>
        <w:rPr>
          <w:rFonts w:ascii="Arial" w:hAnsi="Arial" w:cs="Arial" w:eastAsia="Arial" w:hint="default"/>
        </w:rPr>
        <w:t>40.92%</w:t>
      </w:r>
      <w:r>
        <w:rPr/>
        <w:t>。</w:t>
      </w:r>
    </w:p>
    <w:p>
      <w:pPr>
        <w:spacing w:line="240" w:lineRule="auto" w:before="3"/>
        <w:rPr>
          <w:rFonts w:ascii="宋体" w:hAnsi="宋体" w:cs="宋体" w:eastAsia="宋体" w:hint="default"/>
          <w:sz w:val="18"/>
          <w:szCs w:val="18"/>
        </w:rPr>
      </w:pPr>
    </w:p>
    <w:p>
      <w:pPr>
        <w:pStyle w:val="BodyText"/>
        <w:spacing w:line="225" w:lineRule="auto"/>
        <w:ind w:left="538" w:right="91"/>
        <w:jc w:val="left"/>
      </w:pPr>
      <w:r>
        <w:rPr>
          <w:spacing w:val="-12"/>
          <w:w w:val="99"/>
        </w:rPr>
        <w:t>为确保联通</w:t>
      </w:r>
      <w:r>
        <w:rPr>
          <w:rFonts w:ascii="Arial" w:hAnsi="Arial" w:cs="Arial" w:eastAsia="Arial" w:hint="default"/>
          <w:spacing w:val="-12"/>
          <w:w w:val="99"/>
        </w:rPr>
        <w:t>BVI</w:t>
      </w:r>
      <w:r>
        <w:rPr>
          <w:spacing w:val="-12"/>
          <w:w w:val="99"/>
        </w:rPr>
        <w:t>公司对联通红筹公司的控制，联通</w:t>
      </w:r>
      <w:r>
        <w:rPr>
          <w:rFonts w:ascii="Arial" w:hAnsi="Arial" w:cs="Arial" w:eastAsia="Arial" w:hint="default"/>
          <w:spacing w:val="-12"/>
          <w:w w:val="99"/>
        </w:rPr>
        <w:t>BVI</w:t>
      </w:r>
      <w:r>
        <w:rPr>
          <w:spacing w:val="-12"/>
          <w:w w:val="99"/>
        </w:rPr>
        <w:t>公司和中国网通集团（</w:t>
      </w:r>
      <w:r>
        <w:rPr>
          <w:rFonts w:ascii="Arial" w:hAnsi="Arial" w:cs="Arial" w:eastAsia="Arial" w:hint="default"/>
          <w:spacing w:val="-12"/>
          <w:w w:val="99"/>
        </w:rPr>
        <w:t>BVI</w:t>
      </w:r>
      <w:r>
        <w:rPr>
          <w:spacing w:val="-12"/>
          <w:w w:val="99"/>
        </w:rPr>
        <w:t>）有限公司（“网</w:t>
      </w:r>
      <w:r>
        <w:rPr>
          <w:spacing w:val="-67"/>
          <w:w w:val="99"/>
        </w:rPr>
        <w:t> </w:t>
      </w:r>
      <w:r>
        <w:rPr>
          <w:spacing w:val="-67"/>
          <w:w w:val="99"/>
        </w:rPr>
      </w:r>
      <w:r>
        <w:rPr>
          <w:w w:val="95"/>
        </w:rPr>
        <w:t>通集团</w:t>
      </w:r>
      <w:r>
        <w:rPr>
          <w:rFonts w:ascii="Arial" w:hAnsi="Arial" w:cs="Arial" w:eastAsia="Arial" w:hint="default"/>
          <w:w w:val="95"/>
        </w:rPr>
        <w:t>BVI</w:t>
      </w:r>
      <w:r>
        <w:rPr>
          <w:w w:val="95"/>
        </w:rPr>
        <w:t>公司”），联通红筹公司另一股东，于合并后持有联通红筹公司约</w:t>
      </w:r>
      <w:r>
        <w:rPr>
          <w:rFonts w:ascii="Arial" w:hAnsi="Arial" w:cs="Arial" w:eastAsia="Arial" w:hint="default"/>
          <w:w w:val="95"/>
        </w:rPr>
        <w:t>29.49%</w:t>
      </w:r>
      <w:r>
        <w:rPr>
          <w:w w:val="95"/>
        </w:rPr>
        <w:t>的股份）</w:t>
      </w:r>
      <w:r>
        <w:rPr>
          <w:spacing w:val="9"/>
          <w:w w:val="95"/>
        </w:rPr>
        <w:t> </w:t>
      </w:r>
      <w:r>
        <w:rPr>
          <w:spacing w:val="9"/>
          <w:w w:val="95"/>
        </w:rPr>
      </w:r>
      <w:r>
        <w:rPr>
          <w:spacing w:val="2"/>
        </w:rPr>
        <w:t>于</w:t>
      </w:r>
      <w:r>
        <w:rPr>
          <w:rFonts w:ascii="Arial" w:hAnsi="Arial" w:cs="Arial" w:eastAsia="Arial" w:hint="default"/>
          <w:spacing w:val="2"/>
        </w:rPr>
        <w:t>2008</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22</w:t>
      </w:r>
      <w:r>
        <w:rPr>
          <w:spacing w:val="2"/>
        </w:rPr>
        <w:t>日签订了《一致行动方协议》，同时网通集团</w:t>
      </w:r>
      <w:r>
        <w:rPr>
          <w:rFonts w:ascii="Arial" w:hAnsi="Arial" w:cs="Arial" w:eastAsia="Arial" w:hint="default"/>
          <w:spacing w:val="2"/>
        </w:rPr>
        <w:t>BVI</w:t>
      </w:r>
      <w:r>
        <w:rPr>
          <w:spacing w:val="2"/>
        </w:rPr>
        <w:t>公司还于</w:t>
      </w:r>
      <w:r>
        <w:rPr>
          <w:rFonts w:ascii="Arial" w:hAnsi="Arial" w:cs="Arial" w:eastAsia="Arial" w:hint="default"/>
          <w:spacing w:val="2"/>
        </w:rPr>
        <w:t>2008</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15</w:t>
      </w:r>
      <w:r>
        <w:rPr>
          <w:spacing w:val="2"/>
        </w:rPr>
        <w:t>日</w:t>
      </w:r>
      <w:r>
        <w:rPr>
          <w:w w:val="99"/>
        </w:rPr>
        <w:t> </w:t>
      </w:r>
      <w:r>
        <w:rPr/>
        <w:t>向联通</w:t>
      </w:r>
      <w:r>
        <w:rPr>
          <w:rFonts w:ascii="Arial" w:hAnsi="Arial" w:cs="Arial" w:eastAsia="Arial" w:hint="default"/>
        </w:rPr>
        <w:t>BVI</w:t>
      </w:r>
      <w:r>
        <w:rPr/>
        <w:t>公司发出函件确认其持有的对联通红筹公司的表决权将由联通</w:t>
      </w:r>
      <w:r>
        <w:rPr>
          <w:rFonts w:ascii="Arial" w:hAnsi="Arial" w:cs="Arial" w:eastAsia="Arial" w:hint="default"/>
        </w:rPr>
        <w:t>BVI</w:t>
      </w:r>
      <w:r>
        <w:rPr/>
        <w:t>公司控制，并且</w:t>
      </w:r>
      <w:r>
        <w:rPr>
          <w:spacing w:val="-76"/>
        </w:rPr>
        <w:t> </w:t>
      </w:r>
      <w:r>
        <w:rPr>
          <w:spacing w:val="-76"/>
        </w:rPr>
      </w:r>
      <w:r>
        <w:rPr/>
        <w:t>未经联通</w:t>
      </w:r>
      <w:r>
        <w:rPr>
          <w:rFonts w:ascii="Arial" w:hAnsi="Arial" w:cs="Arial" w:eastAsia="Arial" w:hint="default"/>
        </w:rPr>
        <w:t>BVI</w:t>
      </w:r>
      <w:r>
        <w:rPr/>
        <w:t>公司的事先批准，网通集团</w:t>
      </w:r>
      <w:r>
        <w:rPr>
          <w:rFonts w:ascii="Arial" w:hAnsi="Arial" w:cs="Arial" w:eastAsia="Arial" w:hint="default"/>
        </w:rPr>
        <w:t>BVI</w:t>
      </w:r>
      <w:r>
        <w:rPr/>
        <w:t>公司将不会提呈任何决议，以供在任何联通红筹</w:t>
      </w:r>
      <w:r>
        <w:rPr>
          <w:spacing w:val="-78"/>
        </w:rPr>
        <w:t> </w:t>
      </w:r>
      <w:r>
        <w:rPr>
          <w:spacing w:val="-78"/>
        </w:rPr>
      </w:r>
      <w:r>
        <w:rPr/>
        <w:t>公司的股东大会上审议。</w:t>
      </w:r>
    </w:p>
    <w:p>
      <w:pPr>
        <w:spacing w:line="240" w:lineRule="auto" w:before="4"/>
        <w:rPr>
          <w:rFonts w:ascii="宋体" w:hAnsi="宋体" w:cs="宋体" w:eastAsia="宋体" w:hint="default"/>
          <w:sz w:val="20"/>
          <w:szCs w:val="20"/>
        </w:rPr>
      </w:pPr>
    </w:p>
    <w:p>
      <w:pPr>
        <w:pStyle w:val="BodyText"/>
        <w:spacing w:line="228" w:lineRule="auto"/>
        <w:ind w:left="538" w:right="223"/>
        <w:jc w:val="both"/>
      </w:pPr>
      <w:r>
        <w:rPr>
          <w:spacing w:val="2"/>
        </w:rPr>
        <w:t>因此，根据上述《一致行动方协议》和确认函件，在联通红筹公司和网通红筹公司合并完成</w:t>
      </w:r>
      <w:r>
        <w:rPr>
          <w:w w:val="99"/>
        </w:rPr>
        <w:t> </w:t>
      </w:r>
      <w:r>
        <w:rPr>
          <w:spacing w:val="2"/>
        </w:rPr>
        <w:t>后，本公司通过联通</w:t>
      </w:r>
      <w:r>
        <w:rPr>
          <w:rFonts w:ascii="Arial" w:hAnsi="Arial" w:cs="Arial" w:eastAsia="Arial" w:hint="default"/>
          <w:spacing w:val="2"/>
        </w:rPr>
        <w:t>BVI</w:t>
      </w:r>
      <w:r>
        <w:rPr>
          <w:spacing w:val="2"/>
        </w:rPr>
        <w:t>公司实际控制了联通红筹公司约</w:t>
      </w:r>
      <w:r>
        <w:rPr>
          <w:rFonts w:ascii="Arial" w:hAnsi="Arial" w:cs="Arial" w:eastAsia="Arial" w:hint="default"/>
          <w:spacing w:val="2"/>
        </w:rPr>
        <w:t>70.41%</w:t>
      </w:r>
      <w:r>
        <w:rPr>
          <w:spacing w:val="2"/>
        </w:rPr>
        <w:t>表决权股份。此外，由于联</w:t>
      </w:r>
      <w:r>
        <w:rPr>
          <w:w w:val="99"/>
        </w:rPr>
        <w:t> </w:t>
      </w:r>
      <w:r>
        <w:rPr/>
        <w:t>通红筹公司回购韩国</w:t>
      </w:r>
      <w:r>
        <w:rPr>
          <w:rFonts w:ascii="Arial" w:hAnsi="Arial" w:cs="Arial" w:eastAsia="Arial" w:hint="default"/>
        </w:rPr>
        <w:t>SK</w:t>
      </w:r>
      <w:r>
        <w:rPr/>
        <w:t>电讯株式会社（“</w:t>
      </w:r>
      <w:r>
        <w:rPr>
          <w:rFonts w:ascii="Arial" w:hAnsi="Arial" w:cs="Arial" w:eastAsia="Arial" w:hint="default"/>
        </w:rPr>
        <w:t>SKT</w:t>
      </w:r>
      <w:r>
        <w:rPr/>
        <w:t>”）持有的联通红筹公司股份以及联通红筹公</w:t>
      </w:r>
      <w:r>
        <w:rPr>
          <w:spacing w:val="-90"/>
        </w:rPr>
        <w:t> </w:t>
      </w:r>
      <w:r>
        <w:rPr>
          <w:spacing w:val="-90"/>
        </w:rPr>
      </w:r>
      <w:r>
        <w:rPr>
          <w:spacing w:val="-1"/>
        </w:rPr>
        <w:t>司与西班牙电信互相投资（详见附注二</w:t>
      </w:r>
      <w:r>
        <w:rPr>
          <w:rFonts w:ascii="Arial" w:hAnsi="Arial" w:cs="Arial" w:eastAsia="Arial" w:hint="default"/>
          <w:spacing w:val="-1"/>
        </w:rPr>
        <w:t>(32)(b)(iii)</w:t>
      </w:r>
      <w:r>
        <w:rPr>
          <w:spacing w:val="-1"/>
        </w:rPr>
        <w:t>），导致联通</w:t>
      </w:r>
      <w:r>
        <w:rPr>
          <w:rFonts w:ascii="Arial" w:hAnsi="Arial" w:cs="Arial" w:eastAsia="Arial" w:hint="default"/>
          <w:spacing w:val="-1"/>
        </w:rPr>
        <w:t>BVI</w:t>
      </w:r>
      <w:r>
        <w:rPr>
          <w:spacing w:val="-1"/>
        </w:rPr>
        <w:t>公司和网通集团</w:t>
      </w:r>
      <w:r>
        <w:rPr>
          <w:rFonts w:ascii="Arial" w:hAnsi="Arial" w:cs="Arial" w:eastAsia="Arial" w:hint="default"/>
          <w:spacing w:val="-1"/>
        </w:rPr>
        <w:t>BVI</w:t>
      </w:r>
      <w:r>
        <w:rPr>
          <w:spacing w:val="-1"/>
        </w:rPr>
        <w:t>公司对</w:t>
      </w:r>
      <w:r>
        <w:rPr>
          <w:spacing w:val="-101"/>
        </w:rPr>
        <w:t> </w:t>
      </w:r>
      <w:r>
        <w:rPr>
          <w:spacing w:val="-101"/>
        </w:rPr>
      </w:r>
      <w:r>
        <w:rPr/>
        <w:t>联通红筹公司持股比例增加至</w:t>
      </w:r>
      <w:r>
        <w:rPr>
          <w:rFonts w:ascii="Arial" w:hAnsi="Arial" w:cs="Arial" w:eastAsia="Arial" w:hint="default"/>
        </w:rPr>
        <w:t>71.02%</w:t>
      </w:r>
      <w:r>
        <w:rPr/>
        <w:t>表决权股份（其中联通</w:t>
      </w:r>
      <w:r>
        <w:rPr>
          <w:rFonts w:ascii="Arial" w:hAnsi="Arial" w:cs="Arial" w:eastAsia="Arial" w:hint="default"/>
        </w:rPr>
        <w:t>BVI</w:t>
      </w:r>
      <w:r>
        <w:rPr/>
        <w:t>公司的持股比例为</w:t>
      </w:r>
      <w:r>
        <w:rPr>
          <w:rFonts w:ascii="Arial" w:hAnsi="Arial" w:cs="Arial" w:eastAsia="Arial" w:hint="default"/>
        </w:rPr>
        <w:t>41.27%</w:t>
      </w:r>
      <w:r>
        <w:rPr/>
        <w:t>，</w:t>
      </w:r>
      <w:r>
        <w:rPr>
          <w:w w:val="99"/>
        </w:rPr>
        <w:t> </w:t>
      </w:r>
      <w:r>
        <w:rPr>
          <w:spacing w:val="-1"/>
        </w:rPr>
        <w:t>网通集团</w:t>
      </w:r>
      <w:r>
        <w:rPr>
          <w:rFonts w:ascii="Arial" w:hAnsi="Arial" w:cs="Arial" w:eastAsia="Arial" w:hint="default"/>
          <w:spacing w:val="-1"/>
        </w:rPr>
        <w:t>BVI</w:t>
      </w:r>
      <w:r>
        <w:rPr>
          <w:spacing w:val="-1"/>
        </w:rPr>
        <w:t>公司的持股比例为</w:t>
      </w:r>
      <w:r>
        <w:rPr>
          <w:rFonts w:ascii="Arial" w:hAnsi="Arial" w:cs="Arial" w:eastAsia="Arial" w:hint="default"/>
          <w:spacing w:val="-1"/>
        </w:rPr>
        <w:t>29.75%</w:t>
      </w:r>
      <w:r>
        <w:rPr>
          <w:spacing w:val="-1"/>
        </w:rPr>
        <w:t>），故联通</w:t>
      </w:r>
      <w:r>
        <w:rPr>
          <w:rFonts w:ascii="Arial" w:hAnsi="Arial" w:cs="Arial" w:eastAsia="Arial" w:hint="default"/>
          <w:spacing w:val="-1"/>
        </w:rPr>
        <w:t>BVI</w:t>
      </w:r>
      <w:r>
        <w:rPr>
          <w:spacing w:val="-1"/>
        </w:rPr>
        <w:t>公司仍控制联通红筹公司，联通红筹公</w:t>
      </w:r>
      <w:r>
        <w:rPr>
          <w:w w:val="99"/>
        </w:rPr>
        <w:t> </w:t>
      </w:r>
      <w:r>
        <w:rPr/>
        <w:t>司亦继续被纳入本公司的合并财务报表范围。</w:t>
      </w:r>
    </w:p>
    <w:p>
      <w:pPr>
        <w:spacing w:after="0" w:line="228" w:lineRule="auto"/>
        <w:jc w:val="both"/>
        <w:sectPr>
          <w:headerReference w:type="default" r:id="rId41"/>
          <w:pgSz w:w="11900" w:h="16840"/>
          <w:pgMar w:header="967" w:footer="600" w:top="2280" w:bottom="780" w:left="1440" w:right="800"/>
        </w:sectPr>
      </w:pPr>
    </w:p>
    <w:p>
      <w:pPr>
        <w:spacing w:line="240" w:lineRule="auto" w:before="13"/>
        <w:rPr>
          <w:rFonts w:ascii="宋体" w:hAnsi="宋体" w:cs="宋体" w:eastAsia="宋体" w:hint="default"/>
          <w:sz w:val="21"/>
          <w:szCs w:val="21"/>
        </w:rPr>
      </w:pPr>
    </w:p>
    <w:p>
      <w:pPr>
        <w:pStyle w:val="BodyText"/>
        <w:spacing w:line="240" w:lineRule="auto" w:before="31"/>
        <w:ind w:left="118" w:right="91"/>
        <w:jc w:val="left"/>
      </w:pPr>
      <w:r>
        <w:rPr>
          <w:rFonts w:ascii="Arial" w:hAnsi="Arial" w:cs="Arial" w:eastAsia="Arial" w:hint="default"/>
        </w:rPr>
        <w:t>1</w:t>
      </w:r>
      <w:r>
        <w:rPr/>
        <w:t>、</w:t>
      </w:r>
      <w:r>
        <w:rPr>
          <w:spacing w:val="-37"/>
        </w:rPr>
        <w:t> </w:t>
      </w:r>
      <w:r>
        <w:rPr/>
        <w:t>财务报表的编制基础（续）</w:t>
      </w:r>
    </w:p>
    <w:p>
      <w:pPr>
        <w:spacing w:line="240" w:lineRule="auto" w:before="9"/>
        <w:rPr>
          <w:rFonts w:ascii="宋体" w:hAnsi="宋体" w:cs="宋体" w:eastAsia="宋体" w:hint="default"/>
          <w:sz w:val="15"/>
          <w:szCs w:val="15"/>
        </w:rPr>
      </w:pPr>
    </w:p>
    <w:p>
      <w:pPr>
        <w:pStyle w:val="BodyText"/>
        <w:spacing w:line="240" w:lineRule="auto"/>
        <w:ind w:left="118" w:right="91"/>
        <w:jc w:val="left"/>
      </w:pPr>
      <w:r>
        <w:rPr>
          <w:rFonts w:ascii="Arial" w:hAnsi="Arial" w:cs="Arial" w:eastAsia="Arial" w:hint="default"/>
        </w:rPr>
        <w:t>(c) </w:t>
      </w:r>
      <w:r>
        <w:rPr>
          <w:rFonts w:ascii="Arial" w:hAnsi="Arial" w:cs="Arial" w:eastAsia="Arial" w:hint="default"/>
          <w:spacing w:val="36"/>
        </w:rPr>
        <w:t> </w:t>
      </w:r>
      <w:r>
        <w:rPr/>
        <w:t>持续经营</w:t>
      </w:r>
    </w:p>
    <w:p>
      <w:pPr>
        <w:spacing w:line="240" w:lineRule="auto" w:before="11"/>
        <w:rPr>
          <w:rFonts w:ascii="宋体" w:hAnsi="宋体" w:cs="宋体" w:eastAsia="宋体" w:hint="default"/>
          <w:sz w:val="18"/>
          <w:szCs w:val="18"/>
        </w:rPr>
      </w:pPr>
    </w:p>
    <w:p>
      <w:pPr>
        <w:pStyle w:val="BodyText"/>
        <w:spacing w:line="286" w:lineRule="exact"/>
        <w:ind w:left="538" w:right="91" w:hanging="1"/>
        <w:jc w:val="left"/>
      </w:pPr>
      <w:r>
        <w:rPr>
          <w:spacing w:val="-2"/>
          <w:w w:val="95"/>
        </w:rPr>
        <w:t>于</w:t>
      </w:r>
      <w:r>
        <w:rPr>
          <w:rFonts w:ascii="Arial" w:hAnsi="Arial" w:cs="Arial" w:eastAsia="Arial" w:hint="default"/>
          <w:spacing w:val="-2"/>
          <w:w w:val="95"/>
        </w:rPr>
        <w:t>2011</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日，本集团的流动负债超出流动资产约人民币</w:t>
      </w:r>
      <w:r>
        <w:rPr>
          <w:rFonts w:ascii="Arial" w:hAnsi="Arial" w:cs="Arial" w:eastAsia="Arial" w:hint="default"/>
          <w:spacing w:val="-2"/>
          <w:w w:val="95"/>
        </w:rPr>
        <w:t>1,746</w:t>
      </w:r>
      <w:r>
        <w:rPr>
          <w:spacing w:val="-2"/>
          <w:w w:val="95"/>
        </w:rPr>
        <w:t>亿元（</w:t>
      </w:r>
      <w:r>
        <w:rPr>
          <w:rFonts w:ascii="Arial" w:hAnsi="Arial" w:cs="Arial" w:eastAsia="Arial" w:hint="default"/>
          <w:spacing w:val="-2"/>
          <w:w w:val="95"/>
        </w:rPr>
        <w:t>2010</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w:t>
      </w:r>
      <w:r>
        <w:rPr>
          <w:spacing w:val="26"/>
          <w:w w:val="95"/>
        </w:rPr>
        <w:t> </w:t>
      </w:r>
      <w:r>
        <w:rPr/>
        <w:t>约人民币</w:t>
      </w:r>
      <w:r>
        <w:rPr>
          <w:rFonts w:ascii="Arial" w:hAnsi="Arial" w:cs="Arial" w:eastAsia="Arial" w:hint="default"/>
        </w:rPr>
        <w:t>1,555</w:t>
      </w:r>
      <w:r>
        <w:rPr/>
        <w:t>亿元）。考虑到当前全球经济环境，以及本集团在可预见的将来预计的资本支</w:t>
      </w:r>
      <w:r>
        <w:rPr>
          <w:w w:val="99"/>
        </w:rPr>
        <w:t> </w:t>
      </w:r>
      <w:r>
        <w:rPr/>
        <w:t>出，管理层综合考虑了本集团如下可获得的资金来源：</w:t>
      </w:r>
    </w:p>
    <w:p>
      <w:pPr>
        <w:spacing w:line="240" w:lineRule="auto" w:before="1"/>
        <w:rPr>
          <w:rFonts w:ascii="宋体" w:hAnsi="宋体" w:cs="宋体" w:eastAsia="宋体" w:hint="default"/>
          <w:sz w:val="17"/>
          <w:szCs w:val="17"/>
        </w:rPr>
      </w:pPr>
    </w:p>
    <w:p>
      <w:pPr>
        <w:pStyle w:val="BodyText"/>
        <w:spacing w:line="295" w:lineRule="exact"/>
        <w:ind w:left="566" w:right="0"/>
        <w:jc w:val="both"/>
      </w:pPr>
      <w:r>
        <w:rPr>
          <w:rFonts w:ascii="Symbol" w:hAnsi="Symbol" w:cs="Symbol" w:eastAsia="Symbol" w:hint="default"/>
        </w:rPr>
        <w:t></w:t>
      </w:r>
      <w:r>
        <w:rPr>
          <w:rFonts w:ascii="Symbol" w:hAnsi="Symbol" w:cs="Symbol" w:eastAsia="Symbol" w:hint="default"/>
          <w:spacing w:val="11"/>
        </w:rPr>
        <w:t></w:t>
      </w:r>
      <w:r>
        <w:rPr>
          <w:rFonts w:ascii="Times New Roman" w:hAnsi="Times New Roman" w:cs="Times New Roman" w:eastAsia="Times New Roman" w:hint="default"/>
          <w:spacing w:val="11"/>
        </w:rPr>
      </w:r>
      <w:r>
        <w:rPr/>
        <w:t>本集团从经营活动中持续取得的净现金流入；</w:t>
      </w:r>
    </w:p>
    <w:p>
      <w:pPr>
        <w:pStyle w:val="BodyText"/>
        <w:tabs>
          <w:tab w:pos="955" w:val="left" w:leader="none"/>
        </w:tabs>
        <w:spacing w:line="286" w:lineRule="exact" w:before="18"/>
        <w:ind w:left="958" w:right="219" w:hanging="393"/>
        <w:jc w:val="left"/>
      </w:pPr>
      <w:r>
        <w:rPr>
          <w:rFonts w:ascii="Symbol" w:hAnsi="Symbol" w:cs="Symbol" w:eastAsia="Symbol" w:hint="default"/>
          <w:w w:val="95"/>
        </w:rPr>
        <w:t></w:t>
      </w:r>
      <w:r>
        <w:rPr>
          <w:rFonts w:ascii="Times New Roman" w:hAnsi="Times New Roman" w:cs="Times New Roman" w:eastAsia="Times New Roman" w:hint="default"/>
          <w:w w:val="95"/>
        </w:rPr>
        <w:tab/>
      </w:r>
      <w:r>
        <w:rPr/>
        <w:t>考虑到本集团获取的银行机构授予的循环信用额度总额约为人民币</w:t>
      </w:r>
      <w:r>
        <w:rPr>
          <w:rFonts w:ascii="Arial" w:hAnsi="Arial" w:cs="Arial" w:eastAsia="Arial" w:hint="default"/>
        </w:rPr>
        <w:t>2,068</w:t>
      </w:r>
      <w:r>
        <w:rPr/>
        <w:t>亿元及未使用的</w:t>
      </w:r>
      <w:r>
        <w:rPr>
          <w:spacing w:val="-105"/>
        </w:rPr>
        <w:t> </w:t>
      </w:r>
      <w:r>
        <w:rPr>
          <w:spacing w:val="-105"/>
        </w:rPr>
      </w:r>
      <w:r>
        <w:rPr/>
        <w:t>额度约人民币</w:t>
      </w:r>
      <w:r>
        <w:rPr>
          <w:rFonts w:ascii="Arial" w:hAnsi="Arial" w:cs="Arial" w:eastAsia="Arial" w:hint="default"/>
        </w:rPr>
        <w:t>1,365</w:t>
      </w:r>
      <w:r>
        <w:rPr/>
        <w:t>亿元；及</w:t>
      </w:r>
    </w:p>
    <w:p>
      <w:pPr>
        <w:pStyle w:val="BodyText"/>
        <w:spacing w:line="277" w:lineRule="exact"/>
        <w:ind w:left="566" w:right="0"/>
        <w:jc w:val="both"/>
      </w:pPr>
      <w:r>
        <w:rPr>
          <w:rFonts w:ascii="Symbol" w:hAnsi="Symbol" w:cs="Symbol" w:eastAsia="Symbol" w:hint="default"/>
        </w:rPr>
        <w:t></w:t>
      </w:r>
      <w:r>
        <w:rPr>
          <w:rFonts w:ascii="Symbol" w:hAnsi="Symbol" w:cs="Symbol" w:eastAsia="Symbol" w:hint="default"/>
          <w:spacing w:val="10"/>
        </w:rPr>
        <w:t></w:t>
      </w:r>
      <w:r>
        <w:rPr>
          <w:rFonts w:ascii="Times New Roman" w:hAnsi="Times New Roman" w:cs="Times New Roman" w:eastAsia="Times New Roman" w:hint="default"/>
          <w:spacing w:val="10"/>
        </w:rPr>
      </w:r>
      <w:r>
        <w:rPr/>
        <w:t>考虑到本集团的信贷记录，从国内银行和其他金融机构获得的其他融资渠道。</w:t>
      </w:r>
    </w:p>
    <w:p>
      <w:pPr>
        <w:spacing w:line="240" w:lineRule="auto" w:before="12"/>
        <w:rPr>
          <w:rFonts w:ascii="宋体" w:hAnsi="宋体" w:cs="宋体" w:eastAsia="宋体" w:hint="default"/>
          <w:sz w:val="19"/>
          <w:szCs w:val="19"/>
        </w:rPr>
      </w:pPr>
    </w:p>
    <w:p>
      <w:pPr>
        <w:pStyle w:val="BodyText"/>
        <w:spacing w:line="286" w:lineRule="exact"/>
        <w:ind w:left="566" w:right="274"/>
        <w:jc w:val="left"/>
      </w:pPr>
      <w:r>
        <w:rPr/>
        <w:t>此外，本集团相信能够通过短、中、长期方式筹集资金，并通过适当安排融资组合以保持合</w:t>
      </w:r>
      <w:r>
        <w:rPr>
          <w:w w:val="99"/>
        </w:rPr>
        <w:t> </w:t>
      </w:r>
      <w:r>
        <w:rPr/>
        <w:t>理的融资成本。</w:t>
      </w:r>
    </w:p>
    <w:p>
      <w:pPr>
        <w:spacing w:line="240" w:lineRule="auto" w:before="2"/>
        <w:rPr>
          <w:rFonts w:ascii="宋体" w:hAnsi="宋体" w:cs="宋体" w:eastAsia="宋体" w:hint="default"/>
          <w:sz w:val="17"/>
          <w:szCs w:val="17"/>
        </w:rPr>
      </w:pPr>
    </w:p>
    <w:p>
      <w:pPr>
        <w:pStyle w:val="BodyText"/>
        <w:spacing w:line="286" w:lineRule="exact"/>
        <w:ind w:left="566" w:right="0"/>
        <w:jc w:val="both"/>
      </w:pPr>
      <w:r>
        <w:rPr/>
        <w:t>基于以上考虑，董事会认为本集团有足够的资金以满足营运资金和偿债所需。因此，本集团</w:t>
      </w:r>
    </w:p>
    <w:p>
      <w:pPr>
        <w:pStyle w:val="BodyText"/>
        <w:spacing w:line="302" w:lineRule="exact"/>
        <w:ind w:left="566" w:right="0"/>
        <w:jc w:val="both"/>
      </w:pPr>
      <w:r>
        <w:rPr>
          <w:rFonts w:ascii="Arial" w:hAnsi="Arial" w:cs="Arial" w:eastAsia="Arial" w:hint="default"/>
        </w:rPr>
        <w:t>2011</w:t>
      </w:r>
      <w:r>
        <w:rPr/>
        <w:t>年度的财务报表仍按持续经营基础编制。</w:t>
      </w:r>
    </w:p>
    <w:p>
      <w:pPr>
        <w:pStyle w:val="BodyText"/>
        <w:spacing w:line="540" w:lineRule="atLeast"/>
        <w:ind w:left="538" w:right="91" w:hanging="421"/>
        <w:jc w:val="left"/>
      </w:pPr>
      <w:r>
        <w:rPr>
          <w:rFonts w:ascii="Arial" w:hAnsi="Arial" w:cs="Arial" w:eastAsia="Arial" w:hint="default"/>
        </w:rPr>
        <w:t>2</w:t>
      </w:r>
      <w:r>
        <w:rPr/>
        <w:t>、</w:t>
      </w:r>
      <w:r>
        <w:rPr>
          <w:spacing w:val="-35"/>
        </w:rPr>
        <w:t> </w:t>
      </w:r>
      <w:r>
        <w:rPr/>
        <w:t>遵循企业会计准则的声明</w:t>
      </w:r>
      <w:r>
        <w:rPr>
          <w:w w:val="99"/>
        </w:rPr>
        <w:t> </w:t>
      </w:r>
      <w:r>
        <w:rPr>
          <w:spacing w:val="-1"/>
        </w:rPr>
        <w:t>本公司</w:t>
      </w:r>
      <w:r>
        <w:rPr>
          <w:rFonts w:ascii="Arial" w:hAnsi="Arial" w:cs="Arial" w:eastAsia="Arial" w:hint="default"/>
          <w:spacing w:val="-1"/>
        </w:rPr>
        <w:t>2011</w:t>
      </w:r>
      <w:r>
        <w:rPr>
          <w:spacing w:val="-1"/>
        </w:rPr>
        <w:t>年度财务报表符合企业会计准则的要求，真实、完整地反映了本公司</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p>
    <w:p>
      <w:pPr>
        <w:pStyle w:val="BodyText"/>
        <w:spacing w:line="284" w:lineRule="exact"/>
        <w:ind w:left="538" w:right="0"/>
        <w:jc w:val="both"/>
      </w:pPr>
      <w:r>
        <w:rPr>
          <w:rFonts w:ascii="Arial" w:hAnsi="Arial" w:cs="Arial" w:eastAsia="Arial" w:hint="default"/>
        </w:rPr>
        <w:t>31</w:t>
      </w:r>
      <w:r>
        <w:rPr/>
        <w:t>日的合并及公司财务状况以及</w:t>
      </w:r>
      <w:r>
        <w:rPr>
          <w:rFonts w:ascii="Arial" w:hAnsi="Arial" w:cs="Arial" w:eastAsia="Arial" w:hint="default"/>
        </w:rPr>
        <w:t>2011</w:t>
      </w:r>
      <w:r>
        <w:rPr/>
        <w:t>年度的合并及公司经营成果和现金流量等有关信息。</w:t>
      </w:r>
    </w:p>
    <w:p>
      <w:pPr>
        <w:spacing w:line="240" w:lineRule="auto" w:before="13"/>
        <w:rPr>
          <w:rFonts w:ascii="宋体" w:hAnsi="宋体" w:cs="宋体" w:eastAsia="宋体" w:hint="default"/>
          <w:sz w:val="17"/>
          <w:szCs w:val="17"/>
        </w:rPr>
      </w:pPr>
    </w:p>
    <w:p>
      <w:pPr>
        <w:pStyle w:val="BodyText"/>
        <w:spacing w:line="240" w:lineRule="auto"/>
        <w:ind w:left="118" w:right="91"/>
        <w:jc w:val="left"/>
      </w:pPr>
      <w:r>
        <w:rPr>
          <w:rFonts w:ascii="Arial" w:hAnsi="Arial" w:cs="Arial" w:eastAsia="Arial" w:hint="default"/>
        </w:rPr>
        <w:t>3</w:t>
      </w:r>
      <w:r>
        <w:rPr/>
        <w:t>、</w:t>
      </w:r>
      <w:r>
        <w:rPr>
          <w:spacing w:val="-38"/>
        </w:rPr>
        <w:t> </w:t>
      </w:r>
      <w:r>
        <w:rPr/>
        <w:t>会计年度</w:t>
      </w:r>
    </w:p>
    <w:p>
      <w:pPr>
        <w:spacing w:line="240" w:lineRule="auto" w:before="12"/>
        <w:rPr>
          <w:rFonts w:ascii="宋体" w:hAnsi="宋体" w:cs="宋体" w:eastAsia="宋体" w:hint="default"/>
          <w:sz w:val="17"/>
          <w:szCs w:val="17"/>
        </w:rPr>
      </w:pPr>
    </w:p>
    <w:p>
      <w:pPr>
        <w:pStyle w:val="BodyText"/>
        <w:spacing w:line="240" w:lineRule="auto"/>
        <w:ind w:left="538" w:right="0"/>
        <w:jc w:val="both"/>
      </w:pPr>
      <w:r>
        <w:rPr/>
        <w:t>会计年度为公历</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spacing w:line="240" w:lineRule="auto" w:before="13"/>
        <w:rPr>
          <w:rFonts w:ascii="宋体" w:hAnsi="宋体" w:cs="宋体" w:eastAsia="宋体" w:hint="default"/>
          <w:sz w:val="17"/>
          <w:szCs w:val="17"/>
        </w:rPr>
      </w:pPr>
    </w:p>
    <w:p>
      <w:pPr>
        <w:pStyle w:val="BodyText"/>
        <w:spacing w:line="424" w:lineRule="auto"/>
        <w:ind w:left="538" w:right="3822" w:hanging="420"/>
        <w:jc w:val="left"/>
      </w:pPr>
      <w:r>
        <w:rPr>
          <w:rFonts w:ascii="Arial" w:hAnsi="Arial" w:cs="Arial" w:eastAsia="Arial" w:hint="default"/>
        </w:rPr>
        <w:t>4</w:t>
      </w:r>
      <w:r>
        <w:rPr/>
        <w:t>、</w:t>
      </w:r>
      <w:r>
        <w:rPr>
          <w:spacing w:val="-36"/>
        </w:rPr>
        <w:t> </w:t>
      </w:r>
      <w:r>
        <w:rPr/>
        <w:t>记账本位币</w:t>
      </w:r>
      <w:r>
        <w:rPr>
          <w:w w:val="99"/>
        </w:rPr>
        <w:t> </w:t>
      </w:r>
      <w:r>
        <w:rPr/>
        <w:t>本集团除个别境外子公司外，以人民币为记账本位币。</w:t>
      </w:r>
    </w:p>
    <w:p>
      <w:pPr>
        <w:pStyle w:val="BodyText"/>
        <w:spacing w:line="240" w:lineRule="auto" w:before="80"/>
        <w:ind w:left="118" w:right="91"/>
        <w:jc w:val="left"/>
      </w:pPr>
      <w:r>
        <w:rPr>
          <w:rFonts w:ascii="Arial" w:hAnsi="Arial" w:cs="Arial" w:eastAsia="Arial" w:hint="default"/>
        </w:rPr>
        <w:t>5</w:t>
      </w:r>
      <w:r>
        <w:rPr/>
        <w:t>、</w:t>
      </w:r>
      <w:r>
        <w:rPr>
          <w:spacing w:val="-38"/>
        </w:rPr>
        <w:t> </w:t>
      </w:r>
      <w:r>
        <w:rPr/>
        <w:t>企业合并</w:t>
      </w:r>
    </w:p>
    <w:p>
      <w:pPr>
        <w:spacing w:line="240" w:lineRule="auto" w:before="13"/>
        <w:rPr>
          <w:rFonts w:ascii="宋体" w:hAnsi="宋体" w:cs="宋体" w:eastAsia="宋体" w:hint="default"/>
          <w:sz w:val="17"/>
          <w:szCs w:val="17"/>
        </w:rPr>
      </w:pPr>
    </w:p>
    <w:p>
      <w:pPr>
        <w:pStyle w:val="BodyText"/>
        <w:spacing w:line="240" w:lineRule="auto"/>
        <w:ind w:left="118" w:right="91"/>
        <w:jc w:val="left"/>
      </w:pPr>
      <w:r>
        <w:rPr>
          <w:rFonts w:ascii="Arial" w:hAnsi="Arial" w:cs="Arial" w:eastAsia="Arial" w:hint="default"/>
        </w:rPr>
        <w:t>(a) </w:t>
      </w:r>
      <w:r>
        <w:rPr>
          <w:rFonts w:ascii="Arial" w:hAnsi="Arial" w:cs="Arial" w:eastAsia="Arial" w:hint="default"/>
          <w:spacing w:val="24"/>
        </w:rPr>
        <w:t> </w:t>
      </w:r>
      <w:r>
        <w:rPr/>
        <w:t>同一控制下的企业合并</w:t>
      </w:r>
    </w:p>
    <w:p>
      <w:pPr>
        <w:pStyle w:val="BodyText"/>
        <w:spacing w:line="237" w:lineRule="auto" w:before="168"/>
        <w:ind w:left="538" w:right="223"/>
        <w:jc w:val="both"/>
      </w:pPr>
      <w:r>
        <w:rPr>
          <w:spacing w:val="2"/>
        </w:rPr>
        <w:t>合并方支付的合并对价及取得的净资产均按账面价值计量。合并方取得的净资产账面价值与</w:t>
      </w:r>
      <w:r>
        <w:rPr>
          <w:w w:val="99"/>
        </w:rPr>
        <w:t> </w:t>
      </w:r>
      <w:r>
        <w:rPr>
          <w:spacing w:val="2"/>
        </w:rPr>
        <w:t>支付的合并对价账面价值的差额，调整资本公积（股本溢价）；资本公积（股本溢价）不足</w:t>
      </w:r>
      <w:r>
        <w:rPr>
          <w:w w:val="99"/>
        </w:rPr>
        <w:t> </w:t>
      </w:r>
      <w:r>
        <w:rPr>
          <w:spacing w:val="2"/>
        </w:rPr>
        <w:t>以冲减的，调整留存收益。为进行企业合并发生的直接相关费用于发生时计入当期损益。为</w:t>
      </w:r>
      <w:r>
        <w:rPr>
          <w:w w:val="99"/>
        </w:rPr>
        <w:t> </w:t>
      </w:r>
      <w:r>
        <w:rPr>
          <w:spacing w:val="2"/>
        </w:rPr>
        <w:t>企业合并而发行权益性证券或债务性证券的交易费用，计入权益性证券或债务性证券的初始</w:t>
      </w:r>
      <w:r>
        <w:rPr>
          <w:w w:val="99"/>
        </w:rPr>
        <w:t> </w:t>
      </w:r>
      <w:r>
        <w:rPr/>
        <w:t>确认金额。</w:t>
      </w:r>
    </w:p>
    <w:p>
      <w:pPr>
        <w:pStyle w:val="BodyText"/>
        <w:spacing w:line="230" w:lineRule="auto" w:before="192"/>
        <w:ind w:left="538" w:right="223" w:hanging="1"/>
        <w:jc w:val="both"/>
      </w:pPr>
      <w:r>
        <w:rPr/>
        <w:t>本集团执行企业会计准则（</w:t>
      </w:r>
      <w:r>
        <w:rPr>
          <w:rFonts w:ascii="Arial" w:hAnsi="Arial" w:cs="Arial" w:eastAsia="Arial" w:hint="default"/>
        </w:rPr>
        <w:t>2007</w:t>
      </w:r>
      <w:r>
        <w:rPr/>
        <w:t>年</w:t>
      </w:r>
      <w:r>
        <w:rPr>
          <w:rFonts w:ascii="Arial" w:hAnsi="Arial" w:cs="Arial" w:eastAsia="Arial" w:hint="default"/>
        </w:rPr>
        <w:t>1</w:t>
      </w:r>
      <w:r>
        <w:rPr/>
        <w:t>月</w:t>
      </w:r>
      <w:r>
        <w:rPr>
          <w:rFonts w:ascii="Arial" w:hAnsi="Arial" w:cs="Arial" w:eastAsia="Arial" w:hint="default"/>
        </w:rPr>
        <w:t>1</w:t>
      </w:r>
      <w:r>
        <w:rPr/>
        <w:t>日，“首次执行日”）前的同一控制下的企业收购，</w:t>
      </w:r>
      <w:r>
        <w:rPr>
          <w:spacing w:val="-99"/>
        </w:rPr>
        <w:t> </w:t>
      </w:r>
      <w:r>
        <w:rPr>
          <w:spacing w:val="-99"/>
        </w:rPr>
      </w:r>
      <w:r>
        <w:rPr>
          <w:spacing w:val="2"/>
        </w:rPr>
        <w:t>所支付的合并对价与所收购的改制企业经评估的净资产的账面价值的差额根据《企业会计准</w:t>
      </w:r>
      <w:r>
        <w:rPr>
          <w:w w:val="99"/>
        </w:rPr>
        <w:t> </w:t>
      </w:r>
      <w:r>
        <w:rPr/>
        <w:t>则</w:t>
      </w:r>
      <w:r>
        <w:rPr>
          <w:rFonts w:ascii="Arial" w:hAnsi="Arial" w:cs="Arial" w:eastAsia="Arial" w:hint="default"/>
        </w:rPr>
        <w:t>38</w:t>
      </w:r>
      <w:r>
        <w:rPr/>
        <w:t>号－首次执行企业会计准则》的要求已经于首次执行日追溯调整了本集团的留存收益。</w:t>
      </w:r>
    </w:p>
    <w:p>
      <w:pPr>
        <w:spacing w:after="0" w:line="230" w:lineRule="auto"/>
        <w:jc w:val="both"/>
        <w:sectPr>
          <w:headerReference w:type="default" r:id="rId42"/>
          <w:pgSz w:w="11900" w:h="16840"/>
          <w:pgMar w:header="967" w:footer="600" w:top="2820" w:bottom="780" w:left="1440" w:right="800"/>
        </w:sectPr>
      </w:pPr>
    </w:p>
    <w:p>
      <w:pPr>
        <w:spacing w:line="240" w:lineRule="auto" w:before="13"/>
        <w:rPr>
          <w:rFonts w:ascii="宋体" w:hAnsi="宋体" w:cs="宋体" w:eastAsia="宋体" w:hint="default"/>
          <w:sz w:val="21"/>
          <w:szCs w:val="21"/>
        </w:rPr>
      </w:pPr>
    </w:p>
    <w:p>
      <w:pPr>
        <w:pStyle w:val="BodyText"/>
        <w:spacing w:line="240" w:lineRule="auto" w:before="31"/>
        <w:ind w:left="118" w:right="3262"/>
        <w:jc w:val="left"/>
      </w:pPr>
      <w:r>
        <w:rPr>
          <w:rFonts w:ascii="Arial" w:hAnsi="Arial" w:cs="Arial" w:eastAsia="Arial" w:hint="default"/>
        </w:rPr>
        <w:t>5</w:t>
      </w:r>
      <w:r>
        <w:rPr/>
        <w:t>、</w:t>
      </w:r>
      <w:r>
        <w:rPr>
          <w:spacing w:val="-37"/>
        </w:rPr>
        <w:t> </w:t>
      </w:r>
      <w:r>
        <w:rPr/>
        <w:t>企业合并（续）</w:t>
      </w:r>
    </w:p>
    <w:p>
      <w:pPr>
        <w:spacing w:line="240" w:lineRule="auto" w:before="12"/>
        <w:rPr>
          <w:rFonts w:ascii="宋体" w:hAnsi="宋体" w:cs="宋体" w:eastAsia="宋体" w:hint="default"/>
          <w:sz w:val="17"/>
          <w:szCs w:val="17"/>
        </w:rPr>
      </w:pPr>
    </w:p>
    <w:p>
      <w:pPr>
        <w:pStyle w:val="BodyText"/>
        <w:spacing w:line="240" w:lineRule="auto"/>
        <w:ind w:left="118" w:right="3262"/>
        <w:jc w:val="left"/>
      </w:pPr>
      <w:r>
        <w:rPr>
          <w:rFonts w:ascii="Arial" w:hAnsi="Arial" w:cs="Arial" w:eastAsia="Arial" w:hint="default"/>
        </w:rPr>
        <w:t>(b) </w:t>
      </w:r>
      <w:r>
        <w:rPr>
          <w:rFonts w:ascii="Arial" w:hAnsi="Arial" w:cs="Arial" w:eastAsia="Arial" w:hint="default"/>
          <w:spacing w:val="25"/>
        </w:rPr>
        <w:t> </w:t>
      </w:r>
      <w:r>
        <w:rPr/>
        <w:t>非同一控制下的企业合并</w:t>
      </w:r>
    </w:p>
    <w:p>
      <w:pPr>
        <w:spacing w:line="240" w:lineRule="auto" w:before="2"/>
        <w:rPr>
          <w:rFonts w:ascii="宋体" w:hAnsi="宋体" w:cs="宋体" w:eastAsia="宋体" w:hint="default"/>
          <w:sz w:val="18"/>
          <w:szCs w:val="18"/>
        </w:rPr>
      </w:pPr>
    </w:p>
    <w:p>
      <w:pPr>
        <w:pStyle w:val="BodyText"/>
        <w:spacing w:line="237" w:lineRule="auto"/>
        <w:ind w:left="538" w:right="103"/>
        <w:jc w:val="both"/>
      </w:pPr>
      <w:r>
        <w:rPr>
          <w:spacing w:val="2"/>
        </w:rPr>
        <w:t>购买方发生的合并成本及在合并中取得的可辨认净资产按购买日的公允价值计量。合并成本</w:t>
      </w:r>
      <w:r>
        <w:rPr>
          <w:w w:val="99"/>
        </w:rPr>
        <w:t> </w:t>
      </w:r>
      <w:r>
        <w:rPr>
          <w:spacing w:val="2"/>
        </w:rPr>
        <w:t>大于合并中取得的被购买方于购买日可辨认净资产公允价值份额的差额，确认为商誉；合并</w:t>
      </w:r>
      <w:r>
        <w:rPr>
          <w:w w:val="99"/>
        </w:rPr>
        <w:t> </w:t>
      </w:r>
      <w:r>
        <w:rPr>
          <w:spacing w:val="2"/>
        </w:rPr>
        <w:t>成本小于合并中取得的被购买方可辨认净资产公允价值份额的差额，计入当期损益。为进行</w:t>
      </w:r>
      <w:r>
        <w:rPr>
          <w:w w:val="99"/>
        </w:rPr>
        <w:t> </w:t>
      </w:r>
      <w:r>
        <w:rPr>
          <w:spacing w:val="2"/>
        </w:rPr>
        <w:t>企业合并发生的直接相关费用于发生时计入当期损益。为企业合并而发行权益性证券或债务</w:t>
      </w:r>
      <w:r>
        <w:rPr>
          <w:w w:val="99"/>
        </w:rPr>
        <w:t> </w:t>
      </w:r>
      <w:r>
        <w:rPr/>
        <w:t>性证券的交易费用，计入权益性证券或债务性证券的初始确认金额。</w:t>
      </w:r>
    </w:p>
    <w:p>
      <w:pPr>
        <w:spacing w:line="240" w:lineRule="auto" w:before="3"/>
        <w:rPr>
          <w:rFonts w:ascii="宋体" w:hAnsi="宋体" w:cs="宋体" w:eastAsia="宋体" w:hint="default"/>
          <w:sz w:val="19"/>
          <w:szCs w:val="19"/>
        </w:rPr>
      </w:pPr>
    </w:p>
    <w:p>
      <w:pPr>
        <w:pStyle w:val="BodyText"/>
        <w:spacing w:line="424" w:lineRule="auto"/>
        <w:ind w:left="538" w:right="3262" w:hanging="420"/>
        <w:jc w:val="left"/>
      </w:pPr>
      <w:r>
        <w:rPr>
          <w:rFonts w:ascii="Arial" w:hAnsi="Arial" w:cs="Arial" w:eastAsia="Arial" w:hint="default"/>
        </w:rPr>
        <w:t>6</w:t>
      </w:r>
      <w:r>
        <w:rPr/>
        <w:t>、</w:t>
      </w:r>
      <w:r>
        <w:rPr>
          <w:spacing w:val="-36"/>
        </w:rPr>
        <w:t> </w:t>
      </w:r>
      <w:r>
        <w:rPr/>
        <w:t>合并财务报表的编制方法</w:t>
      </w:r>
      <w:r>
        <w:rPr>
          <w:w w:val="99"/>
        </w:rPr>
        <w:t> </w:t>
      </w:r>
      <w:r>
        <w:rPr/>
        <w:t>编制合并财务报表时，合并范围包括本公司及全部子公司。</w:t>
      </w:r>
    </w:p>
    <w:p>
      <w:pPr>
        <w:pStyle w:val="BodyText"/>
        <w:spacing w:line="237" w:lineRule="auto" w:before="84"/>
        <w:ind w:left="538" w:right="103"/>
        <w:jc w:val="both"/>
      </w:pPr>
      <w:r>
        <w:rPr>
          <w:spacing w:val="2"/>
        </w:rPr>
        <w:t>从取得子公司的实际控制权之日起，本集团开始将其纳入合并范围；从丧失实际控制权之日</w:t>
      </w:r>
      <w:r>
        <w:rPr>
          <w:w w:val="99"/>
        </w:rPr>
        <w:t> </w:t>
      </w:r>
      <w:r>
        <w:rPr>
          <w:spacing w:val="2"/>
        </w:rPr>
        <w:t>起停止纳入合并范围。对于同一控制下企业合并取得的子公司，自其与本公司同受最终控制</w:t>
      </w:r>
      <w:r>
        <w:rPr>
          <w:w w:val="99"/>
        </w:rPr>
        <w:t> </w:t>
      </w:r>
      <w:r>
        <w:rPr>
          <w:spacing w:val="2"/>
        </w:rPr>
        <w:t>方控制之日起纳入本公司合并范围，并将其在合并日前实现的净利润在合并利润表中单列项</w:t>
      </w:r>
      <w:r>
        <w:rPr>
          <w:w w:val="99"/>
        </w:rPr>
        <w:t> </w:t>
      </w:r>
      <w:r>
        <w:rPr/>
        <w:t>目反映。</w:t>
      </w:r>
    </w:p>
    <w:p>
      <w:pPr>
        <w:spacing w:line="240" w:lineRule="auto" w:before="5"/>
        <w:rPr>
          <w:rFonts w:ascii="宋体" w:hAnsi="宋体" w:cs="宋体" w:eastAsia="宋体" w:hint="default"/>
          <w:sz w:val="19"/>
          <w:szCs w:val="19"/>
        </w:rPr>
      </w:pPr>
    </w:p>
    <w:p>
      <w:pPr>
        <w:pStyle w:val="BodyText"/>
        <w:spacing w:line="237" w:lineRule="auto"/>
        <w:ind w:left="538" w:right="103"/>
        <w:jc w:val="both"/>
      </w:pPr>
      <w:r>
        <w:rPr>
          <w:spacing w:val="2"/>
        </w:rPr>
        <w:t>在编制合并财务报表时，子公司与本公司采用的会计政策或会计期间不一致的，按照本公司</w:t>
      </w:r>
      <w:r>
        <w:rPr>
          <w:w w:val="99"/>
        </w:rPr>
        <w:t> </w:t>
      </w:r>
      <w:r>
        <w:rPr>
          <w:spacing w:val="2"/>
        </w:rPr>
        <w:t>的会计政策和会计期间对子公司财务报表进行必要的调整。对于非同一控制下企业合并取得</w:t>
      </w:r>
      <w:r>
        <w:rPr>
          <w:w w:val="99"/>
        </w:rPr>
        <w:t> </w:t>
      </w:r>
      <w:r>
        <w:rPr/>
        <w:t>的子公司，以购买日可辨认净资产公允价值为基础对其财务报表进行调整。</w:t>
      </w:r>
    </w:p>
    <w:p>
      <w:pPr>
        <w:spacing w:line="240" w:lineRule="auto" w:before="5"/>
        <w:rPr>
          <w:rFonts w:ascii="宋体" w:hAnsi="宋体" w:cs="宋体" w:eastAsia="宋体" w:hint="default"/>
          <w:sz w:val="19"/>
          <w:szCs w:val="19"/>
        </w:rPr>
      </w:pPr>
    </w:p>
    <w:p>
      <w:pPr>
        <w:pStyle w:val="BodyText"/>
        <w:spacing w:line="237" w:lineRule="auto"/>
        <w:ind w:left="538" w:right="103"/>
        <w:jc w:val="both"/>
      </w:pPr>
      <w:r>
        <w:rPr>
          <w:spacing w:val="2"/>
        </w:rPr>
        <w:t>集团内所有重大往来余额、交易及未实现利润在合并财务报表编制时予以抵销。子公司的股</w:t>
      </w:r>
      <w:r>
        <w:rPr>
          <w:w w:val="99"/>
        </w:rPr>
        <w:t> </w:t>
      </w:r>
      <w:r>
        <w:rPr>
          <w:spacing w:val="2"/>
        </w:rPr>
        <w:t>东权益及当期净损益中不属于本公司所拥有的部分分别作为少数股东权益及少数股东损益在</w:t>
      </w:r>
      <w:r>
        <w:rPr>
          <w:w w:val="99"/>
        </w:rPr>
        <w:t> </w:t>
      </w:r>
      <w:r>
        <w:rPr/>
        <w:t>合并财务报表中股东权益及净利润项下单独列示。</w:t>
      </w:r>
    </w:p>
    <w:p>
      <w:pPr>
        <w:spacing w:line="240" w:lineRule="auto" w:before="13"/>
        <w:rPr>
          <w:rFonts w:ascii="宋体" w:hAnsi="宋体" w:cs="宋体" w:eastAsia="宋体" w:hint="default"/>
          <w:sz w:val="16"/>
          <w:szCs w:val="16"/>
        </w:rPr>
      </w:pPr>
    </w:p>
    <w:p>
      <w:pPr>
        <w:pStyle w:val="BodyText"/>
        <w:spacing w:line="240" w:lineRule="auto"/>
        <w:ind w:left="118" w:right="3262"/>
        <w:jc w:val="left"/>
      </w:pPr>
      <w:r>
        <w:rPr>
          <w:rFonts w:ascii="Arial" w:hAnsi="Arial" w:cs="Arial" w:eastAsia="Arial" w:hint="default"/>
        </w:rPr>
        <w:t>7</w:t>
      </w:r>
      <w:r>
        <w:rPr/>
        <w:t>、</w:t>
      </w:r>
      <w:r>
        <w:rPr>
          <w:spacing w:val="-37"/>
        </w:rPr>
        <w:t> </w:t>
      </w:r>
      <w:r>
        <w:rPr/>
        <w:t>现金及现金等价物</w:t>
      </w:r>
    </w:p>
    <w:p>
      <w:pPr>
        <w:spacing w:line="240" w:lineRule="auto" w:before="13"/>
        <w:rPr>
          <w:rFonts w:ascii="宋体" w:hAnsi="宋体" w:cs="宋体" w:eastAsia="宋体" w:hint="default"/>
          <w:sz w:val="18"/>
          <w:szCs w:val="18"/>
        </w:rPr>
      </w:pPr>
    </w:p>
    <w:p>
      <w:pPr>
        <w:pStyle w:val="BodyText"/>
        <w:spacing w:line="284" w:lineRule="exact"/>
        <w:ind w:left="538" w:right="103"/>
        <w:jc w:val="both"/>
      </w:pPr>
      <w:r>
        <w:rPr>
          <w:spacing w:val="-1"/>
        </w:rPr>
        <w:t>现金及现金等价物是指库存现金，可随时用于支付的存款，以及持有的期限短（一般不超过</w:t>
      </w:r>
      <w:r>
        <w:rPr>
          <w:rFonts w:ascii="Arial" w:hAnsi="Arial" w:cs="Arial" w:eastAsia="Arial" w:hint="default"/>
          <w:spacing w:val="-1"/>
        </w:rPr>
        <w:t>3</w:t>
      </w:r>
      <w:r>
        <w:rPr>
          <w:rFonts w:ascii="Arial" w:hAnsi="Arial" w:cs="Arial" w:eastAsia="Arial" w:hint="default"/>
          <w:spacing w:val="-53"/>
        </w:rPr>
        <w:t> </w:t>
      </w:r>
      <w:r>
        <w:rPr/>
        <w:t>个月）、流动性强、易于转换为已知金额现金、价值变动风险很小的投资。</w:t>
      </w:r>
    </w:p>
    <w:p>
      <w:pPr>
        <w:pStyle w:val="BodyText"/>
        <w:spacing w:line="240" w:lineRule="auto" w:before="196"/>
        <w:ind w:left="118" w:right="3262"/>
        <w:jc w:val="left"/>
      </w:pPr>
      <w:r>
        <w:rPr>
          <w:rFonts w:ascii="Arial" w:hAnsi="Arial" w:cs="Arial" w:eastAsia="Arial" w:hint="default"/>
        </w:rPr>
        <w:t>8</w:t>
      </w:r>
      <w:r>
        <w:rPr/>
        <w:t>、</w:t>
      </w:r>
      <w:r>
        <w:rPr>
          <w:spacing w:val="-38"/>
        </w:rPr>
        <w:t> </w:t>
      </w:r>
      <w:r>
        <w:rPr/>
        <w:t>外币折算</w:t>
      </w:r>
    </w:p>
    <w:p>
      <w:pPr>
        <w:pStyle w:val="BodyText"/>
        <w:spacing w:line="240" w:lineRule="auto" w:before="189"/>
        <w:ind w:left="118" w:right="3262"/>
        <w:jc w:val="left"/>
      </w:pPr>
      <w:r>
        <w:rPr>
          <w:rFonts w:ascii="Arial" w:hAnsi="Arial" w:cs="Arial" w:eastAsia="Arial" w:hint="default"/>
        </w:rPr>
        <w:t>(a) </w:t>
      </w:r>
      <w:r>
        <w:rPr>
          <w:rFonts w:ascii="Arial" w:hAnsi="Arial" w:cs="Arial" w:eastAsia="Arial" w:hint="default"/>
          <w:spacing w:val="23"/>
        </w:rPr>
        <w:t> </w:t>
      </w:r>
      <w:r>
        <w:rPr/>
        <w:t>外币交易</w:t>
      </w:r>
    </w:p>
    <w:p>
      <w:pPr>
        <w:spacing w:line="240" w:lineRule="auto" w:before="9"/>
        <w:rPr>
          <w:rFonts w:ascii="宋体" w:hAnsi="宋体" w:cs="宋体" w:eastAsia="宋体" w:hint="default"/>
          <w:sz w:val="16"/>
          <w:szCs w:val="16"/>
        </w:rPr>
      </w:pPr>
    </w:p>
    <w:p>
      <w:pPr>
        <w:pStyle w:val="BodyText"/>
        <w:spacing w:line="240" w:lineRule="auto"/>
        <w:ind w:left="538" w:right="0"/>
        <w:jc w:val="both"/>
      </w:pPr>
      <w:r>
        <w:rPr/>
        <w:t>外币交易按交易发生日的即期汇率将外币金额折算为人民币入账。</w:t>
      </w:r>
    </w:p>
    <w:p>
      <w:pPr>
        <w:spacing w:line="240" w:lineRule="auto" w:before="3"/>
        <w:rPr>
          <w:rFonts w:ascii="宋体" w:hAnsi="宋体" w:cs="宋体" w:eastAsia="宋体" w:hint="default"/>
          <w:sz w:val="21"/>
          <w:szCs w:val="21"/>
        </w:rPr>
      </w:pPr>
    </w:p>
    <w:p>
      <w:pPr>
        <w:pStyle w:val="BodyText"/>
        <w:spacing w:line="286" w:lineRule="exact"/>
        <w:ind w:left="538" w:right="103"/>
        <w:jc w:val="both"/>
      </w:pPr>
      <w:r>
        <w:rPr>
          <w:spacing w:val="2"/>
        </w:rPr>
        <w:t>于资产负债表日，外币货币性项目采用资产负债表日的即期汇率折算为人民币。为购建符合</w:t>
      </w:r>
      <w:r>
        <w:rPr>
          <w:w w:val="99"/>
        </w:rPr>
        <w:t> </w:t>
      </w:r>
      <w:r>
        <w:rPr>
          <w:spacing w:val="2"/>
        </w:rPr>
        <w:t>借款费用资本化条件的资产而借入的外币专门借款产生的汇兑差额在资本化期间内予以资本</w:t>
      </w:r>
      <w:r>
        <w:rPr>
          <w:w w:val="99"/>
        </w:rPr>
        <w:t> </w:t>
      </w:r>
      <w:r>
        <w:rPr>
          <w:spacing w:val="2"/>
        </w:rPr>
        <w:t>化；其他汇兑差额直接计入当期损益。以历史成本计量的外币非货币性项目，于资产负债表</w:t>
      </w:r>
      <w:r>
        <w:rPr>
          <w:w w:val="99"/>
        </w:rPr>
        <w:t> </w:t>
      </w:r>
      <w:r>
        <w:rPr/>
        <w:t>日采用交易发生日的即期汇率折算。汇率变动对现金的影响额，在现金流量表中单独列示。</w:t>
      </w:r>
    </w:p>
    <w:p>
      <w:pPr>
        <w:spacing w:after="0" w:line="286" w:lineRule="exact"/>
        <w:jc w:val="both"/>
        <w:sectPr>
          <w:headerReference w:type="default" r:id="rId43"/>
          <w:pgSz w:w="11900" w:h="16840"/>
          <w:pgMar w:header="967" w:footer="600" w:top="2820" w:bottom="780" w:left="1440" w:right="920"/>
        </w:sectPr>
      </w:pPr>
    </w:p>
    <w:p>
      <w:pPr>
        <w:spacing w:line="240" w:lineRule="auto" w:before="13"/>
        <w:rPr>
          <w:rFonts w:ascii="宋体" w:hAnsi="宋体" w:cs="宋体" w:eastAsia="宋体" w:hint="default"/>
          <w:sz w:val="21"/>
          <w:szCs w:val="21"/>
        </w:rPr>
      </w:pPr>
    </w:p>
    <w:p>
      <w:pPr>
        <w:pStyle w:val="BodyText"/>
        <w:spacing w:line="240" w:lineRule="auto" w:before="31"/>
        <w:ind w:left="118" w:right="3262"/>
        <w:jc w:val="left"/>
      </w:pPr>
      <w:r>
        <w:rPr>
          <w:rFonts w:ascii="Arial" w:hAnsi="Arial" w:cs="Arial" w:eastAsia="Arial" w:hint="default"/>
        </w:rPr>
        <w:t>8</w:t>
      </w:r>
      <w:r>
        <w:rPr/>
        <w:t>、</w:t>
      </w:r>
      <w:r>
        <w:rPr>
          <w:spacing w:val="-37"/>
        </w:rPr>
        <w:t> </w:t>
      </w:r>
      <w:r>
        <w:rPr/>
        <w:t>外币折算（续）</w:t>
      </w:r>
    </w:p>
    <w:p>
      <w:pPr>
        <w:pStyle w:val="BodyText"/>
        <w:spacing w:line="240" w:lineRule="auto" w:before="193"/>
        <w:ind w:left="118" w:right="3262"/>
        <w:jc w:val="left"/>
      </w:pPr>
      <w:r>
        <w:rPr>
          <w:rFonts w:ascii="Arial" w:hAnsi="Arial" w:cs="Arial" w:eastAsia="Arial" w:hint="default"/>
        </w:rPr>
        <w:t>(b) </w:t>
      </w:r>
      <w:r>
        <w:rPr>
          <w:rFonts w:ascii="Arial" w:hAnsi="Arial" w:cs="Arial" w:eastAsia="Arial" w:hint="default"/>
          <w:spacing w:val="23"/>
        </w:rPr>
        <w:t> </w:t>
      </w:r>
      <w:r>
        <w:rPr/>
        <w:t>外币财务报表的折算</w:t>
      </w:r>
    </w:p>
    <w:p>
      <w:pPr>
        <w:spacing w:line="240" w:lineRule="auto" w:before="10"/>
        <w:rPr>
          <w:rFonts w:ascii="宋体" w:hAnsi="宋体" w:cs="宋体" w:eastAsia="宋体" w:hint="default"/>
          <w:sz w:val="16"/>
          <w:szCs w:val="16"/>
        </w:rPr>
      </w:pPr>
    </w:p>
    <w:p>
      <w:pPr>
        <w:pStyle w:val="BodyText"/>
        <w:spacing w:line="237" w:lineRule="auto"/>
        <w:ind w:left="538" w:right="103"/>
        <w:jc w:val="both"/>
      </w:pPr>
      <w:r>
        <w:rPr>
          <w:spacing w:val="2"/>
        </w:rPr>
        <w:t>境外经营的子公司资产负债表中的资产和负债项目，采用资产负债表日的即期汇率折算，股</w:t>
      </w:r>
      <w:r>
        <w:rPr>
          <w:w w:val="99"/>
        </w:rPr>
        <w:t> </w:t>
      </w:r>
      <w:r>
        <w:rPr>
          <w:spacing w:val="2"/>
        </w:rPr>
        <w:t>东权益中除未分配利润项目外，其他项目采用发生时的即期汇率折算。境外经营的子公司利</w:t>
      </w:r>
      <w:r>
        <w:rPr>
          <w:w w:val="99"/>
        </w:rPr>
        <w:t> </w:t>
      </w:r>
      <w:r>
        <w:rPr>
          <w:spacing w:val="2"/>
        </w:rPr>
        <w:t>润表中的收入与费用项目，采用交易发生日的即期汇率之近似汇率折算。上述折算产生的外</w:t>
      </w:r>
      <w:r>
        <w:rPr>
          <w:w w:val="99"/>
        </w:rPr>
        <w:t> </w:t>
      </w:r>
      <w:r>
        <w:rPr>
          <w:spacing w:val="2"/>
        </w:rPr>
        <w:t>币报表折算差额，在股东权益中以单独项目列示。境外经营的子公司现金流量项目，采用现</w:t>
      </w:r>
      <w:r>
        <w:rPr>
          <w:w w:val="99"/>
        </w:rPr>
        <w:t> </w:t>
      </w:r>
      <w:r>
        <w:rPr>
          <w:spacing w:val="2"/>
        </w:rPr>
        <w:t>金流量发生日的即期汇率之近似汇率折算。汇率变动对现金的影响额，在现金流量表中单独</w:t>
      </w:r>
      <w:r>
        <w:rPr>
          <w:w w:val="99"/>
        </w:rPr>
        <w:t> </w:t>
      </w:r>
      <w:r>
        <w:rPr/>
        <w:t>列示。</w:t>
      </w:r>
    </w:p>
    <w:p>
      <w:pPr>
        <w:spacing w:line="240" w:lineRule="auto" w:before="13"/>
        <w:rPr>
          <w:rFonts w:ascii="宋体" w:hAnsi="宋体" w:cs="宋体" w:eastAsia="宋体" w:hint="default"/>
          <w:sz w:val="16"/>
          <w:szCs w:val="16"/>
        </w:rPr>
      </w:pPr>
    </w:p>
    <w:p>
      <w:pPr>
        <w:pStyle w:val="BodyText"/>
        <w:spacing w:line="240" w:lineRule="auto"/>
        <w:ind w:left="118" w:right="3262"/>
        <w:jc w:val="left"/>
      </w:pPr>
      <w:r>
        <w:rPr>
          <w:rFonts w:ascii="Arial" w:hAnsi="Arial" w:cs="Arial" w:eastAsia="Arial" w:hint="default"/>
        </w:rPr>
        <w:t>9</w:t>
      </w:r>
      <w:r>
        <w:rPr/>
        <w:t>、</w:t>
      </w:r>
      <w:r>
        <w:rPr>
          <w:spacing w:val="-38"/>
        </w:rPr>
        <w:t> </w:t>
      </w:r>
      <w:r>
        <w:rPr/>
        <w:t>金融工具</w:t>
      </w:r>
    </w:p>
    <w:p>
      <w:pPr>
        <w:pStyle w:val="BodyText"/>
        <w:spacing w:line="240" w:lineRule="auto" w:before="176"/>
        <w:ind w:left="118" w:right="3262"/>
        <w:jc w:val="left"/>
      </w:pPr>
      <w:r>
        <w:rPr>
          <w:rFonts w:ascii="Arial" w:hAnsi="Arial" w:cs="Arial" w:eastAsia="Arial" w:hint="default"/>
        </w:rPr>
        <w:t>(a) </w:t>
      </w:r>
      <w:r>
        <w:rPr>
          <w:rFonts w:ascii="Arial" w:hAnsi="Arial" w:cs="Arial" w:eastAsia="Arial" w:hint="default"/>
          <w:spacing w:val="23"/>
        </w:rPr>
        <w:t> </w:t>
      </w:r>
      <w:r>
        <w:rPr/>
        <w:t>金融资产</w:t>
      </w:r>
    </w:p>
    <w:p>
      <w:pPr>
        <w:pStyle w:val="BodyText"/>
        <w:spacing w:line="240" w:lineRule="auto" w:before="189"/>
        <w:ind w:left="118" w:right="3262"/>
        <w:jc w:val="left"/>
      </w:pPr>
      <w:r>
        <w:rPr>
          <w:rFonts w:ascii="Arial" w:hAnsi="Arial" w:cs="Arial" w:eastAsia="Arial" w:hint="default"/>
        </w:rPr>
        <w:t>(1) </w:t>
      </w:r>
      <w:r>
        <w:rPr>
          <w:rFonts w:ascii="Arial" w:hAnsi="Arial" w:cs="Arial" w:eastAsia="Arial" w:hint="default"/>
          <w:spacing w:val="25"/>
        </w:rPr>
        <w:t> </w:t>
      </w:r>
      <w:r>
        <w:rPr/>
        <w:t>金融资产分类</w:t>
      </w:r>
    </w:p>
    <w:p>
      <w:pPr>
        <w:spacing w:line="240" w:lineRule="auto" w:before="10"/>
        <w:rPr>
          <w:rFonts w:ascii="宋体" w:hAnsi="宋体" w:cs="宋体" w:eastAsia="宋体" w:hint="default"/>
          <w:sz w:val="18"/>
          <w:szCs w:val="18"/>
        </w:rPr>
      </w:pPr>
    </w:p>
    <w:p>
      <w:pPr>
        <w:pStyle w:val="BodyText"/>
        <w:spacing w:line="286" w:lineRule="exact"/>
        <w:ind w:left="538" w:right="103"/>
        <w:jc w:val="both"/>
      </w:pPr>
      <w:r>
        <w:rPr>
          <w:spacing w:val="2"/>
        </w:rPr>
        <w:t>金融资产于初始确认时分类为：以公允价值计量且其变动计入当期损益的金融资产、应收款</w:t>
      </w:r>
      <w:r>
        <w:rPr>
          <w:w w:val="99"/>
        </w:rPr>
        <w:t> </w:t>
      </w:r>
      <w:r>
        <w:rPr>
          <w:spacing w:val="2"/>
        </w:rPr>
        <w:t>项、可供出售金融资产和持有至到期投资。金融资产的分类取决于本集团对金融资产的持有</w:t>
      </w:r>
      <w:r>
        <w:rPr>
          <w:w w:val="99"/>
        </w:rPr>
        <w:t> </w:t>
      </w:r>
      <w:r>
        <w:rPr/>
        <w:t>意图和持有能力。</w:t>
      </w:r>
    </w:p>
    <w:p>
      <w:pPr>
        <w:spacing w:line="240" w:lineRule="auto" w:before="2"/>
        <w:rPr>
          <w:rFonts w:ascii="宋体" w:hAnsi="宋体" w:cs="宋体" w:eastAsia="宋体" w:hint="default"/>
          <w:sz w:val="17"/>
          <w:szCs w:val="17"/>
        </w:rPr>
      </w:pPr>
    </w:p>
    <w:p>
      <w:pPr>
        <w:pStyle w:val="BodyText"/>
        <w:spacing w:line="240" w:lineRule="auto"/>
        <w:ind w:left="538" w:right="0"/>
        <w:jc w:val="both"/>
      </w:pPr>
      <w:r>
        <w:rPr>
          <w:rFonts w:ascii="Arial" w:hAnsi="Arial" w:cs="Arial" w:eastAsia="Arial" w:hint="default"/>
        </w:rPr>
        <w:t>(i)  </w:t>
      </w:r>
      <w:r>
        <w:rPr>
          <w:rFonts w:ascii="Arial" w:hAnsi="Arial" w:cs="Arial" w:eastAsia="Arial" w:hint="default"/>
          <w:spacing w:val="35"/>
        </w:rPr>
        <w:t> </w:t>
      </w:r>
      <w:r>
        <w:rPr/>
        <w:t>以公允价值计量且其变动计入当期损益的金融资产</w:t>
      </w:r>
    </w:p>
    <w:p>
      <w:pPr>
        <w:spacing w:line="240" w:lineRule="auto" w:before="0"/>
        <w:rPr>
          <w:rFonts w:ascii="宋体" w:hAnsi="宋体" w:cs="宋体" w:eastAsia="宋体" w:hint="default"/>
          <w:sz w:val="16"/>
          <w:szCs w:val="16"/>
        </w:rPr>
      </w:pPr>
    </w:p>
    <w:p>
      <w:pPr>
        <w:pStyle w:val="BodyText"/>
        <w:spacing w:line="286" w:lineRule="exact"/>
        <w:ind w:left="964" w:right="104"/>
        <w:jc w:val="both"/>
      </w:pPr>
      <w:r>
        <w:rPr>
          <w:spacing w:val="2"/>
        </w:rPr>
        <w:t>以公允价值计量且其变动计入当期损益的金融资产包括持有目的为短期内出售的金融资</w:t>
      </w:r>
      <w:r>
        <w:rPr>
          <w:spacing w:val="-99"/>
        </w:rPr>
        <w:t> </w:t>
      </w:r>
      <w:r>
        <w:rPr>
          <w:spacing w:val="-99"/>
        </w:rPr>
      </w:r>
      <w:r>
        <w:rPr/>
        <w:t>产，该资产在资产负债表中以交易性金融资产列示。</w:t>
      </w:r>
    </w:p>
    <w:p>
      <w:pPr>
        <w:spacing w:line="240" w:lineRule="auto" w:before="1"/>
        <w:rPr>
          <w:rFonts w:ascii="宋体" w:hAnsi="宋体" w:cs="宋体" w:eastAsia="宋体" w:hint="default"/>
          <w:sz w:val="17"/>
          <w:szCs w:val="17"/>
        </w:rPr>
      </w:pPr>
    </w:p>
    <w:p>
      <w:pPr>
        <w:pStyle w:val="ListParagraph"/>
        <w:numPr>
          <w:ilvl w:val="2"/>
          <w:numId w:val="1"/>
        </w:numPr>
        <w:tabs>
          <w:tab w:pos="956" w:val="left" w:leader="none"/>
        </w:tabs>
        <w:spacing w:line="240" w:lineRule="auto" w:before="0" w:after="0"/>
        <w:ind w:left="955" w:right="0" w:hanging="417"/>
        <w:jc w:val="both"/>
        <w:rPr>
          <w:rFonts w:ascii="宋体" w:hAnsi="宋体" w:cs="宋体" w:eastAsia="宋体" w:hint="default"/>
          <w:sz w:val="22"/>
          <w:szCs w:val="22"/>
        </w:rPr>
      </w:pPr>
      <w:r>
        <w:rPr>
          <w:rFonts w:ascii="宋体" w:hAnsi="宋体" w:cs="宋体" w:eastAsia="宋体" w:hint="default"/>
          <w:sz w:val="22"/>
          <w:szCs w:val="22"/>
        </w:rPr>
        <w:t>应收款项</w:t>
      </w:r>
    </w:p>
    <w:p>
      <w:pPr>
        <w:spacing w:line="240" w:lineRule="auto" w:before="13"/>
        <w:rPr>
          <w:rFonts w:ascii="宋体" w:hAnsi="宋体" w:cs="宋体" w:eastAsia="宋体" w:hint="default"/>
          <w:sz w:val="17"/>
          <w:szCs w:val="17"/>
        </w:rPr>
      </w:pPr>
    </w:p>
    <w:p>
      <w:pPr>
        <w:pStyle w:val="BodyText"/>
        <w:spacing w:line="240" w:lineRule="auto"/>
        <w:ind w:left="964" w:right="0"/>
        <w:jc w:val="both"/>
      </w:pPr>
      <w:r>
        <w:rPr/>
        <w:t>应收款项是指在活跃市场中没有报价、回收金额固定或可确定的非衍生金融资产。</w:t>
      </w:r>
    </w:p>
    <w:p>
      <w:pPr>
        <w:spacing w:line="240" w:lineRule="auto" w:before="2"/>
        <w:rPr>
          <w:rFonts w:ascii="宋体" w:hAnsi="宋体" w:cs="宋体" w:eastAsia="宋体" w:hint="default"/>
          <w:sz w:val="19"/>
          <w:szCs w:val="19"/>
        </w:rPr>
      </w:pPr>
    </w:p>
    <w:p>
      <w:pPr>
        <w:pStyle w:val="BodyText"/>
        <w:spacing w:line="240" w:lineRule="auto"/>
        <w:ind w:left="538" w:right="0"/>
        <w:jc w:val="both"/>
      </w:pPr>
      <w:r>
        <w:rPr>
          <w:rFonts w:ascii="Arial" w:hAnsi="Arial" w:cs="Arial" w:eastAsia="Arial" w:hint="default"/>
        </w:rPr>
        <w:t>(iii)</w:t>
      </w:r>
      <w:r>
        <w:rPr>
          <w:rFonts w:ascii="Arial" w:hAnsi="Arial" w:cs="Arial" w:eastAsia="Arial" w:hint="default"/>
          <w:spacing w:val="59"/>
        </w:rPr>
        <w:t> </w:t>
      </w:r>
      <w:r>
        <w:rPr/>
        <w:t>可供出售金融资产</w:t>
      </w:r>
    </w:p>
    <w:p>
      <w:pPr>
        <w:pStyle w:val="BodyText"/>
        <w:spacing w:line="230" w:lineRule="auto" w:before="191"/>
        <w:ind w:left="964" w:right="103"/>
        <w:jc w:val="both"/>
      </w:pPr>
      <w:r>
        <w:rPr>
          <w:spacing w:val="2"/>
        </w:rPr>
        <w:t>可供出售金融资产包括初始确认时即被指定为可供出售的非衍生金融资产及未被划分为</w:t>
      </w:r>
      <w:r>
        <w:rPr>
          <w:spacing w:val="-99"/>
        </w:rPr>
        <w:t> </w:t>
      </w:r>
      <w:r>
        <w:rPr>
          <w:spacing w:val="-99"/>
        </w:rPr>
      </w:r>
      <w:r>
        <w:rPr>
          <w:spacing w:val="2"/>
        </w:rPr>
        <w:t>其他类的金融资产。自资产负债表日起</w:t>
      </w:r>
      <w:r>
        <w:rPr>
          <w:rFonts w:ascii="Arial" w:hAnsi="Arial" w:cs="Arial" w:eastAsia="Arial" w:hint="default"/>
          <w:spacing w:val="2"/>
        </w:rPr>
        <w:t>12</w:t>
      </w:r>
      <w:r>
        <w:rPr>
          <w:spacing w:val="2"/>
        </w:rPr>
        <w:t>个月内将出售的可供出售金融资产在资产负债</w:t>
      </w:r>
      <w:r>
        <w:rPr>
          <w:spacing w:val="2"/>
          <w:w w:val="99"/>
        </w:rPr>
        <w:t> </w:t>
      </w:r>
      <w:r>
        <w:rPr/>
        <w:t>表中列示为其他流动资产。</w:t>
      </w:r>
    </w:p>
    <w:p>
      <w:pPr>
        <w:spacing w:line="240" w:lineRule="auto" w:before="4"/>
        <w:rPr>
          <w:rFonts w:ascii="宋体" w:hAnsi="宋体" w:cs="宋体" w:eastAsia="宋体" w:hint="default"/>
          <w:sz w:val="19"/>
          <w:szCs w:val="19"/>
        </w:rPr>
      </w:pPr>
    </w:p>
    <w:p>
      <w:pPr>
        <w:pStyle w:val="BodyText"/>
        <w:spacing w:line="240" w:lineRule="auto"/>
        <w:ind w:left="538" w:right="0"/>
        <w:jc w:val="both"/>
      </w:pPr>
      <w:r>
        <w:rPr>
          <w:rFonts w:ascii="Arial" w:hAnsi="Arial" w:cs="Arial" w:eastAsia="Arial" w:hint="default"/>
        </w:rPr>
        <w:t>(iv)</w:t>
      </w:r>
      <w:r>
        <w:rPr>
          <w:rFonts w:ascii="Arial" w:hAnsi="Arial" w:cs="Arial" w:eastAsia="Arial" w:hint="default"/>
          <w:spacing w:val="45"/>
        </w:rPr>
        <w:t> </w:t>
      </w:r>
      <w:r>
        <w:rPr/>
        <w:t>持有至到期投资</w:t>
      </w:r>
    </w:p>
    <w:p>
      <w:pPr>
        <w:spacing w:line="240" w:lineRule="auto" w:before="10"/>
        <w:rPr>
          <w:rFonts w:ascii="宋体" w:hAnsi="宋体" w:cs="宋体" w:eastAsia="宋体" w:hint="default"/>
          <w:sz w:val="18"/>
          <w:szCs w:val="18"/>
        </w:rPr>
      </w:pPr>
    </w:p>
    <w:p>
      <w:pPr>
        <w:pStyle w:val="BodyText"/>
        <w:spacing w:line="230" w:lineRule="auto"/>
        <w:ind w:left="964" w:right="104"/>
        <w:jc w:val="both"/>
      </w:pPr>
      <w:r>
        <w:rPr>
          <w:spacing w:val="2"/>
        </w:rPr>
        <w:t>持有至到期投资是指到期日固定、回收金额固定或可确定，且管理层有明确意图和能力</w:t>
      </w:r>
      <w:r>
        <w:rPr>
          <w:spacing w:val="-99"/>
        </w:rPr>
        <w:t> </w:t>
      </w:r>
      <w:r>
        <w:rPr>
          <w:spacing w:val="-99"/>
        </w:rPr>
      </w:r>
      <w:r>
        <w:rPr/>
        <w:t>持有至到期的非衍生金融资产。取得时期限超过</w:t>
      </w:r>
      <w:r>
        <w:rPr>
          <w:rFonts w:ascii="Arial" w:hAnsi="Arial" w:cs="Arial" w:eastAsia="Arial" w:hint="default"/>
        </w:rPr>
        <w:t>12</w:t>
      </w:r>
      <w:r>
        <w:rPr/>
        <w:t>个月但自资产负债表日起</w:t>
      </w:r>
      <w:r>
        <w:rPr>
          <w:rFonts w:ascii="Arial" w:hAnsi="Arial" w:cs="Arial" w:eastAsia="Arial" w:hint="default"/>
        </w:rPr>
        <w:t>12</w:t>
      </w:r>
      <w:r>
        <w:rPr/>
        <w:t>个月（含</w:t>
      </w:r>
      <w:r>
        <w:rPr>
          <w:spacing w:val="-66"/>
        </w:rPr>
        <w:t> </w:t>
      </w:r>
      <w:r>
        <w:rPr>
          <w:spacing w:val="-66"/>
        </w:rPr>
      </w:r>
      <w:r>
        <w:rPr>
          <w:rFonts w:ascii="Arial" w:hAnsi="Arial" w:cs="Arial" w:eastAsia="Arial" w:hint="default"/>
        </w:rPr>
        <w:t>12</w:t>
      </w:r>
      <w:r>
        <w:rPr/>
        <w:t>个月）内到期的持有至到期投资，列示为一年内到期的非流动资产；取得时期限在</w:t>
      </w:r>
      <w:r>
        <w:rPr>
          <w:rFonts w:ascii="Arial" w:hAnsi="Arial" w:cs="Arial" w:eastAsia="Arial" w:hint="default"/>
        </w:rPr>
        <w:t>12</w:t>
      </w:r>
      <w:r>
        <w:rPr>
          <w:rFonts w:ascii="Arial" w:hAnsi="Arial" w:cs="Arial" w:eastAsia="Arial" w:hint="default"/>
          <w:spacing w:val="-16"/>
        </w:rPr>
        <w:t> </w:t>
      </w:r>
      <w:r>
        <w:rPr/>
        <w:t>个月之内（含</w:t>
      </w:r>
      <w:r>
        <w:rPr>
          <w:rFonts w:ascii="Arial" w:hAnsi="Arial" w:cs="Arial" w:eastAsia="Arial" w:hint="default"/>
        </w:rPr>
        <w:t>12</w:t>
      </w:r>
      <w:r>
        <w:rPr/>
        <w:t>个月）的持有至到期投资，列示为其他流动资产。</w:t>
      </w:r>
    </w:p>
    <w:p>
      <w:pPr>
        <w:spacing w:after="0" w:line="230" w:lineRule="auto"/>
        <w:jc w:val="both"/>
        <w:sectPr>
          <w:headerReference w:type="default" r:id="rId44"/>
          <w:pgSz w:w="11900" w:h="16840"/>
          <w:pgMar w:header="967" w:footer="600" w:top="2820" w:bottom="780" w:left="1440" w:right="920"/>
        </w:sectPr>
      </w:pPr>
    </w:p>
    <w:p>
      <w:pPr>
        <w:spacing w:line="240" w:lineRule="auto" w:before="6"/>
        <w:rPr>
          <w:rFonts w:ascii="宋体" w:hAnsi="宋体" w:cs="宋体" w:eastAsia="宋体" w:hint="default"/>
          <w:sz w:val="12"/>
          <w:szCs w:val="12"/>
        </w:rPr>
      </w:pPr>
    </w:p>
    <w:p>
      <w:pPr>
        <w:pStyle w:val="BodyText"/>
        <w:spacing w:line="240" w:lineRule="auto" w:before="31"/>
        <w:ind w:left="118" w:right="91"/>
        <w:jc w:val="left"/>
      </w:pPr>
      <w:r>
        <w:rPr>
          <w:rFonts w:ascii="Arial" w:hAnsi="Arial" w:cs="Arial" w:eastAsia="Arial" w:hint="default"/>
        </w:rPr>
        <w:t>(2) </w:t>
      </w:r>
      <w:r>
        <w:rPr>
          <w:rFonts w:ascii="Arial" w:hAnsi="Arial" w:cs="Arial" w:eastAsia="Arial" w:hint="default"/>
          <w:spacing w:val="24"/>
        </w:rPr>
        <w:t> </w:t>
      </w:r>
      <w:r>
        <w:rPr/>
        <w:t>确认和计量</w:t>
      </w:r>
    </w:p>
    <w:p>
      <w:pPr>
        <w:pStyle w:val="BodyText"/>
        <w:spacing w:line="286" w:lineRule="exact" w:before="192"/>
        <w:ind w:left="538" w:right="223"/>
        <w:jc w:val="both"/>
      </w:pPr>
      <w:r>
        <w:rPr>
          <w:spacing w:val="2"/>
        </w:rPr>
        <w:t>金融资产于本集团成为金融工具合同的一方时，按公允价值在资产负债表内确认。以公允价</w:t>
      </w:r>
      <w:r>
        <w:rPr>
          <w:w w:val="99"/>
        </w:rPr>
        <w:t> </w:t>
      </w:r>
      <w:r>
        <w:rPr>
          <w:spacing w:val="2"/>
        </w:rPr>
        <w:t>值计量且其变动计入当期损益的金融资产，取得时发生的相关交易费用直接计入当期损益。</w:t>
      </w:r>
      <w:r>
        <w:rPr>
          <w:w w:val="99"/>
        </w:rPr>
        <w:t> </w:t>
      </w:r>
      <w:r>
        <w:rPr/>
        <w:t>其他金融资产的相关交易费用计入初始确认金额。</w:t>
      </w:r>
    </w:p>
    <w:p>
      <w:pPr>
        <w:spacing w:line="240" w:lineRule="auto" w:before="3"/>
        <w:rPr>
          <w:rFonts w:ascii="宋体" w:hAnsi="宋体" w:cs="宋体" w:eastAsia="宋体" w:hint="default"/>
          <w:sz w:val="15"/>
          <w:szCs w:val="15"/>
        </w:rPr>
      </w:pPr>
    </w:p>
    <w:p>
      <w:pPr>
        <w:pStyle w:val="BodyText"/>
        <w:spacing w:line="286" w:lineRule="exact"/>
        <w:ind w:left="538" w:right="223"/>
        <w:jc w:val="both"/>
      </w:pPr>
      <w:r>
        <w:rPr>
          <w:spacing w:val="2"/>
        </w:rPr>
        <w:t>以公允价值计量且其变动计入当期损益的金融资产和可供出售金融资产按照公允价值进行后</w:t>
      </w:r>
      <w:r>
        <w:rPr>
          <w:w w:val="99"/>
        </w:rPr>
        <w:t> </w:t>
      </w:r>
      <w:r>
        <w:rPr>
          <w:spacing w:val="2"/>
        </w:rPr>
        <w:t>续计量，但在活跃市场中没有报价且其公允价值不能可靠计量的权益工具投资，按照成本计</w:t>
      </w:r>
      <w:r>
        <w:rPr>
          <w:w w:val="99"/>
        </w:rPr>
        <w:t> </w:t>
      </w:r>
      <w:r>
        <w:rPr/>
        <w:t>量；应收款项以及持有至到期投资采用实际利率法，以摊余成本计量。</w:t>
      </w:r>
    </w:p>
    <w:p>
      <w:pPr>
        <w:spacing w:line="240" w:lineRule="auto" w:before="3"/>
        <w:rPr>
          <w:rFonts w:ascii="宋体" w:hAnsi="宋体" w:cs="宋体" w:eastAsia="宋体" w:hint="default"/>
          <w:sz w:val="19"/>
          <w:szCs w:val="19"/>
        </w:rPr>
      </w:pPr>
    </w:p>
    <w:p>
      <w:pPr>
        <w:pStyle w:val="BodyText"/>
        <w:spacing w:line="286" w:lineRule="exact"/>
        <w:ind w:left="538" w:right="223"/>
        <w:jc w:val="both"/>
      </w:pPr>
      <w:r>
        <w:rPr>
          <w:spacing w:val="2"/>
        </w:rPr>
        <w:t>以公允价值计量且其变动计入当期损益的金融资产的公允价值变动作为公允价值变动损益计</w:t>
      </w:r>
      <w:r>
        <w:rPr>
          <w:w w:val="99"/>
        </w:rPr>
        <w:t> </w:t>
      </w:r>
      <w:r>
        <w:rPr>
          <w:spacing w:val="2"/>
        </w:rPr>
        <w:t>入当期损益；在资产持有期间所取得的利息或现金股利以及在处置时产生的处置损益，计入</w:t>
      </w:r>
      <w:r>
        <w:rPr>
          <w:w w:val="99"/>
        </w:rPr>
        <w:t> </w:t>
      </w:r>
      <w:r>
        <w:rPr/>
        <w:t>当期损益。</w:t>
      </w:r>
    </w:p>
    <w:p>
      <w:pPr>
        <w:spacing w:line="240" w:lineRule="auto" w:before="3"/>
        <w:rPr>
          <w:rFonts w:ascii="宋体" w:hAnsi="宋体" w:cs="宋体" w:eastAsia="宋体" w:hint="default"/>
          <w:sz w:val="15"/>
          <w:szCs w:val="15"/>
        </w:rPr>
      </w:pPr>
    </w:p>
    <w:p>
      <w:pPr>
        <w:pStyle w:val="BodyText"/>
        <w:spacing w:line="286" w:lineRule="exact"/>
        <w:ind w:left="538" w:right="91"/>
        <w:jc w:val="left"/>
      </w:pPr>
      <w:r>
        <w:rPr>
          <w:spacing w:val="2"/>
        </w:rPr>
        <w:t>除减值损失及外币货币性金融资产形成的汇兑损益外，可供出售金融资产公允价值变动计入</w:t>
      </w:r>
      <w:r>
        <w:rPr>
          <w:w w:val="99"/>
        </w:rPr>
        <w:t> </w:t>
      </w:r>
      <w:r>
        <w:rPr>
          <w:w w:val="95"/>
        </w:rPr>
        <w:t>股东权益，待该金融资产终止确认时，原直接计入权益的公允价值变动累计额转入当期损益。</w:t>
      </w:r>
      <w:r>
        <w:rPr>
          <w:spacing w:val="14"/>
          <w:w w:val="95"/>
        </w:rPr>
        <w:t> </w:t>
      </w:r>
      <w:r>
        <w:rPr>
          <w:spacing w:val="14"/>
          <w:w w:val="95"/>
        </w:rPr>
      </w:r>
      <w:r>
        <w:rPr>
          <w:spacing w:val="2"/>
        </w:rPr>
        <w:t>可供出售债务工具投资在持有期间按实际利率法计算的利息，以及被投资单位已宣告发放的</w:t>
      </w:r>
      <w:r>
        <w:rPr>
          <w:w w:val="99"/>
        </w:rPr>
        <w:t> </w:t>
      </w:r>
      <w:r>
        <w:rPr/>
        <w:t>与可供出售权益工具投资相关的现金股利，作为投资收益计入当期损益。</w:t>
      </w:r>
    </w:p>
    <w:p>
      <w:pPr>
        <w:pStyle w:val="BodyText"/>
        <w:spacing w:line="240" w:lineRule="auto" w:before="194"/>
        <w:ind w:left="118" w:right="91"/>
        <w:jc w:val="left"/>
      </w:pPr>
      <w:r>
        <w:rPr>
          <w:rFonts w:ascii="Arial" w:hAnsi="Arial" w:cs="Arial" w:eastAsia="Arial" w:hint="default"/>
        </w:rPr>
        <w:t>(3) </w:t>
      </w:r>
      <w:r>
        <w:rPr>
          <w:rFonts w:ascii="Arial" w:hAnsi="Arial" w:cs="Arial" w:eastAsia="Arial" w:hint="default"/>
          <w:spacing w:val="25"/>
        </w:rPr>
        <w:t> </w:t>
      </w:r>
      <w:r>
        <w:rPr/>
        <w:t>金融资产减值</w:t>
      </w:r>
    </w:p>
    <w:p>
      <w:pPr>
        <w:spacing w:line="240" w:lineRule="auto" w:before="11"/>
        <w:rPr>
          <w:rFonts w:ascii="宋体" w:hAnsi="宋体" w:cs="宋体" w:eastAsia="宋体" w:hint="default"/>
          <w:sz w:val="18"/>
          <w:szCs w:val="18"/>
        </w:rPr>
      </w:pPr>
    </w:p>
    <w:p>
      <w:pPr>
        <w:pStyle w:val="BodyText"/>
        <w:spacing w:line="286" w:lineRule="exact"/>
        <w:ind w:left="538" w:right="223"/>
        <w:jc w:val="both"/>
      </w:pPr>
      <w:r>
        <w:rPr>
          <w:spacing w:val="2"/>
        </w:rPr>
        <w:t>除以公允价值计量且其变动计入当期损益的金融资产外，本集团于资产负债表日对金融资产</w:t>
      </w:r>
      <w:r>
        <w:rPr>
          <w:w w:val="99"/>
        </w:rPr>
        <w:t> </w:t>
      </w:r>
      <w:r>
        <w:rPr/>
        <w:t>的账面价值进行检查，如果有客观证据表明某项金融资产发生减值的，计提减值准备。</w:t>
      </w:r>
    </w:p>
    <w:p>
      <w:pPr>
        <w:spacing w:line="240" w:lineRule="auto" w:before="3"/>
        <w:rPr>
          <w:rFonts w:ascii="宋体" w:hAnsi="宋体" w:cs="宋体" w:eastAsia="宋体" w:hint="default"/>
          <w:sz w:val="19"/>
          <w:szCs w:val="19"/>
        </w:rPr>
      </w:pPr>
    </w:p>
    <w:p>
      <w:pPr>
        <w:pStyle w:val="BodyText"/>
        <w:spacing w:line="286" w:lineRule="exact"/>
        <w:ind w:left="538" w:right="115"/>
        <w:jc w:val="both"/>
      </w:pPr>
      <w:r>
        <w:rPr>
          <w:spacing w:val="2"/>
        </w:rPr>
        <w:t>以摊余成本计量的金融资产发生减值时，按预计未来现金流量（不包括尚未发生的未来信用</w:t>
      </w:r>
      <w:r>
        <w:rPr>
          <w:w w:val="99"/>
        </w:rPr>
        <w:t> </w:t>
      </w:r>
      <w:r>
        <w:rPr>
          <w:spacing w:val="2"/>
        </w:rPr>
        <w:t>损失）现值低于账面价值的差额，计提减值准备。如果有客观证据表明该金融资产价值已恢</w:t>
      </w:r>
      <w:r>
        <w:rPr>
          <w:w w:val="99"/>
        </w:rPr>
        <w:t> </w:t>
      </w:r>
      <w:r>
        <w:rPr>
          <w:w w:val="95"/>
        </w:rPr>
        <w:t>复，且客观上与确认该损失后发生的事项有关，原确认的减值损失予以转回，计入当期损益。</w:t>
      </w:r>
      <w:r>
        <w:rPr/>
      </w:r>
    </w:p>
    <w:p>
      <w:pPr>
        <w:spacing w:line="240" w:lineRule="auto" w:before="3"/>
        <w:rPr>
          <w:rFonts w:ascii="宋体" w:hAnsi="宋体" w:cs="宋体" w:eastAsia="宋体" w:hint="default"/>
          <w:sz w:val="19"/>
          <w:szCs w:val="19"/>
        </w:rPr>
      </w:pPr>
    </w:p>
    <w:p>
      <w:pPr>
        <w:pStyle w:val="BodyText"/>
        <w:spacing w:line="286" w:lineRule="exact"/>
        <w:ind w:left="538" w:right="223"/>
        <w:jc w:val="both"/>
      </w:pPr>
      <w:r>
        <w:rPr>
          <w:spacing w:val="2"/>
        </w:rPr>
        <w:t>当有客观证据表明可供出售金融资产发生减值时，原直接计入股东权益的因公允价值下降形</w:t>
      </w:r>
      <w:r>
        <w:rPr>
          <w:w w:val="99"/>
        </w:rPr>
        <w:t> </w:t>
      </w:r>
      <w:r>
        <w:rPr>
          <w:spacing w:val="2"/>
        </w:rPr>
        <w:t>成的累计损失予以转出并计入减值损失。对已确认减值损失的可供出售债务工具投资，在期</w:t>
      </w:r>
      <w:r>
        <w:rPr>
          <w:w w:val="99"/>
        </w:rPr>
        <w:t> </w:t>
      </w:r>
      <w:r>
        <w:rPr>
          <w:spacing w:val="2"/>
        </w:rPr>
        <w:t>后公允价值上升且客观上与确认原减值损失后发生的事项有关的，原确认的减值损失予以转</w:t>
      </w:r>
      <w:r>
        <w:rPr>
          <w:w w:val="99"/>
        </w:rPr>
        <w:t> </w:t>
      </w:r>
      <w:r>
        <w:rPr>
          <w:spacing w:val="2"/>
        </w:rPr>
        <w:t>回并计入当期损益。对已确认减值损失的可供出售权益工具投资，期后公允价值上升直接计</w:t>
      </w:r>
      <w:r>
        <w:rPr>
          <w:w w:val="99"/>
        </w:rPr>
        <w:t> </w:t>
      </w:r>
      <w:r>
        <w:rPr/>
        <w:t>入股东权益。</w:t>
      </w:r>
    </w:p>
    <w:p>
      <w:pPr>
        <w:spacing w:after="0" w:line="286" w:lineRule="exact"/>
        <w:jc w:val="both"/>
        <w:sectPr>
          <w:headerReference w:type="default" r:id="rId45"/>
          <w:pgSz w:w="11900" w:h="16840"/>
          <w:pgMar w:header="967" w:footer="600" w:top="3900" w:bottom="780" w:left="1440" w:right="800"/>
        </w:sectPr>
      </w:pPr>
    </w:p>
    <w:p>
      <w:pPr>
        <w:spacing w:line="240" w:lineRule="auto" w:before="6"/>
        <w:rPr>
          <w:rFonts w:ascii="宋体" w:hAnsi="宋体" w:cs="宋体" w:eastAsia="宋体" w:hint="default"/>
          <w:sz w:val="12"/>
          <w:szCs w:val="12"/>
        </w:rPr>
      </w:pPr>
    </w:p>
    <w:p>
      <w:pPr>
        <w:pStyle w:val="BodyText"/>
        <w:spacing w:line="240" w:lineRule="auto" w:before="31"/>
        <w:ind w:left="118" w:right="888"/>
        <w:jc w:val="left"/>
      </w:pPr>
      <w:r>
        <w:rPr>
          <w:rFonts w:ascii="Arial" w:hAnsi="Arial" w:cs="Arial" w:eastAsia="Arial" w:hint="default"/>
        </w:rPr>
        <w:t>(4) </w:t>
      </w:r>
      <w:r>
        <w:rPr>
          <w:rFonts w:ascii="Arial" w:hAnsi="Arial" w:cs="Arial" w:eastAsia="Arial" w:hint="default"/>
          <w:spacing w:val="23"/>
        </w:rPr>
        <w:t> </w:t>
      </w:r>
      <w:r>
        <w:rPr/>
        <w:t>金融资产的终止确认</w:t>
      </w:r>
    </w:p>
    <w:p>
      <w:pPr>
        <w:spacing w:line="240" w:lineRule="auto" w:before="11"/>
        <w:rPr>
          <w:rFonts w:ascii="宋体" w:hAnsi="宋体" w:cs="宋体" w:eastAsia="宋体" w:hint="default"/>
          <w:sz w:val="17"/>
          <w:szCs w:val="17"/>
        </w:rPr>
      </w:pPr>
    </w:p>
    <w:p>
      <w:pPr>
        <w:pStyle w:val="BodyText"/>
        <w:spacing w:line="225" w:lineRule="auto"/>
        <w:ind w:left="538" w:right="123"/>
        <w:jc w:val="both"/>
      </w:pPr>
      <w:r>
        <w:rPr>
          <w:spacing w:val="-1"/>
        </w:rPr>
        <w:t>金融资产满足下列条件之一的，予以终止确认：（</w:t>
      </w:r>
      <w:r>
        <w:rPr>
          <w:rFonts w:ascii="Arial" w:hAnsi="Arial" w:cs="Arial" w:eastAsia="Arial" w:hint="default"/>
          <w:spacing w:val="-1"/>
        </w:rPr>
        <w:t>1</w:t>
      </w:r>
      <w:r>
        <w:rPr>
          <w:spacing w:val="-1"/>
        </w:rPr>
        <w:t>）收取该金融资产现金流量的合同权利终</w:t>
      </w:r>
      <w:r>
        <w:rPr>
          <w:spacing w:val="-103"/>
        </w:rPr>
        <w:t> </w:t>
      </w:r>
      <w:r>
        <w:rPr>
          <w:spacing w:val="-103"/>
        </w:rPr>
      </w:r>
      <w:r>
        <w:rPr>
          <w:spacing w:val="-1"/>
        </w:rPr>
        <w:t>止；（</w:t>
      </w:r>
      <w:r>
        <w:rPr>
          <w:rFonts w:ascii="Arial" w:hAnsi="Arial" w:cs="Arial" w:eastAsia="Arial" w:hint="default"/>
          <w:spacing w:val="-1"/>
        </w:rPr>
        <w:t>2</w:t>
      </w:r>
      <w:r>
        <w:rPr>
          <w:spacing w:val="-1"/>
        </w:rPr>
        <w:t>）该金融资产已转移，且本集团将金融资产所有权上几乎所有的风险和报酬转移给转</w:t>
      </w:r>
      <w:r>
        <w:rPr>
          <w:spacing w:val="-101"/>
        </w:rPr>
        <w:t> </w:t>
      </w:r>
      <w:r>
        <w:rPr>
          <w:spacing w:val="-101"/>
        </w:rPr>
      </w:r>
      <w:r>
        <w:rPr>
          <w:spacing w:val="-1"/>
        </w:rPr>
        <w:t>入方；或者（</w:t>
      </w:r>
      <w:r>
        <w:rPr>
          <w:rFonts w:ascii="Arial" w:hAnsi="Arial" w:cs="Arial" w:eastAsia="Arial" w:hint="default"/>
          <w:spacing w:val="-1"/>
        </w:rPr>
        <w:t>3</w:t>
      </w:r>
      <w:r>
        <w:rPr>
          <w:spacing w:val="-1"/>
        </w:rPr>
        <w:t>）该金融资产已转移，虽然本集团既没有转移也没有保留金融资产所有权上几</w:t>
      </w:r>
      <w:r>
        <w:rPr>
          <w:spacing w:val="-100"/>
        </w:rPr>
        <w:t> </w:t>
      </w:r>
      <w:r>
        <w:rPr>
          <w:spacing w:val="-100"/>
        </w:rPr>
      </w:r>
      <w:r>
        <w:rPr/>
        <w:t>乎所有的风险和报酬，但是放弃了对该金融资产控制。</w:t>
      </w:r>
    </w:p>
    <w:p>
      <w:pPr>
        <w:spacing w:line="240" w:lineRule="auto" w:before="5"/>
        <w:rPr>
          <w:rFonts w:ascii="宋体" w:hAnsi="宋体" w:cs="宋体" w:eastAsia="宋体" w:hint="default"/>
          <w:sz w:val="21"/>
          <w:szCs w:val="21"/>
        </w:rPr>
      </w:pPr>
    </w:p>
    <w:p>
      <w:pPr>
        <w:pStyle w:val="BodyText"/>
        <w:spacing w:line="286" w:lineRule="exact"/>
        <w:ind w:left="538" w:right="123"/>
        <w:jc w:val="both"/>
      </w:pPr>
      <w:r>
        <w:rPr>
          <w:spacing w:val="2"/>
        </w:rPr>
        <w:t>金融资产终止确认时，其账面价值与收到的对价以及原直接计入股东权益的公允价值变动累</w:t>
      </w:r>
      <w:r>
        <w:rPr>
          <w:w w:val="99"/>
        </w:rPr>
        <w:t> </w:t>
      </w:r>
      <w:r>
        <w:rPr/>
        <w:t>计额之和的差额，计入当期损益。</w:t>
      </w:r>
    </w:p>
    <w:p>
      <w:pPr>
        <w:pStyle w:val="BodyText"/>
        <w:spacing w:line="240" w:lineRule="auto" w:before="196"/>
        <w:ind w:left="118" w:right="888"/>
        <w:jc w:val="left"/>
      </w:pPr>
      <w:r>
        <w:rPr>
          <w:rFonts w:ascii="Arial" w:hAnsi="Arial" w:cs="Arial" w:eastAsia="Arial" w:hint="default"/>
        </w:rPr>
        <w:t>(b) </w:t>
      </w:r>
      <w:r>
        <w:rPr>
          <w:rFonts w:ascii="Arial" w:hAnsi="Arial" w:cs="Arial" w:eastAsia="Arial" w:hint="default"/>
          <w:spacing w:val="23"/>
        </w:rPr>
        <w:t> </w:t>
      </w:r>
      <w:r>
        <w:rPr/>
        <w:t>金融负债</w:t>
      </w:r>
    </w:p>
    <w:p>
      <w:pPr>
        <w:spacing w:line="240" w:lineRule="auto" w:before="13"/>
        <w:rPr>
          <w:rFonts w:ascii="宋体" w:hAnsi="宋体" w:cs="宋体" w:eastAsia="宋体" w:hint="default"/>
          <w:sz w:val="18"/>
          <w:szCs w:val="18"/>
        </w:rPr>
      </w:pPr>
    </w:p>
    <w:p>
      <w:pPr>
        <w:pStyle w:val="BodyText"/>
        <w:spacing w:line="284" w:lineRule="exact"/>
        <w:ind w:left="538" w:right="123"/>
        <w:jc w:val="both"/>
      </w:pPr>
      <w:r>
        <w:rPr>
          <w:spacing w:val="2"/>
        </w:rPr>
        <w:t>金融负债于初始确认时分类为以公允价值计量且其变动计入当期损益的金融负债和其他金融</w:t>
      </w:r>
      <w:r>
        <w:rPr>
          <w:w w:val="99"/>
        </w:rPr>
        <w:t> </w:t>
      </w:r>
      <w:r>
        <w:rPr/>
        <w:t>负债。本集团的金融负债主要为其他金融负债，包括应付款项、借款及应付债券等。</w:t>
      </w:r>
    </w:p>
    <w:p>
      <w:pPr>
        <w:spacing w:line="240" w:lineRule="auto" w:before="5"/>
        <w:rPr>
          <w:rFonts w:ascii="宋体" w:hAnsi="宋体" w:cs="宋体" w:eastAsia="宋体" w:hint="default"/>
          <w:sz w:val="19"/>
          <w:szCs w:val="19"/>
        </w:rPr>
      </w:pPr>
    </w:p>
    <w:p>
      <w:pPr>
        <w:pStyle w:val="BodyText"/>
        <w:spacing w:line="286" w:lineRule="exact"/>
        <w:ind w:left="538" w:right="123"/>
        <w:jc w:val="both"/>
      </w:pPr>
      <w:r>
        <w:rPr>
          <w:spacing w:val="2"/>
        </w:rPr>
        <w:t>应付款项包括应付账款、其他应付款等，以公允价值进行初始计量，并采用实际利率法按摊</w:t>
      </w:r>
      <w:r>
        <w:rPr>
          <w:w w:val="99"/>
        </w:rPr>
        <w:t> </w:t>
      </w:r>
      <w:r>
        <w:rPr/>
        <w:t>余成本进行后续计量。</w:t>
      </w:r>
    </w:p>
    <w:p>
      <w:pPr>
        <w:spacing w:line="240" w:lineRule="auto" w:before="3"/>
        <w:rPr>
          <w:rFonts w:ascii="宋体" w:hAnsi="宋体" w:cs="宋体" w:eastAsia="宋体" w:hint="default"/>
          <w:sz w:val="19"/>
          <w:szCs w:val="19"/>
        </w:rPr>
      </w:pPr>
    </w:p>
    <w:p>
      <w:pPr>
        <w:pStyle w:val="BodyText"/>
        <w:spacing w:line="286" w:lineRule="exact"/>
        <w:ind w:left="538" w:right="123"/>
        <w:jc w:val="both"/>
      </w:pPr>
      <w:r>
        <w:rPr>
          <w:spacing w:val="2"/>
        </w:rPr>
        <w:t>借款及应付债券（含短期融资券）按其公允价值扣除交易费用后的金额进行初始计量，并采</w:t>
      </w:r>
      <w:r>
        <w:rPr>
          <w:w w:val="99"/>
        </w:rPr>
        <w:t> </w:t>
      </w:r>
      <w:r>
        <w:rPr/>
        <w:t>用实际利率法按摊余成本进行后续计量。</w:t>
      </w:r>
    </w:p>
    <w:p>
      <w:pPr>
        <w:spacing w:line="240" w:lineRule="auto" w:before="5"/>
        <w:rPr>
          <w:rFonts w:ascii="宋体" w:hAnsi="宋体" w:cs="宋体" w:eastAsia="宋体" w:hint="default"/>
          <w:sz w:val="17"/>
          <w:szCs w:val="17"/>
        </w:rPr>
      </w:pPr>
    </w:p>
    <w:p>
      <w:pPr>
        <w:pStyle w:val="BodyText"/>
        <w:spacing w:line="237" w:lineRule="auto"/>
        <w:ind w:left="538" w:right="123"/>
        <w:jc w:val="both"/>
      </w:pPr>
      <w:r>
        <w:rPr>
          <w:spacing w:val="2"/>
        </w:rPr>
        <w:t>其他金融负债期限在一年以下（含一年）的，列示为流动负债；期限在一年以上但自资产负</w:t>
      </w:r>
      <w:r>
        <w:rPr>
          <w:w w:val="99"/>
        </w:rPr>
        <w:t> </w:t>
      </w:r>
      <w:r>
        <w:rPr>
          <w:spacing w:val="2"/>
        </w:rPr>
        <w:t>债表日起一年内（含一年）到期的，列示为一年内到期的非流动负债；其余列示为非流动负</w:t>
      </w:r>
      <w:r>
        <w:rPr>
          <w:w w:val="99"/>
        </w:rPr>
        <w:t> </w:t>
      </w:r>
      <w:r>
        <w:rPr/>
        <w:t>债。</w:t>
      </w:r>
    </w:p>
    <w:p>
      <w:pPr>
        <w:spacing w:line="240" w:lineRule="auto" w:before="6"/>
        <w:rPr>
          <w:rFonts w:ascii="宋体" w:hAnsi="宋体" w:cs="宋体" w:eastAsia="宋体" w:hint="default"/>
          <w:sz w:val="21"/>
          <w:szCs w:val="21"/>
        </w:rPr>
      </w:pPr>
    </w:p>
    <w:p>
      <w:pPr>
        <w:pStyle w:val="BodyText"/>
        <w:spacing w:line="284" w:lineRule="exact"/>
        <w:ind w:left="566" w:right="124"/>
        <w:jc w:val="both"/>
      </w:pPr>
      <w:r>
        <w:rPr/>
        <w:t>当金融负债的现时义务全部或部分已经解除时，终止确认该金融负债或义务已解除的部分。</w:t>
      </w:r>
      <w:r>
        <w:rPr>
          <w:spacing w:val="-58"/>
        </w:rPr>
        <w:t> </w:t>
      </w:r>
      <w:r>
        <w:rPr>
          <w:spacing w:val="-58"/>
        </w:rPr>
      </w:r>
      <w:r>
        <w:rPr/>
        <w:t>终止确认部分的账面价值与支付的对价之间的差额，计入当期损益。</w:t>
      </w:r>
    </w:p>
    <w:p>
      <w:pPr>
        <w:spacing w:line="240" w:lineRule="auto" w:before="5"/>
        <w:rPr>
          <w:rFonts w:ascii="宋体" w:hAnsi="宋体" w:cs="宋体" w:eastAsia="宋体" w:hint="default"/>
          <w:sz w:val="17"/>
          <w:szCs w:val="17"/>
        </w:rPr>
      </w:pPr>
    </w:p>
    <w:p>
      <w:pPr>
        <w:pStyle w:val="BodyText"/>
        <w:spacing w:line="237" w:lineRule="auto"/>
        <w:ind w:left="566" w:right="117"/>
        <w:jc w:val="both"/>
      </w:pPr>
      <w:r>
        <w:rPr/>
        <w:t>对于本集团发行的可按持有人的选择转换为股本的可转换债券（预计发行的股份数目不随其</w:t>
      </w:r>
      <w:r>
        <w:rPr>
          <w:spacing w:val="-58"/>
        </w:rPr>
        <w:t> </w:t>
      </w:r>
      <w:r>
        <w:rPr>
          <w:spacing w:val="-58"/>
        </w:rPr>
      </w:r>
      <w:r>
        <w:rPr/>
        <w:t>公允价值而改变），其公允价值被分拆为负债部分和权益部分，负债部分按没有股份转换选</w:t>
      </w:r>
      <w:r>
        <w:rPr>
          <w:spacing w:val="-58"/>
        </w:rPr>
        <w:t> </w:t>
      </w:r>
      <w:r>
        <w:rPr>
          <w:spacing w:val="-58"/>
        </w:rPr>
      </w:r>
      <w:r>
        <w:rPr>
          <w:spacing w:val="7"/>
        </w:rPr>
        <w:t>择权的相似负债的公允价值作为初始价值予以确认并根据期限列报于流动负债或非流动负</w:t>
      </w:r>
      <w:r>
        <w:rPr>
          <w:spacing w:val="-103"/>
        </w:rPr>
        <w:t> </w:t>
      </w:r>
      <w:r>
        <w:rPr>
          <w:spacing w:val="-103"/>
        </w:rPr>
      </w:r>
      <w:r>
        <w:rPr/>
        <w:t>债。权益部分按可转换债券的整体公允价值与负债部分的公允价值的差额作为初始确认，并</w:t>
      </w:r>
      <w:r>
        <w:rPr>
          <w:spacing w:val="-58"/>
        </w:rPr>
        <w:t> </w:t>
      </w:r>
      <w:r>
        <w:rPr>
          <w:spacing w:val="-58"/>
        </w:rPr>
      </w:r>
      <w:r>
        <w:rPr/>
        <w:t>计入股东权益项下。发行可转换债券发生的交易费用，在负债部分和权益部分之间按照各自</w:t>
      </w:r>
      <w:r>
        <w:rPr>
          <w:spacing w:val="-58"/>
        </w:rPr>
        <w:t> </w:t>
      </w:r>
      <w:r>
        <w:rPr>
          <w:spacing w:val="-58"/>
        </w:rPr>
      </w:r>
      <w:r>
        <w:rPr/>
        <w:t>的相对公允价值进行分摊。</w:t>
      </w:r>
    </w:p>
    <w:p>
      <w:pPr>
        <w:spacing w:line="240" w:lineRule="auto" w:before="3"/>
        <w:rPr>
          <w:rFonts w:ascii="宋体" w:hAnsi="宋体" w:cs="宋体" w:eastAsia="宋体" w:hint="default"/>
          <w:sz w:val="21"/>
          <w:szCs w:val="21"/>
        </w:rPr>
      </w:pPr>
    </w:p>
    <w:p>
      <w:pPr>
        <w:pStyle w:val="BodyText"/>
        <w:spacing w:line="286" w:lineRule="exact"/>
        <w:ind w:left="566" w:right="124"/>
        <w:jc w:val="both"/>
      </w:pPr>
      <w:r>
        <w:rPr/>
        <w:t>在完成初始确认后，可转换债券的负债组成部分以实际利率法按摊余成本进行后续计量。除</w:t>
      </w:r>
      <w:r>
        <w:rPr>
          <w:spacing w:val="-58"/>
        </w:rPr>
        <w:t> </w:t>
      </w:r>
      <w:r>
        <w:rPr>
          <w:spacing w:val="-58"/>
        </w:rPr>
      </w:r>
      <w:r>
        <w:rPr/>
        <w:t>非可转换债券的转换权被行使或者可转换债券到期，否则可转换债券的权益组成部分在初始</w:t>
      </w:r>
      <w:r>
        <w:rPr>
          <w:spacing w:val="-58"/>
        </w:rPr>
        <w:t> </w:t>
      </w:r>
      <w:r>
        <w:rPr>
          <w:spacing w:val="-58"/>
        </w:rPr>
      </w:r>
      <w:r>
        <w:rPr/>
        <w:t>确认后不再重新计量。</w:t>
      </w:r>
    </w:p>
    <w:p>
      <w:pPr>
        <w:spacing w:after="0" w:line="286" w:lineRule="exact"/>
        <w:jc w:val="both"/>
        <w:sectPr>
          <w:headerReference w:type="default" r:id="rId46"/>
          <w:pgSz w:w="11900" w:h="16840"/>
          <w:pgMar w:header="967" w:footer="600" w:top="3900" w:bottom="780" w:left="1440" w:right="900"/>
        </w:sectPr>
      </w:pPr>
    </w:p>
    <w:p>
      <w:pPr>
        <w:spacing w:line="240" w:lineRule="auto" w:before="6"/>
        <w:rPr>
          <w:rFonts w:ascii="宋体" w:hAnsi="宋体" w:cs="宋体" w:eastAsia="宋体" w:hint="default"/>
          <w:sz w:val="12"/>
          <w:szCs w:val="12"/>
        </w:rPr>
      </w:pPr>
    </w:p>
    <w:p>
      <w:pPr>
        <w:pStyle w:val="BodyText"/>
        <w:spacing w:line="240" w:lineRule="auto" w:before="31"/>
        <w:ind w:left="118" w:right="3262"/>
        <w:jc w:val="left"/>
      </w:pPr>
      <w:r>
        <w:rPr>
          <w:rFonts w:ascii="Arial" w:hAnsi="Arial" w:cs="Arial" w:eastAsia="Arial" w:hint="default"/>
        </w:rPr>
        <w:t>(c) </w:t>
      </w:r>
      <w:r>
        <w:rPr>
          <w:rFonts w:ascii="Arial" w:hAnsi="Arial" w:cs="Arial" w:eastAsia="Arial" w:hint="default"/>
          <w:spacing w:val="37"/>
        </w:rPr>
        <w:t> </w:t>
      </w:r>
      <w:r>
        <w:rPr/>
        <w:t>金融工具的公允价值确定</w:t>
      </w:r>
    </w:p>
    <w:p>
      <w:pPr>
        <w:spacing w:line="240" w:lineRule="auto" w:before="12"/>
        <w:rPr>
          <w:rFonts w:ascii="宋体" w:hAnsi="宋体" w:cs="宋体" w:eastAsia="宋体" w:hint="default"/>
          <w:sz w:val="16"/>
          <w:szCs w:val="16"/>
        </w:rPr>
      </w:pPr>
    </w:p>
    <w:p>
      <w:pPr>
        <w:pStyle w:val="BodyText"/>
        <w:spacing w:line="237" w:lineRule="auto"/>
        <w:ind w:left="566" w:right="104"/>
        <w:jc w:val="both"/>
      </w:pPr>
      <w:r>
        <w:rPr/>
        <w:t>存在活跃市场的金融工具，以活跃市场中的报价确定其公允价值。不存在活跃市场的金融工</w:t>
      </w:r>
      <w:r>
        <w:rPr>
          <w:spacing w:val="-58"/>
        </w:rPr>
        <w:t> </w:t>
      </w:r>
      <w:r>
        <w:rPr>
          <w:spacing w:val="-58"/>
        </w:rPr>
      </w:r>
      <w:r>
        <w:rPr/>
        <w:t>具，采用估值技术确定其公允价值。估值技术包括参考熟悉情况并自愿交易的各方最近进行</w:t>
      </w:r>
      <w:r>
        <w:rPr>
          <w:spacing w:val="-58"/>
        </w:rPr>
        <w:t> </w:t>
      </w:r>
      <w:r>
        <w:rPr>
          <w:spacing w:val="-58"/>
        </w:rPr>
      </w:r>
      <w:r>
        <w:rPr/>
        <w:t>的市场交易中使用的价格、参照实质上相同的其他金融资产的当前公允价值、现金流量折现</w:t>
      </w:r>
      <w:r>
        <w:rPr>
          <w:spacing w:val="-58"/>
        </w:rPr>
        <w:t> </w:t>
      </w:r>
      <w:r>
        <w:rPr>
          <w:spacing w:val="-58"/>
        </w:rPr>
      </w:r>
      <w:r>
        <w:rPr/>
        <w:t>法等。采用估值技术时，尽可能最大程度使用可观察到的市场参数，减少使用与本集团特定</w:t>
      </w:r>
      <w:r>
        <w:rPr>
          <w:spacing w:val="-58"/>
        </w:rPr>
        <w:t> </w:t>
      </w:r>
      <w:r>
        <w:rPr>
          <w:spacing w:val="-58"/>
        </w:rPr>
      </w:r>
      <w:r>
        <w:rPr/>
        <w:t>相关的参数。</w:t>
      </w:r>
    </w:p>
    <w:p>
      <w:pPr>
        <w:spacing w:line="240" w:lineRule="auto" w:before="12"/>
        <w:rPr>
          <w:rFonts w:ascii="宋体" w:hAnsi="宋体" w:cs="宋体" w:eastAsia="宋体" w:hint="default"/>
          <w:sz w:val="16"/>
          <w:szCs w:val="16"/>
        </w:rPr>
      </w:pPr>
    </w:p>
    <w:p>
      <w:pPr>
        <w:pStyle w:val="BodyText"/>
        <w:spacing w:line="240" w:lineRule="auto"/>
        <w:ind w:left="118" w:right="3262"/>
        <w:jc w:val="left"/>
      </w:pPr>
      <w:r>
        <w:rPr>
          <w:rFonts w:ascii="Arial" w:hAnsi="Arial" w:cs="Arial" w:eastAsia="Arial" w:hint="default"/>
        </w:rPr>
        <w:t>10</w:t>
      </w:r>
      <w:r>
        <w:rPr/>
        <w:t>、应收款项</w:t>
      </w:r>
    </w:p>
    <w:p>
      <w:pPr>
        <w:spacing w:line="240" w:lineRule="auto" w:before="12"/>
        <w:rPr>
          <w:rFonts w:ascii="宋体" w:hAnsi="宋体" w:cs="宋体" w:eastAsia="宋体" w:hint="default"/>
          <w:sz w:val="16"/>
          <w:szCs w:val="16"/>
        </w:rPr>
      </w:pPr>
    </w:p>
    <w:p>
      <w:pPr>
        <w:pStyle w:val="BodyText"/>
        <w:spacing w:line="237" w:lineRule="auto"/>
        <w:ind w:left="566" w:right="104"/>
        <w:jc w:val="both"/>
      </w:pPr>
      <w:r>
        <w:rPr/>
        <w:t>本集团的应收款项主要包括应收账款和其他应收款。本集团对外提供电信服务及其他劳务或</w:t>
      </w:r>
      <w:r>
        <w:rPr>
          <w:spacing w:val="-58"/>
        </w:rPr>
        <w:t> </w:t>
      </w:r>
      <w:r>
        <w:rPr>
          <w:spacing w:val="-58"/>
        </w:rPr>
      </w:r>
      <w:r>
        <w:rPr/>
        <w:t>销售通信产品以及其他日常经营活动形成的应收款项，按应收的合同或协议价款的公允价值</w:t>
      </w:r>
      <w:r>
        <w:rPr>
          <w:spacing w:val="-58"/>
        </w:rPr>
        <w:t> </w:t>
      </w:r>
      <w:r>
        <w:rPr>
          <w:spacing w:val="-58"/>
        </w:rPr>
      </w:r>
      <w:r>
        <w:rPr/>
        <w:t>作为初始确认金额。</w:t>
      </w:r>
    </w:p>
    <w:p>
      <w:pPr>
        <w:spacing w:line="240" w:lineRule="auto" w:before="13"/>
        <w:rPr>
          <w:rFonts w:ascii="宋体" w:hAnsi="宋体" w:cs="宋体" w:eastAsia="宋体" w:hint="default"/>
          <w:sz w:val="16"/>
          <w:szCs w:val="16"/>
        </w:rPr>
      </w:pPr>
    </w:p>
    <w:p>
      <w:pPr>
        <w:pStyle w:val="BodyText"/>
        <w:spacing w:line="240" w:lineRule="auto"/>
        <w:ind w:left="118" w:right="3262"/>
        <w:jc w:val="left"/>
      </w:pPr>
      <w:r>
        <w:rPr>
          <w:rFonts w:ascii="Arial" w:hAnsi="Arial" w:cs="Arial" w:eastAsia="Arial" w:hint="default"/>
        </w:rPr>
        <w:t>(a) </w:t>
      </w:r>
      <w:r>
        <w:rPr>
          <w:rFonts w:ascii="Arial" w:hAnsi="Arial" w:cs="Arial" w:eastAsia="Arial" w:hint="default"/>
          <w:spacing w:val="24"/>
        </w:rPr>
        <w:t> </w:t>
      </w:r>
      <w:r>
        <w:rPr/>
        <w:t>单项金额重大并单独计提坏账准备的应收款项</w:t>
      </w:r>
    </w:p>
    <w:p>
      <w:pPr>
        <w:spacing w:line="240" w:lineRule="auto" w:before="11"/>
        <w:rPr>
          <w:rFonts w:ascii="宋体" w:hAnsi="宋体" w:cs="宋体" w:eastAsia="宋体" w:hint="default"/>
          <w:sz w:val="18"/>
          <w:szCs w:val="18"/>
        </w:rPr>
      </w:pPr>
    </w:p>
    <w:p>
      <w:pPr>
        <w:pStyle w:val="BodyText"/>
        <w:spacing w:line="286" w:lineRule="exact"/>
        <w:ind w:left="566" w:right="104"/>
        <w:jc w:val="both"/>
      </w:pPr>
      <w:r>
        <w:rPr/>
        <w:t>对于单项金额重大的应收款项，单独进行减值测试，当存在客观证据表明本集团将无法按应</w:t>
      </w:r>
      <w:r>
        <w:rPr>
          <w:spacing w:val="-58"/>
        </w:rPr>
        <w:t> </w:t>
      </w:r>
      <w:r>
        <w:rPr>
          <w:spacing w:val="-58"/>
        </w:rPr>
      </w:r>
      <w:r>
        <w:rPr/>
        <w:t>收款项的原有条款收回所有款项时，计提坏账准备。</w:t>
      </w:r>
    </w:p>
    <w:p>
      <w:pPr>
        <w:spacing w:line="240" w:lineRule="auto" w:before="3"/>
        <w:rPr>
          <w:rFonts w:ascii="宋体" w:hAnsi="宋体" w:cs="宋体" w:eastAsia="宋体" w:hint="default"/>
          <w:sz w:val="19"/>
          <w:szCs w:val="19"/>
        </w:rPr>
      </w:pPr>
    </w:p>
    <w:p>
      <w:pPr>
        <w:pStyle w:val="BodyText"/>
        <w:spacing w:line="286" w:lineRule="exact"/>
        <w:ind w:left="566" w:right="104"/>
        <w:jc w:val="both"/>
      </w:pPr>
      <w:r>
        <w:rPr/>
        <w:t>本集团的用户主体为公众、商务及个人用户，因此，本集团结合实际经营情况确认单项金额</w:t>
      </w:r>
      <w:r>
        <w:rPr>
          <w:spacing w:val="-58"/>
        </w:rPr>
        <w:t> </w:t>
      </w:r>
      <w:r>
        <w:rPr>
          <w:spacing w:val="-58"/>
        </w:rPr>
      </w:r>
      <w:r>
        <w:rPr/>
        <w:t>重大的判断依据或金额标准。</w:t>
      </w:r>
    </w:p>
    <w:p>
      <w:pPr>
        <w:spacing w:line="240" w:lineRule="auto" w:before="6"/>
        <w:rPr>
          <w:rFonts w:ascii="宋体" w:hAnsi="宋体" w:cs="宋体" w:eastAsia="宋体" w:hint="default"/>
          <w:sz w:val="19"/>
          <w:szCs w:val="19"/>
        </w:rPr>
      </w:pPr>
    </w:p>
    <w:p>
      <w:pPr>
        <w:pStyle w:val="BodyText"/>
        <w:spacing w:line="284" w:lineRule="exact"/>
        <w:ind w:left="566" w:right="104"/>
        <w:jc w:val="both"/>
      </w:pPr>
      <w:r>
        <w:rPr/>
        <w:t>单项金额重大并单独计提坏账准备的计提方法为：根据应收款项的预计未来现金流量现值低</w:t>
      </w:r>
      <w:r>
        <w:rPr>
          <w:spacing w:val="-58"/>
        </w:rPr>
        <w:t> </w:t>
      </w:r>
      <w:r>
        <w:rPr>
          <w:spacing w:val="-58"/>
        </w:rPr>
      </w:r>
      <w:r>
        <w:rPr/>
        <w:t>于其账面价值的差额进行计提。</w:t>
      </w:r>
    </w:p>
    <w:p>
      <w:pPr>
        <w:pStyle w:val="BodyText"/>
        <w:tabs>
          <w:tab w:pos="595" w:val="left" w:leader="none"/>
        </w:tabs>
        <w:spacing w:line="240" w:lineRule="auto" w:before="196"/>
        <w:ind w:left="118" w:right="3262"/>
        <w:jc w:val="left"/>
      </w:pPr>
      <w:r>
        <w:rPr>
          <w:rFonts w:ascii="Arial" w:hAnsi="Arial" w:cs="Arial" w:eastAsia="Arial" w:hint="default"/>
          <w:w w:val="95"/>
        </w:rPr>
        <w:t>(b)</w:t>
        <w:tab/>
      </w:r>
      <w:r>
        <w:rPr/>
        <w:t>按组合计提坏账准备的应收款项</w:t>
      </w:r>
    </w:p>
    <w:p>
      <w:pPr>
        <w:spacing w:line="240" w:lineRule="auto" w:before="12"/>
        <w:rPr>
          <w:rFonts w:ascii="宋体" w:hAnsi="宋体" w:cs="宋体" w:eastAsia="宋体" w:hint="default"/>
          <w:sz w:val="16"/>
          <w:szCs w:val="16"/>
        </w:rPr>
      </w:pPr>
    </w:p>
    <w:p>
      <w:pPr>
        <w:pStyle w:val="BodyText"/>
        <w:spacing w:line="237" w:lineRule="auto"/>
        <w:ind w:left="595" w:right="102"/>
        <w:jc w:val="both"/>
      </w:pPr>
      <w:r>
        <w:rPr/>
        <w:t>对于单项金额不重大由一般用户使用电信服务产生的应收款项，与经上述单独减值测试后未</w:t>
      </w:r>
      <w:r>
        <w:rPr>
          <w:spacing w:val="-80"/>
        </w:rPr>
        <w:t> </w:t>
      </w:r>
      <w:r>
        <w:rPr>
          <w:spacing w:val="-80"/>
        </w:rPr>
      </w:r>
      <w:r>
        <w:rPr/>
        <w:t>计提坏账准备的应收款项一起按信用风险特征划分为若干组合，根据以前年度与之具有类似</w:t>
      </w:r>
      <w:r>
        <w:rPr>
          <w:spacing w:val="-80"/>
        </w:rPr>
        <w:t> </w:t>
      </w:r>
      <w:r>
        <w:rPr>
          <w:spacing w:val="-80"/>
        </w:rPr>
      </w:r>
      <w:r>
        <w:rPr/>
        <w:t>信用风险特征的应收款项组合的实际损失率为基础，结合现时情况确定应计提的坏账准备。</w:t>
      </w:r>
    </w:p>
    <w:p>
      <w:pPr>
        <w:spacing w:line="240" w:lineRule="auto" w:before="5"/>
        <w:rPr>
          <w:rFonts w:ascii="宋体" w:hAnsi="宋体" w:cs="宋体" w:eastAsia="宋体" w:hint="default"/>
          <w:sz w:val="21"/>
          <w:szCs w:val="21"/>
        </w:rPr>
      </w:pPr>
    </w:p>
    <w:p>
      <w:pPr>
        <w:pStyle w:val="BodyText"/>
        <w:spacing w:line="286" w:lineRule="exact"/>
        <w:ind w:left="595" w:right="102"/>
        <w:jc w:val="both"/>
      </w:pPr>
      <w:r>
        <w:rPr/>
        <w:t>本集团对除满足特定信用评估标准规定以外的个人用户授予的信用期一般为自账单之日起</w:t>
      </w:r>
      <w:r>
        <w:rPr>
          <w:rFonts w:ascii="Arial" w:hAnsi="Arial" w:cs="Arial" w:eastAsia="Arial" w:hint="default"/>
        </w:rPr>
        <w:t>30</w:t>
      </w:r>
      <w:r>
        <w:rPr>
          <w:rFonts w:ascii="Arial" w:hAnsi="Arial" w:cs="Arial" w:eastAsia="Arial" w:hint="default"/>
          <w:spacing w:val="-54"/>
        </w:rPr>
        <w:t> </w:t>
      </w:r>
      <w:r>
        <w:rPr/>
        <w:t>天。本集团对集团用户授予的信用期是基于服务合同约定条款，一般不超过</w:t>
      </w:r>
      <w:r>
        <w:rPr>
          <w:rFonts w:ascii="Arial" w:hAnsi="Arial" w:cs="Arial" w:eastAsia="Arial" w:hint="default"/>
        </w:rPr>
        <w:t>1</w:t>
      </w:r>
      <w:r>
        <w:rPr/>
        <w:t>年。</w:t>
      </w:r>
    </w:p>
    <w:p>
      <w:pPr>
        <w:spacing w:line="240" w:lineRule="auto" w:before="3"/>
        <w:rPr>
          <w:rFonts w:ascii="宋体" w:hAnsi="宋体" w:cs="宋体" w:eastAsia="宋体" w:hint="default"/>
          <w:sz w:val="19"/>
          <w:szCs w:val="19"/>
        </w:rPr>
      </w:pPr>
    </w:p>
    <w:p>
      <w:pPr>
        <w:pStyle w:val="BodyText"/>
        <w:spacing w:line="286" w:lineRule="exact"/>
        <w:ind w:left="595" w:right="102"/>
        <w:jc w:val="both"/>
      </w:pPr>
      <w:r>
        <w:rPr/>
        <w:t>本集团根据以往经验、历史收款情况、用户信用度及收款趋势确定提取比例。本集团对除满</w:t>
      </w:r>
      <w:r>
        <w:rPr>
          <w:spacing w:val="-80"/>
        </w:rPr>
        <w:t> </w:t>
      </w:r>
      <w:r>
        <w:rPr>
          <w:spacing w:val="-80"/>
        </w:rPr>
      </w:r>
      <w:r>
        <w:rPr>
          <w:spacing w:val="-2"/>
          <w:w w:val="95"/>
        </w:rPr>
        <w:t>足特定信用评估标准规定以外的个人用户，就信用期结束后账龄超过</w:t>
      </w:r>
      <w:r>
        <w:rPr>
          <w:rFonts w:ascii="Arial" w:hAnsi="Arial" w:cs="Arial" w:eastAsia="Arial" w:hint="default"/>
          <w:spacing w:val="-2"/>
          <w:w w:val="95"/>
        </w:rPr>
        <w:t>3</w:t>
      </w:r>
      <w:r>
        <w:rPr>
          <w:spacing w:val="-2"/>
          <w:w w:val="95"/>
        </w:rPr>
        <w:t>个月的款项提取全额的</w:t>
      </w:r>
      <w:r>
        <w:rPr>
          <w:spacing w:val="22"/>
          <w:w w:val="95"/>
        </w:rPr>
        <w:t> </w:t>
      </w:r>
      <w:r>
        <w:rPr>
          <w:spacing w:val="22"/>
          <w:w w:val="95"/>
        </w:rPr>
      </w:r>
      <w:r>
        <w:rPr/>
        <w:t>坏账准备。</w:t>
      </w:r>
    </w:p>
    <w:p>
      <w:pPr>
        <w:spacing w:after="0" w:line="286" w:lineRule="exact"/>
        <w:jc w:val="both"/>
        <w:sectPr>
          <w:headerReference w:type="default" r:id="rId47"/>
          <w:pgSz w:w="11900" w:h="16840"/>
          <w:pgMar w:header="967" w:footer="600" w:top="342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3262"/>
        <w:jc w:val="left"/>
      </w:pPr>
      <w:r>
        <w:rPr>
          <w:rFonts w:ascii="Arial" w:hAnsi="Arial" w:cs="Arial" w:eastAsia="Arial" w:hint="default"/>
        </w:rPr>
        <w:t>10</w:t>
      </w:r>
      <w:r>
        <w:rPr/>
        <w:t>、应收款项（续）</w:t>
      </w:r>
    </w:p>
    <w:p>
      <w:pPr>
        <w:pStyle w:val="BodyText"/>
        <w:tabs>
          <w:tab w:pos="595" w:val="left" w:leader="none"/>
        </w:tabs>
        <w:spacing w:line="412" w:lineRule="auto" w:before="189"/>
        <w:ind w:left="595" w:right="5202" w:hanging="477"/>
        <w:jc w:val="left"/>
      </w:pPr>
      <w:r>
        <w:rPr>
          <w:rFonts w:ascii="Arial" w:hAnsi="Arial" w:cs="Arial" w:eastAsia="Arial" w:hint="default"/>
          <w:w w:val="95"/>
        </w:rPr>
        <w:t>(b)</w:t>
        <w:tab/>
      </w:r>
      <w:r>
        <w:rPr/>
        <w:t>按组合计提坏账准备的应收款项（续）</w:t>
      </w:r>
      <w:r>
        <w:rPr>
          <w:w w:val="99"/>
        </w:rPr>
        <w:t> </w:t>
      </w:r>
      <w:r>
        <w:rPr/>
        <w:t>确定组合的依据如下：</w:t>
      </w:r>
    </w:p>
    <w:p>
      <w:pPr>
        <w:pStyle w:val="BodyText"/>
        <w:tabs>
          <w:tab w:pos="7298" w:val="left" w:leader="none"/>
        </w:tabs>
        <w:spacing w:line="287" w:lineRule="exact" w:before="91"/>
        <w:ind w:left="618" w:right="0"/>
        <w:jc w:val="left"/>
      </w:pPr>
      <w:r>
        <w:rPr>
          <w:w w:val="95"/>
        </w:rPr>
        <w:t>一般组合</w:t>
        <w:tab/>
      </w:r>
      <w:r>
        <w:rPr/>
        <w:t>一般商务及公众用户</w:t>
      </w:r>
    </w:p>
    <w:p>
      <w:pPr>
        <w:pStyle w:val="BodyText"/>
        <w:tabs>
          <w:tab w:pos="8419" w:val="left" w:leader="none"/>
        </w:tabs>
        <w:spacing w:line="287" w:lineRule="exact"/>
        <w:ind w:left="617" w:right="0"/>
        <w:jc w:val="left"/>
      </w:pPr>
      <w:r>
        <w:rPr>
          <w:w w:val="95"/>
        </w:rPr>
        <w:t>其他组合</w:t>
        <w:tab/>
      </w:r>
      <w:r>
        <w:rPr/>
        <w:t>其他客户</w:t>
      </w:r>
    </w:p>
    <w:p>
      <w:pPr>
        <w:spacing w:line="240" w:lineRule="auto" w:before="1"/>
        <w:rPr>
          <w:rFonts w:ascii="宋体" w:hAnsi="宋体" w:cs="宋体" w:eastAsia="宋体" w:hint="default"/>
          <w:sz w:val="19"/>
          <w:szCs w:val="19"/>
        </w:rPr>
      </w:pPr>
    </w:p>
    <w:p>
      <w:pPr>
        <w:pStyle w:val="BodyText"/>
        <w:spacing w:line="240" w:lineRule="auto"/>
        <w:ind w:left="595" w:right="0"/>
        <w:jc w:val="left"/>
      </w:pPr>
      <w:r>
        <w:rPr/>
        <w:t>按组合计提坏账准备的计提方法为账龄分析法，具体如下：</w:t>
      </w:r>
    </w:p>
    <w:p>
      <w:pPr>
        <w:spacing w:line="240" w:lineRule="auto" w:before="2"/>
        <w:rPr>
          <w:rFonts w:ascii="宋体" w:hAnsi="宋体" w:cs="宋体" w:eastAsia="宋体" w:hint="default"/>
          <w:sz w:val="19"/>
          <w:szCs w:val="19"/>
        </w:rPr>
      </w:pPr>
    </w:p>
    <w:p>
      <w:pPr>
        <w:pStyle w:val="BodyText"/>
        <w:spacing w:line="240" w:lineRule="auto"/>
        <w:ind w:left="596" w:right="3262"/>
        <w:jc w:val="left"/>
      </w:pPr>
      <w:r>
        <w:rPr>
          <w:rFonts w:ascii="Arial" w:hAnsi="Arial" w:cs="Arial" w:eastAsia="Arial" w:hint="default"/>
        </w:rPr>
        <w:t>(i) </w:t>
      </w:r>
      <w:r>
        <w:rPr>
          <w:rFonts w:ascii="Arial" w:hAnsi="Arial" w:cs="Arial" w:eastAsia="Arial" w:hint="default"/>
          <w:spacing w:val="40"/>
        </w:rPr>
        <w:t> </w:t>
      </w:r>
      <w:r>
        <w:rPr/>
        <w:t>一般组合采用账龄分析法的计提比例列示如下：</w:t>
      </w:r>
    </w:p>
    <w:p>
      <w:pPr>
        <w:spacing w:line="240" w:lineRule="auto" w:before="13"/>
        <w:rPr>
          <w:rFonts w:ascii="宋体" w:hAnsi="宋体" w:cs="宋体" w:eastAsia="宋体" w:hint="default"/>
          <w:sz w:val="17"/>
          <w:szCs w:val="17"/>
        </w:rPr>
      </w:pPr>
    </w:p>
    <w:p>
      <w:pPr>
        <w:pStyle w:val="BodyText"/>
        <w:spacing w:line="240" w:lineRule="auto"/>
        <w:ind w:left="0" w:right="230"/>
        <w:jc w:val="right"/>
      </w:pPr>
      <w:r>
        <w:rPr>
          <w:w w:val="95"/>
        </w:rPr>
        <w:t>应收账款计提比例</w:t>
      </w:r>
      <w:r>
        <w:rPr/>
      </w:r>
    </w:p>
    <w:p>
      <w:pPr>
        <w:spacing w:line="240" w:lineRule="auto" w:before="7"/>
        <w:rPr>
          <w:rFonts w:ascii="宋体" w:hAnsi="宋体" w:cs="宋体" w:eastAsia="宋体" w:hint="default"/>
          <w:sz w:val="2"/>
          <w:szCs w:val="2"/>
        </w:rPr>
      </w:pPr>
    </w:p>
    <w:p>
      <w:pPr>
        <w:spacing w:line="20" w:lineRule="exact"/>
        <w:ind w:left="6928" w:right="0" w:firstLine="0"/>
        <w:rPr>
          <w:rFonts w:ascii="宋体" w:hAnsi="宋体" w:cs="宋体" w:eastAsia="宋体" w:hint="default"/>
          <w:sz w:val="2"/>
          <w:szCs w:val="2"/>
        </w:rPr>
      </w:pPr>
      <w:r>
        <w:rPr>
          <w:rFonts w:ascii="宋体" w:hAnsi="宋体" w:cs="宋体" w:eastAsia="宋体" w:hint="default"/>
          <w:sz w:val="2"/>
          <w:szCs w:val="2"/>
        </w:rPr>
        <w:pict>
          <v:group style="width:123.25pt;height:.75pt;mso-position-horizontal-relative:char;mso-position-vertical-relative:line" coordorigin="0,0" coordsize="2465,15">
            <v:group style="position:absolute;left:7;top:7;width:2451;height:2" coordorigin="7,7" coordsize="2451,2">
              <v:shape style="position:absolute;left:7;top:7;width:2451;height:2" coordorigin="7,7" coordsize="2451,0" path="m7,7l2458,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pStyle w:val="BodyText"/>
        <w:tabs>
          <w:tab w:pos="9201" w:val="left" w:leader="none"/>
        </w:tabs>
        <w:spacing w:line="305" w:lineRule="exact" w:before="27"/>
        <w:ind w:left="591" w:right="0"/>
        <w:jc w:val="left"/>
        <w:rPr>
          <w:rFonts w:ascii="Arial" w:hAnsi="Arial" w:cs="Arial" w:eastAsia="Arial" w:hint="default"/>
        </w:rPr>
      </w:pPr>
      <w:r>
        <w:rPr>
          <w:position w:val="2"/>
        </w:rPr>
        <w:t>超过信用期后账龄</w:t>
      </w:r>
      <w:r>
        <w:rPr>
          <w:spacing w:val="-57"/>
          <w:position w:val="2"/>
        </w:rPr>
        <w:t> </w:t>
      </w:r>
      <w:r>
        <w:rPr>
          <w:rFonts w:ascii="Arial" w:hAnsi="Arial" w:cs="Arial" w:eastAsia="Arial" w:hint="default"/>
          <w:position w:val="2"/>
        </w:rPr>
        <w:t>3</w:t>
      </w:r>
      <w:r>
        <w:rPr>
          <w:rFonts w:ascii="Arial" w:hAnsi="Arial" w:cs="Arial" w:eastAsia="Arial" w:hint="default"/>
          <w:spacing w:val="-8"/>
          <w:position w:val="2"/>
        </w:rPr>
        <w:t> </w:t>
      </w:r>
      <w:r>
        <w:rPr>
          <w:position w:val="2"/>
        </w:rPr>
        <w:t>个月以内</w:t>
        <w:tab/>
      </w:r>
      <w:r>
        <w:rPr>
          <w:rFonts w:ascii="Arial" w:hAnsi="Arial" w:cs="Arial" w:eastAsia="Arial" w:hint="default"/>
        </w:rPr>
        <w:t>-</w:t>
      </w:r>
    </w:p>
    <w:p>
      <w:pPr>
        <w:pStyle w:val="BodyText"/>
        <w:tabs>
          <w:tab w:pos="8735" w:val="left" w:leader="none"/>
        </w:tabs>
        <w:spacing w:line="305" w:lineRule="exact"/>
        <w:ind w:left="591" w:right="0"/>
        <w:jc w:val="left"/>
        <w:rPr>
          <w:rFonts w:ascii="Arial" w:hAnsi="Arial" w:cs="Arial" w:eastAsia="Arial" w:hint="default"/>
        </w:rPr>
      </w:pPr>
      <w:r>
        <w:rPr>
          <w:position w:val="2"/>
        </w:rPr>
        <w:t>超过信用期后账龄</w:t>
      </w:r>
      <w:r>
        <w:rPr>
          <w:spacing w:val="-57"/>
          <w:position w:val="2"/>
        </w:rPr>
        <w:t> </w:t>
      </w:r>
      <w:r>
        <w:rPr>
          <w:rFonts w:ascii="Arial" w:hAnsi="Arial" w:cs="Arial" w:eastAsia="Arial" w:hint="default"/>
          <w:position w:val="2"/>
        </w:rPr>
        <w:t>3</w:t>
      </w:r>
      <w:r>
        <w:rPr>
          <w:rFonts w:ascii="Arial" w:hAnsi="Arial" w:cs="Arial" w:eastAsia="Arial" w:hint="default"/>
          <w:spacing w:val="-8"/>
          <w:position w:val="2"/>
        </w:rPr>
        <w:t> </w:t>
      </w:r>
      <w:r>
        <w:rPr>
          <w:position w:val="2"/>
        </w:rPr>
        <w:t>个月以上</w:t>
        <w:tab/>
      </w:r>
      <w:r>
        <w:rPr>
          <w:rFonts w:ascii="Arial" w:hAnsi="Arial" w:cs="Arial" w:eastAsia="Arial" w:hint="default"/>
        </w:rPr>
        <w:t>100%</w:t>
      </w:r>
    </w:p>
    <w:p>
      <w:pPr>
        <w:spacing w:line="240" w:lineRule="auto" w:before="1"/>
        <w:rPr>
          <w:rFonts w:ascii="Arial" w:hAnsi="Arial" w:cs="Arial" w:eastAsia="Arial" w:hint="default"/>
          <w:sz w:val="19"/>
          <w:szCs w:val="19"/>
        </w:rPr>
      </w:pPr>
    </w:p>
    <w:p>
      <w:pPr>
        <w:pStyle w:val="BodyText"/>
        <w:spacing w:line="240" w:lineRule="auto"/>
        <w:ind w:left="596" w:right="3262"/>
        <w:jc w:val="left"/>
      </w:pPr>
      <w:r>
        <w:rPr>
          <w:rFonts w:ascii="Arial" w:hAnsi="Arial" w:cs="Arial" w:eastAsia="Arial" w:hint="default"/>
        </w:rPr>
        <w:t>(ii)</w:t>
      </w:r>
      <w:r>
        <w:rPr>
          <w:rFonts w:ascii="Arial" w:hAnsi="Arial" w:cs="Arial" w:eastAsia="Arial" w:hint="default"/>
          <w:spacing w:val="52"/>
        </w:rPr>
        <w:t> </w:t>
      </w:r>
      <w:r>
        <w:rPr/>
        <w:t>其他组合，一般计提比例列示如下：</w:t>
      </w:r>
    </w:p>
    <w:p>
      <w:pPr>
        <w:spacing w:line="240" w:lineRule="auto" w:before="2"/>
        <w:rPr>
          <w:rFonts w:ascii="宋体" w:hAnsi="宋体" w:cs="宋体" w:eastAsia="宋体" w:hint="default"/>
          <w:sz w:val="16"/>
          <w:szCs w:val="16"/>
        </w:rPr>
      </w:pPr>
    </w:p>
    <w:p>
      <w:pPr>
        <w:pStyle w:val="BodyText"/>
        <w:tabs>
          <w:tab w:pos="7294" w:val="left" w:leader="none"/>
        </w:tabs>
        <w:spacing w:line="240" w:lineRule="auto"/>
        <w:ind w:left="4826" w:right="0"/>
        <w:jc w:val="left"/>
      </w:pPr>
      <w:r>
        <w:rPr>
          <w:w w:val="95"/>
        </w:rPr>
        <w:t>应收账款计提比例</w:t>
        <w:tab/>
      </w:r>
      <w:r>
        <w:rPr/>
        <w:t>其他应收款计提比例</w:t>
      </w:r>
    </w:p>
    <w:p>
      <w:pPr>
        <w:spacing w:line="240" w:lineRule="auto" w:before="8"/>
        <w:rPr>
          <w:rFonts w:ascii="宋体" w:hAnsi="宋体" w:cs="宋体" w:eastAsia="宋体" w:hint="default"/>
          <w:sz w:val="2"/>
          <w:szCs w:val="2"/>
        </w:rPr>
      </w:pPr>
    </w:p>
    <w:p>
      <w:pPr>
        <w:tabs>
          <w:tab w:pos="6928" w:val="left" w:leader="none"/>
        </w:tabs>
        <w:spacing w:line="20" w:lineRule="exact"/>
        <w:ind w:left="4074" w:right="0" w:firstLine="0"/>
        <w:rPr>
          <w:rFonts w:ascii="宋体" w:hAnsi="宋体" w:cs="宋体" w:eastAsia="宋体" w:hint="default"/>
          <w:sz w:val="2"/>
          <w:szCs w:val="2"/>
        </w:rPr>
      </w:pPr>
      <w:r>
        <w:rPr>
          <w:rFonts w:ascii="宋体"/>
          <w:sz w:val="2"/>
        </w:rPr>
        <w:pict>
          <v:group style="width:131.6pt;height:.75pt;mso-position-horizontal-relative:char;mso-position-vertical-relative:line" coordorigin="0,0" coordsize="2632,15">
            <v:group style="position:absolute;left:7;top:7;width:2618;height:2" coordorigin="7,7" coordsize="2618,2">
              <v:shape style="position:absolute;left:7;top:7;width:2618;height:2" coordorigin="7,7" coordsize="2618,0" path="m7,7l2624,7e" filled="false" stroked="true" strokeweight=".72pt" strokecolor="#000000">
                <v:path arrowok="t"/>
              </v:shape>
            </v:group>
          </v:group>
        </w:pict>
      </w:r>
      <w:r>
        <w:rPr>
          <w:rFonts w:ascii="宋体"/>
          <w:sz w:val="2"/>
        </w:rPr>
      </w:r>
      <w:r>
        <w:rPr>
          <w:rFonts w:ascii="宋体"/>
          <w:sz w:val="2"/>
        </w:rPr>
        <w:tab/>
      </w:r>
      <w:r>
        <w:rPr>
          <w:rFonts w:ascii="宋体"/>
          <w:sz w:val="2"/>
        </w:rPr>
        <w:pict>
          <v:group style="width:123.25pt;height:.75pt;mso-position-horizontal-relative:char;mso-position-vertical-relative:line" coordorigin="0,0" coordsize="2465,15">
            <v:group style="position:absolute;left:7;top:7;width:2451;height:2" coordorigin="7,7" coordsize="2451,2">
              <v:shape style="position:absolute;left:7;top:7;width:2451;height:2" coordorigin="7,7" coordsize="2451,0" path="m7,7l2458,7e" filled="false" stroked="true" strokeweight=".72pt" strokecolor="#000000">
                <v:path arrowok="t"/>
              </v:shape>
            </v:group>
          </v:group>
        </w:pict>
      </w:r>
      <w:r>
        <w:rPr>
          <w:rFonts w:ascii="宋体"/>
          <w:sz w:val="2"/>
        </w:rPr>
      </w:r>
    </w:p>
    <w:p>
      <w:pPr>
        <w:spacing w:line="240" w:lineRule="auto" w:before="3"/>
        <w:rPr>
          <w:rFonts w:ascii="宋体" w:hAnsi="宋体" w:cs="宋体" w:eastAsia="宋体" w:hint="default"/>
          <w:sz w:val="10"/>
          <w:szCs w:val="10"/>
        </w:rPr>
      </w:pPr>
    </w:p>
    <w:p>
      <w:pPr>
        <w:pStyle w:val="BodyText"/>
        <w:tabs>
          <w:tab w:pos="6481" w:val="left" w:leader="none"/>
          <w:tab w:pos="9163" w:val="left" w:leader="none"/>
        </w:tabs>
        <w:spacing w:line="305" w:lineRule="exact" w:before="27"/>
        <w:ind w:left="592"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6</w:t>
      </w:r>
      <w:r>
        <w:rPr>
          <w:rFonts w:ascii="Arial" w:hAnsi="Arial" w:cs="Arial" w:eastAsia="Arial" w:hint="default"/>
          <w:spacing w:val="-7"/>
          <w:position w:val="2"/>
        </w:rPr>
        <w:t> </w:t>
      </w:r>
      <w:r>
        <w:rPr>
          <w:position w:val="2"/>
        </w:rPr>
        <w:t>个月以内</w:t>
        <w:tab/>
      </w:r>
      <w:r>
        <w:rPr>
          <w:rFonts w:ascii="Arial" w:hAnsi="Arial" w:cs="Arial" w:eastAsia="Arial" w:hint="default"/>
          <w:w w:val="95"/>
        </w:rPr>
        <w:t>-</w:t>
        <w:tab/>
      </w:r>
      <w:r>
        <w:rPr>
          <w:rFonts w:ascii="Arial" w:hAnsi="Arial" w:cs="Arial" w:eastAsia="Arial" w:hint="default"/>
        </w:rPr>
        <w:t>-</w:t>
      </w:r>
    </w:p>
    <w:p>
      <w:pPr>
        <w:pStyle w:val="BodyText"/>
        <w:tabs>
          <w:tab w:pos="6146" w:val="left" w:leader="none"/>
          <w:tab w:pos="8834" w:val="left" w:leader="none"/>
        </w:tabs>
        <w:spacing w:line="285" w:lineRule="exact"/>
        <w:ind w:left="592"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6-12</w:t>
      </w:r>
      <w:r>
        <w:rPr>
          <w:rFonts w:ascii="Arial" w:hAnsi="Arial" w:cs="Arial" w:eastAsia="Arial" w:hint="default"/>
          <w:spacing w:val="-7"/>
          <w:position w:val="2"/>
        </w:rPr>
        <w:t> </w:t>
      </w:r>
      <w:r>
        <w:rPr>
          <w:position w:val="2"/>
        </w:rPr>
        <w:t>个月</w:t>
        <w:tab/>
      </w:r>
      <w:r>
        <w:rPr>
          <w:rFonts w:ascii="Arial" w:hAnsi="Arial" w:cs="Arial" w:eastAsia="Arial" w:hint="default"/>
          <w:w w:val="95"/>
        </w:rPr>
        <w:t>10%</w:t>
        <w:tab/>
      </w:r>
      <w:r>
        <w:rPr>
          <w:rFonts w:ascii="Arial" w:hAnsi="Arial" w:cs="Arial" w:eastAsia="Arial" w:hint="default"/>
        </w:rPr>
        <w:t>10%</w:t>
      </w:r>
    </w:p>
    <w:p>
      <w:pPr>
        <w:pStyle w:val="BodyText"/>
        <w:tabs>
          <w:tab w:pos="6146" w:val="left" w:leader="none"/>
          <w:tab w:pos="8834" w:val="left" w:leader="none"/>
        </w:tabs>
        <w:spacing w:line="285" w:lineRule="exact"/>
        <w:ind w:left="601"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1-2</w:t>
      </w:r>
      <w:r>
        <w:rPr>
          <w:rFonts w:ascii="Arial" w:hAnsi="Arial" w:cs="Arial" w:eastAsia="Arial" w:hint="default"/>
          <w:spacing w:val="-7"/>
          <w:position w:val="2"/>
        </w:rPr>
        <w:t> </w:t>
      </w:r>
      <w:r>
        <w:rPr>
          <w:position w:val="2"/>
        </w:rPr>
        <w:t>年</w:t>
        <w:tab/>
      </w:r>
      <w:r>
        <w:rPr>
          <w:rFonts w:ascii="Arial" w:hAnsi="Arial" w:cs="Arial" w:eastAsia="Arial" w:hint="default"/>
          <w:w w:val="95"/>
        </w:rPr>
        <w:t>20%</w:t>
        <w:tab/>
      </w:r>
      <w:r>
        <w:rPr>
          <w:rFonts w:ascii="Arial" w:hAnsi="Arial" w:cs="Arial" w:eastAsia="Arial" w:hint="default"/>
        </w:rPr>
        <w:t>20%</w:t>
      </w:r>
    </w:p>
    <w:p>
      <w:pPr>
        <w:pStyle w:val="BodyText"/>
        <w:tabs>
          <w:tab w:pos="6146" w:val="left" w:leader="none"/>
          <w:tab w:pos="8834" w:val="left" w:leader="none"/>
        </w:tabs>
        <w:spacing w:line="286" w:lineRule="exact"/>
        <w:ind w:left="601"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2-3</w:t>
      </w:r>
      <w:r>
        <w:rPr>
          <w:rFonts w:ascii="Arial" w:hAnsi="Arial" w:cs="Arial" w:eastAsia="Arial" w:hint="default"/>
          <w:spacing w:val="-7"/>
          <w:position w:val="2"/>
        </w:rPr>
        <w:t> </w:t>
      </w:r>
      <w:r>
        <w:rPr>
          <w:position w:val="2"/>
        </w:rPr>
        <w:t>年</w:t>
        <w:tab/>
      </w:r>
      <w:r>
        <w:rPr>
          <w:rFonts w:ascii="Arial" w:hAnsi="Arial" w:cs="Arial" w:eastAsia="Arial" w:hint="default"/>
          <w:w w:val="95"/>
        </w:rPr>
        <w:t>50%</w:t>
        <w:tab/>
      </w:r>
      <w:r>
        <w:rPr>
          <w:rFonts w:ascii="Arial" w:hAnsi="Arial" w:cs="Arial" w:eastAsia="Arial" w:hint="default"/>
        </w:rPr>
        <w:t>50%</w:t>
      </w:r>
    </w:p>
    <w:p>
      <w:pPr>
        <w:pStyle w:val="BodyText"/>
        <w:tabs>
          <w:tab w:pos="6023" w:val="left" w:leader="none"/>
          <w:tab w:pos="8711" w:val="left" w:leader="none"/>
        </w:tabs>
        <w:spacing w:line="305" w:lineRule="exact"/>
        <w:ind w:left="601"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3</w:t>
      </w:r>
      <w:r>
        <w:rPr>
          <w:rFonts w:ascii="Arial" w:hAnsi="Arial" w:cs="Arial" w:eastAsia="Arial" w:hint="default"/>
          <w:spacing w:val="-7"/>
          <w:position w:val="2"/>
        </w:rPr>
        <w:t> </w:t>
      </w:r>
      <w:r>
        <w:rPr>
          <w:position w:val="2"/>
        </w:rPr>
        <w:t>年以上</w:t>
        <w:tab/>
      </w:r>
      <w:r>
        <w:rPr>
          <w:rFonts w:ascii="Arial" w:hAnsi="Arial" w:cs="Arial" w:eastAsia="Arial" w:hint="default"/>
          <w:w w:val="95"/>
        </w:rPr>
        <w:t>100%</w:t>
        <w:tab/>
      </w:r>
      <w:r>
        <w:rPr>
          <w:rFonts w:ascii="Arial" w:hAnsi="Arial" w:cs="Arial" w:eastAsia="Arial" w:hint="default"/>
        </w:rPr>
        <w:t>100%</w:t>
      </w:r>
    </w:p>
    <w:p>
      <w:pPr>
        <w:pStyle w:val="BodyText"/>
        <w:spacing w:line="240" w:lineRule="auto" w:before="177"/>
        <w:ind w:left="118" w:right="3262"/>
        <w:jc w:val="left"/>
      </w:pPr>
      <w:r>
        <w:rPr>
          <w:rFonts w:ascii="Arial" w:hAnsi="Arial" w:cs="Arial" w:eastAsia="Arial" w:hint="default"/>
        </w:rPr>
        <w:t>11</w:t>
      </w:r>
      <w:r>
        <w:rPr/>
        <w:t>、存货</w:t>
      </w:r>
    </w:p>
    <w:p>
      <w:pPr>
        <w:pStyle w:val="BodyText"/>
        <w:tabs>
          <w:tab w:pos="595" w:val="left" w:leader="none"/>
        </w:tabs>
        <w:spacing w:line="240" w:lineRule="auto" w:before="188"/>
        <w:ind w:left="118" w:right="3262"/>
        <w:jc w:val="left"/>
      </w:pPr>
      <w:r>
        <w:rPr>
          <w:rFonts w:ascii="Arial" w:hAnsi="Arial" w:cs="Arial" w:eastAsia="Arial" w:hint="default"/>
          <w:w w:val="95"/>
        </w:rPr>
        <w:t>(a)</w:t>
        <w:tab/>
      </w:r>
      <w:r>
        <w:rPr/>
        <w:t>分类</w:t>
      </w:r>
    </w:p>
    <w:p>
      <w:pPr>
        <w:spacing w:line="240" w:lineRule="auto" w:before="11"/>
        <w:rPr>
          <w:rFonts w:ascii="宋体" w:hAnsi="宋体" w:cs="宋体" w:eastAsia="宋体" w:hint="default"/>
          <w:sz w:val="18"/>
          <w:szCs w:val="18"/>
        </w:rPr>
      </w:pPr>
    </w:p>
    <w:p>
      <w:pPr>
        <w:pStyle w:val="BodyText"/>
        <w:spacing w:line="286" w:lineRule="exact"/>
        <w:ind w:left="595" w:right="0"/>
        <w:jc w:val="left"/>
      </w:pPr>
      <w:r>
        <w:rPr>
          <w:spacing w:val="-1"/>
        </w:rPr>
        <w:t>存货包括手机等通讯终端、手机识别卡（如</w:t>
      </w:r>
      <w:r>
        <w:rPr>
          <w:rFonts w:ascii="Arial" w:hAnsi="Arial" w:cs="Arial" w:eastAsia="Arial" w:hint="default"/>
          <w:spacing w:val="-1"/>
        </w:rPr>
        <w:t>SIM</w:t>
      </w:r>
      <w:r>
        <w:rPr>
          <w:spacing w:val="-1"/>
        </w:rPr>
        <w:t>卡、</w:t>
      </w:r>
      <w:r>
        <w:rPr>
          <w:rFonts w:ascii="Arial" w:hAnsi="Arial" w:cs="Arial" w:eastAsia="Arial" w:hint="default"/>
          <w:spacing w:val="-1"/>
        </w:rPr>
        <w:t>USIM</w:t>
      </w:r>
      <w:r>
        <w:rPr>
          <w:spacing w:val="-1"/>
        </w:rPr>
        <w:t>卡等）及配件等，按成本与可变现</w:t>
      </w:r>
      <w:r>
        <w:rPr>
          <w:spacing w:val="-99"/>
        </w:rPr>
        <w:t> </w:t>
      </w:r>
      <w:r>
        <w:rPr>
          <w:spacing w:val="-99"/>
        </w:rPr>
      </w:r>
      <w:r>
        <w:rPr/>
        <w:t>净值孰低计量。</w:t>
      </w:r>
    </w:p>
    <w:p>
      <w:pPr>
        <w:pStyle w:val="BodyText"/>
        <w:tabs>
          <w:tab w:pos="595" w:val="left" w:leader="none"/>
        </w:tabs>
        <w:spacing w:line="412" w:lineRule="auto" w:before="196"/>
        <w:ind w:left="595" w:right="2120" w:hanging="477"/>
        <w:jc w:val="left"/>
      </w:pPr>
      <w:r>
        <w:rPr>
          <w:rFonts w:ascii="Arial" w:hAnsi="Arial" w:cs="Arial" w:eastAsia="Arial" w:hint="default"/>
          <w:w w:val="95"/>
        </w:rPr>
        <w:t>(b)</w:t>
        <w:tab/>
      </w:r>
      <w:r>
        <w:rPr/>
        <w:t>发出存货的计价方法</w:t>
      </w:r>
      <w:r>
        <w:rPr>
          <w:w w:val="99"/>
        </w:rPr>
        <w:t> </w:t>
      </w:r>
      <w:r>
        <w:rPr/>
        <w:t>存货于取得时按实际成本入账，存货发出时的成本按先进先出法核算。</w:t>
      </w:r>
    </w:p>
    <w:p>
      <w:pPr>
        <w:pStyle w:val="BodyText"/>
        <w:tabs>
          <w:tab w:pos="595" w:val="left" w:leader="none"/>
        </w:tabs>
        <w:spacing w:line="240" w:lineRule="auto" w:before="63"/>
        <w:ind w:left="118" w:right="3262"/>
        <w:jc w:val="left"/>
      </w:pPr>
      <w:r>
        <w:rPr>
          <w:rFonts w:ascii="Arial" w:hAnsi="Arial" w:cs="Arial" w:eastAsia="Arial" w:hint="default"/>
          <w:w w:val="95"/>
        </w:rPr>
        <w:t>(c)</w:t>
        <w:tab/>
      </w:r>
      <w:r>
        <w:rPr/>
        <w:t>存货可变现净值的确定依据及存货跌价准备的计提方法</w:t>
      </w:r>
    </w:p>
    <w:p>
      <w:pPr>
        <w:spacing w:line="240" w:lineRule="auto" w:before="11"/>
        <w:rPr>
          <w:rFonts w:ascii="宋体" w:hAnsi="宋体" w:cs="宋体" w:eastAsia="宋体" w:hint="default"/>
          <w:sz w:val="18"/>
          <w:szCs w:val="18"/>
        </w:rPr>
      </w:pPr>
    </w:p>
    <w:p>
      <w:pPr>
        <w:pStyle w:val="BodyText"/>
        <w:spacing w:line="286" w:lineRule="exact"/>
        <w:ind w:left="595" w:right="0"/>
        <w:jc w:val="left"/>
      </w:pPr>
      <w:r>
        <w:rPr/>
        <w:t>存货跌价准备按存货成本高于其可变现净值的差额计提。可变现净值按日常活动中，以存货</w:t>
      </w:r>
      <w:r>
        <w:rPr>
          <w:spacing w:val="-80"/>
        </w:rPr>
        <w:t> </w:t>
      </w:r>
      <w:r>
        <w:rPr>
          <w:spacing w:val="-80"/>
        </w:rPr>
      </w:r>
      <w:r>
        <w:rPr/>
        <w:t>的估计售价减去估计的销售费用及相关税费后的金额确定。</w:t>
      </w:r>
    </w:p>
    <w:p>
      <w:pPr>
        <w:spacing w:after="0" w:line="286" w:lineRule="exact"/>
        <w:jc w:val="left"/>
        <w:sectPr>
          <w:headerReference w:type="default" r:id="rId48"/>
          <w:pgSz w:w="11900" w:h="16840"/>
          <w:pgMar w:header="967" w:footer="600" w:top="282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91"/>
        <w:jc w:val="left"/>
      </w:pPr>
      <w:r>
        <w:rPr>
          <w:rFonts w:ascii="Arial" w:hAnsi="Arial" w:cs="Arial" w:eastAsia="Arial" w:hint="default"/>
        </w:rPr>
        <w:t>11</w:t>
      </w:r>
      <w:r>
        <w:rPr/>
        <w:t>、存货（续）</w:t>
      </w:r>
    </w:p>
    <w:p>
      <w:pPr>
        <w:pStyle w:val="BodyText"/>
        <w:tabs>
          <w:tab w:pos="595" w:val="left" w:leader="none"/>
        </w:tabs>
        <w:spacing w:line="384" w:lineRule="auto" w:before="189"/>
        <w:ind w:left="118" w:right="5102"/>
        <w:jc w:val="left"/>
      </w:pPr>
      <w:r>
        <w:rPr>
          <w:rFonts w:ascii="Arial" w:hAnsi="Arial" w:cs="Arial" w:eastAsia="Arial" w:hint="default"/>
          <w:w w:val="95"/>
        </w:rPr>
        <w:t>(d)</w:t>
        <w:tab/>
      </w:r>
      <w:r>
        <w:rPr/>
        <w:t>本集团的存货盘存制度采用永续盘存制。</w:t>
      </w:r>
      <w:r>
        <w:rPr>
          <w:w w:val="99"/>
        </w:rPr>
        <w:t> </w:t>
      </w:r>
      <w:r>
        <w:rPr>
          <w:rFonts w:ascii="Arial" w:hAnsi="Arial" w:cs="Arial" w:eastAsia="Arial" w:hint="default"/>
          <w:w w:val="95"/>
        </w:rPr>
        <w:t>(e)</w:t>
        <w:tab/>
      </w:r>
      <w:r>
        <w:rPr/>
        <w:t>低值易耗品采用一次转销法进行摊销。</w:t>
      </w:r>
      <w:r>
        <w:rPr>
          <w:w w:val="99"/>
        </w:rPr>
        <w:t> </w:t>
      </w:r>
      <w:r>
        <w:rPr>
          <w:rFonts w:ascii="Arial" w:hAnsi="Arial" w:cs="Arial" w:eastAsia="Arial" w:hint="default"/>
        </w:rPr>
        <w:t>12</w:t>
      </w:r>
      <w:r>
        <w:rPr/>
        <w:t>、长期股权投资</w:t>
      </w:r>
    </w:p>
    <w:p>
      <w:pPr>
        <w:pStyle w:val="BodyText"/>
        <w:spacing w:line="286" w:lineRule="exact" w:before="98"/>
        <w:ind w:left="595" w:right="222"/>
        <w:jc w:val="both"/>
      </w:pPr>
      <w:r>
        <w:rPr/>
        <w:t>长期股权投资包括：本公司对子公司的长期股权投资；本集团对合营企业和联营企业的长期</w:t>
      </w:r>
      <w:r>
        <w:rPr>
          <w:spacing w:val="-80"/>
        </w:rPr>
        <w:t> </w:t>
      </w:r>
      <w:r>
        <w:rPr>
          <w:spacing w:val="-80"/>
        </w:rPr>
      </w:r>
      <w:r>
        <w:rPr/>
        <w:t>股权投资；以及本集团对被投资单位不具有控制、共同控制或重大影响，并且在活跃市场中</w:t>
      </w:r>
      <w:r>
        <w:rPr>
          <w:spacing w:val="-80"/>
        </w:rPr>
        <w:t> </w:t>
      </w:r>
      <w:r>
        <w:rPr>
          <w:spacing w:val="-80"/>
        </w:rPr>
      </w:r>
      <w:r>
        <w:rPr/>
        <w:t>没有报价、公允价值不能可靠计量的长期股权投资。</w:t>
      </w:r>
    </w:p>
    <w:p>
      <w:pPr>
        <w:spacing w:line="240" w:lineRule="auto" w:before="3"/>
        <w:rPr>
          <w:rFonts w:ascii="宋体" w:hAnsi="宋体" w:cs="宋体" w:eastAsia="宋体" w:hint="default"/>
          <w:sz w:val="19"/>
          <w:szCs w:val="19"/>
        </w:rPr>
      </w:pPr>
    </w:p>
    <w:p>
      <w:pPr>
        <w:pStyle w:val="BodyText"/>
        <w:spacing w:line="286" w:lineRule="exact"/>
        <w:ind w:left="595" w:right="222"/>
        <w:jc w:val="both"/>
      </w:pPr>
      <w:r>
        <w:rPr/>
        <w:t>子公司是指本公司能够对其实施控制的被投资单位；合营企业是指本集团能够与其他方对其</w:t>
      </w:r>
      <w:r>
        <w:rPr>
          <w:spacing w:val="-80"/>
        </w:rPr>
        <w:t> </w:t>
      </w:r>
      <w:r>
        <w:rPr>
          <w:spacing w:val="-80"/>
        </w:rPr>
      </w:r>
      <w:r>
        <w:rPr/>
        <w:t>实施共同控制的被投资单位；联营企业是指本集团能够对其财务和经营决策具有重大影响的</w:t>
      </w:r>
      <w:r>
        <w:rPr>
          <w:spacing w:val="-80"/>
        </w:rPr>
        <w:t> </w:t>
      </w:r>
      <w:r>
        <w:rPr>
          <w:spacing w:val="-80"/>
        </w:rPr>
      </w:r>
      <w:r>
        <w:rPr/>
        <w:t>被投资单位。</w:t>
      </w:r>
    </w:p>
    <w:p>
      <w:pPr>
        <w:spacing w:line="240" w:lineRule="auto" w:before="5"/>
        <w:rPr>
          <w:rFonts w:ascii="宋体" w:hAnsi="宋体" w:cs="宋体" w:eastAsia="宋体" w:hint="default"/>
          <w:sz w:val="17"/>
          <w:szCs w:val="17"/>
        </w:rPr>
      </w:pPr>
    </w:p>
    <w:p>
      <w:pPr>
        <w:pStyle w:val="BodyText"/>
        <w:spacing w:line="237" w:lineRule="auto"/>
        <w:ind w:left="595" w:right="222"/>
        <w:jc w:val="both"/>
      </w:pPr>
      <w:r>
        <w:rPr/>
        <w:t>对子公司的投资，在公司财务报表中按照成本法确定的金额列示，在编制合并财务报表时按</w:t>
      </w:r>
      <w:r>
        <w:rPr>
          <w:spacing w:val="-80"/>
        </w:rPr>
        <w:t> </w:t>
      </w:r>
      <w:r>
        <w:rPr>
          <w:spacing w:val="-80"/>
        </w:rPr>
      </w:r>
      <w:r>
        <w:rPr/>
        <w:t>权益法调整后进行合并；对合营企业和联营企业投资采用权益法核算；对被投资单位不具有</w:t>
      </w:r>
      <w:r>
        <w:rPr>
          <w:spacing w:val="-80"/>
        </w:rPr>
        <w:t> </w:t>
      </w:r>
      <w:r>
        <w:rPr>
          <w:spacing w:val="-80"/>
        </w:rPr>
      </w:r>
      <w:r>
        <w:rPr/>
        <w:t>控制、共同控制或重大影响，并且在活跃市场中没有报价、公允价值不能可靠计量的长期股</w:t>
      </w:r>
      <w:r>
        <w:rPr>
          <w:spacing w:val="-80"/>
        </w:rPr>
        <w:t> </w:t>
      </w:r>
      <w:r>
        <w:rPr>
          <w:spacing w:val="-80"/>
        </w:rPr>
      </w:r>
      <w:r>
        <w:rPr/>
        <w:t>权投资，采用成本法核算。</w:t>
      </w:r>
    </w:p>
    <w:p>
      <w:pPr>
        <w:spacing w:line="240" w:lineRule="auto" w:before="12"/>
        <w:rPr>
          <w:rFonts w:ascii="宋体" w:hAnsi="宋体" w:cs="宋体" w:eastAsia="宋体" w:hint="default"/>
          <w:sz w:val="16"/>
          <w:szCs w:val="16"/>
        </w:rPr>
      </w:pPr>
    </w:p>
    <w:p>
      <w:pPr>
        <w:pStyle w:val="BodyText"/>
        <w:tabs>
          <w:tab w:pos="595" w:val="left" w:leader="none"/>
        </w:tabs>
        <w:spacing w:line="240" w:lineRule="auto"/>
        <w:ind w:left="118" w:right="91"/>
        <w:jc w:val="left"/>
      </w:pPr>
      <w:r>
        <w:rPr>
          <w:rFonts w:ascii="Arial" w:hAnsi="Arial" w:cs="Arial" w:eastAsia="Arial" w:hint="default"/>
          <w:w w:val="95"/>
        </w:rPr>
        <w:t>(a)</w:t>
        <w:tab/>
      </w:r>
      <w:r>
        <w:rPr/>
        <w:t>投资成本确定</w:t>
      </w:r>
    </w:p>
    <w:p>
      <w:pPr>
        <w:spacing w:line="240" w:lineRule="auto" w:before="11"/>
        <w:rPr>
          <w:rFonts w:ascii="宋体" w:hAnsi="宋体" w:cs="宋体" w:eastAsia="宋体" w:hint="default"/>
          <w:sz w:val="18"/>
          <w:szCs w:val="18"/>
        </w:rPr>
      </w:pPr>
    </w:p>
    <w:p>
      <w:pPr>
        <w:pStyle w:val="BodyText"/>
        <w:spacing w:line="286" w:lineRule="exact"/>
        <w:ind w:left="595" w:right="113"/>
        <w:jc w:val="both"/>
      </w:pPr>
      <w:r>
        <w:rPr/>
        <w:t>对于企业合并形成的长期股权投资：同一控制下企业合并取得的长期股权投资，在合并日按</w:t>
      </w:r>
      <w:r>
        <w:rPr>
          <w:spacing w:val="-80"/>
        </w:rPr>
        <w:t> </w:t>
      </w:r>
      <w:r>
        <w:rPr>
          <w:spacing w:val="-80"/>
        </w:rPr>
      </w:r>
      <w:r>
        <w:rPr/>
        <w:t>照取得被合并方所有者权益账面价值的份额作为投资成本；非同一控制下企业合并取得的长</w:t>
      </w:r>
      <w:r>
        <w:rPr>
          <w:spacing w:val="-80"/>
        </w:rPr>
        <w:t> </w:t>
      </w:r>
      <w:r>
        <w:rPr>
          <w:spacing w:val="-80"/>
        </w:rPr>
      </w:r>
      <w:r>
        <w:rPr/>
        <w:t>期股权投资，按照合并成本作为长期股权投资的投资成本。本公司个别子公司在以前年度进</w:t>
      </w:r>
      <w:r>
        <w:rPr>
          <w:spacing w:val="-80"/>
        </w:rPr>
        <w:t> </w:t>
      </w:r>
      <w:r>
        <w:rPr>
          <w:spacing w:val="-80"/>
        </w:rPr>
      </w:r>
      <w:r>
        <w:rPr>
          <w:spacing w:val="-2"/>
        </w:rPr>
        <w:t>行公司制改建时对其持有的长期股权投资，按国有资产管理部门确认的评估值作为入账价值。</w:t>
      </w:r>
    </w:p>
    <w:p>
      <w:pPr>
        <w:spacing w:line="240" w:lineRule="auto" w:before="3"/>
        <w:rPr>
          <w:rFonts w:ascii="宋体" w:hAnsi="宋体" w:cs="宋体" w:eastAsia="宋体" w:hint="default"/>
          <w:sz w:val="19"/>
          <w:szCs w:val="19"/>
        </w:rPr>
      </w:pPr>
    </w:p>
    <w:p>
      <w:pPr>
        <w:pStyle w:val="BodyText"/>
        <w:spacing w:line="286" w:lineRule="exact"/>
        <w:ind w:left="595" w:right="222"/>
        <w:jc w:val="both"/>
      </w:pPr>
      <w:r>
        <w:rPr/>
        <w:t>对于以企业合并以外的其他方式取得的长期股权投资：支付现金取得的长期股权投资，按照</w:t>
      </w:r>
      <w:r>
        <w:rPr>
          <w:spacing w:val="-80"/>
        </w:rPr>
        <w:t> </w:t>
      </w:r>
      <w:r>
        <w:rPr>
          <w:spacing w:val="-80"/>
        </w:rPr>
      </w:r>
      <w:r>
        <w:rPr/>
        <w:t>实际支付的购买价款作为初始投资成本；发行权益性证券取得的长期股权投资，以发行权益</w:t>
      </w:r>
      <w:r>
        <w:rPr>
          <w:spacing w:val="-80"/>
        </w:rPr>
        <w:t> </w:t>
      </w:r>
      <w:r>
        <w:rPr>
          <w:spacing w:val="-80"/>
        </w:rPr>
      </w:r>
      <w:r>
        <w:rPr/>
        <w:t>性证券的公允价值作为初始投资成本。</w:t>
      </w:r>
    </w:p>
    <w:p>
      <w:pPr>
        <w:pStyle w:val="BodyText"/>
        <w:tabs>
          <w:tab w:pos="595" w:val="left" w:leader="none"/>
        </w:tabs>
        <w:spacing w:line="240" w:lineRule="auto" w:before="181"/>
        <w:ind w:left="118" w:right="91"/>
        <w:jc w:val="left"/>
      </w:pPr>
      <w:r>
        <w:rPr>
          <w:rFonts w:ascii="Arial" w:hAnsi="Arial" w:cs="Arial" w:eastAsia="Arial" w:hint="default"/>
          <w:w w:val="95"/>
        </w:rPr>
        <w:t>(b)</w:t>
        <w:tab/>
      </w:r>
      <w:r>
        <w:rPr/>
        <w:t>后续计量及损益确认方法</w:t>
      </w:r>
    </w:p>
    <w:p>
      <w:pPr>
        <w:spacing w:line="240" w:lineRule="auto" w:before="11"/>
        <w:rPr>
          <w:rFonts w:ascii="宋体" w:hAnsi="宋体" w:cs="宋体" w:eastAsia="宋体" w:hint="default"/>
          <w:sz w:val="18"/>
          <w:szCs w:val="18"/>
        </w:rPr>
      </w:pPr>
    </w:p>
    <w:p>
      <w:pPr>
        <w:pStyle w:val="BodyText"/>
        <w:spacing w:line="286" w:lineRule="exact"/>
        <w:ind w:left="595" w:right="222"/>
        <w:jc w:val="both"/>
      </w:pPr>
      <w:r>
        <w:rPr/>
        <w:t>采用成本法核算的长期股权投资，按照初始投资成本计量，被投资单位宣告分派的现金股利</w:t>
      </w:r>
      <w:r>
        <w:rPr>
          <w:spacing w:val="-80"/>
        </w:rPr>
        <w:t> </w:t>
      </w:r>
      <w:r>
        <w:rPr>
          <w:spacing w:val="-80"/>
        </w:rPr>
      </w:r>
      <w:r>
        <w:rPr/>
        <w:t>或利润，确认为投资收益计入当期损益。</w:t>
      </w:r>
    </w:p>
    <w:p>
      <w:pPr>
        <w:spacing w:line="240" w:lineRule="auto" w:before="5"/>
        <w:rPr>
          <w:rFonts w:ascii="宋体" w:hAnsi="宋体" w:cs="宋体" w:eastAsia="宋体" w:hint="default"/>
          <w:sz w:val="17"/>
          <w:szCs w:val="17"/>
        </w:rPr>
      </w:pPr>
    </w:p>
    <w:p>
      <w:pPr>
        <w:pStyle w:val="BodyText"/>
        <w:spacing w:line="237" w:lineRule="auto"/>
        <w:ind w:left="595" w:right="222"/>
        <w:jc w:val="both"/>
      </w:pPr>
      <w:r>
        <w:rPr/>
        <w:t>采用权益法核算的长期股权投资，初始投资成本大于投资时应享有被投资单位可辨认净资产</w:t>
      </w:r>
      <w:r>
        <w:rPr>
          <w:spacing w:val="-80"/>
        </w:rPr>
        <w:t> </w:t>
      </w:r>
      <w:r>
        <w:rPr>
          <w:spacing w:val="-80"/>
        </w:rPr>
      </w:r>
      <w:r>
        <w:rPr/>
        <w:t>公允价值份额的，以初始投资成本作为长期股权投资成本；初始投资成本小于投资时应享有</w:t>
      </w:r>
      <w:r>
        <w:rPr>
          <w:spacing w:val="-80"/>
        </w:rPr>
        <w:t> </w:t>
      </w:r>
      <w:r>
        <w:rPr>
          <w:spacing w:val="-80"/>
        </w:rPr>
      </w:r>
      <w:r>
        <w:rPr/>
        <w:t>被投资单位可辨认净资产公允价值份额的，其差额计入当期损益，并相应调增长期股权投资</w:t>
      </w:r>
      <w:r>
        <w:rPr>
          <w:spacing w:val="-80"/>
        </w:rPr>
        <w:t> </w:t>
      </w:r>
      <w:r>
        <w:rPr>
          <w:spacing w:val="-80"/>
        </w:rPr>
      </w:r>
      <w:r>
        <w:rPr/>
        <w:t>成本。</w:t>
      </w:r>
    </w:p>
    <w:p>
      <w:pPr>
        <w:spacing w:after="0" w:line="237" w:lineRule="auto"/>
        <w:jc w:val="both"/>
        <w:sectPr>
          <w:headerReference w:type="default" r:id="rId49"/>
          <w:pgSz w:w="11900" w:h="16840"/>
          <w:pgMar w:header="967" w:footer="600" w:top="2820" w:bottom="780" w:left="1440" w:right="800"/>
        </w:sectPr>
      </w:pPr>
    </w:p>
    <w:p>
      <w:pPr>
        <w:spacing w:line="240" w:lineRule="auto" w:before="10"/>
        <w:rPr>
          <w:rFonts w:ascii="宋体" w:hAnsi="宋体" w:cs="宋体" w:eastAsia="宋体" w:hint="default"/>
          <w:sz w:val="19"/>
          <w:szCs w:val="19"/>
        </w:rPr>
      </w:pPr>
    </w:p>
    <w:p>
      <w:pPr>
        <w:pStyle w:val="BodyText"/>
        <w:spacing w:line="240" w:lineRule="auto" w:before="31"/>
        <w:ind w:left="118" w:right="3262"/>
        <w:jc w:val="left"/>
      </w:pPr>
      <w:r>
        <w:rPr>
          <w:rFonts w:ascii="Arial" w:hAnsi="Arial" w:cs="Arial" w:eastAsia="Arial" w:hint="default"/>
        </w:rPr>
        <w:t>12</w:t>
      </w:r>
      <w:r>
        <w:rPr/>
        <w:t>、长期股权投资（续）</w:t>
      </w:r>
    </w:p>
    <w:p>
      <w:pPr>
        <w:pStyle w:val="BodyText"/>
        <w:tabs>
          <w:tab w:pos="595" w:val="left" w:leader="none"/>
        </w:tabs>
        <w:spacing w:line="240" w:lineRule="auto" w:before="189"/>
        <w:ind w:left="118" w:right="3262"/>
        <w:jc w:val="left"/>
      </w:pPr>
      <w:r>
        <w:rPr>
          <w:rFonts w:ascii="Arial" w:hAnsi="Arial" w:cs="Arial" w:eastAsia="Arial" w:hint="default"/>
          <w:w w:val="95"/>
        </w:rPr>
        <w:t>(b)</w:t>
        <w:tab/>
      </w:r>
      <w:r>
        <w:rPr/>
        <w:t>后续计量及损益确认方法（续）</w:t>
      </w:r>
    </w:p>
    <w:p>
      <w:pPr>
        <w:spacing w:line="240" w:lineRule="auto" w:before="12"/>
        <w:rPr>
          <w:rFonts w:ascii="宋体" w:hAnsi="宋体" w:cs="宋体" w:eastAsia="宋体" w:hint="default"/>
          <w:sz w:val="16"/>
          <w:szCs w:val="16"/>
        </w:rPr>
      </w:pPr>
    </w:p>
    <w:p>
      <w:pPr>
        <w:pStyle w:val="BodyText"/>
        <w:spacing w:line="237" w:lineRule="auto"/>
        <w:ind w:left="595" w:right="102"/>
        <w:jc w:val="both"/>
      </w:pPr>
      <w:r>
        <w:rPr/>
        <w:t>采用权益法核算的长期股权投资，本集团按应享有或应分担的被投资单位的净损益份额确认</w:t>
      </w:r>
      <w:r>
        <w:rPr>
          <w:spacing w:val="-80"/>
        </w:rPr>
        <w:t> </w:t>
      </w:r>
      <w:r>
        <w:rPr>
          <w:spacing w:val="-80"/>
        </w:rPr>
      </w:r>
      <w:r>
        <w:rPr/>
        <w:t>当期投资损益。确认被投资单位发生的净亏损，以长期股权投资的账面价值以及其他实质上</w:t>
      </w:r>
      <w:r>
        <w:rPr>
          <w:spacing w:val="-80"/>
        </w:rPr>
        <w:t> </w:t>
      </w:r>
      <w:r>
        <w:rPr>
          <w:spacing w:val="-80"/>
        </w:rPr>
      </w:r>
      <w:r>
        <w:rPr/>
        <w:t>构成对被投资单位净投资的长期权益减记至零为限，但本集团负有承担额外损失义务且符合</w:t>
      </w:r>
      <w:r>
        <w:rPr>
          <w:spacing w:val="-80"/>
        </w:rPr>
        <w:t> </w:t>
      </w:r>
      <w:r>
        <w:rPr>
          <w:spacing w:val="-80"/>
        </w:rPr>
      </w:r>
      <w:r>
        <w:rPr/>
        <w:t>或有事项准则所规定的预计负债确认条件的，继续确认投资损失并作为预计负债核算。被投</w:t>
      </w:r>
      <w:r>
        <w:rPr>
          <w:spacing w:val="-80"/>
        </w:rPr>
        <w:t> </w:t>
      </w:r>
      <w:r>
        <w:rPr>
          <w:spacing w:val="-80"/>
        </w:rPr>
      </w:r>
      <w:r>
        <w:rPr/>
        <w:t>资单位除净损益以外股东权益的其他变动，在本集团持股比例不变的情况下，按照持股比例</w:t>
      </w:r>
      <w:r>
        <w:rPr>
          <w:spacing w:val="-80"/>
        </w:rPr>
        <w:t> </w:t>
      </w:r>
      <w:r>
        <w:rPr>
          <w:spacing w:val="-80"/>
        </w:rPr>
      </w:r>
      <w:r>
        <w:rPr/>
        <w:t>计算应享有或承担的部分直接计入资本公积。被投资单位分派的利润或现金股利于宣告分派</w:t>
      </w:r>
      <w:r>
        <w:rPr>
          <w:spacing w:val="-80"/>
        </w:rPr>
        <w:t> </w:t>
      </w:r>
      <w:r>
        <w:rPr>
          <w:spacing w:val="-80"/>
        </w:rPr>
      </w:r>
      <w:r>
        <w:rPr/>
        <w:t>时按照本集团应分得的部分，相应减少长期股权投资的账面价值。本集团与被投资单位之间</w:t>
      </w:r>
      <w:r>
        <w:rPr>
          <w:spacing w:val="-80"/>
        </w:rPr>
        <w:t> </w:t>
      </w:r>
      <w:r>
        <w:rPr>
          <w:spacing w:val="-80"/>
        </w:rPr>
      </w:r>
      <w:r>
        <w:rPr/>
        <w:t>未实现的内部交易损益按照持股比例计算归属于本集团的部分，予以抵销，在此基础上确认</w:t>
      </w:r>
      <w:r>
        <w:rPr>
          <w:spacing w:val="-80"/>
        </w:rPr>
        <w:t> </w:t>
      </w:r>
      <w:r>
        <w:rPr>
          <w:spacing w:val="-80"/>
        </w:rPr>
      </w:r>
      <w:r>
        <w:rPr/>
        <w:t>投资损益。本集团与被投资单位发生的内部交易损失，其中属于资产减值损失的部分，相应</w:t>
      </w:r>
      <w:r>
        <w:rPr>
          <w:spacing w:val="-80"/>
        </w:rPr>
        <w:t> </w:t>
      </w:r>
      <w:r>
        <w:rPr>
          <w:spacing w:val="-80"/>
        </w:rPr>
      </w:r>
      <w:r>
        <w:rPr/>
        <w:t>的未实现损失不予抵销。</w:t>
      </w:r>
    </w:p>
    <w:p>
      <w:pPr>
        <w:spacing w:line="240" w:lineRule="auto" w:before="13"/>
        <w:rPr>
          <w:rFonts w:ascii="宋体" w:hAnsi="宋体" w:cs="宋体" w:eastAsia="宋体" w:hint="default"/>
          <w:sz w:val="16"/>
          <w:szCs w:val="16"/>
        </w:rPr>
      </w:pPr>
    </w:p>
    <w:p>
      <w:pPr>
        <w:pStyle w:val="BodyText"/>
        <w:tabs>
          <w:tab w:pos="595" w:val="left" w:leader="none"/>
        </w:tabs>
        <w:spacing w:line="240" w:lineRule="auto"/>
        <w:ind w:left="118" w:right="3262"/>
        <w:jc w:val="left"/>
      </w:pPr>
      <w:r>
        <w:rPr>
          <w:rFonts w:ascii="Arial" w:hAnsi="Arial" w:cs="Arial" w:eastAsia="Arial" w:hint="default"/>
          <w:w w:val="95"/>
        </w:rPr>
        <w:t>(c)</w:t>
        <w:tab/>
      </w:r>
      <w:r>
        <w:rPr/>
        <w:t>确定对被投资单位具有控制、共同控制、重大影响的依据</w:t>
      </w:r>
    </w:p>
    <w:p>
      <w:pPr>
        <w:spacing w:line="240" w:lineRule="auto" w:before="12"/>
        <w:rPr>
          <w:rFonts w:ascii="宋体" w:hAnsi="宋体" w:cs="宋体" w:eastAsia="宋体" w:hint="default"/>
          <w:sz w:val="16"/>
          <w:szCs w:val="16"/>
        </w:rPr>
      </w:pPr>
    </w:p>
    <w:p>
      <w:pPr>
        <w:pStyle w:val="BodyText"/>
        <w:spacing w:line="237" w:lineRule="auto"/>
        <w:ind w:left="595" w:right="102"/>
        <w:jc w:val="both"/>
      </w:pPr>
      <w:r>
        <w:rPr/>
        <w:t>控制是指有权决定被投资单位的财务和经营政策，并能据以从其经营活动中获取利益。在确</w:t>
      </w:r>
      <w:r>
        <w:rPr>
          <w:spacing w:val="-80"/>
        </w:rPr>
        <w:t> </w:t>
      </w:r>
      <w:r>
        <w:rPr>
          <w:spacing w:val="-80"/>
        </w:rPr>
      </w:r>
      <w:r>
        <w:rPr/>
        <w:t>定能否对被投资单位实施控制时，被投资单位当期可转换公司债券、当期可执行认股权证等</w:t>
      </w:r>
      <w:r>
        <w:rPr>
          <w:spacing w:val="-80"/>
        </w:rPr>
        <w:t> </w:t>
      </w:r>
      <w:r>
        <w:rPr>
          <w:spacing w:val="-80"/>
        </w:rPr>
      </w:r>
      <w:r>
        <w:rPr/>
        <w:t>潜在表决权因素也同时予以考虑。</w:t>
      </w:r>
    </w:p>
    <w:p>
      <w:pPr>
        <w:spacing w:line="240" w:lineRule="auto" w:before="5"/>
        <w:rPr>
          <w:rFonts w:ascii="宋体" w:hAnsi="宋体" w:cs="宋体" w:eastAsia="宋体" w:hint="default"/>
          <w:sz w:val="21"/>
          <w:szCs w:val="21"/>
        </w:rPr>
      </w:pPr>
    </w:p>
    <w:p>
      <w:pPr>
        <w:pStyle w:val="BodyText"/>
        <w:spacing w:line="286" w:lineRule="exact"/>
        <w:ind w:left="595" w:right="102"/>
        <w:jc w:val="both"/>
      </w:pPr>
      <w:r>
        <w:rPr/>
        <w:t>共同控制是指按照合同约定对某项经济活动所享有的控制，仅在与该项经济活动相关的重要</w:t>
      </w:r>
      <w:r>
        <w:rPr>
          <w:spacing w:val="-80"/>
        </w:rPr>
        <w:t> </w:t>
      </w:r>
      <w:r>
        <w:rPr>
          <w:spacing w:val="-80"/>
        </w:rPr>
      </w:r>
      <w:r>
        <w:rPr/>
        <w:t>财务和经营决策需要分享控制权的投资方一致同意时存在。</w:t>
      </w:r>
    </w:p>
    <w:p>
      <w:pPr>
        <w:spacing w:line="240" w:lineRule="auto" w:before="3"/>
        <w:rPr>
          <w:rFonts w:ascii="宋体" w:hAnsi="宋体" w:cs="宋体" w:eastAsia="宋体" w:hint="default"/>
          <w:sz w:val="19"/>
          <w:szCs w:val="19"/>
        </w:rPr>
      </w:pPr>
    </w:p>
    <w:p>
      <w:pPr>
        <w:pStyle w:val="BodyText"/>
        <w:spacing w:line="286" w:lineRule="exact"/>
        <w:ind w:left="595" w:right="102"/>
        <w:jc w:val="both"/>
      </w:pPr>
      <w:r>
        <w:rPr/>
        <w:t>重大影响是指对被投资单位的财务和经营政策有参与决策的权力，但并不能够控制或者与其</w:t>
      </w:r>
      <w:r>
        <w:rPr>
          <w:spacing w:val="-80"/>
        </w:rPr>
        <w:t> </w:t>
      </w:r>
      <w:r>
        <w:rPr>
          <w:spacing w:val="-80"/>
        </w:rPr>
      </w:r>
      <w:r>
        <w:rPr/>
        <w:t>他方一起共同控制这些政策的制定。</w:t>
      </w:r>
    </w:p>
    <w:p>
      <w:pPr>
        <w:pStyle w:val="BodyText"/>
        <w:tabs>
          <w:tab w:pos="595" w:val="left" w:leader="none"/>
        </w:tabs>
        <w:spacing w:line="240" w:lineRule="auto" w:before="196"/>
        <w:ind w:left="118" w:right="3262"/>
        <w:jc w:val="left"/>
      </w:pPr>
      <w:r>
        <w:rPr>
          <w:rFonts w:ascii="Arial" w:hAnsi="Arial" w:cs="Arial" w:eastAsia="Arial" w:hint="default"/>
          <w:w w:val="95"/>
        </w:rPr>
        <w:t>(d)</w:t>
        <w:tab/>
      </w:r>
      <w:r>
        <w:rPr/>
        <w:t>长期股权投资减值</w:t>
      </w:r>
    </w:p>
    <w:p>
      <w:pPr>
        <w:spacing w:line="240" w:lineRule="auto" w:before="11"/>
        <w:rPr>
          <w:rFonts w:ascii="宋体" w:hAnsi="宋体" w:cs="宋体" w:eastAsia="宋体" w:hint="default"/>
          <w:sz w:val="18"/>
          <w:szCs w:val="18"/>
        </w:rPr>
      </w:pPr>
    </w:p>
    <w:p>
      <w:pPr>
        <w:pStyle w:val="BodyText"/>
        <w:spacing w:line="235" w:lineRule="auto"/>
        <w:ind w:left="595" w:right="102"/>
        <w:jc w:val="both"/>
      </w:pPr>
      <w:r>
        <w:rPr/>
        <w:t>对子公司、合营企业及联营企业的长期股权投资，当其可收回金额低于其账面价值时，账面</w:t>
      </w:r>
      <w:r>
        <w:rPr>
          <w:spacing w:val="-80"/>
        </w:rPr>
        <w:t> </w:t>
      </w:r>
      <w:r>
        <w:rPr>
          <w:spacing w:val="-80"/>
        </w:rPr>
      </w:r>
      <w:r>
        <w:rPr/>
        <w:t>价值减记至可收回金额（附注二</w:t>
      </w:r>
      <w:r>
        <w:rPr>
          <w:rFonts w:ascii="Arial" w:hAnsi="Arial" w:cs="Arial" w:eastAsia="Arial" w:hint="default"/>
        </w:rPr>
        <w:t>(18)</w:t>
      </w:r>
      <w:r>
        <w:rPr/>
        <w:t>）。在活跃市场中没有报价且其公允价值不能可靠计量</w:t>
      </w:r>
      <w:r>
        <w:rPr>
          <w:spacing w:val="-43"/>
        </w:rPr>
        <w:t> </w:t>
      </w:r>
      <w:r>
        <w:rPr>
          <w:spacing w:val="-43"/>
        </w:rPr>
      </w:r>
      <w:r>
        <w:rPr/>
        <w:t>的其他长期股权投资发生减值时，按其账面价值超过按类似金融资产当时市场收益率对未来</w:t>
      </w:r>
      <w:r>
        <w:rPr>
          <w:spacing w:val="-80"/>
        </w:rPr>
        <w:t> </w:t>
      </w:r>
      <w:r>
        <w:rPr>
          <w:spacing w:val="-80"/>
        </w:rPr>
      </w:r>
      <w:r>
        <w:rPr/>
        <w:t>现金流量折现确定的现值之间的差额，确认减值损失。减值损失一经确认，以后期间不予转</w:t>
      </w:r>
      <w:r>
        <w:rPr>
          <w:spacing w:val="-80"/>
        </w:rPr>
        <w:t> </w:t>
      </w:r>
      <w:r>
        <w:rPr>
          <w:spacing w:val="-80"/>
        </w:rPr>
      </w:r>
      <w:r>
        <w:rPr/>
        <w:t>回价值得以恢复的部分。</w:t>
      </w:r>
    </w:p>
    <w:p>
      <w:pPr>
        <w:spacing w:line="240" w:lineRule="auto" w:before="12"/>
        <w:rPr>
          <w:rFonts w:ascii="宋体" w:hAnsi="宋体" w:cs="宋体" w:eastAsia="宋体" w:hint="default"/>
          <w:sz w:val="16"/>
          <w:szCs w:val="16"/>
        </w:rPr>
      </w:pPr>
    </w:p>
    <w:p>
      <w:pPr>
        <w:pStyle w:val="BodyText"/>
        <w:spacing w:line="240" w:lineRule="auto"/>
        <w:ind w:left="118" w:right="3262"/>
        <w:jc w:val="left"/>
      </w:pPr>
      <w:r>
        <w:rPr>
          <w:rFonts w:ascii="Arial" w:hAnsi="Arial" w:cs="Arial" w:eastAsia="Arial" w:hint="default"/>
        </w:rPr>
        <w:t>13</w:t>
      </w:r>
      <w:r>
        <w:rPr/>
        <w:t>、固定资产</w:t>
      </w:r>
    </w:p>
    <w:p>
      <w:pPr>
        <w:pStyle w:val="BodyText"/>
        <w:tabs>
          <w:tab w:pos="595" w:val="left" w:leader="none"/>
        </w:tabs>
        <w:spacing w:line="240" w:lineRule="auto" w:before="189"/>
        <w:ind w:left="118" w:right="3262"/>
        <w:jc w:val="left"/>
      </w:pPr>
      <w:r>
        <w:rPr>
          <w:rFonts w:ascii="Arial" w:hAnsi="Arial" w:cs="Arial" w:eastAsia="Arial" w:hint="default"/>
          <w:w w:val="95"/>
        </w:rPr>
        <w:t>(a)</w:t>
        <w:tab/>
      </w:r>
      <w:r>
        <w:rPr/>
        <w:t>固定资产确认及初始计量</w:t>
      </w:r>
    </w:p>
    <w:p>
      <w:pPr>
        <w:spacing w:line="240" w:lineRule="auto" w:before="12"/>
        <w:rPr>
          <w:rFonts w:ascii="宋体" w:hAnsi="宋体" w:cs="宋体" w:eastAsia="宋体" w:hint="default"/>
          <w:sz w:val="16"/>
          <w:szCs w:val="16"/>
        </w:rPr>
      </w:pPr>
    </w:p>
    <w:p>
      <w:pPr>
        <w:pStyle w:val="BodyText"/>
        <w:spacing w:line="237" w:lineRule="auto"/>
        <w:ind w:left="607" w:right="106"/>
        <w:jc w:val="both"/>
      </w:pPr>
      <w:r>
        <w:rPr/>
        <w:t>固定资产主要包括房屋及建筑物、通信设备以及办公设备等。固定资产在与其有关的经济利</w:t>
      </w:r>
      <w:r>
        <w:rPr>
          <w:spacing w:val="-94"/>
        </w:rPr>
        <w:t> </w:t>
      </w:r>
      <w:r>
        <w:rPr>
          <w:spacing w:val="-94"/>
        </w:rPr>
      </w:r>
      <w:r>
        <w:rPr/>
        <w:t>益很可能流入本集团、且其成本能够可靠计量时予以确认。购置或新建的固定资产按取得时</w:t>
      </w:r>
      <w:r>
        <w:rPr>
          <w:spacing w:val="-94"/>
        </w:rPr>
        <w:t> </w:t>
      </w:r>
      <w:r>
        <w:rPr>
          <w:spacing w:val="-94"/>
        </w:rPr>
      </w:r>
      <w:r>
        <w:rPr/>
        <w:t>的成本进行初始计量。本集团在进行重组时，国有股股东投入的固定资产，按国有资产管理</w:t>
      </w:r>
      <w:r>
        <w:rPr>
          <w:spacing w:val="-94"/>
        </w:rPr>
        <w:t> </w:t>
      </w:r>
      <w:r>
        <w:rPr>
          <w:spacing w:val="-94"/>
        </w:rPr>
      </w:r>
      <w:r>
        <w:rPr/>
        <w:t>部门确认的评估值作为入账价值。</w:t>
      </w:r>
    </w:p>
    <w:p>
      <w:pPr>
        <w:spacing w:after="0" w:line="237" w:lineRule="auto"/>
        <w:jc w:val="both"/>
        <w:sectPr>
          <w:headerReference w:type="default" r:id="rId50"/>
          <w:pgSz w:w="11900" w:h="16840"/>
          <w:pgMar w:header="967" w:footer="600" w:top="282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91"/>
        <w:jc w:val="left"/>
      </w:pPr>
      <w:r>
        <w:rPr>
          <w:rFonts w:ascii="Arial" w:hAnsi="Arial" w:cs="Arial" w:eastAsia="Arial" w:hint="default"/>
        </w:rPr>
        <w:t>13</w:t>
      </w:r>
      <w:r>
        <w:rPr/>
        <w:t>、固定资产（续）</w:t>
      </w:r>
    </w:p>
    <w:p>
      <w:pPr>
        <w:pStyle w:val="BodyText"/>
        <w:tabs>
          <w:tab w:pos="595" w:val="left" w:leader="none"/>
        </w:tabs>
        <w:spacing w:line="240" w:lineRule="auto" w:before="189"/>
        <w:ind w:left="118" w:right="91"/>
        <w:jc w:val="left"/>
      </w:pPr>
      <w:r>
        <w:rPr>
          <w:rFonts w:ascii="Arial" w:hAnsi="Arial" w:cs="Arial" w:eastAsia="Arial" w:hint="default"/>
          <w:w w:val="95"/>
        </w:rPr>
        <w:t>(a)</w:t>
        <w:tab/>
      </w:r>
      <w:r>
        <w:rPr/>
        <w:t>固定资产确认及初始计量（续）</w:t>
      </w:r>
    </w:p>
    <w:p>
      <w:pPr>
        <w:spacing w:line="240" w:lineRule="auto" w:before="12"/>
        <w:rPr>
          <w:rFonts w:ascii="宋体" w:hAnsi="宋体" w:cs="宋体" w:eastAsia="宋体" w:hint="default"/>
          <w:sz w:val="16"/>
          <w:szCs w:val="16"/>
        </w:rPr>
      </w:pPr>
    </w:p>
    <w:p>
      <w:pPr>
        <w:pStyle w:val="BodyText"/>
        <w:spacing w:line="237" w:lineRule="auto"/>
        <w:ind w:left="607" w:right="226"/>
        <w:jc w:val="both"/>
      </w:pPr>
      <w:r>
        <w:rPr/>
        <w:t>与固定资产有关的后续支出，在与其相关的经济利益很可能流入本集团且其成本能够可靠的</w:t>
      </w:r>
      <w:r>
        <w:rPr>
          <w:spacing w:val="-94"/>
        </w:rPr>
        <w:t> </w:t>
      </w:r>
      <w:r>
        <w:rPr>
          <w:spacing w:val="-94"/>
        </w:rPr>
      </w:r>
      <w:r>
        <w:rPr/>
        <w:t>计量时，计入固定资产成本；对于被替换的部分，终止确认其账面价值；所有其他后续支出</w:t>
      </w:r>
      <w:r>
        <w:rPr>
          <w:spacing w:val="-94"/>
        </w:rPr>
        <w:t> </w:t>
      </w:r>
      <w:r>
        <w:rPr>
          <w:spacing w:val="-94"/>
        </w:rPr>
      </w:r>
      <w:r>
        <w:rPr/>
        <w:t>于发生时计入当期损益。</w:t>
      </w:r>
    </w:p>
    <w:p>
      <w:pPr>
        <w:spacing w:line="240" w:lineRule="auto" w:before="13"/>
        <w:rPr>
          <w:rFonts w:ascii="宋体" w:hAnsi="宋体" w:cs="宋体" w:eastAsia="宋体" w:hint="default"/>
          <w:sz w:val="16"/>
          <w:szCs w:val="16"/>
        </w:rPr>
      </w:pPr>
    </w:p>
    <w:p>
      <w:pPr>
        <w:pStyle w:val="BodyText"/>
        <w:tabs>
          <w:tab w:pos="595" w:val="left" w:leader="none"/>
        </w:tabs>
        <w:spacing w:line="240" w:lineRule="auto"/>
        <w:ind w:left="118" w:right="91"/>
        <w:jc w:val="left"/>
      </w:pPr>
      <w:r>
        <w:rPr>
          <w:rFonts w:ascii="Arial" w:hAnsi="Arial" w:cs="Arial" w:eastAsia="Arial" w:hint="default"/>
          <w:w w:val="95"/>
        </w:rPr>
        <w:t>(b)</w:t>
        <w:tab/>
      </w:r>
      <w:r>
        <w:rPr/>
        <w:t>固定资产的折旧方法</w:t>
      </w:r>
    </w:p>
    <w:p>
      <w:pPr>
        <w:spacing w:line="240" w:lineRule="auto" w:before="10"/>
        <w:rPr>
          <w:rFonts w:ascii="宋体" w:hAnsi="宋体" w:cs="宋体" w:eastAsia="宋体" w:hint="default"/>
          <w:sz w:val="18"/>
          <w:szCs w:val="18"/>
        </w:rPr>
      </w:pPr>
    </w:p>
    <w:p>
      <w:pPr>
        <w:pStyle w:val="BodyText"/>
        <w:spacing w:line="286" w:lineRule="exact"/>
        <w:ind w:left="607" w:right="226"/>
        <w:jc w:val="both"/>
      </w:pPr>
      <w:r>
        <w:rPr/>
        <w:t>固定资产折旧采用年限平均法并按其入账价值减去预计净残值后在预计使用寿命内计提。对</w:t>
      </w:r>
      <w:r>
        <w:rPr>
          <w:spacing w:val="-94"/>
        </w:rPr>
        <w:t> </w:t>
      </w:r>
      <w:r>
        <w:rPr>
          <w:spacing w:val="-94"/>
        </w:rPr>
      </w:r>
      <w:r>
        <w:rPr/>
        <w:t>计提了减值准备的固定资产，则在未来期间按扣除减值准备后的账面价值及依据尚可使用年</w:t>
      </w:r>
      <w:r>
        <w:rPr>
          <w:spacing w:val="-94"/>
        </w:rPr>
        <w:t> </w:t>
      </w:r>
      <w:r>
        <w:rPr>
          <w:spacing w:val="-94"/>
        </w:rPr>
      </w:r>
      <w:r>
        <w:rPr/>
        <w:t>限确定折旧额。</w:t>
      </w:r>
    </w:p>
    <w:p>
      <w:pPr>
        <w:spacing w:line="240" w:lineRule="auto" w:before="2"/>
        <w:rPr>
          <w:rFonts w:ascii="宋体" w:hAnsi="宋体" w:cs="宋体" w:eastAsia="宋体" w:hint="default"/>
          <w:sz w:val="17"/>
          <w:szCs w:val="17"/>
        </w:rPr>
      </w:pPr>
    </w:p>
    <w:p>
      <w:pPr>
        <w:pStyle w:val="BodyText"/>
        <w:spacing w:line="240" w:lineRule="auto"/>
        <w:ind w:left="607" w:right="0"/>
        <w:jc w:val="both"/>
      </w:pPr>
      <w:r>
        <w:rPr/>
        <w:t>固定资产的预计使用寿命、净残值率及年折旧率列示如下：</w:t>
      </w:r>
    </w:p>
    <w:p>
      <w:pPr>
        <w:spacing w:line="240" w:lineRule="auto" w:before="9"/>
        <w:rPr>
          <w:rFonts w:ascii="宋体" w:hAnsi="宋体" w:cs="宋体" w:eastAsia="宋体" w:hint="default"/>
          <w:sz w:val="16"/>
          <w:szCs w:val="16"/>
        </w:rPr>
      </w:pPr>
    </w:p>
    <w:tbl>
      <w:tblPr>
        <w:tblW w:w="0" w:type="auto"/>
        <w:jc w:val="left"/>
        <w:tblInd w:w="566" w:type="dxa"/>
        <w:tblLayout w:type="fixed"/>
        <w:tblCellMar>
          <w:top w:w="0" w:type="dxa"/>
          <w:left w:w="0" w:type="dxa"/>
          <w:bottom w:w="0" w:type="dxa"/>
          <w:right w:w="0" w:type="dxa"/>
        </w:tblCellMar>
        <w:tblLook w:val="01E0"/>
      </w:tblPr>
      <w:tblGrid>
        <w:gridCol w:w="2241"/>
        <w:gridCol w:w="2096"/>
        <w:gridCol w:w="272"/>
        <w:gridCol w:w="1802"/>
        <w:gridCol w:w="239"/>
        <w:gridCol w:w="2170"/>
      </w:tblGrid>
      <w:tr>
        <w:trPr>
          <w:trHeight w:val="361" w:hRule="exact"/>
        </w:trPr>
        <w:tc>
          <w:tcPr>
            <w:tcW w:w="2241"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预计使用寿命</w:t>
            </w:r>
          </w:p>
        </w:tc>
        <w:tc>
          <w:tcPr>
            <w:tcW w:w="272"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预计净残值率</w:t>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年折旧率</w:t>
            </w:r>
          </w:p>
        </w:tc>
      </w:tr>
      <w:tr>
        <w:trPr>
          <w:trHeight w:val="513" w:hRule="exact"/>
        </w:trPr>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35"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096" w:type="dxa"/>
            <w:tcBorders>
              <w:top w:val="single" w:sz="6" w:space="0" w:color="000000"/>
              <w:left w:val="nil" w:sz="6" w:space="0" w:color="auto"/>
              <w:bottom w:val="nil" w:sz="6" w:space="0" w:color="auto"/>
              <w:right w:val="nil" w:sz="6" w:space="0" w:color="auto"/>
            </w:tcBorders>
          </w:tcPr>
          <w:p>
            <w:pPr>
              <w:pStyle w:val="TableParagraph"/>
              <w:spacing w:line="240" w:lineRule="auto" w:before="171"/>
              <w:ind w:right="1"/>
              <w:jc w:val="center"/>
              <w:rPr>
                <w:rFonts w:ascii="宋体" w:hAnsi="宋体" w:cs="宋体" w:eastAsia="宋体" w:hint="default"/>
                <w:sz w:val="22"/>
                <w:szCs w:val="22"/>
              </w:rPr>
            </w:pPr>
            <w:r>
              <w:rPr>
                <w:rFonts w:ascii="Arial" w:hAnsi="Arial" w:cs="Arial" w:eastAsia="Arial" w:hint="default"/>
                <w:sz w:val="22"/>
                <w:szCs w:val="22"/>
              </w:rPr>
              <w:t>10-30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72" w:type="dxa"/>
            <w:tcBorders>
              <w:top w:val="nil" w:sz="6" w:space="0" w:color="auto"/>
              <w:left w:val="nil" w:sz="6" w:space="0" w:color="auto"/>
              <w:bottom w:val="nil" w:sz="6" w:space="0" w:color="auto"/>
              <w:right w:val="nil" w:sz="6" w:space="0" w:color="auto"/>
            </w:tcBorders>
          </w:tcPr>
          <w:p>
            <w:pPr/>
          </w:p>
        </w:tc>
        <w:tc>
          <w:tcPr>
            <w:tcW w:w="180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22"/>
                <w:szCs w:val="22"/>
              </w:rPr>
            </w:pPr>
            <w:r>
              <w:rPr>
                <w:rFonts w:ascii="Arial"/>
                <w:sz w:val="22"/>
              </w:rPr>
              <w:t>3%-5%</w:t>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22"/>
                <w:szCs w:val="22"/>
              </w:rPr>
            </w:pPr>
            <w:r>
              <w:rPr>
                <w:rFonts w:ascii="Arial"/>
                <w:sz w:val="22"/>
              </w:rPr>
              <w:t>3.17%-9.70%</w:t>
            </w:r>
          </w:p>
        </w:tc>
      </w:tr>
      <w:tr>
        <w:trPr>
          <w:trHeight w:val="285" w:hRule="exact"/>
        </w:trPr>
        <w:tc>
          <w:tcPr>
            <w:tcW w:w="224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096" w:type="dxa"/>
            <w:tcBorders>
              <w:top w:val="nil" w:sz="6" w:space="0" w:color="auto"/>
              <w:left w:val="nil" w:sz="6" w:space="0" w:color="auto"/>
              <w:bottom w:val="nil" w:sz="6" w:space="0" w:color="auto"/>
              <w:right w:val="nil" w:sz="6" w:space="0" w:color="auto"/>
            </w:tcBorders>
          </w:tcPr>
          <w:p>
            <w:pPr>
              <w:pStyle w:val="TableParagraph"/>
              <w:spacing w:line="255" w:lineRule="exact"/>
              <w:ind w:right="1"/>
              <w:jc w:val="center"/>
              <w:rPr>
                <w:rFonts w:ascii="宋体" w:hAnsi="宋体" w:cs="宋体" w:eastAsia="宋体" w:hint="default"/>
                <w:sz w:val="22"/>
                <w:szCs w:val="22"/>
              </w:rPr>
            </w:pPr>
            <w:r>
              <w:rPr>
                <w:rFonts w:ascii="Arial" w:hAnsi="Arial" w:cs="Arial" w:eastAsia="Arial" w:hint="default"/>
                <w:sz w:val="22"/>
                <w:szCs w:val="22"/>
              </w:rPr>
              <w:t>5-10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72"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Arial" w:hAnsi="Arial" w:cs="Arial" w:eastAsia="Arial" w:hint="default"/>
                <w:sz w:val="22"/>
                <w:szCs w:val="22"/>
              </w:rPr>
            </w:pPr>
            <w:r>
              <w:rPr>
                <w:rFonts w:ascii="Arial"/>
                <w:sz w:val="22"/>
              </w:rPr>
              <w:t>3%-5%</w:t>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Arial" w:hAnsi="Arial" w:cs="Arial" w:eastAsia="Arial" w:hint="default"/>
                <w:sz w:val="22"/>
                <w:szCs w:val="22"/>
              </w:rPr>
            </w:pPr>
            <w:r>
              <w:rPr>
                <w:rFonts w:ascii="Arial"/>
                <w:sz w:val="22"/>
              </w:rPr>
              <w:t>9.5%-19.40%</w:t>
            </w:r>
          </w:p>
        </w:tc>
      </w:tr>
      <w:tr>
        <w:trPr>
          <w:trHeight w:val="365" w:hRule="exact"/>
        </w:trPr>
        <w:tc>
          <w:tcPr>
            <w:tcW w:w="224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2096" w:type="dxa"/>
            <w:tcBorders>
              <w:top w:val="nil" w:sz="6" w:space="0" w:color="auto"/>
              <w:left w:val="nil" w:sz="6" w:space="0" w:color="auto"/>
              <w:bottom w:val="nil" w:sz="6" w:space="0" w:color="auto"/>
              <w:right w:val="nil" w:sz="6" w:space="0" w:color="auto"/>
            </w:tcBorders>
          </w:tcPr>
          <w:p>
            <w:pPr>
              <w:pStyle w:val="TableParagraph"/>
              <w:spacing w:line="255" w:lineRule="exact"/>
              <w:ind w:right="1"/>
              <w:jc w:val="center"/>
              <w:rPr>
                <w:rFonts w:ascii="宋体" w:hAnsi="宋体" w:cs="宋体" w:eastAsia="宋体" w:hint="default"/>
                <w:sz w:val="22"/>
                <w:szCs w:val="22"/>
              </w:rPr>
            </w:pPr>
            <w:r>
              <w:rPr>
                <w:rFonts w:ascii="Arial" w:hAnsi="Arial" w:cs="Arial" w:eastAsia="Arial" w:hint="default"/>
                <w:sz w:val="22"/>
                <w:szCs w:val="22"/>
              </w:rPr>
              <w:t>5-10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72"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Arial" w:hAnsi="Arial" w:cs="Arial" w:eastAsia="Arial" w:hint="default"/>
                <w:sz w:val="22"/>
                <w:szCs w:val="22"/>
              </w:rPr>
            </w:pPr>
            <w:r>
              <w:rPr>
                <w:rFonts w:ascii="Arial"/>
                <w:sz w:val="22"/>
              </w:rPr>
              <w:t>3%-5%</w:t>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Arial" w:hAnsi="Arial" w:cs="Arial" w:eastAsia="Arial" w:hint="default"/>
                <w:sz w:val="22"/>
                <w:szCs w:val="22"/>
              </w:rPr>
            </w:pPr>
            <w:r>
              <w:rPr>
                <w:rFonts w:ascii="Arial"/>
                <w:sz w:val="22"/>
              </w:rPr>
              <w:t>9.5%-19.40%</w:t>
            </w:r>
          </w:p>
        </w:tc>
      </w:tr>
    </w:tbl>
    <w:p>
      <w:pPr>
        <w:spacing w:line="240" w:lineRule="auto" w:before="1"/>
        <w:rPr>
          <w:rFonts w:ascii="宋体" w:hAnsi="宋体" w:cs="宋体" w:eastAsia="宋体" w:hint="default"/>
          <w:sz w:val="7"/>
          <w:szCs w:val="7"/>
        </w:rPr>
      </w:pPr>
    </w:p>
    <w:p>
      <w:pPr>
        <w:pStyle w:val="BodyText"/>
        <w:tabs>
          <w:tab w:pos="595" w:val="left" w:leader="none"/>
        </w:tabs>
        <w:spacing w:line="408" w:lineRule="auto" w:before="31"/>
        <w:ind w:left="118" w:right="116" w:firstLine="477"/>
        <w:jc w:val="left"/>
      </w:pPr>
      <w:r>
        <w:rPr>
          <w:spacing w:val="-2"/>
        </w:rPr>
        <w:t>对固定资产的预计使用寿命、预计净残值和折旧方法于每年年度终了进行复核并作适当调整。</w:t>
      </w:r>
      <w:r>
        <w:rPr>
          <w:w w:val="99"/>
        </w:rPr>
        <w:t> </w:t>
      </w:r>
      <w:r>
        <w:rPr>
          <w:rFonts w:ascii="Arial" w:hAnsi="Arial" w:cs="Arial" w:eastAsia="Arial" w:hint="default"/>
          <w:w w:val="95"/>
        </w:rPr>
        <w:t>(c)</w:t>
        <w:tab/>
      </w:r>
      <w:r>
        <w:rPr/>
        <w:t>当固定资产的可收回金额低于其账面价值时，账面价值减记至可收回金额（附注二</w:t>
      </w:r>
      <w:r>
        <w:rPr>
          <w:rFonts w:ascii="Arial" w:hAnsi="Arial" w:cs="Arial" w:eastAsia="Arial" w:hint="default"/>
        </w:rPr>
        <w:t>(18)</w:t>
      </w:r>
      <w:r>
        <w:rPr/>
        <w:t>）。</w:t>
      </w:r>
      <w:r>
        <w:rPr>
          <w:w w:val="99"/>
        </w:rPr>
        <w:t> </w:t>
      </w:r>
      <w:r>
        <w:rPr>
          <w:rFonts w:ascii="Arial" w:hAnsi="Arial" w:cs="Arial" w:eastAsia="Arial" w:hint="default"/>
          <w:w w:val="95"/>
        </w:rPr>
        <w:t>(d)</w:t>
        <w:tab/>
      </w:r>
      <w:r>
        <w:rPr/>
        <w:t>融资租入固定资产的认定依据和计量方法</w:t>
      </w:r>
    </w:p>
    <w:p>
      <w:pPr>
        <w:pStyle w:val="BodyText"/>
        <w:spacing w:line="286" w:lineRule="exact" w:before="61"/>
        <w:ind w:left="596" w:right="229"/>
        <w:jc w:val="both"/>
      </w:pPr>
      <w:r>
        <w:rPr/>
        <w:t>实质上转移了与资产所有权有关的全部风险和报酬的租赁为融资租赁。融资租入固定资产以</w:t>
      </w:r>
      <w:r>
        <w:rPr>
          <w:spacing w:val="-87"/>
        </w:rPr>
        <w:t> </w:t>
      </w:r>
      <w:r>
        <w:rPr>
          <w:spacing w:val="-87"/>
        </w:rPr>
      </w:r>
      <w:r>
        <w:rPr/>
        <w:t>租赁资产的公允价值与最低租赁付款额的现值两者中的较低者作为租入资产的入账价值。租</w:t>
      </w:r>
      <w:r>
        <w:rPr>
          <w:spacing w:val="-87"/>
        </w:rPr>
        <w:t> </w:t>
      </w:r>
      <w:r>
        <w:rPr>
          <w:spacing w:val="-87"/>
        </w:rPr>
      </w:r>
      <w:r>
        <w:rPr/>
        <w:t>入资产的入账价值与最低租赁付款额之间的差额作为未确认融资费用（附注二</w:t>
      </w:r>
      <w:r>
        <w:rPr>
          <w:rFonts w:ascii="Arial" w:hAnsi="Arial" w:cs="Arial" w:eastAsia="Arial" w:hint="default"/>
        </w:rPr>
        <w:t>(28)(a)</w:t>
      </w:r>
      <w:r>
        <w:rPr/>
        <w:t>）。</w:t>
      </w:r>
    </w:p>
    <w:p>
      <w:pPr>
        <w:spacing w:line="240" w:lineRule="auto" w:before="3"/>
        <w:rPr>
          <w:rFonts w:ascii="宋体" w:hAnsi="宋体" w:cs="宋体" w:eastAsia="宋体" w:hint="default"/>
          <w:sz w:val="19"/>
          <w:szCs w:val="19"/>
        </w:rPr>
      </w:pPr>
    </w:p>
    <w:p>
      <w:pPr>
        <w:pStyle w:val="BodyText"/>
        <w:spacing w:line="286" w:lineRule="exact"/>
        <w:ind w:left="596" w:right="229"/>
        <w:jc w:val="both"/>
      </w:pPr>
      <w:r>
        <w:rPr/>
        <w:t>融资租入的固定资产采用与自有固定资产相一致的折旧政策。能够合理确定租赁期届满时将</w:t>
      </w:r>
      <w:r>
        <w:rPr>
          <w:spacing w:val="-87"/>
        </w:rPr>
        <w:t> </w:t>
      </w:r>
      <w:r>
        <w:rPr>
          <w:spacing w:val="-87"/>
        </w:rPr>
      </w:r>
      <w:r>
        <w:rPr/>
        <w:t>取得租入资产所有权的，租入固定资产在其预计使用寿命内计提折旧；否则，租入固定资产</w:t>
      </w:r>
      <w:r>
        <w:rPr>
          <w:spacing w:val="-87"/>
        </w:rPr>
        <w:t> </w:t>
      </w:r>
      <w:r>
        <w:rPr>
          <w:spacing w:val="-87"/>
        </w:rPr>
      </w:r>
      <w:r>
        <w:rPr/>
        <w:t>在租赁期与该资产预计使用寿命两者中较短的期间内计提折旧。</w:t>
      </w:r>
    </w:p>
    <w:p>
      <w:pPr>
        <w:pStyle w:val="BodyText"/>
        <w:tabs>
          <w:tab w:pos="595" w:val="left" w:leader="none"/>
        </w:tabs>
        <w:spacing w:line="240" w:lineRule="auto" w:before="182"/>
        <w:ind w:left="118" w:right="91"/>
        <w:jc w:val="left"/>
      </w:pPr>
      <w:r>
        <w:rPr>
          <w:rFonts w:ascii="Arial" w:hAnsi="Arial" w:cs="Arial" w:eastAsia="Arial" w:hint="default"/>
          <w:w w:val="95"/>
        </w:rPr>
        <w:t>(e)</w:t>
        <w:tab/>
      </w:r>
      <w:r>
        <w:rPr/>
        <w:t>固定资产的处置</w:t>
      </w:r>
    </w:p>
    <w:p>
      <w:pPr>
        <w:spacing w:line="240" w:lineRule="auto" w:before="12"/>
        <w:rPr>
          <w:rFonts w:ascii="宋体" w:hAnsi="宋体" w:cs="宋体" w:eastAsia="宋体" w:hint="default"/>
          <w:sz w:val="16"/>
          <w:szCs w:val="16"/>
        </w:rPr>
      </w:pPr>
    </w:p>
    <w:p>
      <w:pPr>
        <w:pStyle w:val="BodyText"/>
        <w:spacing w:line="237" w:lineRule="auto"/>
        <w:ind w:left="596" w:right="229"/>
        <w:jc w:val="both"/>
      </w:pPr>
      <w:r>
        <w:rPr/>
        <w:t>当固定资产被处置、或者预期通过使用或处置不能产生经济利益时，终止确认该固定资产。</w:t>
      </w:r>
      <w:r>
        <w:rPr>
          <w:spacing w:val="-87"/>
        </w:rPr>
        <w:t> </w:t>
      </w:r>
      <w:r>
        <w:rPr>
          <w:spacing w:val="-87"/>
        </w:rPr>
      </w:r>
      <w:r>
        <w:rPr/>
        <w:t>固定资产出售、转让、报废或毁损时的处置收入扣除其账面价值和相关税费后的金额计入当</w:t>
      </w:r>
      <w:r>
        <w:rPr>
          <w:spacing w:val="-87"/>
        </w:rPr>
        <w:t> </w:t>
      </w:r>
      <w:r>
        <w:rPr>
          <w:spacing w:val="-87"/>
        </w:rPr>
      </w:r>
      <w:r>
        <w:rPr/>
        <w:t>期损益。</w:t>
      </w:r>
    </w:p>
    <w:p>
      <w:pPr>
        <w:spacing w:after="0" w:line="237" w:lineRule="auto"/>
        <w:jc w:val="both"/>
        <w:sectPr>
          <w:headerReference w:type="default" r:id="rId51"/>
          <w:pgSz w:w="11900" w:h="16840"/>
          <w:pgMar w:header="967" w:footer="600" w:top="2820" w:bottom="780" w:left="1440" w:right="800"/>
        </w:sectPr>
      </w:pPr>
    </w:p>
    <w:p>
      <w:pPr>
        <w:spacing w:line="240" w:lineRule="auto" w:before="10"/>
        <w:rPr>
          <w:rFonts w:ascii="宋体" w:hAnsi="宋体" w:cs="宋体" w:eastAsia="宋体" w:hint="default"/>
          <w:sz w:val="19"/>
          <w:szCs w:val="19"/>
        </w:rPr>
      </w:pPr>
    </w:p>
    <w:p>
      <w:pPr>
        <w:pStyle w:val="BodyText"/>
        <w:spacing w:line="240" w:lineRule="auto" w:before="31"/>
        <w:ind w:left="118" w:right="3262"/>
        <w:jc w:val="left"/>
      </w:pPr>
      <w:r>
        <w:rPr>
          <w:rFonts w:ascii="Arial" w:hAnsi="Arial" w:cs="Arial" w:eastAsia="Arial" w:hint="default"/>
        </w:rPr>
        <w:t>14</w:t>
      </w:r>
      <w:r>
        <w:rPr/>
        <w:t>、在建工程</w:t>
      </w:r>
    </w:p>
    <w:p>
      <w:pPr>
        <w:spacing w:line="240" w:lineRule="auto" w:before="12"/>
        <w:rPr>
          <w:rFonts w:ascii="宋体" w:hAnsi="宋体" w:cs="宋体" w:eastAsia="宋体" w:hint="default"/>
          <w:sz w:val="16"/>
          <w:szCs w:val="16"/>
        </w:rPr>
      </w:pPr>
    </w:p>
    <w:p>
      <w:pPr>
        <w:pStyle w:val="BodyText"/>
        <w:spacing w:line="237" w:lineRule="auto"/>
        <w:ind w:left="596" w:right="109"/>
        <w:jc w:val="both"/>
      </w:pPr>
      <w:r>
        <w:rPr/>
        <w:t>在建工程按实际发生的成本计量。实际成本包括建筑成本、安装成本、符合资本化条件的借</w:t>
      </w:r>
      <w:r>
        <w:rPr>
          <w:spacing w:val="-87"/>
        </w:rPr>
        <w:t> </w:t>
      </w:r>
      <w:r>
        <w:rPr>
          <w:spacing w:val="-87"/>
        </w:rPr>
      </w:r>
      <w:r>
        <w:rPr/>
        <w:t>款费用以及其他为使在建工程达到预定可使用状态所发生的必要支出。在建工程在达到预定</w:t>
      </w:r>
      <w:r>
        <w:rPr>
          <w:spacing w:val="-87"/>
        </w:rPr>
        <w:t> </w:t>
      </w:r>
      <w:r>
        <w:rPr>
          <w:spacing w:val="-87"/>
        </w:rPr>
      </w:r>
      <w:r>
        <w:rPr/>
        <w:t>可使用状态时，转入固定资产并自次月起开始计提折旧。</w:t>
      </w:r>
    </w:p>
    <w:p>
      <w:pPr>
        <w:spacing w:line="240" w:lineRule="auto" w:before="3"/>
        <w:rPr>
          <w:rFonts w:ascii="宋体" w:hAnsi="宋体" w:cs="宋体" w:eastAsia="宋体" w:hint="default"/>
          <w:sz w:val="19"/>
          <w:szCs w:val="19"/>
        </w:rPr>
      </w:pPr>
    </w:p>
    <w:p>
      <w:pPr>
        <w:pStyle w:val="BodyText"/>
        <w:spacing w:line="240" w:lineRule="auto"/>
        <w:ind w:left="596" w:right="0"/>
        <w:jc w:val="both"/>
      </w:pPr>
      <w:r>
        <w:rPr/>
        <w:t>当在建工程的可收回金额低于其账面价值时，账面价值减记至可收回金额（附注二</w:t>
      </w:r>
      <w:r>
        <w:rPr>
          <w:rFonts w:ascii="Arial" w:hAnsi="Arial" w:cs="Arial" w:eastAsia="Arial" w:hint="default"/>
        </w:rPr>
        <w:t>(18)</w:t>
      </w:r>
      <w:r>
        <w:rPr/>
        <w:t>）。</w:t>
      </w:r>
    </w:p>
    <w:p>
      <w:pPr>
        <w:spacing w:line="240" w:lineRule="auto" w:before="9"/>
        <w:rPr>
          <w:rFonts w:ascii="宋体" w:hAnsi="宋体" w:cs="宋体" w:eastAsia="宋体" w:hint="default"/>
          <w:sz w:val="15"/>
          <w:szCs w:val="15"/>
        </w:rPr>
      </w:pPr>
    </w:p>
    <w:p>
      <w:pPr>
        <w:pStyle w:val="BodyText"/>
        <w:spacing w:line="240" w:lineRule="auto"/>
        <w:ind w:left="118" w:right="3262"/>
        <w:jc w:val="left"/>
      </w:pPr>
      <w:r>
        <w:rPr>
          <w:rFonts w:ascii="Arial" w:hAnsi="Arial" w:cs="Arial" w:eastAsia="Arial" w:hint="default"/>
        </w:rPr>
        <w:t>15</w:t>
      </w:r>
      <w:r>
        <w:rPr/>
        <w:t>、借款费用</w:t>
      </w:r>
    </w:p>
    <w:p>
      <w:pPr>
        <w:spacing w:line="240" w:lineRule="auto" w:before="12"/>
        <w:rPr>
          <w:rFonts w:ascii="宋体" w:hAnsi="宋体" w:cs="宋体" w:eastAsia="宋体" w:hint="default"/>
          <w:sz w:val="16"/>
          <w:szCs w:val="16"/>
        </w:rPr>
      </w:pPr>
    </w:p>
    <w:p>
      <w:pPr>
        <w:pStyle w:val="BodyText"/>
        <w:spacing w:line="237" w:lineRule="auto"/>
        <w:ind w:left="596" w:right="109"/>
        <w:jc w:val="both"/>
      </w:pPr>
      <w:r>
        <w:rPr/>
        <w:t>发生的可直接归属于需要经过相当长时间的购建活动才能达到预定可使用状态之固定资产的</w:t>
      </w:r>
      <w:r>
        <w:rPr>
          <w:spacing w:val="-87"/>
        </w:rPr>
        <w:t> </w:t>
      </w:r>
      <w:r>
        <w:rPr>
          <w:spacing w:val="-87"/>
        </w:rPr>
      </w:r>
      <w:r>
        <w:rPr/>
        <w:t>购建的借款费用，在资产支出及借款费用已经发生、为使资产达到预定可使用状态所必要的</w:t>
      </w:r>
      <w:r>
        <w:rPr>
          <w:spacing w:val="-87"/>
        </w:rPr>
        <w:t> </w:t>
      </w:r>
      <w:r>
        <w:rPr>
          <w:spacing w:val="-87"/>
        </w:rPr>
      </w:r>
      <w:r>
        <w:rPr/>
        <w:t>购建活动已经开始时，开始资本化并计入该资产的成本。当购建的资产达到预定可使用状态</w:t>
      </w:r>
      <w:r>
        <w:rPr>
          <w:spacing w:val="-87"/>
        </w:rPr>
        <w:t> </w:t>
      </w:r>
      <w:r>
        <w:rPr>
          <w:spacing w:val="-87"/>
        </w:rPr>
      </w:r>
      <w:r>
        <w:rPr/>
        <w:t>时停止资本化，其后发生的借款费用计入当期损益。如果资产的购建活动发生非正常中断，</w:t>
      </w:r>
      <w:r>
        <w:rPr>
          <w:spacing w:val="-87"/>
        </w:rPr>
        <w:t> </w:t>
      </w:r>
      <w:r>
        <w:rPr>
          <w:spacing w:val="-87"/>
        </w:rPr>
      </w:r>
      <w:r>
        <w:rPr/>
        <w:t>并且中断时间连续超过</w:t>
      </w:r>
      <w:r>
        <w:rPr>
          <w:rFonts w:ascii="Arial" w:hAnsi="Arial" w:cs="Arial" w:eastAsia="Arial" w:hint="default"/>
        </w:rPr>
        <w:t>3</w:t>
      </w:r>
      <w:r>
        <w:rPr/>
        <w:t>个月，暂停借款费用的资本化，直至资产的购建活动重新开始。</w:t>
      </w:r>
    </w:p>
    <w:p>
      <w:pPr>
        <w:spacing w:line="240" w:lineRule="auto" w:before="3"/>
        <w:rPr>
          <w:rFonts w:ascii="宋体" w:hAnsi="宋体" w:cs="宋体" w:eastAsia="宋体" w:hint="default"/>
          <w:sz w:val="18"/>
          <w:szCs w:val="18"/>
        </w:rPr>
      </w:pPr>
    </w:p>
    <w:p>
      <w:pPr>
        <w:pStyle w:val="BodyText"/>
        <w:spacing w:line="237" w:lineRule="auto"/>
        <w:ind w:left="596" w:right="109"/>
        <w:jc w:val="both"/>
      </w:pPr>
      <w:r>
        <w:rPr/>
        <w:t>对于为购建符合资本化条件的固定资产而占用的一般借款，按照累计资产支出超过专门借款</w:t>
      </w:r>
      <w:r>
        <w:rPr>
          <w:spacing w:val="-87"/>
        </w:rPr>
        <w:t> </w:t>
      </w:r>
      <w:r>
        <w:rPr>
          <w:spacing w:val="-87"/>
        </w:rPr>
      </w:r>
      <w:r>
        <w:rPr/>
        <w:t>部分的资本支出加权平均数乘以所占用一般借款的加权平均实际利率计算确定一般借款费用</w:t>
      </w:r>
      <w:r>
        <w:rPr>
          <w:spacing w:val="-87"/>
        </w:rPr>
        <w:t> </w:t>
      </w:r>
      <w:r>
        <w:rPr>
          <w:spacing w:val="-87"/>
        </w:rPr>
      </w:r>
      <w:r>
        <w:rPr/>
        <w:t>的资本化金额。实际利率为将借款在预期存续期间或适用的更短期间内的未来现金流量折现</w:t>
      </w:r>
      <w:r>
        <w:rPr>
          <w:spacing w:val="-87"/>
        </w:rPr>
        <w:t> </w:t>
      </w:r>
      <w:r>
        <w:rPr>
          <w:spacing w:val="-87"/>
        </w:rPr>
      </w:r>
      <w:r>
        <w:rPr/>
        <w:t>为该借款初始确认金额所使用的利率。</w:t>
      </w:r>
    </w:p>
    <w:p>
      <w:pPr>
        <w:spacing w:line="240" w:lineRule="auto" w:before="13"/>
        <w:rPr>
          <w:rFonts w:ascii="宋体" w:hAnsi="宋体" w:cs="宋体" w:eastAsia="宋体" w:hint="default"/>
          <w:sz w:val="16"/>
          <w:szCs w:val="16"/>
        </w:rPr>
      </w:pPr>
    </w:p>
    <w:p>
      <w:pPr>
        <w:pStyle w:val="BodyText"/>
        <w:spacing w:line="240" w:lineRule="auto"/>
        <w:ind w:left="118" w:right="3262"/>
        <w:jc w:val="left"/>
      </w:pPr>
      <w:r>
        <w:rPr>
          <w:rFonts w:ascii="Arial" w:hAnsi="Arial" w:cs="Arial" w:eastAsia="Arial" w:hint="default"/>
        </w:rPr>
        <w:t>16</w:t>
      </w:r>
      <w:r>
        <w:rPr/>
        <w:t>、无形资产</w:t>
      </w:r>
    </w:p>
    <w:p>
      <w:pPr>
        <w:spacing w:line="240" w:lineRule="auto" w:before="13"/>
        <w:rPr>
          <w:rFonts w:ascii="宋体" w:hAnsi="宋体" w:cs="宋体" w:eastAsia="宋体" w:hint="default"/>
          <w:sz w:val="18"/>
          <w:szCs w:val="18"/>
        </w:rPr>
      </w:pPr>
    </w:p>
    <w:p>
      <w:pPr>
        <w:pStyle w:val="BodyText"/>
        <w:spacing w:line="284" w:lineRule="exact"/>
        <w:ind w:left="596" w:right="109"/>
        <w:jc w:val="both"/>
      </w:pPr>
      <w:r>
        <w:rPr/>
        <w:t>无形资产主要包括土地使用权、计算机软件和电路及设备使用权等，以成本计量。本集团重</w:t>
      </w:r>
      <w:r>
        <w:rPr>
          <w:spacing w:val="-87"/>
        </w:rPr>
        <w:t> </w:t>
      </w:r>
      <w:r>
        <w:rPr>
          <w:spacing w:val="-87"/>
        </w:rPr>
      </w:r>
      <w:r>
        <w:rPr/>
        <w:t>组时国有股股东投入的无形资产，按国有资产管理部门确认的评估值作为入账价值。</w:t>
      </w:r>
    </w:p>
    <w:p>
      <w:pPr>
        <w:pStyle w:val="BodyText"/>
        <w:tabs>
          <w:tab w:pos="595" w:val="left" w:leader="none"/>
        </w:tabs>
        <w:spacing w:line="240" w:lineRule="auto" w:before="196"/>
        <w:ind w:left="118" w:right="3262"/>
        <w:jc w:val="left"/>
      </w:pPr>
      <w:r>
        <w:rPr>
          <w:rFonts w:ascii="Arial" w:hAnsi="Arial" w:cs="Arial" w:eastAsia="Arial" w:hint="default"/>
          <w:w w:val="95"/>
        </w:rPr>
        <w:t>(a)</w:t>
        <w:tab/>
      </w:r>
      <w:r>
        <w:rPr/>
        <w:t>土地使用权</w:t>
      </w:r>
    </w:p>
    <w:p>
      <w:pPr>
        <w:spacing w:line="240" w:lineRule="auto" w:before="13"/>
        <w:rPr>
          <w:rFonts w:ascii="宋体" w:hAnsi="宋体" w:cs="宋体" w:eastAsia="宋体" w:hint="default"/>
          <w:sz w:val="18"/>
          <w:szCs w:val="18"/>
        </w:rPr>
      </w:pPr>
    </w:p>
    <w:p>
      <w:pPr>
        <w:pStyle w:val="BodyText"/>
        <w:spacing w:line="284" w:lineRule="exact"/>
        <w:ind w:left="596" w:right="109"/>
        <w:jc w:val="both"/>
      </w:pPr>
      <w:r>
        <w:rPr/>
        <w:t>土地使用权按使用年限平均摊销。外购土地及建筑物支付的价款在建筑物与土地使用权之间</w:t>
      </w:r>
      <w:r>
        <w:rPr>
          <w:spacing w:val="-87"/>
        </w:rPr>
        <w:t> </w:t>
      </w:r>
      <w:r>
        <w:rPr>
          <w:spacing w:val="-87"/>
        </w:rPr>
      </w:r>
      <w:r>
        <w:rPr/>
        <w:t>进行分配。</w:t>
      </w:r>
    </w:p>
    <w:p>
      <w:pPr>
        <w:pStyle w:val="BodyText"/>
        <w:tabs>
          <w:tab w:pos="595" w:val="left" w:leader="none"/>
        </w:tabs>
        <w:spacing w:line="240" w:lineRule="auto" w:before="196"/>
        <w:ind w:left="118" w:right="3262"/>
        <w:jc w:val="left"/>
      </w:pPr>
      <w:r>
        <w:rPr>
          <w:rFonts w:ascii="Arial" w:hAnsi="Arial" w:cs="Arial" w:eastAsia="Arial" w:hint="default"/>
          <w:w w:val="95"/>
        </w:rPr>
        <w:t>(b)</w:t>
        <w:tab/>
      </w:r>
      <w:r>
        <w:rPr/>
        <w:t>计算机软件</w:t>
      </w:r>
    </w:p>
    <w:p>
      <w:pPr>
        <w:spacing w:line="240" w:lineRule="auto" w:before="9"/>
        <w:rPr>
          <w:rFonts w:ascii="宋体" w:hAnsi="宋体" w:cs="宋体" w:eastAsia="宋体" w:hint="default"/>
          <w:sz w:val="16"/>
          <w:szCs w:val="16"/>
        </w:rPr>
      </w:pPr>
    </w:p>
    <w:p>
      <w:pPr>
        <w:pStyle w:val="BodyText"/>
        <w:spacing w:line="240" w:lineRule="auto"/>
        <w:ind w:left="596" w:right="0"/>
        <w:jc w:val="both"/>
      </w:pPr>
      <w:r>
        <w:rPr/>
        <w:t>计算机软件在其预计使用年限内平均摊销。</w:t>
      </w:r>
    </w:p>
    <w:p>
      <w:pPr>
        <w:spacing w:line="240" w:lineRule="auto" w:before="12"/>
        <w:rPr>
          <w:rFonts w:ascii="宋体" w:hAnsi="宋体" w:cs="宋体" w:eastAsia="宋体" w:hint="default"/>
          <w:sz w:val="16"/>
          <w:szCs w:val="16"/>
        </w:rPr>
      </w:pPr>
    </w:p>
    <w:p>
      <w:pPr>
        <w:pStyle w:val="BodyText"/>
        <w:tabs>
          <w:tab w:pos="595" w:val="left" w:leader="none"/>
        </w:tabs>
        <w:spacing w:line="240" w:lineRule="auto"/>
        <w:ind w:left="118" w:right="3262"/>
        <w:jc w:val="left"/>
      </w:pPr>
      <w:r>
        <w:rPr>
          <w:rFonts w:ascii="Arial" w:hAnsi="Arial" w:cs="Arial" w:eastAsia="Arial" w:hint="default"/>
          <w:w w:val="95"/>
        </w:rPr>
        <w:t>(c)</w:t>
        <w:tab/>
      </w:r>
      <w:r>
        <w:rPr/>
        <w:t>电路及设备使用权</w:t>
      </w:r>
    </w:p>
    <w:p>
      <w:pPr>
        <w:spacing w:line="240" w:lineRule="auto" w:before="11"/>
        <w:rPr>
          <w:rFonts w:ascii="宋体" w:hAnsi="宋体" w:cs="宋体" w:eastAsia="宋体" w:hint="default"/>
          <w:sz w:val="18"/>
          <w:szCs w:val="18"/>
        </w:rPr>
      </w:pPr>
    </w:p>
    <w:p>
      <w:pPr>
        <w:pStyle w:val="BodyText"/>
        <w:spacing w:line="286" w:lineRule="exact"/>
        <w:ind w:left="596" w:right="109"/>
        <w:jc w:val="both"/>
      </w:pPr>
      <w:r>
        <w:rPr/>
        <w:t>电路及设备使用权主要是指本集团购买的不可撤销使用权的网络容量的资本性支出，以成本</w:t>
      </w:r>
      <w:r>
        <w:rPr>
          <w:spacing w:val="-87"/>
        </w:rPr>
        <w:t> </w:t>
      </w:r>
      <w:r>
        <w:rPr>
          <w:spacing w:val="-87"/>
        </w:rPr>
      </w:r>
      <w:r>
        <w:rPr/>
        <w:t>入账并按预计使用期限平均摊销。</w:t>
      </w:r>
    </w:p>
    <w:p>
      <w:pPr>
        <w:pStyle w:val="BodyText"/>
        <w:tabs>
          <w:tab w:pos="595" w:val="left" w:leader="none"/>
        </w:tabs>
        <w:spacing w:line="240" w:lineRule="auto" w:before="182"/>
        <w:ind w:left="118" w:right="3262"/>
        <w:jc w:val="left"/>
      </w:pPr>
      <w:r>
        <w:rPr>
          <w:rFonts w:ascii="Arial" w:hAnsi="Arial" w:cs="Arial" w:eastAsia="Arial" w:hint="default"/>
          <w:w w:val="95"/>
        </w:rPr>
        <w:t>(d)</w:t>
        <w:tab/>
      </w:r>
      <w:r>
        <w:rPr/>
        <w:t>定期复核使用寿命和摊销方法</w:t>
      </w:r>
    </w:p>
    <w:p>
      <w:pPr>
        <w:spacing w:line="240" w:lineRule="auto" w:before="13"/>
        <w:rPr>
          <w:rFonts w:ascii="宋体" w:hAnsi="宋体" w:cs="宋体" w:eastAsia="宋体" w:hint="default"/>
          <w:sz w:val="17"/>
          <w:szCs w:val="17"/>
        </w:rPr>
      </w:pPr>
    </w:p>
    <w:p>
      <w:pPr>
        <w:pStyle w:val="BodyText"/>
        <w:spacing w:line="284" w:lineRule="exact"/>
        <w:ind w:left="596" w:right="109"/>
        <w:jc w:val="both"/>
      </w:pPr>
      <w:r>
        <w:rPr/>
        <w:t>本集团对使用寿命有限的无形资产的预计使用寿命及摊销方法于每年年度终了进行复核并作</w:t>
      </w:r>
      <w:r>
        <w:rPr>
          <w:spacing w:val="-87"/>
        </w:rPr>
        <w:t> </w:t>
      </w:r>
      <w:r>
        <w:rPr>
          <w:spacing w:val="-87"/>
        </w:rPr>
      </w:r>
      <w:r>
        <w:rPr/>
        <w:t>适当调整。</w:t>
      </w:r>
    </w:p>
    <w:p>
      <w:pPr>
        <w:spacing w:after="0" w:line="284" w:lineRule="exact"/>
        <w:jc w:val="both"/>
        <w:sectPr>
          <w:headerReference w:type="default" r:id="rId52"/>
          <w:pgSz w:w="11900" w:h="16840"/>
          <w:pgMar w:header="967" w:footer="600" w:top="2820" w:bottom="780" w:left="1440" w:right="920"/>
        </w:sectPr>
      </w:pPr>
    </w:p>
    <w:p>
      <w:pPr>
        <w:spacing w:line="240" w:lineRule="auto" w:before="10"/>
        <w:rPr>
          <w:rFonts w:ascii="宋体" w:hAnsi="宋体" w:cs="宋体" w:eastAsia="宋体" w:hint="default"/>
          <w:sz w:val="19"/>
          <w:szCs w:val="19"/>
        </w:rPr>
      </w:pPr>
    </w:p>
    <w:p>
      <w:pPr>
        <w:pStyle w:val="BodyText"/>
        <w:tabs>
          <w:tab w:pos="595" w:val="left" w:leader="none"/>
        </w:tabs>
        <w:spacing w:line="388" w:lineRule="auto" w:before="31"/>
        <w:ind w:left="118" w:right="7536" w:hanging="1"/>
        <w:jc w:val="left"/>
      </w:pPr>
      <w:r>
        <w:rPr>
          <w:rFonts w:ascii="Arial" w:hAnsi="Arial" w:cs="Arial" w:eastAsia="Arial" w:hint="default"/>
        </w:rPr>
        <w:t>16</w:t>
      </w:r>
      <w:r>
        <w:rPr/>
        <w:t>、无形资产（续）</w:t>
      </w:r>
      <w:r>
        <w:rPr>
          <w:w w:val="99"/>
        </w:rPr>
        <w:t> </w:t>
      </w:r>
      <w:r>
        <w:rPr>
          <w:rFonts w:ascii="Arial" w:hAnsi="Arial" w:cs="Arial" w:eastAsia="Arial" w:hint="default"/>
          <w:w w:val="95"/>
        </w:rPr>
        <w:t>(e)</w:t>
        <w:tab/>
      </w:r>
      <w:r>
        <w:rPr/>
        <w:t>无形资产减值</w:t>
      </w:r>
    </w:p>
    <w:p>
      <w:pPr>
        <w:pStyle w:val="BodyText"/>
        <w:spacing w:line="240" w:lineRule="auto" w:before="66"/>
        <w:ind w:left="596" w:right="91"/>
        <w:jc w:val="left"/>
      </w:pPr>
      <w:r>
        <w:rPr/>
        <w:t>当无形资产的可收回金额低于其账面价值时，账面价值减记至可收回金额（附注二</w:t>
      </w:r>
      <w:r>
        <w:rPr>
          <w:rFonts w:ascii="Arial" w:hAnsi="Arial" w:cs="Arial" w:eastAsia="Arial" w:hint="default"/>
        </w:rPr>
        <w:t>(18)</w:t>
      </w:r>
      <w:r>
        <w:rPr/>
        <w:t>）。</w:t>
      </w:r>
    </w:p>
    <w:p>
      <w:pPr>
        <w:pStyle w:val="BodyText"/>
        <w:spacing w:line="510" w:lineRule="atLeast"/>
        <w:ind w:left="596" w:right="91" w:hanging="478"/>
        <w:jc w:val="left"/>
      </w:pPr>
      <w:r>
        <w:rPr>
          <w:rFonts w:ascii="Arial" w:hAnsi="Arial" w:cs="Arial" w:eastAsia="Arial" w:hint="default"/>
        </w:rPr>
        <w:t>17</w:t>
      </w:r>
      <w:r>
        <w:rPr/>
        <w:t>、长期待摊费用</w:t>
      </w:r>
      <w:r>
        <w:rPr>
          <w:w w:val="99"/>
        </w:rPr>
        <w:t> </w:t>
      </w:r>
      <w:r>
        <w:rPr>
          <w:spacing w:val="-2"/>
          <w:w w:val="99"/>
        </w:rPr>
        <w:t>长期待摊费用主要包括以下已经发生但应由本期和以后各期负担的摊销期限在</w:t>
      </w:r>
      <w:r>
        <w:rPr>
          <w:rFonts w:ascii="Arial" w:hAnsi="Arial" w:cs="Arial" w:eastAsia="Arial" w:hint="default"/>
          <w:spacing w:val="-2"/>
          <w:w w:val="99"/>
        </w:rPr>
        <w:t>1</w:t>
      </w:r>
      <w:r>
        <w:rPr>
          <w:spacing w:val="-2"/>
          <w:w w:val="99"/>
        </w:rPr>
        <w:t>年以上（不含</w:t>
      </w:r>
      <w:r>
        <w:rPr>
          <w:spacing w:val="-2"/>
        </w:rPr>
      </w:r>
    </w:p>
    <w:p>
      <w:pPr>
        <w:pStyle w:val="BodyText"/>
        <w:spacing w:line="286" w:lineRule="exact"/>
        <w:ind w:left="596" w:right="0"/>
        <w:jc w:val="left"/>
      </w:pPr>
      <w:r>
        <w:rPr>
          <w:rFonts w:ascii="Arial" w:hAnsi="Arial" w:cs="Arial" w:eastAsia="Arial" w:hint="default"/>
          <w:spacing w:val="-5"/>
        </w:rPr>
        <w:t>1</w:t>
      </w:r>
      <w:r>
        <w:rPr>
          <w:spacing w:val="-5"/>
        </w:rPr>
        <w:t>年）的各项费用，按预计受益期间分期平均摊销，并以实际支出减去累计摊销后的净额列示。</w:t>
      </w:r>
    </w:p>
    <w:p>
      <w:pPr>
        <w:spacing w:line="240" w:lineRule="auto" w:before="4"/>
        <w:rPr>
          <w:rFonts w:ascii="宋体" w:hAnsi="宋体" w:cs="宋体" w:eastAsia="宋体" w:hint="default"/>
          <w:sz w:val="18"/>
          <w:szCs w:val="18"/>
        </w:rPr>
      </w:pPr>
    </w:p>
    <w:p>
      <w:pPr>
        <w:pStyle w:val="BodyText"/>
        <w:tabs>
          <w:tab w:pos="608" w:val="left" w:leader="none"/>
        </w:tabs>
        <w:spacing w:line="286" w:lineRule="exact"/>
        <w:ind w:left="607" w:right="219" w:hanging="489"/>
        <w:jc w:val="left"/>
      </w:pPr>
      <w:r>
        <w:rPr>
          <w:rFonts w:ascii="Arial" w:hAnsi="Arial" w:cs="Arial" w:eastAsia="Arial" w:hint="default"/>
          <w:w w:val="95"/>
        </w:rPr>
        <w:t>(a)</w:t>
        <w:tab/>
        <w:tab/>
      </w:r>
      <w:r>
        <w:rPr/>
        <w:t>经营租入固定资产改良主要指本集团采用经营租赁方式租入办公或经营用房等发生的装修等</w:t>
      </w:r>
      <w:r>
        <w:rPr>
          <w:spacing w:val="-89"/>
        </w:rPr>
        <w:t> </w:t>
      </w:r>
      <w:r>
        <w:rPr>
          <w:spacing w:val="-89"/>
        </w:rPr>
      </w:r>
      <w:r>
        <w:rPr/>
        <w:t>改良支出，按租期与预期受益期限孰短（租期一般为</w:t>
      </w:r>
      <w:r>
        <w:rPr>
          <w:spacing w:val="-56"/>
        </w:rPr>
        <w:t> </w:t>
      </w:r>
      <w:r>
        <w:rPr>
          <w:rFonts w:ascii="Arial" w:hAnsi="Arial" w:cs="Arial" w:eastAsia="Arial" w:hint="default"/>
        </w:rPr>
        <w:t>5</w:t>
      </w:r>
      <w:r>
        <w:rPr>
          <w:rFonts w:ascii="Arial" w:hAnsi="Arial" w:cs="Arial" w:eastAsia="Arial" w:hint="default"/>
          <w:spacing w:val="-7"/>
        </w:rPr>
        <w:t> </w:t>
      </w:r>
      <w:r>
        <w:rPr/>
        <w:t>年至</w:t>
      </w:r>
      <w:r>
        <w:rPr>
          <w:spacing w:val="-56"/>
        </w:rPr>
        <w:t> </w:t>
      </w:r>
      <w:r>
        <w:rPr>
          <w:rFonts w:ascii="Arial" w:hAnsi="Arial" w:cs="Arial" w:eastAsia="Arial" w:hint="default"/>
        </w:rPr>
        <w:t>10</w:t>
      </w:r>
      <w:r>
        <w:rPr>
          <w:rFonts w:ascii="Arial" w:hAnsi="Arial" w:cs="Arial" w:eastAsia="Arial" w:hint="default"/>
          <w:spacing w:val="-7"/>
        </w:rPr>
        <w:t> </w:t>
      </w:r>
      <w:r>
        <w:rPr/>
        <w:t>年）以直线法平均摊销；</w:t>
      </w:r>
    </w:p>
    <w:p>
      <w:pPr>
        <w:spacing w:line="240" w:lineRule="auto" w:before="6"/>
        <w:rPr>
          <w:rFonts w:ascii="宋体" w:hAnsi="宋体" w:cs="宋体" w:eastAsia="宋体" w:hint="default"/>
          <w:sz w:val="17"/>
          <w:szCs w:val="17"/>
        </w:rPr>
      </w:pPr>
    </w:p>
    <w:p>
      <w:pPr>
        <w:pStyle w:val="BodyText"/>
        <w:tabs>
          <w:tab w:pos="608" w:val="left" w:leader="none"/>
        </w:tabs>
        <w:spacing w:line="286" w:lineRule="exact"/>
        <w:ind w:left="607" w:right="218" w:hanging="489"/>
        <w:jc w:val="left"/>
      </w:pPr>
      <w:r>
        <w:rPr>
          <w:rFonts w:ascii="Arial" w:hAnsi="Arial" w:cs="Arial" w:eastAsia="Arial" w:hint="default"/>
          <w:w w:val="95"/>
        </w:rPr>
        <w:t>(b)</w:t>
        <w:tab/>
        <w:tab/>
      </w:r>
      <w:r>
        <w:rPr>
          <w:spacing w:val="2"/>
        </w:rPr>
        <w:t>长期预付租金指按经营租赁方式租赁的基础通信设施及营业场所等所预付的超过 </w:t>
      </w:r>
      <w:r>
        <w:rPr>
          <w:rFonts w:ascii="Arial" w:hAnsi="Arial" w:cs="Arial" w:eastAsia="Arial" w:hint="default"/>
        </w:rPr>
        <w:t>1 </w:t>
      </w:r>
      <w:r>
        <w:rPr>
          <w:rFonts w:ascii="Arial" w:hAnsi="Arial" w:cs="Arial" w:eastAsia="Arial" w:hint="default"/>
          <w:spacing w:val="7"/>
        </w:rPr>
        <w:t> </w:t>
      </w:r>
      <w:r>
        <w:rPr>
          <w:spacing w:val="4"/>
        </w:rPr>
        <w:t>年的租</w:t>
      </w:r>
      <w:r>
        <w:rPr>
          <w:spacing w:val="4"/>
          <w:w w:val="99"/>
        </w:rPr>
        <w:t> </w:t>
      </w:r>
      <w:r>
        <w:rPr/>
        <w:t>金，以直线法于租赁期内（一般为</w:t>
      </w:r>
      <w:r>
        <w:rPr>
          <w:spacing w:val="-56"/>
        </w:rPr>
        <w:t> </w:t>
      </w:r>
      <w:r>
        <w:rPr>
          <w:rFonts w:ascii="Arial" w:hAnsi="Arial" w:cs="Arial" w:eastAsia="Arial" w:hint="default"/>
        </w:rPr>
        <w:t>3</w:t>
      </w:r>
      <w:r>
        <w:rPr>
          <w:rFonts w:ascii="Arial" w:hAnsi="Arial" w:cs="Arial" w:eastAsia="Arial" w:hint="default"/>
          <w:spacing w:val="-8"/>
        </w:rPr>
        <w:t> </w:t>
      </w:r>
      <w:r>
        <w:rPr/>
        <w:t>年至</w:t>
      </w:r>
      <w:r>
        <w:rPr>
          <w:spacing w:val="-57"/>
        </w:rPr>
        <w:t> </w:t>
      </w:r>
      <w:r>
        <w:rPr>
          <w:rFonts w:ascii="Arial" w:hAnsi="Arial" w:cs="Arial" w:eastAsia="Arial" w:hint="default"/>
        </w:rPr>
        <w:t>10</w:t>
      </w:r>
      <w:r>
        <w:rPr>
          <w:rFonts w:ascii="Arial" w:hAnsi="Arial" w:cs="Arial" w:eastAsia="Arial" w:hint="default"/>
          <w:spacing w:val="-8"/>
        </w:rPr>
        <w:t> </w:t>
      </w:r>
      <w:r>
        <w:rPr/>
        <w:t>年）平均摊销；</w:t>
      </w:r>
    </w:p>
    <w:p>
      <w:pPr>
        <w:spacing w:line="240" w:lineRule="auto" w:before="9"/>
        <w:rPr>
          <w:rFonts w:ascii="宋体" w:hAnsi="宋体" w:cs="宋体" w:eastAsia="宋体" w:hint="default"/>
          <w:sz w:val="17"/>
          <w:szCs w:val="17"/>
        </w:rPr>
      </w:pPr>
    </w:p>
    <w:p>
      <w:pPr>
        <w:pStyle w:val="BodyText"/>
        <w:tabs>
          <w:tab w:pos="608" w:val="left" w:leader="none"/>
        </w:tabs>
        <w:spacing w:line="284" w:lineRule="exact"/>
        <w:ind w:left="607" w:right="219" w:hanging="489"/>
        <w:jc w:val="left"/>
      </w:pPr>
      <w:r>
        <w:rPr>
          <w:rFonts w:ascii="Arial" w:hAnsi="Arial" w:cs="Arial" w:eastAsia="Arial" w:hint="default"/>
          <w:w w:val="95"/>
        </w:rPr>
        <w:t>(c)</w:t>
        <w:tab/>
        <w:tab/>
      </w:r>
      <w:r>
        <w:rPr/>
        <w:t>外市电引入是本集团在网络建设过程中，与地方的供电部门共同建设的电力输送设施（本集</w:t>
      </w:r>
      <w:r>
        <w:rPr>
          <w:spacing w:val="-89"/>
        </w:rPr>
        <w:t> </w:t>
      </w:r>
      <w:r>
        <w:rPr>
          <w:spacing w:val="-89"/>
        </w:rPr>
      </w:r>
      <w:r>
        <w:rPr/>
        <w:t>团对此类资产只拥有使用权），该等设施一般以直线法于</w:t>
      </w:r>
      <w:r>
        <w:rPr>
          <w:spacing w:val="-57"/>
        </w:rPr>
        <w:t> </w:t>
      </w:r>
      <w:r>
        <w:rPr>
          <w:rFonts w:ascii="Arial" w:hAnsi="Arial" w:cs="Arial" w:eastAsia="Arial" w:hint="default"/>
        </w:rPr>
        <w:t>5</w:t>
      </w:r>
      <w:r>
        <w:rPr>
          <w:rFonts w:ascii="Arial" w:hAnsi="Arial" w:cs="Arial" w:eastAsia="Arial" w:hint="default"/>
          <w:spacing w:val="-9"/>
        </w:rPr>
        <w:t> </w:t>
      </w:r>
      <w:r>
        <w:rPr/>
        <w:t>年内平均摊销；</w:t>
      </w:r>
    </w:p>
    <w:p>
      <w:pPr>
        <w:spacing w:line="240" w:lineRule="auto" w:before="8"/>
        <w:rPr>
          <w:rFonts w:ascii="宋体" w:hAnsi="宋体" w:cs="宋体" w:eastAsia="宋体" w:hint="default"/>
          <w:sz w:val="16"/>
          <w:szCs w:val="16"/>
        </w:rPr>
      </w:pPr>
    </w:p>
    <w:p>
      <w:pPr>
        <w:pStyle w:val="BodyText"/>
        <w:tabs>
          <w:tab w:pos="608" w:val="left" w:leader="none"/>
        </w:tabs>
        <w:spacing w:line="225" w:lineRule="auto"/>
        <w:ind w:left="607" w:right="113" w:hanging="489"/>
        <w:jc w:val="left"/>
      </w:pPr>
      <w:r>
        <w:rPr>
          <w:rFonts w:ascii="Arial" w:hAnsi="Arial" w:cs="Arial" w:eastAsia="Arial" w:hint="default"/>
          <w:w w:val="95"/>
        </w:rPr>
        <w:t>(d)</w:t>
        <w:tab/>
        <w:tab/>
      </w:r>
      <w:r>
        <w:rPr/>
        <w:t>长期预付线路租赁指按经营租赁方式租赁的通信线路所预付的超过</w:t>
      </w:r>
      <w:r>
        <w:rPr>
          <w:spacing w:val="-50"/>
        </w:rPr>
        <w:t> </w:t>
      </w:r>
      <w:r>
        <w:rPr>
          <w:rFonts w:ascii="Arial" w:hAnsi="Arial" w:cs="Arial" w:eastAsia="Arial" w:hint="default"/>
        </w:rPr>
        <w:t>1 </w:t>
      </w:r>
      <w:r>
        <w:rPr/>
        <w:t>年的租金，以直线法于</w:t>
      </w:r>
      <w:r>
        <w:rPr>
          <w:w w:val="99"/>
        </w:rPr>
        <w:t> </w:t>
      </w:r>
      <w:r>
        <w:rPr/>
        <w:t>租赁期内（一般为</w:t>
      </w:r>
      <w:r>
        <w:rPr>
          <w:spacing w:val="-55"/>
        </w:rPr>
        <w:t> </w:t>
      </w:r>
      <w:r>
        <w:rPr>
          <w:rFonts w:ascii="Arial" w:hAnsi="Arial" w:cs="Arial" w:eastAsia="Arial" w:hint="default"/>
        </w:rPr>
        <w:t>3</w:t>
      </w:r>
      <w:r>
        <w:rPr>
          <w:rFonts w:ascii="Arial" w:hAnsi="Arial" w:cs="Arial" w:eastAsia="Arial" w:hint="default"/>
          <w:spacing w:val="-6"/>
        </w:rPr>
        <w:t> </w:t>
      </w:r>
      <w:r>
        <w:rPr/>
        <w:t>年至</w:t>
      </w:r>
      <w:r>
        <w:rPr>
          <w:spacing w:val="-55"/>
        </w:rPr>
        <w:t> </w:t>
      </w:r>
      <w:r>
        <w:rPr>
          <w:rFonts w:ascii="Arial" w:hAnsi="Arial" w:cs="Arial" w:eastAsia="Arial" w:hint="default"/>
        </w:rPr>
        <w:t>8</w:t>
      </w:r>
      <w:r>
        <w:rPr>
          <w:rFonts w:ascii="Arial" w:hAnsi="Arial" w:cs="Arial" w:eastAsia="Arial" w:hint="default"/>
          <w:spacing w:val="-6"/>
        </w:rPr>
        <w:t> </w:t>
      </w:r>
      <w:r>
        <w:rPr/>
        <w:t>年）平均摊销；预付网络改良是指为优化、改进整体通信网络性</w:t>
      </w:r>
      <w:r>
        <w:rPr>
          <w:w w:val="99"/>
        </w:rPr>
        <w:t> </w:t>
      </w:r>
      <w:r>
        <w:rPr>
          <w:w w:val="95"/>
        </w:rPr>
        <w:t>能提高通信服务质量预付之长期专项改良费用，通常在合同期和用户平均在网受益期（</w:t>
      </w:r>
      <w:r>
        <w:rPr>
          <w:rFonts w:ascii="Arial" w:hAnsi="Arial" w:cs="Arial" w:eastAsia="Arial" w:hint="default"/>
          <w:w w:val="95"/>
        </w:rPr>
        <w:t>3</w:t>
      </w:r>
      <w:r>
        <w:rPr>
          <w:rFonts w:ascii="Arial" w:hAnsi="Arial" w:cs="Arial" w:eastAsia="Arial" w:hint="default"/>
          <w:spacing w:val="46"/>
          <w:w w:val="95"/>
        </w:rPr>
        <w:t> </w:t>
      </w:r>
      <w:r>
        <w:rPr>
          <w:w w:val="95"/>
        </w:rPr>
        <w:t>年）</w:t>
      </w:r>
      <w:r>
        <w:rPr>
          <w:spacing w:val="-2"/>
          <w:w w:val="99"/>
        </w:rPr>
        <w:t> </w:t>
      </w:r>
      <w:r>
        <w:rPr/>
        <w:t>孰短期限内平均摊销；</w:t>
      </w:r>
    </w:p>
    <w:p>
      <w:pPr>
        <w:spacing w:line="240" w:lineRule="auto" w:before="1"/>
        <w:rPr>
          <w:rFonts w:ascii="宋体" w:hAnsi="宋体" w:cs="宋体" w:eastAsia="宋体" w:hint="default"/>
          <w:sz w:val="20"/>
          <w:szCs w:val="20"/>
        </w:rPr>
      </w:pPr>
    </w:p>
    <w:p>
      <w:pPr>
        <w:pStyle w:val="BodyText"/>
        <w:spacing w:line="230" w:lineRule="auto"/>
        <w:ind w:left="607" w:right="218" w:hanging="489"/>
        <w:jc w:val="both"/>
      </w:pPr>
      <w:r>
        <w:rPr>
          <w:rFonts w:ascii="Arial" w:hAnsi="Arial" w:cs="Arial" w:eastAsia="Arial" w:hint="default"/>
        </w:rPr>
        <w:t>(e)</w:t>
      </w:r>
      <w:r>
        <w:rPr>
          <w:rFonts w:ascii="Arial" w:hAnsi="Arial" w:cs="Arial" w:eastAsia="Arial" w:hint="default"/>
          <w:spacing w:val="57"/>
        </w:rPr>
        <w:t> </w:t>
      </w:r>
      <w:r>
        <w:rPr/>
        <w:t>开通移动通信服务直接相关成本，主要是与开通移动通信服务所收取的一次性不退还收入直</w:t>
      </w:r>
      <w:r>
        <w:rPr>
          <w:w w:val="99"/>
        </w:rPr>
        <w:t> </w:t>
      </w:r>
      <w:r>
        <w:rPr/>
        <w:t>接相关的手机识别卡（如</w:t>
      </w:r>
      <w:r>
        <w:rPr>
          <w:spacing w:val="-67"/>
        </w:rPr>
        <w:t> </w:t>
      </w:r>
      <w:r>
        <w:rPr>
          <w:rFonts w:ascii="Arial" w:hAnsi="Arial" w:cs="Arial" w:eastAsia="Arial" w:hint="default"/>
        </w:rPr>
        <w:t>SIM</w:t>
      </w:r>
      <w:r>
        <w:rPr>
          <w:rFonts w:ascii="Arial" w:hAnsi="Arial" w:cs="Arial" w:eastAsia="Arial" w:hint="default"/>
          <w:spacing w:val="-19"/>
        </w:rPr>
        <w:t> </w:t>
      </w:r>
      <w:r>
        <w:rPr/>
        <w:t>卡）成本及一次性佣金支出，该成本按</w:t>
      </w:r>
      <w:r>
        <w:rPr>
          <w:spacing w:val="-67"/>
        </w:rPr>
        <w:t> </w:t>
      </w:r>
      <w:r>
        <w:rPr>
          <w:rFonts w:ascii="Arial" w:hAnsi="Arial" w:cs="Arial" w:eastAsia="Arial" w:hint="default"/>
        </w:rPr>
        <w:t>3</w:t>
      </w:r>
      <w:r>
        <w:rPr>
          <w:rFonts w:ascii="Arial" w:hAnsi="Arial" w:cs="Arial" w:eastAsia="Arial" w:hint="default"/>
          <w:spacing w:val="-18"/>
        </w:rPr>
        <w:t> </w:t>
      </w:r>
      <w:r>
        <w:rPr/>
        <w:t>年的预计用户服务期</w:t>
      </w:r>
      <w:r>
        <w:rPr>
          <w:w w:val="99"/>
        </w:rPr>
        <w:t> </w:t>
      </w:r>
      <w:r>
        <w:rPr/>
        <w:t>平均摊销，增加的直接相关成本超过相应的一次性不退还收入的部分，立即在利润表中确认</w:t>
      </w:r>
      <w:r>
        <w:rPr>
          <w:spacing w:val="1"/>
          <w:w w:val="99"/>
        </w:rPr>
        <w:t> </w:t>
      </w:r>
      <w:r>
        <w:rPr/>
        <w:t>为费用。预计为客户提供服务的期间根据预计较稳定的用户离网率来估计；</w:t>
      </w:r>
    </w:p>
    <w:p>
      <w:pPr>
        <w:spacing w:line="240" w:lineRule="auto" w:before="8"/>
        <w:rPr>
          <w:rFonts w:ascii="宋体" w:hAnsi="宋体" w:cs="宋体" w:eastAsia="宋体" w:hint="default"/>
          <w:sz w:val="19"/>
          <w:szCs w:val="19"/>
        </w:rPr>
      </w:pPr>
    </w:p>
    <w:p>
      <w:pPr>
        <w:pStyle w:val="BodyText"/>
        <w:spacing w:line="286" w:lineRule="exact"/>
        <w:ind w:left="607" w:right="218" w:hanging="489"/>
        <w:jc w:val="both"/>
      </w:pPr>
      <w:r>
        <w:rPr>
          <w:rFonts w:ascii="Arial" w:hAnsi="Arial" w:cs="Arial" w:eastAsia="Arial" w:hint="default"/>
          <w:w w:val="99"/>
        </w:rPr>
        <w:t>(f) </w:t>
      </w:r>
      <w:r>
        <w:rPr>
          <w:spacing w:val="-3"/>
          <w:w w:val="99"/>
        </w:rPr>
        <w:t>装移机成本主要指与固网业务安装服务相关的直接增加的成本，该成本按</w:t>
      </w:r>
      <w:r>
        <w:rPr>
          <w:w w:val="99"/>
        </w:rPr>
        <w:t> </w:t>
      </w:r>
      <w:r>
        <w:rPr>
          <w:rFonts w:ascii="Arial" w:hAnsi="Arial" w:cs="Arial" w:eastAsia="Arial" w:hint="default"/>
          <w:w w:val="99"/>
        </w:rPr>
        <w:t>10</w:t>
      </w:r>
      <w:r>
        <w:rPr>
          <w:rFonts w:ascii="Arial" w:hAnsi="Arial" w:cs="Arial" w:eastAsia="Arial" w:hint="default"/>
          <w:spacing w:val="-22"/>
          <w:w w:val="99"/>
        </w:rPr>
        <w:t> </w:t>
      </w:r>
      <w:r>
        <w:rPr>
          <w:w w:val="99"/>
        </w:rPr>
        <w:t>年的预计用户服 </w:t>
      </w:r>
      <w:r>
        <w:rPr/>
        <w:t>务期限摊销计入利润表，直接增加成本超出相应装移机费收入的部分，立即在利润表中确认</w:t>
      </w:r>
      <w:r>
        <w:rPr>
          <w:spacing w:val="1"/>
          <w:w w:val="99"/>
        </w:rPr>
        <w:t> </w:t>
      </w:r>
      <w:r>
        <w:rPr/>
        <w:t>为费用。预计为客户提供服务的期间根据预计较稳定的用户离网率来估计。</w:t>
      </w:r>
    </w:p>
    <w:p>
      <w:pPr>
        <w:pStyle w:val="BodyText"/>
        <w:spacing w:line="240" w:lineRule="auto" w:before="182"/>
        <w:ind w:left="118" w:right="91"/>
        <w:jc w:val="left"/>
      </w:pPr>
      <w:r>
        <w:rPr>
          <w:rFonts w:ascii="Arial" w:hAnsi="Arial" w:cs="Arial" w:eastAsia="Arial" w:hint="default"/>
        </w:rPr>
        <w:t>18</w:t>
      </w:r>
      <w:r>
        <w:rPr/>
        <w:t>、长期资产减值</w:t>
      </w:r>
    </w:p>
    <w:p>
      <w:pPr>
        <w:pStyle w:val="BodyText"/>
        <w:spacing w:line="237" w:lineRule="auto" w:before="197"/>
        <w:ind w:left="607" w:right="91"/>
        <w:jc w:val="left"/>
      </w:pPr>
      <w:r>
        <w:rPr>
          <w:spacing w:val="-2"/>
          <w:w w:val="95"/>
        </w:rPr>
        <w:t>固定资产、在建工程（含工程物资）、使用寿命有限的无形资产、长期待摊费用及对子公司、</w:t>
      </w:r>
      <w:r>
        <w:rPr>
          <w:spacing w:val="24"/>
          <w:w w:val="95"/>
        </w:rPr>
        <w:t> </w:t>
      </w:r>
      <w:r>
        <w:rPr>
          <w:spacing w:val="24"/>
          <w:w w:val="95"/>
        </w:rPr>
      </w:r>
      <w:r>
        <w:rPr/>
        <w:t>合营企业及联营企业的长期股权投资等，于资产负债表日存在减值迹象的，进行减值测试。</w:t>
      </w:r>
      <w:r>
        <w:rPr>
          <w:spacing w:val="-94"/>
        </w:rPr>
        <w:t> </w:t>
      </w:r>
      <w:r>
        <w:rPr>
          <w:spacing w:val="-94"/>
        </w:rPr>
      </w:r>
      <w:r>
        <w:rPr/>
        <w:t>减值测试结果表明资产的可收回金额低于其账面价值的，按其差额计提减值准备并计入减值</w:t>
      </w:r>
      <w:r>
        <w:rPr>
          <w:spacing w:val="-94"/>
        </w:rPr>
        <w:t> </w:t>
      </w:r>
      <w:r>
        <w:rPr>
          <w:spacing w:val="-94"/>
        </w:rPr>
      </w:r>
      <w:r>
        <w:rPr/>
        <w:t>损失。可收回金额为资产的公允价值减去处置费用后的净额与资产预计未来现金流量的现值</w:t>
      </w:r>
      <w:r>
        <w:rPr>
          <w:spacing w:val="-94"/>
        </w:rPr>
        <w:t> </w:t>
      </w:r>
      <w:r>
        <w:rPr>
          <w:spacing w:val="-94"/>
        </w:rPr>
      </w:r>
      <w:r>
        <w:rPr/>
        <w:t>两者之间的较高者。资产减值准备按单项资产为基础计算并确认，如果难以对单项资产的可</w:t>
      </w:r>
      <w:r>
        <w:rPr>
          <w:spacing w:val="-94"/>
        </w:rPr>
        <w:t> </w:t>
      </w:r>
      <w:r>
        <w:rPr>
          <w:spacing w:val="-94"/>
        </w:rPr>
      </w:r>
      <w:r>
        <w:rPr/>
        <w:t>收回金额进行估计的，以该资产所属的资产组确定资产组的可收回金额。资产组是能够独立</w:t>
      </w:r>
      <w:r>
        <w:rPr>
          <w:spacing w:val="-94"/>
        </w:rPr>
        <w:t> </w:t>
      </w:r>
      <w:r>
        <w:rPr>
          <w:spacing w:val="-94"/>
        </w:rPr>
      </w:r>
      <w:r>
        <w:rPr/>
        <w:t>产生现金流入的最小资产组合。</w:t>
      </w:r>
    </w:p>
    <w:p>
      <w:pPr>
        <w:spacing w:line="240" w:lineRule="auto" w:before="5"/>
        <w:rPr>
          <w:rFonts w:ascii="宋体" w:hAnsi="宋体" w:cs="宋体" w:eastAsia="宋体" w:hint="default"/>
          <w:sz w:val="17"/>
          <w:szCs w:val="17"/>
        </w:rPr>
      </w:pPr>
    </w:p>
    <w:p>
      <w:pPr>
        <w:pStyle w:val="BodyText"/>
        <w:spacing w:line="240" w:lineRule="auto"/>
        <w:ind w:left="607" w:right="91"/>
        <w:jc w:val="left"/>
      </w:pPr>
      <w:r>
        <w:rPr/>
        <w:t>上述资产减值损失一经确认，以后期间不予转回价值得以恢复的部分。</w:t>
      </w:r>
    </w:p>
    <w:p>
      <w:pPr>
        <w:spacing w:after="0" w:line="240" w:lineRule="auto"/>
        <w:jc w:val="left"/>
        <w:sectPr>
          <w:headerReference w:type="default" r:id="rId53"/>
          <w:pgSz w:w="11900" w:h="16840"/>
          <w:pgMar w:header="967" w:footer="600" w:top="2820" w:bottom="780" w:left="1440" w:right="800"/>
        </w:sectPr>
      </w:pPr>
    </w:p>
    <w:p>
      <w:pPr>
        <w:spacing w:line="240" w:lineRule="auto" w:before="10"/>
        <w:rPr>
          <w:rFonts w:ascii="宋体" w:hAnsi="宋体" w:cs="宋体" w:eastAsia="宋体" w:hint="default"/>
          <w:sz w:val="19"/>
          <w:szCs w:val="19"/>
        </w:rPr>
      </w:pPr>
    </w:p>
    <w:p>
      <w:pPr>
        <w:pStyle w:val="BodyText"/>
        <w:spacing w:line="240" w:lineRule="auto" w:before="31"/>
        <w:ind w:left="118" w:right="91"/>
        <w:jc w:val="left"/>
      </w:pPr>
      <w:r>
        <w:rPr>
          <w:rFonts w:ascii="Arial" w:hAnsi="Arial" w:cs="Arial" w:eastAsia="Arial" w:hint="default"/>
        </w:rPr>
        <w:t>19</w:t>
      </w:r>
      <w:r>
        <w:rPr/>
        <w:t>、预收账款</w:t>
      </w:r>
    </w:p>
    <w:p>
      <w:pPr>
        <w:spacing w:line="240" w:lineRule="auto" w:before="13"/>
        <w:rPr>
          <w:rFonts w:ascii="宋体" w:hAnsi="宋体" w:cs="宋体" w:eastAsia="宋体" w:hint="default"/>
          <w:sz w:val="18"/>
          <w:szCs w:val="18"/>
        </w:rPr>
      </w:pPr>
    </w:p>
    <w:p>
      <w:pPr>
        <w:pStyle w:val="BodyText"/>
        <w:spacing w:line="284" w:lineRule="exact"/>
        <w:ind w:left="607" w:right="226"/>
        <w:jc w:val="both"/>
      </w:pPr>
      <w:r>
        <w:rPr/>
        <w:t>预收账款主要指预收的电信业务服务费，是根据于合同生效日期开始已收取的服务费减去于</w:t>
      </w:r>
      <w:r>
        <w:rPr>
          <w:spacing w:val="-94"/>
        </w:rPr>
        <w:t> </w:t>
      </w:r>
      <w:r>
        <w:rPr>
          <w:spacing w:val="-94"/>
        </w:rPr>
      </w:r>
      <w:r>
        <w:rPr/>
        <w:t>各期间已在利润表中确认的收入后的净额列示。</w:t>
      </w:r>
    </w:p>
    <w:p>
      <w:pPr>
        <w:pStyle w:val="BodyText"/>
        <w:spacing w:line="240" w:lineRule="auto" w:before="183"/>
        <w:ind w:left="118" w:right="91"/>
        <w:jc w:val="left"/>
      </w:pPr>
      <w:r>
        <w:rPr>
          <w:rFonts w:ascii="Arial" w:hAnsi="Arial" w:cs="Arial" w:eastAsia="Arial" w:hint="default"/>
        </w:rPr>
        <w:t>20</w:t>
      </w:r>
      <w:r>
        <w:rPr/>
        <w:t>、职工薪酬</w:t>
      </w:r>
    </w:p>
    <w:p>
      <w:pPr>
        <w:spacing w:line="240" w:lineRule="auto" w:before="11"/>
        <w:rPr>
          <w:rFonts w:ascii="宋体" w:hAnsi="宋体" w:cs="宋体" w:eastAsia="宋体" w:hint="default"/>
          <w:sz w:val="18"/>
          <w:szCs w:val="18"/>
        </w:rPr>
      </w:pPr>
    </w:p>
    <w:p>
      <w:pPr>
        <w:pStyle w:val="BodyText"/>
        <w:spacing w:line="286" w:lineRule="exact"/>
        <w:ind w:left="607" w:right="226"/>
        <w:jc w:val="both"/>
      </w:pPr>
      <w:r>
        <w:rPr/>
        <w:t>职工薪酬主要包括工资、奖金、津贴和补贴、职工福利费、社会保险费及住房公积金、工会</w:t>
      </w:r>
      <w:r>
        <w:rPr>
          <w:spacing w:val="-94"/>
        </w:rPr>
        <w:t> </w:t>
      </w:r>
      <w:r>
        <w:rPr>
          <w:spacing w:val="-94"/>
        </w:rPr>
      </w:r>
      <w:r>
        <w:rPr/>
        <w:t>经费和职工教育经费等其他与获得职工提供的服务相关的支出。</w:t>
      </w:r>
    </w:p>
    <w:p>
      <w:pPr>
        <w:spacing w:line="240" w:lineRule="auto" w:before="3"/>
        <w:rPr>
          <w:rFonts w:ascii="宋体" w:hAnsi="宋体" w:cs="宋体" w:eastAsia="宋体" w:hint="default"/>
          <w:sz w:val="19"/>
          <w:szCs w:val="19"/>
        </w:rPr>
      </w:pPr>
    </w:p>
    <w:p>
      <w:pPr>
        <w:pStyle w:val="BodyText"/>
        <w:spacing w:line="286" w:lineRule="exact"/>
        <w:ind w:left="607" w:right="226"/>
        <w:jc w:val="both"/>
      </w:pPr>
      <w:r>
        <w:rPr/>
        <w:t>本集团在职工劳动合同到期之前解除与职工的劳动关系、或者为鼓励职工自愿接受裁减而提</w:t>
      </w:r>
      <w:r>
        <w:rPr>
          <w:spacing w:val="-94"/>
        </w:rPr>
        <w:t> </w:t>
      </w:r>
      <w:r>
        <w:rPr>
          <w:spacing w:val="-94"/>
        </w:rPr>
      </w:r>
      <w:r>
        <w:rPr/>
        <w:t>出给予补偿的建议，当本集团已经制定正式的解除劳动关系计划或提出自愿裁减建议并即将</w:t>
      </w:r>
      <w:r>
        <w:rPr>
          <w:spacing w:val="-94"/>
        </w:rPr>
        <w:t> </w:t>
      </w:r>
      <w:r>
        <w:rPr>
          <w:spacing w:val="-94"/>
        </w:rPr>
      </w:r>
      <w:r>
        <w:rPr/>
        <w:t>实施、且本集团不能单方面撤回解除劳动关系计划或裁减建议时，确认因解除与职工的劳动</w:t>
      </w:r>
      <w:r>
        <w:rPr>
          <w:spacing w:val="-94"/>
        </w:rPr>
        <w:t> </w:t>
      </w:r>
      <w:r>
        <w:rPr>
          <w:spacing w:val="-94"/>
        </w:rPr>
      </w:r>
      <w:r>
        <w:rPr/>
        <w:t>关系给予补偿而产生的预计负债，同时计入当期费用。</w:t>
      </w:r>
    </w:p>
    <w:p>
      <w:pPr>
        <w:spacing w:line="240" w:lineRule="auto" w:before="3"/>
        <w:rPr>
          <w:rFonts w:ascii="宋体" w:hAnsi="宋体" w:cs="宋体" w:eastAsia="宋体" w:hint="default"/>
          <w:sz w:val="19"/>
          <w:szCs w:val="19"/>
        </w:rPr>
      </w:pPr>
    </w:p>
    <w:p>
      <w:pPr>
        <w:pStyle w:val="BodyText"/>
        <w:spacing w:line="286" w:lineRule="exact"/>
        <w:ind w:left="607" w:right="226"/>
        <w:jc w:val="both"/>
      </w:pPr>
      <w:r>
        <w:rPr/>
        <w:t>除因解除与职工的劳动关系给予的补偿及以下员工内部退休计划和补充福利计划外，于职工</w:t>
      </w:r>
      <w:r>
        <w:rPr>
          <w:spacing w:val="-94"/>
        </w:rPr>
        <w:t> </w:t>
      </w:r>
      <w:r>
        <w:rPr>
          <w:spacing w:val="-94"/>
        </w:rPr>
      </w:r>
      <w:r>
        <w:rPr/>
        <w:t>提供服务的期间确认应付的职工薪酬，并根据职工提供服务的受益对象计入相关资产成本和</w:t>
      </w:r>
      <w:r>
        <w:rPr>
          <w:spacing w:val="-94"/>
        </w:rPr>
        <w:t> </w:t>
      </w:r>
      <w:r>
        <w:rPr>
          <w:spacing w:val="-94"/>
        </w:rPr>
      </w:r>
      <w:r>
        <w:rPr/>
        <w:t>费用。</w:t>
      </w:r>
    </w:p>
    <w:p>
      <w:pPr>
        <w:pStyle w:val="BodyText"/>
        <w:tabs>
          <w:tab w:pos="595" w:val="left" w:leader="none"/>
        </w:tabs>
        <w:spacing w:line="240" w:lineRule="auto" w:before="182"/>
        <w:ind w:left="118" w:right="91"/>
        <w:jc w:val="left"/>
      </w:pPr>
      <w:r>
        <w:rPr>
          <w:rFonts w:ascii="Arial" w:hAnsi="Arial" w:cs="Arial" w:eastAsia="Arial" w:hint="default"/>
          <w:w w:val="95"/>
        </w:rPr>
        <w:t>(a)</w:t>
        <w:tab/>
      </w:r>
      <w:r>
        <w:rPr/>
        <w:t>退休福利</w:t>
      </w:r>
    </w:p>
    <w:p>
      <w:pPr>
        <w:spacing w:line="240" w:lineRule="auto" w:before="10"/>
        <w:rPr>
          <w:rFonts w:ascii="宋体" w:hAnsi="宋体" w:cs="宋体" w:eastAsia="宋体" w:hint="default"/>
          <w:sz w:val="18"/>
          <w:szCs w:val="18"/>
        </w:rPr>
      </w:pPr>
    </w:p>
    <w:p>
      <w:pPr>
        <w:pStyle w:val="BodyText"/>
        <w:spacing w:line="286" w:lineRule="exact"/>
        <w:ind w:left="607" w:right="226"/>
        <w:jc w:val="both"/>
      </w:pPr>
      <w:r>
        <w:rPr/>
        <w:t>本集团的所有在职员工均参与并享受由地方政府组织的固定供款的退休养老统筹计划，本集</w:t>
      </w:r>
      <w:r>
        <w:rPr>
          <w:spacing w:val="-94"/>
        </w:rPr>
        <w:t> </w:t>
      </w:r>
      <w:r>
        <w:rPr>
          <w:spacing w:val="-94"/>
        </w:rPr>
      </w:r>
      <w:r>
        <w:rPr/>
        <w:t>团按照在职职工工资总额的一定比例且在不超过规定上限的基础上提取养老保险金，并向当</w:t>
      </w:r>
      <w:r>
        <w:rPr>
          <w:spacing w:val="-94"/>
        </w:rPr>
        <w:t> </w:t>
      </w:r>
      <w:r>
        <w:rPr>
          <w:spacing w:val="-94"/>
        </w:rPr>
      </w:r>
      <w:r>
        <w:rPr/>
        <w:t>地劳动和社会保障机构缴纳。</w:t>
      </w:r>
    </w:p>
    <w:p>
      <w:pPr>
        <w:spacing w:line="240" w:lineRule="auto" w:before="3"/>
        <w:rPr>
          <w:rFonts w:ascii="宋体" w:hAnsi="宋体" w:cs="宋体" w:eastAsia="宋体" w:hint="default"/>
          <w:sz w:val="19"/>
          <w:szCs w:val="19"/>
        </w:rPr>
      </w:pPr>
    </w:p>
    <w:p>
      <w:pPr>
        <w:pStyle w:val="BodyText"/>
        <w:spacing w:line="286" w:lineRule="exact"/>
        <w:ind w:left="607" w:right="224"/>
        <w:jc w:val="both"/>
      </w:pPr>
      <w:r>
        <w:rPr/>
        <w:t>此外，本集团所属联通运营公司的部分省分公司亦加入由独立的保险公司管理的补充养老保</w:t>
      </w:r>
      <w:r>
        <w:rPr>
          <w:spacing w:val="-94"/>
        </w:rPr>
        <w:t> </w:t>
      </w:r>
      <w:r>
        <w:rPr>
          <w:spacing w:val="-94"/>
        </w:rPr>
      </w:r>
      <w:r>
        <w:rPr/>
        <w:t>险计划。根据该计划，该等省分公司需每月按员工上年月平均基本工资的</w:t>
      </w:r>
      <w:r>
        <w:rPr>
          <w:rFonts w:ascii="Arial" w:hAnsi="Arial" w:cs="Arial" w:eastAsia="Arial" w:hint="default"/>
        </w:rPr>
        <w:t>2%-20%</w:t>
      </w:r>
      <w:r>
        <w:rPr/>
        <w:t>（</w:t>
      </w:r>
      <w:r>
        <w:rPr>
          <w:rFonts w:ascii="Arial" w:hAnsi="Arial" w:cs="Arial" w:eastAsia="Arial" w:hint="default"/>
        </w:rPr>
        <w:t>2010</w:t>
      </w:r>
      <w:r>
        <w:rPr/>
        <w:t>年</w:t>
      </w:r>
      <w:r>
        <w:rPr>
          <w:spacing w:val="-97"/>
        </w:rPr>
        <w:t> </w:t>
      </w:r>
      <w:r>
        <w:rPr/>
        <w:t>度：</w:t>
      </w:r>
      <w:r>
        <w:rPr>
          <w:rFonts w:ascii="Arial" w:hAnsi="Arial" w:cs="Arial" w:eastAsia="Arial" w:hint="default"/>
        </w:rPr>
        <w:t>2%-20%</w:t>
      </w:r>
      <w:r>
        <w:rPr/>
        <w:t>）为每个员工支付固定供款额的保险金。该等退休保险不适用于计划执行前员</w:t>
      </w:r>
      <w:r>
        <w:rPr>
          <w:spacing w:val="-53"/>
        </w:rPr>
        <w:t> </w:t>
      </w:r>
      <w:r>
        <w:rPr/>
        <w:t>工已服务年份。</w:t>
      </w:r>
    </w:p>
    <w:p>
      <w:pPr>
        <w:pStyle w:val="BodyText"/>
        <w:tabs>
          <w:tab w:pos="595" w:val="left" w:leader="none"/>
        </w:tabs>
        <w:spacing w:line="240" w:lineRule="auto" w:before="194"/>
        <w:ind w:left="118" w:right="91"/>
        <w:jc w:val="left"/>
      </w:pPr>
      <w:r>
        <w:rPr>
          <w:rFonts w:ascii="Arial" w:hAnsi="Arial" w:cs="Arial" w:eastAsia="Arial" w:hint="default"/>
          <w:w w:val="95"/>
        </w:rPr>
        <w:t>(b)</w:t>
        <w:tab/>
      </w:r>
      <w:r>
        <w:rPr/>
        <w:t>员工内部退休计划</w:t>
      </w:r>
    </w:p>
    <w:p>
      <w:pPr>
        <w:spacing w:line="240" w:lineRule="auto" w:before="12"/>
        <w:rPr>
          <w:rFonts w:ascii="宋体" w:hAnsi="宋体" w:cs="宋体" w:eastAsia="宋体" w:hint="default"/>
          <w:sz w:val="16"/>
          <w:szCs w:val="16"/>
        </w:rPr>
      </w:pPr>
    </w:p>
    <w:p>
      <w:pPr>
        <w:pStyle w:val="BodyText"/>
        <w:spacing w:line="237" w:lineRule="auto"/>
        <w:ind w:left="607" w:right="91"/>
        <w:jc w:val="left"/>
      </w:pPr>
      <w:r>
        <w:rPr/>
        <w:t>本集团向接受内部退休安排的职工提供内退福利。内退福利是指，向未达到国家规定的退休</w:t>
      </w:r>
      <w:r>
        <w:rPr>
          <w:spacing w:val="-94"/>
        </w:rPr>
        <w:t> </w:t>
      </w:r>
      <w:r>
        <w:rPr>
          <w:spacing w:val="-94"/>
        </w:rPr>
      </w:r>
      <w:r>
        <w:rPr>
          <w:spacing w:val="-2"/>
          <w:w w:val="95"/>
        </w:rPr>
        <w:t>年龄、经本集团管理层批准自愿退出工作岗位的职工支付的工资及为其缴纳的社会保险费等。</w:t>
      </w:r>
      <w:r>
        <w:rPr>
          <w:spacing w:val="24"/>
          <w:w w:val="95"/>
        </w:rPr>
        <w:t> </w:t>
      </w:r>
      <w:r>
        <w:rPr>
          <w:spacing w:val="24"/>
          <w:w w:val="95"/>
        </w:rPr>
      </w:r>
      <w:r>
        <w:rPr/>
        <w:t>对于内退福利，本集团按照辞退福利进行会计处理，在符合辞退福利相关确认条件时，将自</w:t>
      </w:r>
      <w:r>
        <w:rPr>
          <w:spacing w:val="-94"/>
        </w:rPr>
        <w:t> </w:t>
      </w:r>
      <w:r>
        <w:rPr>
          <w:spacing w:val="-94"/>
        </w:rPr>
      </w:r>
      <w:r>
        <w:rPr/>
        <w:t>职工停止提供服务日至正常退休日之间期间、本集团拟支付的内退福利，确认为预计负债并</w:t>
      </w:r>
      <w:r>
        <w:rPr>
          <w:spacing w:val="-94"/>
        </w:rPr>
        <w:t> </w:t>
      </w:r>
      <w:r>
        <w:rPr>
          <w:spacing w:val="-94"/>
        </w:rPr>
      </w:r>
      <w:r>
        <w:rPr/>
        <w:t>计入长期应付款下，同时确认当期费用。</w:t>
      </w:r>
    </w:p>
    <w:p>
      <w:pPr>
        <w:spacing w:line="240" w:lineRule="auto" w:before="13"/>
        <w:rPr>
          <w:rFonts w:ascii="宋体" w:hAnsi="宋体" w:cs="宋体" w:eastAsia="宋体" w:hint="default"/>
          <w:sz w:val="16"/>
          <w:szCs w:val="16"/>
        </w:rPr>
      </w:pPr>
    </w:p>
    <w:p>
      <w:pPr>
        <w:pStyle w:val="BodyText"/>
        <w:tabs>
          <w:tab w:pos="595" w:val="left" w:leader="none"/>
        </w:tabs>
        <w:spacing w:line="240" w:lineRule="auto"/>
        <w:ind w:left="118" w:right="91"/>
        <w:jc w:val="left"/>
      </w:pPr>
      <w:r>
        <w:rPr>
          <w:rFonts w:ascii="Arial" w:hAnsi="Arial" w:cs="Arial" w:eastAsia="Arial" w:hint="default"/>
          <w:w w:val="95"/>
        </w:rPr>
        <w:t>(c)</w:t>
        <w:tab/>
      </w:r>
      <w:r>
        <w:rPr/>
        <w:t>补充福利计划</w:t>
      </w:r>
    </w:p>
    <w:p>
      <w:pPr>
        <w:spacing w:line="240" w:lineRule="auto" w:before="12"/>
        <w:rPr>
          <w:rFonts w:ascii="宋体" w:hAnsi="宋体" w:cs="宋体" w:eastAsia="宋体" w:hint="default"/>
          <w:sz w:val="16"/>
          <w:szCs w:val="16"/>
        </w:rPr>
      </w:pPr>
    </w:p>
    <w:p>
      <w:pPr>
        <w:pStyle w:val="BodyText"/>
        <w:spacing w:line="237" w:lineRule="auto"/>
        <w:ind w:left="607" w:right="226"/>
        <w:jc w:val="both"/>
      </w:pPr>
      <w:r>
        <w:rPr/>
        <w:t>除参加由地方政府组织的固定供款的社会保险外，本集团所属个别子公司亦向其职工提供其</w:t>
      </w:r>
      <w:r>
        <w:rPr>
          <w:spacing w:val="-94"/>
        </w:rPr>
        <w:t> </w:t>
      </w:r>
      <w:r>
        <w:rPr>
          <w:spacing w:val="-94"/>
        </w:rPr>
      </w:r>
      <w:r>
        <w:rPr/>
        <w:t>他离退休后补充福利，主要包括补充退休金津贴及补充医疗保险等，该等离退休后补充福利</w:t>
      </w:r>
      <w:r>
        <w:rPr>
          <w:spacing w:val="-94"/>
        </w:rPr>
        <w:t> </w:t>
      </w:r>
      <w:r>
        <w:rPr>
          <w:spacing w:val="-94"/>
        </w:rPr>
      </w:r>
      <w:r>
        <w:rPr/>
        <w:t>被视为设定受益计划，按其于资产负债表日的现值被确认为负债，列示于资产负债表上应付</w:t>
      </w:r>
      <w:r>
        <w:rPr>
          <w:spacing w:val="-94"/>
        </w:rPr>
        <w:t> </w:t>
      </w:r>
      <w:r>
        <w:rPr>
          <w:spacing w:val="-94"/>
        </w:rPr>
      </w:r>
      <w:r>
        <w:rPr/>
        <w:t>职工薪酬及长期应付款项下。</w:t>
      </w:r>
    </w:p>
    <w:p>
      <w:pPr>
        <w:spacing w:after="0" w:line="237" w:lineRule="auto"/>
        <w:jc w:val="both"/>
        <w:sectPr>
          <w:headerReference w:type="default" r:id="rId54"/>
          <w:pgSz w:w="11900" w:h="16840"/>
          <w:pgMar w:header="967" w:footer="600" w:top="2820" w:bottom="780" w:left="1440" w:right="800"/>
        </w:sectPr>
      </w:pPr>
    </w:p>
    <w:p>
      <w:pPr>
        <w:spacing w:line="240" w:lineRule="auto" w:before="10"/>
        <w:rPr>
          <w:rFonts w:ascii="宋体" w:hAnsi="宋体" w:cs="宋体" w:eastAsia="宋体" w:hint="default"/>
          <w:sz w:val="19"/>
          <w:szCs w:val="19"/>
        </w:rPr>
      </w:pPr>
    </w:p>
    <w:p>
      <w:pPr>
        <w:pStyle w:val="BodyText"/>
        <w:spacing w:line="240" w:lineRule="auto" w:before="31"/>
        <w:ind w:left="118" w:right="91"/>
        <w:jc w:val="left"/>
      </w:pPr>
      <w:r>
        <w:rPr>
          <w:rFonts w:ascii="Arial" w:hAnsi="Arial" w:cs="Arial" w:eastAsia="Arial" w:hint="default"/>
        </w:rPr>
        <w:t>21</w:t>
      </w:r>
      <w:r>
        <w:rPr/>
        <w:t>、股份支付</w:t>
      </w:r>
    </w:p>
    <w:p>
      <w:pPr>
        <w:spacing w:line="240" w:lineRule="auto" w:before="12"/>
        <w:rPr>
          <w:rFonts w:ascii="宋体" w:hAnsi="宋体" w:cs="宋体" w:eastAsia="宋体" w:hint="default"/>
          <w:sz w:val="16"/>
          <w:szCs w:val="16"/>
        </w:rPr>
      </w:pPr>
    </w:p>
    <w:p>
      <w:pPr>
        <w:pStyle w:val="BodyText"/>
        <w:spacing w:line="237" w:lineRule="auto"/>
        <w:ind w:left="607" w:right="91"/>
        <w:jc w:val="left"/>
      </w:pPr>
      <w:r>
        <w:rPr/>
        <w:t>本集团的股份支付是联通红筹公司为了获取员工的服务而授予的以权益结算的股份支付，以</w:t>
      </w:r>
      <w:r>
        <w:rPr>
          <w:spacing w:val="-94"/>
        </w:rPr>
        <w:t> </w:t>
      </w:r>
      <w:r>
        <w:rPr>
          <w:spacing w:val="-94"/>
        </w:rPr>
      </w:r>
      <w:r>
        <w:rPr/>
        <w:t>授予日的公允价值计量。在等待期内的每个资产负债表日，以对可行权权益工具数量的最佳</w:t>
      </w:r>
      <w:r>
        <w:rPr>
          <w:spacing w:val="-94"/>
        </w:rPr>
        <w:t> </w:t>
      </w:r>
      <w:r>
        <w:rPr>
          <w:spacing w:val="-94"/>
        </w:rPr>
      </w:r>
      <w:r>
        <w:rPr/>
        <w:t>估计为基础，按照权益工具授予日的公允价值，将当期取得的服务计入相关成本或费用，相</w:t>
      </w:r>
      <w:r>
        <w:rPr>
          <w:spacing w:val="-94"/>
        </w:rPr>
        <w:t> </w:t>
      </w:r>
      <w:r>
        <w:rPr>
          <w:spacing w:val="-94"/>
        </w:rPr>
      </w:r>
      <w:r>
        <w:rPr>
          <w:spacing w:val="-2"/>
          <w:w w:val="95"/>
        </w:rPr>
        <w:t>应增加资本公积。确认上述公允价值时，不考虑非市场条件的影响（例如收入和利润指标），</w:t>
      </w:r>
      <w:r>
        <w:rPr>
          <w:spacing w:val="24"/>
          <w:w w:val="95"/>
        </w:rPr>
        <w:t> </w:t>
      </w:r>
      <w:r>
        <w:rPr>
          <w:spacing w:val="24"/>
          <w:w w:val="95"/>
        </w:rPr>
      </w:r>
      <w:r>
        <w:rPr/>
        <w:t>且期后也无需重新评估，但非市场条件的影响包括在对预计可行权数量的估计中。在资产负</w:t>
      </w:r>
      <w:r>
        <w:rPr>
          <w:spacing w:val="-94"/>
        </w:rPr>
        <w:t> </w:t>
      </w:r>
      <w:r>
        <w:rPr>
          <w:spacing w:val="-94"/>
        </w:rPr>
      </w:r>
      <w:r>
        <w:rPr/>
        <w:t>债表日，后续信息表明可行权权益工具的数量与以前估计不同的，则对其进行调整，并在可</w:t>
      </w:r>
      <w:r>
        <w:rPr>
          <w:spacing w:val="-94"/>
        </w:rPr>
        <w:t> </w:t>
      </w:r>
      <w:r>
        <w:rPr>
          <w:spacing w:val="-94"/>
        </w:rPr>
      </w:r>
      <w:r>
        <w:rPr/>
        <w:t>行权日，调整至实际可行权的权益工具数量。在可行权日之后，不再对已确认的相关成本或</w:t>
      </w:r>
      <w:r>
        <w:rPr>
          <w:spacing w:val="-94"/>
        </w:rPr>
        <w:t> </w:t>
      </w:r>
      <w:r>
        <w:rPr>
          <w:spacing w:val="-94"/>
        </w:rPr>
      </w:r>
      <w:r>
        <w:rPr/>
        <w:t>费用和所有者权益总额进行调整。于行权日，本集团根据员工实际行权的权益工具数量，将</w:t>
      </w:r>
      <w:r>
        <w:rPr>
          <w:spacing w:val="-94"/>
        </w:rPr>
        <w:t> </w:t>
      </w:r>
      <w:r>
        <w:rPr>
          <w:spacing w:val="-94"/>
        </w:rPr>
      </w:r>
      <w:r>
        <w:rPr/>
        <w:t>所收取的款项扣除交易费用后，确认联通红筹公司的股本和股本溢价，同时结转等待期内确</w:t>
      </w:r>
      <w:r>
        <w:rPr>
          <w:spacing w:val="-94"/>
        </w:rPr>
        <w:t> </w:t>
      </w:r>
      <w:r>
        <w:rPr>
          <w:spacing w:val="-94"/>
        </w:rPr>
      </w:r>
      <w:r>
        <w:rPr/>
        <w:t>认的资本公积（其他资本公积）。</w:t>
      </w:r>
    </w:p>
    <w:p>
      <w:pPr>
        <w:spacing w:line="240" w:lineRule="auto" w:before="12"/>
        <w:rPr>
          <w:rFonts w:ascii="宋体" w:hAnsi="宋体" w:cs="宋体" w:eastAsia="宋体" w:hint="default"/>
          <w:sz w:val="16"/>
          <w:szCs w:val="16"/>
        </w:rPr>
      </w:pPr>
    </w:p>
    <w:p>
      <w:pPr>
        <w:pStyle w:val="BodyText"/>
        <w:spacing w:line="240" w:lineRule="auto"/>
        <w:ind w:left="118" w:right="91"/>
        <w:jc w:val="left"/>
      </w:pPr>
      <w:r>
        <w:rPr>
          <w:rFonts w:ascii="Arial" w:hAnsi="Arial" w:cs="Arial" w:eastAsia="Arial" w:hint="default"/>
        </w:rPr>
        <w:t>22</w:t>
      </w:r>
      <w:r>
        <w:rPr/>
        <w:t>、股利分配</w:t>
      </w:r>
    </w:p>
    <w:p>
      <w:pPr>
        <w:spacing w:line="240" w:lineRule="auto" w:before="9"/>
        <w:rPr>
          <w:rFonts w:ascii="宋体" w:hAnsi="宋体" w:cs="宋体" w:eastAsia="宋体" w:hint="default"/>
          <w:sz w:val="16"/>
          <w:szCs w:val="16"/>
        </w:rPr>
      </w:pPr>
    </w:p>
    <w:p>
      <w:pPr>
        <w:pStyle w:val="BodyText"/>
        <w:spacing w:line="240" w:lineRule="auto"/>
        <w:ind w:left="607" w:right="91"/>
        <w:jc w:val="left"/>
      </w:pPr>
      <w:r>
        <w:rPr/>
        <w:t>现金股利于股东大会批准的当期，确认为负债。</w:t>
      </w:r>
    </w:p>
    <w:p>
      <w:pPr>
        <w:spacing w:line="240" w:lineRule="auto" w:before="13"/>
        <w:rPr>
          <w:rFonts w:ascii="宋体" w:hAnsi="宋体" w:cs="宋体" w:eastAsia="宋体" w:hint="default"/>
          <w:sz w:val="16"/>
          <w:szCs w:val="16"/>
        </w:rPr>
      </w:pPr>
    </w:p>
    <w:p>
      <w:pPr>
        <w:pStyle w:val="BodyText"/>
        <w:spacing w:line="240" w:lineRule="auto"/>
        <w:ind w:left="118" w:right="91"/>
        <w:jc w:val="left"/>
      </w:pPr>
      <w:r>
        <w:rPr>
          <w:rFonts w:ascii="Arial" w:hAnsi="Arial" w:cs="Arial" w:eastAsia="Arial" w:hint="default"/>
        </w:rPr>
        <w:t>23</w:t>
      </w:r>
      <w:r>
        <w:rPr/>
        <w:t>、预计负债</w:t>
      </w:r>
    </w:p>
    <w:p>
      <w:pPr>
        <w:spacing w:line="240" w:lineRule="auto" w:before="10"/>
        <w:rPr>
          <w:rFonts w:ascii="宋体" w:hAnsi="宋体" w:cs="宋体" w:eastAsia="宋体" w:hint="default"/>
          <w:sz w:val="18"/>
          <w:szCs w:val="18"/>
        </w:rPr>
      </w:pPr>
    </w:p>
    <w:p>
      <w:pPr>
        <w:pStyle w:val="BodyText"/>
        <w:spacing w:line="286" w:lineRule="exact"/>
        <w:ind w:left="607" w:right="91"/>
        <w:jc w:val="left"/>
      </w:pPr>
      <w:r>
        <w:rPr/>
        <w:t>因产品质量保证、亏损合同等形成的现时义务，当履行该义务很可能导致经济利益的流出，</w:t>
      </w:r>
      <w:r>
        <w:rPr>
          <w:spacing w:val="-94"/>
        </w:rPr>
        <w:t> </w:t>
      </w:r>
      <w:r>
        <w:rPr>
          <w:spacing w:val="-94"/>
        </w:rPr>
      </w:r>
      <w:r>
        <w:rPr/>
        <w:t>且其金额能够可靠计量时，确认为预计负债。</w:t>
      </w:r>
    </w:p>
    <w:p>
      <w:pPr>
        <w:spacing w:line="240" w:lineRule="auto" w:before="5"/>
        <w:rPr>
          <w:rFonts w:ascii="宋体" w:hAnsi="宋体" w:cs="宋体" w:eastAsia="宋体" w:hint="default"/>
          <w:sz w:val="17"/>
          <w:szCs w:val="17"/>
        </w:rPr>
      </w:pPr>
    </w:p>
    <w:p>
      <w:pPr>
        <w:pStyle w:val="BodyText"/>
        <w:spacing w:line="237" w:lineRule="auto"/>
        <w:ind w:left="607" w:right="116"/>
        <w:jc w:val="both"/>
      </w:pPr>
      <w:r>
        <w:rPr/>
        <w:t>预计负债按照履行相关现时义务所需支出的最佳估计数进行初始计量，并综合考虑与或有事</w:t>
      </w:r>
      <w:r>
        <w:rPr>
          <w:spacing w:val="-94"/>
        </w:rPr>
        <w:t> </w:t>
      </w:r>
      <w:r>
        <w:rPr>
          <w:spacing w:val="-94"/>
        </w:rPr>
      </w:r>
      <w:r>
        <w:rPr/>
        <w:t>项有关的风险、不确定性和货币时间价值等因素。货币时间价值影响重大的，通过对相关未</w:t>
      </w:r>
      <w:r>
        <w:rPr>
          <w:spacing w:val="-94"/>
        </w:rPr>
        <w:t> </w:t>
      </w:r>
      <w:r>
        <w:rPr>
          <w:spacing w:val="-94"/>
        </w:rPr>
      </w:r>
      <w:r>
        <w:rPr/>
        <w:t>来现金流出进行折现后确定最佳估计数；因随着时间推移所进行的折现还原而导致的预计负</w:t>
      </w:r>
      <w:r>
        <w:rPr>
          <w:spacing w:val="-94"/>
        </w:rPr>
        <w:t> </w:t>
      </w:r>
      <w:r>
        <w:rPr>
          <w:spacing w:val="-94"/>
        </w:rPr>
      </w:r>
      <w:r>
        <w:rPr/>
        <w:t>债账面价值的增加金额，确认为利息费用。</w:t>
      </w:r>
    </w:p>
    <w:p>
      <w:pPr>
        <w:spacing w:line="240" w:lineRule="auto" w:before="3"/>
        <w:rPr>
          <w:rFonts w:ascii="宋体" w:hAnsi="宋体" w:cs="宋体" w:eastAsia="宋体" w:hint="default"/>
          <w:sz w:val="19"/>
          <w:szCs w:val="19"/>
        </w:rPr>
      </w:pPr>
    </w:p>
    <w:p>
      <w:pPr>
        <w:pStyle w:val="BodyText"/>
        <w:spacing w:line="240" w:lineRule="auto"/>
        <w:ind w:left="607" w:right="91"/>
        <w:jc w:val="left"/>
      </w:pPr>
      <w:r>
        <w:rPr>
          <w:w w:val="95"/>
        </w:rPr>
        <w:t>于资产负债表日，对预计负债的账面价值进行复核并作适当调整，以反映当前的最佳估计数。</w:t>
      </w:r>
      <w:r>
        <w:rPr/>
      </w:r>
    </w:p>
    <w:p>
      <w:pPr>
        <w:spacing w:line="240" w:lineRule="auto" w:before="12"/>
        <w:rPr>
          <w:rFonts w:ascii="宋体" w:hAnsi="宋体" w:cs="宋体" w:eastAsia="宋体" w:hint="default"/>
          <w:sz w:val="16"/>
          <w:szCs w:val="16"/>
        </w:rPr>
      </w:pPr>
    </w:p>
    <w:p>
      <w:pPr>
        <w:pStyle w:val="BodyText"/>
        <w:spacing w:line="240" w:lineRule="auto"/>
        <w:ind w:left="118" w:right="91"/>
        <w:jc w:val="left"/>
      </w:pPr>
      <w:r>
        <w:rPr>
          <w:rFonts w:ascii="Arial" w:hAnsi="Arial" w:cs="Arial" w:eastAsia="Arial" w:hint="default"/>
        </w:rPr>
        <w:t>24</w:t>
      </w:r>
      <w:r>
        <w:rPr/>
        <w:t>、收入确认</w:t>
      </w:r>
    </w:p>
    <w:p>
      <w:pPr>
        <w:spacing w:line="240" w:lineRule="auto" w:before="11"/>
        <w:rPr>
          <w:rFonts w:ascii="宋体" w:hAnsi="宋体" w:cs="宋体" w:eastAsia="宋体" w:hint="default"/>
          <w:sz w:val="18"/>
          <w:szCs w:val="18"/>
        </w:rPr>
      </w:pPr>
    </w:p>
    <w:p>
      <w:pPr>
        <w:pStyle w:val="BodyText"/>
        <w:spacing w:line="286" w:lineRule="exact"/>
        <w:ind w:left="607" w:right="91"/>
        <w:jc w:val="left"/>
      </w:pPr>
      <w:r>
        <w:rPr/>
        <w:t>收入的金额按照本集团在日常经营活动中提供电信服务、其他劳务或销售通信产品时，已收</w:t>
      </w:r>
      <w:r>
        <w:rPr>
          <w:spacing w:val="-94"/>
        </w:rPr>
        <w:t> </w:t>
      </w:r>
      <w:r>
        <w:rPr>
          <w:spacing w:val="-94"/>
        </w:rPr>
      </w:r>
      <w:r>
        <w:rPr/>
        <w:t>或应收合同或协议价款的公允价值确定。收入按扣除销售折让及销售退回的净额列示。</w:t>
      </w:r>
    </w:p>
    <w:p>
      <w:pPr>
        <w:spacing w:line="240" w:lineRule="auto" w:before="3"/>
        <w:rPr>
          <w:rFonts w:ascii="宋体" w:hAnsi="宋体" w:cs="宋体" w:eastAsia="宋体" w:hint="default"/>
          <w:sz w:val="19"/>
          <w:szCs w:val="19"/>
        </w:rPr>
      </w:pPr>
    </w:p>
    <w:p>
      <w:pPr>
        <w:pStyle w:val="BodyText"/>
        <w:spacing w:line="286" w:lineRule="exact"/>
        <w:ind w:left="607" w:right="91"/>
        <w:jc w:val="left"/>
      </w:pPr>
      <w:r>
        <w:rPr/>
        <w:t>与交易相关的经济利益能够流入本集团，相关的收入和成本能够可靠计量且满足下列各项经</w:t>
      </w:r>
      <w:r>
        <w:rPr>
          <w:spacing w:val="-94"/>
        </w:rPr>
        <w:t> </w:t>
      </w:r>
      <w:r>
        <w:rPr>
          <w:spacing w:val="-94"/>
        </w:rPr>
      </w:r>
      <w:r>
        <w:rPr/>
        <w:t>营活动的特定收入确认标准时，确认相关的收入：</w:t>
      </w:r>
    </w:p>
    <w:p>
      <w:pPr>
        <w:spacing w:line="240" w:lineRule="auto" w:before="2"/>
        <w:rPr>
          <w:rFonts w:ascii="宋体" w:hAnsi="宋体" w:cs="宋体" w:eastAsia="宋体" w:hint="default"/>
          <w:sz w:val="17"/>
          <w:szCs w:val="17"/>
        </w:rPr>
      </w:pPr>
    </w:p>
    <w:p>
      <w:pPr>
        <w:pStyle w:val="BodyText"/>
        <w:spacing w:line="240" w:lineRule="auto"/>
        <w:ind w:left="160" w:right="91"/>
        <w:jc w:val="left"/>
      </w:pPr>
      <w:r>
        <w:rPr>
          <w:rFonts w:ascii="Arial" w:hAnsi="Arial" w:cs="Arial" w:eastAsia="Arial" w:hint="default"/>
        </w:rPr>
        <w:t>(a) </w:t>
      </w:r>
      <w:r>
        <w:rPr>
          <w:rFonts w:ascii="Arial" w:hAnsi="Arial" w:cs="Arial" w:eastAsia="Arial" w:hint="default"/>
          <w:spacing w:val="55"/>
        </w:rPr>
        <w:t> </w:t>
      </w:r>
      <w:r>
        <w:rPr/>
        <w:t>通话费和月租费在提供服务时确认；</w:t>
      </w:r>
    </w:p>
    <w:p>
      <w:pPr>
        <w:spacing w:line="240" w:lineRule="auto" w:before="12"/>
        <w:rPr>
          <w:rFonts w:ascii="宋体" w:hAnsi="宋体" w:cs="宋体" w:eastAsia="宋体" w:hint="default"/>
          <w:sz w:val="17"/>
          <w:szCs w:val="17"/>
        </w:rPr>
      </w:pPr>
    </w:p>
    <w:p>
      <w:pPr>
        <w:pStyle w:val="BodyText"/>
        <w:spacing w:line="240" w:lineRule="auto"/>
        <w:ind w:left="158" w:right="91"/>
        <w:jc w:val="left"/>
      </w:pPr>
      <w:r>
        <w:rPr>
          <w:rFonts w:ascii="Arial" w:hAnsi="Arial" w:cs="Arial" w:eastAsia="Arial" w:hint="default"/>
        </w:rPr>
        <w:t>(b) </w:t>
      </w:r>
      <w:r>
        <w:rPr>
          <w:rFonts w:ascii="Arial" w:hAnsi="Arial" w:cs="Arial" w:eastAsia="Arial" w:hint="default"/>
          <w:spacing w:val="58"/>
        </w:rPr>
        <w:t> </w:t>
      </w:r>
      <w:r>
        <w:rPr/>
        <w:t>提供宽带、数据及其他互联网相关服务的收入在提供服务时予以确认；</w:t>
      </w:r>
    </w:p>
    <w:p>
      <w:pPr>
        <w:spacing w:after="0" w:line="240" w:lineRule="auto"/>
        <w:jc w:val="left"/>
        <w:sectPr>
          <w:headerReference w:type="default" r:id="rId55"/>
          <w:pgSz w:w="11900" w:h="16840"/>
          <w:pgMar w:header="967" w:footer="600" w:top="2820" w:bottom="780" w:left="1440" w:right="800"/>
        </w:sectPr>
      </w:pPr>
    </w:p>
    <w:p>
      <w:pPr>
        <w:spacing w:line="240" w:lineRule="auto" w:before="10"/>
        <w:rPr>
          <w:rFonts w:ascii="宋体" w:hAnsi="宋体" w:cs="宋体" w:eastAsia="宋体" w:hint="default"/>
          <w:sz w:val="19"/>
          <w:szCs w:val="19"/>
        </w:rPr>
      </w:pPr>
    </w:p>
    <w:p>
      <w:pPr>
        <w:pStyle w:val="BodyText"/>
        <w:spacing w:line="240" w:lineRule="auto" w:before="31"/>
        <w:ind w:left="118" w:right="3262"/>
        <w:jc w:val="left"/>
      </w:pPr>
      <w:r>
        <w:rPr>
          <w:rFonts w:ascii="Arial" w:hAnsi="Arial" w:cs="Arial" w:eastAsia="Arial" w:hint="default"/>
        </w:rPr>
        <w:t>24</w:t>
      </w:r>
      <w:r>
        <w:rPr/>
        <w:t>、收入确认（续）</w:t>
      </w:r>
    </w:p>
    <w:p>
      <w:pPr>
        <w:spacing w:line="240" w:lineRule="auto" w:before="6"/>
        <w:rPr>
          <w:rFonts w:ascii="宋体" w:hAnsi="宋体" w:cs="宋体" w:eastAsia="宋体" w:hint="default"/>
          <w:sz w:val="17"/>
          <w:szCs w:val="17"/>
        </w:rPr>
      </w:pPr>
    </w:p>
    <w:p>
      <w:pPr>
        <w:pStyle w:val="BodyText"/>
        <w:spacing w:line="230" w:lineRule="auto"/>
        <w:ind w:left="613" w:right="106" w:hanging="455"/>
        <w:jc w:val="both"/>
      </w:pPr>
      <w:r>
        <w:rPr>
          <w:rFonts w:ascii="Arial" w:hAnsi="Arial" w:cs="Arial" w:eastAsia="Arial" w:hint="default"/>
        </w:rPr>
        <w:t>(c)</w:t>
      </w:r>
      <w:r>
        <w:rPr>
          <w:rFonts w:ascii="Arial" w:hAnsi="Arial" w:cs="Arial" w:eastAsia="Arial" w:hint="default"/>
          <w:spacing w:val="24"/>
        </w:rPr>
        <w:t> </w:t>
      </w:r>
      <w:r>
        <w:rPr/>
        <w:t>对于信息与通信技术服务收入，若提供劳务交易的结果能够可靠估计，采用完工百分比法确</w:t>
      </w:r>
      <w:r>
        <w:rPr>
          <w:spacing w:val="1"/>
          <w:w w:val="99"/>
        </w:rPr>
        <w:t> </w:t>
      </w:r>
      <w:r>
        <w:rPr/>
        <w:t>认收入；若提供劳务交易的结果不能可靠估计，则不能按照完工百分比法确认而应区别下列</w:t>
      </w:r>
      <w:r>
        <w:rPr>
          <w:w w:val="99"/>
        </w:rPr>
        <w:t> </w:t>
      </w:r>
      <w:r>
        <w:rPr/>
        <w:t>情况处理：</w:t>
      </w:r>
      <w:r>
        <w:rPr>
          <w:rFonts w:ascii="Arial" w:hAnsi="Arial" w:cs="Arial" w:eastAsia="Arial" w:hint="default"/>
        </w:rPr>
        <w:t>(i)</w:t>
      </w:r>
      <w:r>
        <w:rPr/>
        <w:t>已经发生的劳务成本预计全部能够得到补偿的，应按已收或预计能够收回的金</w:t>
      </w:r>
      <w:r>
        <w:rPr>
          <w:spacing w:val="1"/>
          <w:w w:val="99"/>
        </w:rPr>
        <w:t> </w:t>
      </w:r>
      <w:r>
        <w:rPr>
          <w:w w:val="95"/>
        </w:rPr>
        <w:t>额确认提供劳务收入，并结转已经发生的劳务成本，</w:t>
      </w:r>
      <w:r>
        <w:rPr>
          <w:rFonts w:ascii="Arial" w:hAnsi="Arial" w:cs="Arial" w:eastAsia="Arial" w:hint="default"/>
          <w:w w:val="95"/>
        </w:rPr>
        <w:t>(ii)</w:t>
      </w:r>
      <w:r>
        <w:rPr>
          <w:w w:val="95"/>
        </w:rPr>
        <w:t>已经发生的劳务成本预计部分能够得</w:t>
      </w:r>
      <w:r>
        <w:rPr>
          <w:w w:val="99"/>
        </w:rPr>
        <w:t> </w:t>
      </w:r>
      <w:r>
        <w:rPr/>
        <w:t>到补偿的，应按能够得到补偿的劳务成本金额确认提供劳务收入，并结转已经发生的劳务成</w:t>
      </w:r>
      <w:r>
        <w:rPr>
          <w:w w:val="99"/>
        </w:rPr>
        <w:t> </w:t>
      </w:r>
      <w:r>
        <w:rPr>
          <w:spacing w:val="-2"/>
        </w:rPr>
        <w:t>本，及</w:t>
      </w:r>
      <w:r>
        <w:rPr>
          <w:rFonts w:ascii="Arial" w:hAnsi="Arial" w:cs="Arial" w:eastAsia="Arial" w:hint="default"/>
          <w:spacing w:val="-2"/>
        </w:rPr>
        <w:t>(iii)</w:t>
      </w:r>
      <w:r>
        <w:rPr>
          <w:spacing w:val="-2"/>
        </w:rPr>
        <w:t>已经发生的劳务成本预计全部不能得到补偿的，应将已经发生的劳务成本计入当期</w:t>
      </w:r>
      <w:r>
        <w:rPr>
          <w:w w:val="99"/>
        </w:rPr>
        <w:t> </w:t>
      </w:r>
      <w:r>
        <w:rPr/>
        <w:t>损益，不确认提供劳务收入；</w:t>
      </w:r>
    </w:p>
    <w:p>
      <w:pPr>
        <w:spacing w:line="240" w:lineRule="auto" w:before="5"/>
        <w:rPr>
          <w:rFonts w:ascii="宋体" w:hAnsi="宋体" w:cs="宋体" w:eastAsia="宋体" w:hint="default"/>
          <w:sz w:val="21"/>
          <w:szCs w:val="21"/>
        </w:rPr>
      </w:pPr>
    </w:p>
    <w:p>
      <w:pPr>
        <w:pStyle w:val="BodyText"/>
        <w:spacing w:line="286" w:lineRule="exact"/>
        <w:ind w:left="613" w:right="106" w:hanging="455"/>
        <w:jc w:val="both"/>
      </w:pPr>
      <w:r>
        <w:rPr>
          <w:rFonts w:ascii="Arial" w:hAnsi="Arial" w:cs="Arial" w:eastAsia="Arial" w:hint="default"/>
        </w:rPr>
        <w:t>(d)</w:t>
      </w:r>
      <w:r>
        <w:rPr>
          <w:rFonts w:ascii="Arial" w:hAnsi="Arial" w:cs="Arial" w:eastAsia="Arial" w:hint="default"/>
          <w:spacing w:val="12"/>
        </w:rPr>
        <w:t> </w:t>
      </w:r>
      <w:r>
        <w:rPr/>
        <w:t>网间结算收入指本集团与国内外其他电信运营商网络间通信而获得的收入，于发生时确认；</w:t>
      </w:r>
      <w:r>
        <w:rPr>
          <w:spacing w:val="1"/>
          <w:w w:val="99"/>
        </w:rPr>
        <w:t> </w:t>
      </w:r>
      <w:r>
        <w:rPr/>
        <w:t>网间结算支出指本集团与国内外其他电信运营商网络间通信所产生的支出，于发生时确认；</w:t>
      </w:r>
    </w:p>
    <w:p>
      <w:pPr>
        <w:spacing w:line="240" w:lineRule="auto" w:before="3"/>
        <w:rPr>
          <w:rFonts w:ascii="宋体" w:hAnsi="宋体" w:cs="宋体" w:eastAsia="宋体" w:hint="default"/>
          <w:sz w:val="19"/>
          <w:szCs w:val="19"/>
        </w:rPr>
      </w:pPr>
    </w:p>
    <w:p>
      <w:pPr>
        <w:pStyle w:val="BodyText"/>
        <w:spacing w:line="286" w:lineRule="exact"/>
        <w:ind w:left="613" w:right="106" w:hanging="455"/>
        <w:jc w:val="both"/>
      </w:pPr>
      <w:r>
        <w:rPr>
          <w:rFonts w:ascii="Arial" w:hAnsi="Arial" w:cs="Arial" w:eastAsia="Arial" w:hint="default"/>
        </w:rPr>
        <w:t>(e)</w:t>
      </w:r>
      <w:r>
        <w:rPr>
          <w:rFonts w:ascii="Arial" w:hAnsi="Arial" w:cs="Arial" w:eastAsia="Arial" w:hint="default"/>
          <w:spacing w:val="12"/>
        </w:rPr>
        <w:t> </w:t>
      </w:r>
      <w:r>
        <w:rPr/>
        <w:t>增值服务收入是指向用户提供如短信、炫铃、个性化彩铃、无线数据服务、来电显示以及秘</w:t>
      </w:r>
      <w:r>
        <w:rPr>
          <w:spacing w:val="1"/>
          <w:w w:val="99"/>
        </w:rPr>
        <w:t> </w:t>
      </w:r>
      <w:r>
        <w:rPr/>
        <w:t>书服务等，并在服务提供时确认；</w:t>
      </w:r>
    </w:p>
    <w:p>
      <w:pPr>
        <w:spacing w:line="240" w:lineRule="auto" w:before="6"/>
        <w:rPr>
          <w:rFonts w:ascii="宋体" w:hAnsi="宋体" w:cs="宋体" w:eastAsia="宋体" w:hint="default"/>
          <w:sz w:val="19"/>
          <w:szCs w:val="19"/>
        </w:rPr>
      </w:pPr>
    </w:p>
    <w:p>
      <w:pPr>
        <w:pStyle w:val="BodyText"/>
        <w:spacing w:line="284" w:lineRule="exact"/>
        <w:ind w:left="613" w:right="106" w:hanging="455"/>
        <w:jc w:val="both"/>
      </w:pPr>
      <w:r>
        <w:rPr>
          <w:rFonts w:ascii="Arial" w:hAnsi="Arial" w:cs="Arial" w:eastAsia="Arial" w:hint="default"/>
        </w:rPr>
        <w:t>(f)</w:t>
      </w:r>
      <w:r>
        <w:rPr>
          <w:rFonts w:ascii="Arial" w:hAnsi="Arial" w:cs="Arial" w:eastAsia="Arial" w:hint="default"/>
          <w:spacing w:val="12"/>
        </w:rPr>
        <w:t> </w:t>
      </w:r>
      <w:r>
        <w:rPr/>
        <w:t>提供劳务收入是指对外提供通信信息工程和建筑工程的资讯、勘察、设计、监理、客服等劳</w:t>
      </w:r>
      <w:r>
        <w:rPr>
          <w:spacing w:val="1"/>
          <w:w w:val="99"/>
        </w:rPr>
        <w:t> </w:t>
      </w:r>
      <w:r>
        <w:rPr/>
        <w:t>务，当合同已经签订且相关服务已提供完毕时确认相关的收入；</w:t>
      </w:r>
    </w:p>
    <w:p>
      <w:pPr>
        <w:spacing w:line="240" w:lineRule="auto" w:before="5"/>
        <w:rPr>
          <w:rFonts w:ascii="宋体" w:hAnsi="宋体" w:cs="宋体" w:eastAsia="宋体" w:hint="default"/>
          <w:sz w:val="19"/>
          <w:szCs w:val="19"/>
        </w:rPr>
      </w:pPr>
    </w:p>
    <w:p>
      <w:pPr>
        <w:pStyle w:val="BodyText"/>
        <w:spacing w:line="286" w:lineRule="exact"/>
        <w:ind w:left="613" w:right="106" w:hanging="455"/>
        <w:jc w:val="both"/>
      </w:pPr>
      <w:r>
        <w:rPr>
          <w:rFonts w:ascii="Arial" w:hAnsi="Arial" w:cs="Arial" w:eastAsia="Arial" w:hint="default"/>
        </w:rPr>
        <w:t>(g)</w:t>
      </w:r>
      <w:r>
        <w:rPr>
          <w:rFonts w:ascii="Arial" w:hAnsi="Arial" w:cs="Arial" w:eastAsia="Arial" w:hint="default"/>
          <w:spacing w:val="12"/>
        </w:rPr>
        <w:t> </w:t>
      </w:r>
      <w:r>
        <w:rPr/>
        <w:t>销售通信产品收入指销售手机、通信设备等通信产品而产生的收入，在产品所有权上的风险</w:t>
      </w:r>
      <w:r>
        <w:rPr>
          <w:spacing w:val="1"/>
          <w:w w:val="99"/>
        </w:rPr>
        <w:t> </w:t>
      </w:r>
      <w:r>
        <w:rPr/>
        <w:t>和报酬转移给买方时确认；</w:t>
      </w:r>
    </w:p>
    <w:p>
      <w:pPr>
        <w:spacing w:line="240" w:lineRule="auto" w:before="3"/>
        <w:rPr>
          <w:rFonts w:ascii="宋体" w:hAnsi="宋体" w:cs="宋体" w:eastAsia="宋体" w:hint="default"/>
          <w:sz w:val="19"/>
          <w:szCs w:val="19"/>
        </w:rPr>
      </w:pPr>
    </w:p>
    <w:p>
      <w:pPr>
        <w:pStyle w:val="BodyText"/>
        <w:spacing w:line="286" w:lineRule="exact"/>
        <w:ind w:left="613" w:right="107" w:hanging="455"/>
        <w:jc w:val="both"/>
      </w:pPr>
      <w:r>
        <w:rPr>
          <w:rFonts w:ascii="Arial" w:hAnsi="Arial" w:cs="Arial" w:eastAsia="Arial" w:hint="default"/>
        </w:rPr>
        <w:t>(h) </w:t>
      </w:r>
      <w:r>
        <w:rPr/>
        <w:t>本集团将向用户收取的为开通移动通信服务的一次性不退还的手机识别卡（如 </w:t>
      </w:r>
      <w:r>
        <w:rPr>
          <w:rFonts w:ascii="Arial" w:hAnsi="Arial" w:cs="Arial" w:eastAsia="Arial" w:hint="default"/>
        </w:rPr>
        <w:t>SIM</w:t>
      </w:r>
      <w:r>
        <w:rPr>
          <w:rFonts w:ascii="Arial" w:hAnsi="Arial" w:cs="Arial" w:eastAsia="Arial" w:hint="default"/>
          <w:spacing w:val="-23"/>
        </w:rPr>
        <w:t> </w:t>
      </w:r>
      <w:r>
        <w:rPr>
          <w:spacing w:val="-6"/>
        </w:rPr>
        <w:t>卡）收入</w:t>
      </w:r>
      <w:r>
        <w:rPr>
          <w:w w:val="99"/>
        </w:rPr>
        <w:t> </w:t>
      </w:r>
      <w:r>
        <w:rPr/>
        <w:t>于预计用户服务期限内按照直线法平均确认；</w:t>
      </w:r>
    </w:p>
    <w:p>
      <w:pPr>
        <w:spacing w:line="240" w:lineRule="auto" w:before="2"/>
        <w:rPr>
          <w:rFonts w:ascii="宋体" w:hAnsi="宋体" w:cs="宋体" w:eastAsia="宋体" w:hint="default"/>
          <w:sz w:val="17"/>
          <w:szCs w:val="17"/>
        </w:rPr>
      </w:pPr>
    </w:p>
    <w:p>
      <w:pPr>
        <w:pStyle w:val="BodyText"/>
        <w:tabs>
          <w:tab w:pos="608" w:val="left" w:leader="none"/>
        </w:tabs>
        <w:spacing w:line="240" w:lineRule="auto"/>
        <w:ind w:left="158" w:right="0"/>
        <w:jc w:val="left"/>
      </w:pPr>
      <w:r>
        <w:rPr>
          <w:rFonts w:ascii="Arial" w:hAnsi="Arial" w:cs="Arial" w:eastAsia="Arial" w:hint="default"/>
          <w:w w:val="95"/>
        </w:rPr>
        <w:t>(i)</w:t>
        <w:tab/>
      </w:r>
      <w:r>
        <w:rPr/>
        <w:t>向固网业务用户收取的市话装移机费被予以递延，并在预计客户服务期内分期确认收入；</w:t>
      </w:r>
    </w:p>
    <w:p>
      <w:pPr>
        <w:spacing w:line="240" w:lineRule="auto" w:before="12"/>
        <w:rPr>
          <w:rFonts w:ascii="宋体" w:hAnsi="宋体" w:cs="宋体" w:eastAsia="宋体" w:hint="default"/>
          <w:sz w:val="17"/>
          <w:szCs w:val="17"/>
        </w:rPr>
      </w:pPr>
    </w:p>
    <w:p>
      <w:pPr>
        <w:pStyle w:val="BodyText"/>
        <w:tabs>
          <w:tab w:pos="608" w:val="left" w:leader="none"/>
        </w:tabs>
        <w:spacing w:line="240" w:lineRule="auto"/>
        <w:ind w:left="158" w:right="3262"/>
        <w:jc w:val="left"/>
      </w:pPr>
      <w:r>
        <w:rPr>
          <w:rFonts w:ascii="Arial" w:hAnsi="Arial" w:cs="Arial" w:eastAsia="Arial" w:hint="default"/>
          <w:w w:val="95"/>
        </w:rPr>
        <w:t>(j)</w:t>
        <w:tab/>
      </w:r>
      <w:r>
        <w:rPr/>
        <w:t>经营租赁收入在租赁期限内按合同约定确认；</w:t>
      </w:r>
    </w:p>
    <w:p>
      <w:pPr>
        <w:spacing w:line="240" w:lineRule="auto" w:before="3"/>
        <w:rPr>
          <w:rFonts w:ascii="宋体" w:hAnsi="宋体" w:cs="宋体" w:eastAsia="宋体" w:hint="default"/>
          <w:sz w:val="20"/>
          <w:szCs w:val="20"/>
        </w:rPr>
      </w:pPr>
    </w:p>
    <w:p>
      <w:pPr>
        <w:pStyle w:val="BodyText"/>
        <w:spacing w:line="284" w:lineRule="exact"/>
        <w:ind w:left="613" w:right="106" w:hanging="455"/>
        <w:jc w:val="both"/>
      </w:pPr>
      <w:r>
        <w:rPr>
          <w:rFonts w:ascii="Arial" w:hAnsi="Arial" w:cs="Arial" w:eastAsia="Arial" w:hint="default"/>
        </w:rPr>
        <w:t>(k)</w:t>
      </w:r>
      <w:r>
        <w:rPr>
          <w:rFonts w:ascii="Arial" w:hAnsi="Arial" w:cs="Arial" w:eastAsia="Arial" w:hint="default"/>
          <w:spacing w:val="24"/>
        </w:rPr>
        <w:t> </w:t>
      </w:r>
      <w:r>
        <w:rPr/>
        <w:t>存放于银行或其他金融机构的存款利息收入按照其他方使用本集团货币资金的时间，采用实</w:t>
      </w:r>
      <w:r>
        <w:rPr>
          <w:spacing w:val="1"/>
          <w:w w:val="99"/>
        </w:rPr>
        <w:t> </w:t>
      </w:r>
      <w:r>
        <w:rPr/>
        <w:t>际利率计算确定；</w:t>
      </w:r>
    </w:p>
    <w:p>
      <w:pPr>
        <w:spacing w:line="240" w:lineRule="auto" w:before="3"/>
        <w:rPr>
          <w:rFonts w:ascii="宋体" w:hAnsi="宋体" w:cs="宋体" w:eastAsia="宋体" w:hint="default"/>
          <w:sz w:val="17"/>
          <w:szCs w:val="17"/>
        </w:rPr>
      </w:pPr>
    </w:p>
    <w:p>
      <w:pPr>
        <w:pStyle w:val="BodyText"/>
        <w:tabs>
          <w:tab w:pos="608" w:val="left" w:leader="none"/>
        </w:tabs>
        <w:spacing w:line="240" w:lineRule="auto"/>
        <w:ind w:left="158" w:right="3262"/>
        <w:jc w:val="left"/>
      </w:pPr>
      <w:r>
        <w:rPr>
          <w:rFonts w:ascii="Arial" w:hAnsi="Arial" w:cs="Arial" w:eastAsia="Arial" w:hint="default"/>
          <w:w w:val="95"/>
        </w:rPr>
        <w:t>(l)</w:t>
        <w:tab/>
      </w:r>
      <w:r>
        <w:rPr/>
        <w:t>积分兑换收入的确认请参见附注二</w:t>
      </w:r>
      <w:r>
        <w:rPr>
          <w:rFonts w:ascii="Arial" w:hAnsi="Arial" w:cs="Arial" w:eastAsia="Arial" w:hint="default"/>
        </w:rPr>
        <w:t>(25)</w:t>
      </w:r>
      <w:r>
        <w:rPr/>
        <w:t>；</w:t>
      </w:r>
    </w:p>
    <w:p>
      <w:pPr>
        <w:spacing w:line="240" w:lineRule="auto" w:before="7"/>
        <w:rPr>
          <w:rFonts w:ascii="宋体" w:hAnsi="宋体" w:cs="宋体" w:eastAsia="宋体" w:hint="default"/>
          <w:sz w:val="18"/>
          <w:szCs w:val="18"/>
        </w:rPr>
      </w:pPr>
    </w:p>
    <w:p>
      <w:pPr>
        <w:pStyle w:val="BodyText"/>
        <w:spacing w:line="232" w:lineRule="auto"/>
        <w:ind w:left="613" w:right="106" w:hanging="455"/>
        <w:jc w:val="both"/>
      </w:pPr>
      <w:r>
        <w:rPr>
          <w:rFonts w:ascii="Arial" w:hAnsi="Arial" w:cs="Arial" w:eastAsia="Arial" w:hint="default"/>
        </w:rPr>
        <w:t>(m)</w:t>
      </w:r>
      <w:r>
        <w:rPr>
          <w:rFonts w:ascii="Arial" w:hAnsi="Arial" w:cs="Arial" w:eastAsia="Arial" w:hint="default"/>
          <w:spacing w:val="11"/>
        </w:rPr>
        <w:t> </w:t>
      </w:r>
      <w:r>
        <w:rPr/>
        <w:t>本集团向顾客提供捆绑手机终端及通信服务的优惠套餐。该优惠套餐的合同总金额按照手机</w:t>
      </w:r>
      <w:r>
        <w:rPr>
          <w:spacing w:val="1"/>
          <w:w w:val="99"/>
        </w:rPr>
        <w:t> </w:t>
      </w:r>
      <w:r>
        <w:rPr/>
        <w:t>终端和通信服务的公允价值在二者之间进行分配。销售手机终端销售收入于该手机终端的所</w:t>
      </w:r>
      <w:r>
        <w:rPr>
          <w:w w:val="99"/>
        </w:rPr>
        <w:t> </w:t>
      </w:r>
      <w:r>
        <w:rPr/>
        <w:t>有权转移至最终用户时予以确认。通信服务收入按用户的移动通信服务实际用量予以确认。</w:t>
      </w:r>
      <w:r>
        <w:rPr>
          <w:w w:val="99"/>
        </w:rPr>
        <w:t> </w:t>
      </w:r>
      <w:r>
        <w:rPr/>
        <w:t>销售手机终端的成本于手机终端销售收入确认时于利润表内立刻确认为营业成本。</w:t>
      </w:r>
    </w:p>
    <w:p>
      <w:pPr>
        <w:spacing w:after="0" w:line="232" w:lineRule="auto"/>
        <w:jc w:val="both"/>
        <w:sectPr>
          <w:headerReference w:type="default" r:id="rId56"/>
          <w:pgSz w:w="11900" w:h="16840"/>
          <w:pgMar w:header="967" w:footer="600" w:top="2820" w:bottom="780" w:left="1440" w:right="920"/>
        </w:sectPr>
      </w:pPr>
    </w:p>
    <w:p>
      <w:pPr>
        <w:spacing w:line="240" w:lineRule="auto" w:before="13"/>
        <w:rPr>
          <w:rFonts w:ascii="宋体" w:hAnsi="宋体" w:cs="宋体" w:eastAsia="宋体" w:hint="default"/>
          <w:sz w:val="21"/>
          <w:szCs w:val="21"/>
        </w:rPr>
      </w:pPr>
    </w:p>
    <w:p>
      <w:pPr>
        <w:pStyle w:val="BodyText"/>
        <w:spacing w:line="240" w:lineRule="auto" w:before="31"/>
        <w:ind w:left="118" w:right="3262"/>
        <w:jc w:val="left"/>
      </w:pPr>
      <w:r>
        <w:rPr>
          <w:rFonts w:ascii="Arial" w:hAnsi="Arial" w:cs="Arial" w:eastAsia="Arial" w:hint="default"/>
        </w:rPr>
        <w:t>25</w:t>
      </w:r>
      <w:r>
        <w:rPr/>
        <w:t>、积分奖励计划</w:t>
      </w:r>
    </w:p>
    <w:p>
      <w:pPr>
        <w:spacing w:line="240" w:lineRule="auto" w:before="0"/>
        <w:rPr>
          <w:rFonts w:ascii="宋体" w:hAnsi="宋体" w:cs="宋体" w:eastAsia="宋体" w:hint="default"/>
          <w:sz w:val="20"/>
          <w:szCs w:val="20"/>
        </w:rPr>
      </w:pPr>
    </w:p>
    <w:p>
      <w:pPr>
        <w:pStyle w:val="BodyText"/>
        <w:spacing w:line="286" w:lineRule="exact"/>
        <w:ind w:left="607" w:right="106"/>
        <w:jc w:val="both"/>
      </w:pPr>
      <w:r>
        <w:rPr/>
        <w:t>本集团向用户提供了积分奖励计划。该积分奖励计划根据用户的消费额、忠诚度及缴费记录</w:t>
      </w:r>
      <w:r>
        <w:rPr>
          <w:spacing w:val="-94"/>
        </w:rPr>
        <w:t> </w:t>
      </w:r>
      <w:r>
        <w:rPr>
          <w:spacing w:val="-94"/>
        </w:rPr>
      </w:r>
      <w:r>
        <w:rPr/>
        <w:t>对其进行奖励。对于授予用户的积分奖励，在向其提供通信服务的同时，将取得通信服务收</w:t>
      </w:r>
      <w:r>
        <w:rPr>
          <w:spacing w:val="-94"/>
        </w:rPr>
        <w:t> </w:t>
      </w:r>
      <w:r>
        <w:rPr>
          <w:spacing w:val="-94"/>
        </w:rPr>
      </w:r>
      <w:r>
        <w:rPr/>
        <w:t>入的款项或应收款在本次提供的通信服务收入与积分奖励的公允价值之间进行分配。将取得</w:t>
      </w:r>
      <w:r>
        <w:rPr>
          <w:spacing w:val="-94"/>
        </w:rPr>
        <w:t> </w:t>
      </w:r>
      <w:r>
        <w:rPr>
          <w:spacing w:val="-94"/>
        </w:rPr>
      </w:r>
      <w:r>
        <w:rPr/>
        <w:t>的通信服务收入的款项或应收款扣除积分奖励公允价值的部分确认为收入，积分奖励的公允</w:t>
      </w:r>
      <w:r>
        <w:rPr>
          <w:spacing w:val="-94"/>
        </w:rPr>
        <w:t> </w:t>
      </w:r>
      <w:r>
        <w:rPr>
          <w:spacing w:val="-94"/>
        </w:rPr>
      </w:r>
      <w:r>
        <w:rPr/>
        <w:t>价值确认为递延收益。</w:t>
      </w:r>
    </w:p>
    <w:p>
      <w:pPr>
        <w:spacing w:line="240" w:lineRule="auto" w:before="4"/>
        <w:rPr>
          <w:rFonts w:ascii="宋体" w:hAnsi="宋体" w:cs="宋体" w:eastAsia="宋体" w:hint="default"/>
          <w:sz w:val="17"/>
          <w:szCs w:val="17"/>
        </w:rPr>
      </w:pPr>
    </w:p>
    <w:p>
      <w:pPr>
        <w:pStyle w:val="BodyText"/>
        <w:spacing w:line="237" w:lineRule="auto"/>
        <w:ind w:left="607" w:right="106"/>
        <w:jc w:val="both"/>
      </w:pPr>
      <w:r>
        <w:rPr/>
        <w:t>获得积分奖励的用户在满足条件时兑换本集团提供的商品或服务时，本集团将原计入递延收</w:t>
      </w:r>
      <w:r>
        <w:rPr>
          <w:spacing w:val="-94"/>
        </w:rPr>
        <w:t> </w:t>
      </w:r>
      <w:r>
        <w:rPr>
          <w:spacing w:val="-94"/>
        </w:rPr>
      </w:r>
      <w:r>
        <w:rPr/>
        <w:t>益的与所兑换积分相关的部分确认为收入；获得积分奖励的用户在满足条件时有权兑换第三</w:t>
      </w:r>
      <w:r>
        <w:rPr>
          <w:spacing w:val="-94"/>
        </w:rPr>
        <w:t> </w:t>
      </w:r>
      <w:r>
        <w:rPr>
          <w:spacing w:val="-94"/>
        </w:rPr>
      </w:r>
      <w:r>
        <w:rPr/>
        <w:t>方提供的商品或服务时，如果由本集团代表第三方收取对价，则本集团将被兑换积分原计入</w:t>
      </w:r>
      <w:r>
        <w:rPr>
          <w:spacing w:val="-94"/>
        </w:rPr>
        <w:t> </w:t>
      </w:r>
      <w:r>
        <w:rPr>
          <w:spacing w:val="-94"/>
        </w:rPr>
      </w:r>
      <w:r>
        <w:rPr/>
        <w:t>递延收益的金额与应支付给第三方对价的差额确认收入，如果本集团自身收取对价，本集团</w:t>
      </w:r>
      <w:r>
        <w:rPr>
          <w:spacing w:val="-94"/>
        </w:rPr>
        <w:t> </w:t>
      </w:r>
      <w:r>
        <w:rPr>
          <w:spacing w:val="-94"/>
        </w:rPr>
      </w:r>
      <w:r>
        <w:rPr/>
        <w:t>则将被兑换积分原计入递延收益的金额确认收入。</w:t>
      </w:r>
    </w:p>
    <w:p>
      <w:pPr>
        <w:spacing w:line="240" w:lineRule="auto" w:before="5"/>
        <w:rPr>
          <w:rFonts w:ascii="宋体" w:hAnsi="宋体" w:cs="宋体" w:eastAsia="宋体" w:hint="default"/>
          <w:sz w:val="20"/>
          <w:szCs w:val="20"/>
        </w:rPr>
      </w:pPr>
    </w:p>
    <w:p>
      <w:pPr>
        <w:pStyle w:val="BodyText"/>
        <w:spacing w:line="225" w:lineRule="auto"/>
        <w:ind w:left="607" w:right="107"/>
        <w:jc w:val="both"/>
      </w:pPr>
      <w:r>
        <w:rPr/>
        <w:t>本集团在确认积分奖励的公允价值时是依据：</w:t>
      </w:r>
      <w:r>
        <w:rPr>
          <w:rFonts w:ascii="Arial" w:hAnsi="Arial" w:cs="Arial" w:eastAsia="Arial" w:hint="default"/>
        </w:rPr>
        <w:t>(i)</w:t>
      </w:r>
      <w:r>
        <w:rPr/>
        <w:t>用户积分单位价值，</w:t>
      </w:r>
      <w:r>
        <w:rPr>
          <w:rFonts w:ascii="Arial" w:hAnsi="Arial" w:cs="Arial" w:eastAsia="Arial" w:hint="default"/>
        </w:rPr>
        <w:t>(ii)</w:t>
      </w:r>
      <w:r>
        <w:rPr/>
        <w:t>于每个资产负债表日</w:t>
      </w:r>
      <w:r>
        <w:rPr>
          <w:spacing w:val="-98"/>
        </w:rPr>
        <w:t> </w:t>
      </w:r>
      <w:r>
        <w:rPr>
          <w:spacing w:val="-98"/>
        </w:rPr>
      </w:r>
      <w:r>
        <w:rPr>
          <w:spacing w:val="-1"/>
          <w:w w:val="95"/>
        </w:rPr>
        <w:t>已经有权兑换或预期有权兑换积分的用户积分数，及</w:t>
      </w:r>
      <w:r>
        <w:rPr>
          <w:rFonts w:ascii="Arial" w:hAnsi="Arial" w:cs="Arial" w:eastAsia="Arial" w:hint="default"/>
          <w:spacing w:val="-1"/>
          <w:w w:val="95"/>
        </w:rPr>
        <w:t>(iii)</w:t>
      </w:r>
      <w:r>
        <w:rPr>
          <w:spacing w:val="-1"/>
          <w:w w:val="95"/>
        </w:rPr>
        <w:t>用户兑换积分的历史兑换率。本集团</w:t>
      </w:r>
      <w:r>
        <w:rPr>
          <w:spacing w:val="14"/>
          <w:w w:val="95"/>
        </w:rPr>
        <w:t> </w:t>
      </w:r>
      <w:r>
        <w:rPr>
          <w:spacing w:val="14"/>
          <w:w w:val="95"/>
        </w:rPr>
      </w:r>
      <w:r>
        <w:rPr/>
        <w:t>定期根据兑换情况更新对历史兑换率的估计。</w:t>
      </w:r>
    </w:p>
    <w:p>
      <w:pPr>
        <w:spacing w:line="240" w:lineRule="auto" w:before="2"/>
        <w:rPr>
          <w:rFonts w:ascii="宋体" w:hAnsi="宋体" w:cs="宋体" w:eastAsia="宋体" w:hint="default"/>
          <w:sz w:val="17"/>
          <w:szCs w:val="17"/>
        </w:rPr>
      </w:pPr>
    </w:p>
    <w:p>
      <w:pPr>
        <w:pStyle w:val="BodyText"/>
        <w:spacing w:line="240" w:lineRule="auto"/>
        <w:ind w:left="118" w:right="3262"/>
        <w:jc w:val="left"/>
      </w:pPr>
      <w:r>
        <w:rPr>
          <w:rFonts w:ascii="Arial" w:hAnsi="Arial" w:cs="Arial" w:eastAsia="Arial" w:hint="default"/>
        </w:rPr>
        <w:t>26</w:t>
      </w:r>
      <w:r>
        <w:rPr/>
        <w:t>、政府补助</w:t>
      </w:r>
    </w:p>
    <w:p>
      <w:pPr>
        <w:spacing w:line="240" w:lineRule="auto" w:before="13"/>
        <w:rPr>
          <w:rFonts w:ascii="宋体" w:hAnsi="宋体" w:cs="宋体" w:eastAsia="宋体" w:hint="default"/>
          <w:sz w:val="18"/>
          <w:szCs w:val="18"/>
        </w:rPr>
      </w:pPr>
    </w:p>
    <w:p>
      <w:pPr>
        <w:pStyle w:val="BodyText"/>
        <w:spacing w:line="284" w:lineRule="exact"/>
        <w:ind w:left="607" w:right="106"/>
        <w:jc w:val="both"/>
      </w:pPr>
      <w:r>
        <w:rPr/>
        <w:t>政府补助为本集团从政府无偿取得的货币性资产或非货币性资产，包括税费返还、财政补贴</w:t>
      </w:r>
      <w:r>
        <w:rPr>
          <w:spacing w:val="-94"/>
        </w:rPr>
        <w:t> </w:t>
      </w:r>
      <w:r>
        <w:rPr>
          <w:spacing w:val="-94"/>
        </w:rPr>
      </w:r>
      <w:r>
        <w:rPr/>
        <w:t>等。</w:t>
      </w:r>
    </w:p>
    <w:p>
      <w:pPr>
        <w:spacing w:line="240" w:lineRule="auto" w:before="5"/>
        <w:rPr>
          <w:rFonts w:ascii="宋体" w:hAnsi="宋体" w:cs="宋体" w:eastAsia="宋体" w:hint="default"/>
          <w:sz w:val="17"/>
          <w:szCs w:val="17"/>
        </w:rPr>
      </w:pPr>
    </w:p>
    <w:p>
      <w:pPr>
        <w:pStyle w:val="BodyText"/>
        <w:spacing w:line="237" w:lineRule="auto"/>
        <w:ind w:left="607" w:right="106"/>
        <w:jc w:val="both"/>
      </w:pPr>
      <w:r>
        <w:rPr/>
        <w:t>政府补助在本集团能够满足其所附的条件并能够收到时，予以确认。政府补助为货币性资产</w:t>
      </w:r>
      <w:r>
        <w:rPr>
          <w:spacing w:val="-94"/>
        </w:rPr>
        <w:t> </w:t>
      </w:r>
      <w:r>
        <w:rPr>
          <w:spacing w:val="-94"/>
        </w:rPr>
      </w:r>
      <w:r>
        <w:rPr/>
        <w:t>的，按照收到或应收的金额计量。政府补助为非货币性资产的，按照公允价值计量；公允价</w:t>
      </w:r>
      <w:r>
        <w:rPr>
          <w:spacing w:val="-94"/>
        </w:rPr>
        <w:t> </w:t>
      </w:r>
      <w:r>
        <w:rPr>
          <w:spacing w:val="-94"/>
        </w:rPr>
      </w:r>
      <w:r>
        <w:rPr/>
        <w:t>值不能可靠取得的，按照名义金额计量。</w:t>
      </w:r>
    </w:p>
    <w:p>
      <w:pPr>
        <w:spacing w:line="240" w:lineRule="auto" w:before="5"/>
        <w:rPr>
          <w:rFonts w:ascii="宋体" w:hAnsi="宋体" w:cs="宋体" w:eastAsia="宋体" w:hint="default"/>
          <w:sz w:val="21"/>
          <w:szCs w:val="21"/>
        </w:rPr>
      </w:pPr>
    </w:p>
    <w:p>
      <w:pPr>
        <w:pStyle w:val="BodyText"/>
        <w:spacing w:line="286" w:lineRule="exact"/>
        <w:ind w:left="607" w:right="106"/>
        <w:jc w:val="both"/>
      </w:pPr>
      <w:r>
        <w:rPr/>
        <w:t>与资产相关的政府补助，确认为递延收益，并在相关资产使用期限内平均分配，计入当期损</w:t>
      </w:r>
      <w:r>
        <w:rPr>
          <w:spacing w:val="-94"/>
        </w:rPr>
        <w:t> </w:t>
      </w:r>
      <w:r>
        <w:rPr>
          <w:spacing w:val="-94"/>
        </w:rPr>
      </w:r>
      <w:r>
        <w:rPr/>
        <w:t>益。按照名义金额计量的政府补助，直接计入当期损益。</w:t>
      </w:r>
    </w:p>
    <w:p>
      <w:pPr>
        <w:spacing w:line="240" w:lineRule="auto" w:before="3"/>
        <w:rPr>
          <w:rFonts w:ascii="宋体" w:hAnsi="宋体" w:cs="宋体" w:eastAsia="宋体" w:hint="default"/>
          <w:sz w:val="19"/>
          <w:szCs w:val="19"/>
        </w:rPr>
      </w:pPr>
    </w:p>
    <w:p>
      <w:pPr>
        <w:pStyle w:val="BodyText"/>
        <w:spacing w:line="286" w:lineRule="exact"/>
        <w:ind w:left="607" w:right="106"/>
        <w:jc w:val="both"/>
      </w:pPr>
      <w:r>
        <w:rPr/>
        <w:t>与收益相关的政府补助，用于补偿以后期间的相关费用或损失的，确认为递延收益，并在确</w:t>
      </w:r>
      <w:r>
        <w:rPr>
          <w:spacing w:val="-94"/>
        </w:rPr>
        <w:t> </w:t>
      </w:r>
      <w:r>
        <w:rPr>
          <w:spacing w:val="-94"/>
        </w:rPr>
      </w:r>
      <w:r>
        <w:rPr/>
        <w:t>认相关费用的期间，计入当期损益；用于补偿已发生的相关费用或损失的，直接计入当期损</w:t>
      </w:r>
      <w:r>
        <w:rPr>
          <w:spacing w:val="-94"/>
        </w:rPr>
        <w:t> </w:t>
      </w:r>
      <w:r>
        <w:rPr>
          <w:spacing w:val="-94"/>
        </w:rPr>
      </w:r>
      <w:r>
        <w:rPr/>
        <w:t>益。</w:t>
      </w:r>
    </w:p>
    <w:p>
      <w:pPr>
        <w:pStyle w:val="BodyText"/>
        <w:spacing w:line="240" w:lineRule="auto" w:before="194"/>
        <w:ind w:left="118" w:right="3262"/>
        <w:jc w:val="left"/>
      </w:pPr>
      <w:r>
        <w:rPr>
          <w:rFonts w:ascii="Arial" w:hAnsi="Arial" w:cs="Arial" w:eastAsia="Arial" w:hint="default"/>
        </w:rPr>
        <w:t>27</w:t>
      </w:r>
      <w:r>
        <w:rPr/>
        <w:t>、递延所得税资产和递延所得税负债</w:t>
      </w:r>
    </w:p>
    <w:p>
      <w:pPr>
        <w:spacing w:line="240" w:lineRule="auto" w:before="12"/>
        <w:rPr>
          <w:rFonts w:ascii="宋体" w:hAnsi="宋体" w:cs="宋体" w:eastAsia="宋体" w:hint="default"/>
          <w:sz w:val="16"/>
          <w:szCs w:val="16"/>
        </w:rPr>
      </w:pPr>
    </w:p>
    <w:p>
      <w:pPr>
        <w:pStyle w:val="BodyText"/>
        <w:spacing w:line="237" w:lineRule="auto"/>
        <w:ind w:left="607" w:right="106"/>
        <w:jc w:val="both"/>
      </w:pPr>
      <w:r>
        <w:rPr/>
        <w:t>递延所得税资产和递延所得税负债根据资产和负债的计税基础与其账面价值的差额（暂时性</w:t>
      </w:r>
      <w:r>
        <w:rPr>
          <w:spacing w:val="-94"/>
        </w:rPr>
        <w:t> </w:t>
      </w:r>
      <w:r>
        <w:rPr>
          <w:spacing w:val="-94"/>
        </w:rPr>
      </w:r>
      <w:r>
        <w:rPr/>
        <w:t>差异）计算确认。对于按照税法规定能够于以后年度抵减应纳税所得额的可抵扣亏损，确认</w:t>
      </w:r>
      <w:r>
        <w:rPr>
          <w:spacing w:val="-94"/>
        </w:rPr>
        <w:t> </w:t>
      </w:r>
      <w:r>
        <w:rPr>
          <w:spacing w:val="-94"/>
        </w:rPr>
      </w:r>
      <w:r>
        <w:rPr/>
        <w:t>相应的递延所得税资产。对于既不影响会计利润也不影响应纳税所得额（或可抵扣亏损）的</w:t>
      </w:r>
      <w:r>
        <w:rPr>
          <w:spacing w:val="-94"/>
        </w:rPr>
        <w:t> </w:t>
      </w:r>
      <w:r>
        <w:rPr>
          <w:spacing w:val="-94"/>
        </w:rPr>
      </w:r>
      <w:r>
        <w:rPr/>
        <w:t>非企业合并的交易中产生的资产或负债的初始确认形成的暂时性差异，不确认相应的递延所</w:t>
      </w:r>
      <w:r>
        <w:rPr>
          <w:spacing w:val="-94"/>
        </w:rPr>
        <w:t> </w:t>
      </w:r>
      <w:r>
        <w:rPr>
          <w:spacing w:val="-94"/>
        </w:rPr>
      </w:r>
      <w:r>
        <w:rPr/>
        <w:t>得税资产和递延所得税负债。于资产负债表日，递延所得税资产和递延所得税负债，按照预</w:t>
      </w:r>
      <w:r>
        <w:rPr>
          <w:spacing w:val="-94"/>
        </w:rPr>
        <w:t> </w:t>
      </w:r>
      <w:r>
        <w:rPr>
          <w:spacing w:val="-94"/>
        </w:rPr>
      </w:r>
      <w:r>
        <w:rPr/>
        <w:t>期收回该资产或清偿该负债期间的适用税率计量。</w:t>
      </w:r>
    </w:p>
    <w:p>
      <w:pPr>
        <w:spacing w:after="0" w:line="237" w:lineRule="auto"/>
        <w:jc w:val="both"/>
        <w:sectPr>
          <w:headerReference w:type="default" r:id="rId57"/>
          <w:pgSz w:w="11900" w:h="16840"/>
          <w:pgMar w:header="967" w:footer="600" w:top="282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3262"/>
        <w:jc w:val="left"/>
      </w:pPr>
      <w:r>
        <w:rPr>
          <w:rFonts w:ascii="Arial" w:hAnsi="Arial" w:cs="Arial" w:eastAsia="Arial" w:hint="default"/>
        </w:rPr>
        <w:t>27</w:t>
      </w:r>
      <w:r>
        <w:rPr/>
        <w:t>、递延所得税资产和递延所得税负债（续）</w:t>
      </w:r>
    </w:p>
    <w:p>
      <w:pPr>
        <w:spacing w:line="240" w:lineRule="auto" w:before="13"/>
        <w:rPr>
          <w:rFonts w:ascii="宋体" w:hAnsi="宋体" w:cs="宋体" w:eastAsia="宋体" w:hint="default"/>
          <w:sz w:val="18"/>
          <w:szCs w:val="18"/>
        </w:rPr>
      </w:pPr>
    </w:p>
    <w:p>
      <w:pPr>
        <w:pStyle w:val="BodyText"/>
        <w:spacing w:line="284" w:lineRule="exact"/>
        <w:ind w:left="607" w:right="106"/>
        <w:jc w:val="both"/>
      </w:pPr>
      <w:r>
        <w:rPr/>
        <w:t>递延所得税资产的确认以本集团很可能取得用来抵扣的可抵扣暂时性差异、可抵扣亏损和税</w:t>
      </w:r>
      <w:r>
        <w:rPr>
          <w:spacing w:val="-94"/>
        </w:rPr>
        <w:t> </w:t>
      </w:r>
      <w:r>
        <w:rPr>
          <w:spacing w:val="-94"/>
        </w:rPr>
      </w:r>
      <w:r>
        <w:rPr/>
        <w:t>款抵减的应纳税所得额为限。</w:t>
      </w:r>
    </w:p>
    <w:p>
      <w:pPr>
        <w:spacing w:line="240" w:lineRule="auto" w:before="5"/>
        <w:rPr>
          <w:rFonts w:ascii="宋体" w:hAnsi="宋体" w:cs="宋体" w:eastAsia="宋体" w:hint="default"/>
          <w:sz w:val="17"/>
          <w:szCs w:val="17"/>
        </w:rPr>
      </w:pPr>
    </w:p>
    <w:p>
      <w:pPr>
        <w:pStyle w:val="BodyText"/>
        <w:spacing w:line="237" w:lineRule="auto"/>
        <w:ind w:left="607" w:right="106"/>
        <w:jc w:val="both"/>
      </w:pPr>
      <w:r>
        <w:rPr/>
        <w:t>对与子公司、联营企业及合营企业投资相关的应纳税暂时性差异，确认递延所得税负债，除</w:t>
      </w:r>
      <w:r>
        <w:rPr>
          <w:spacing w:val="-94"/>
        </w:rPr>
        <w:t> </w:t>
      </w:r>
      <w:r>
        <w:rPr>
          <w:spacing w:val="-94"/>
        </w:rPr>
      </w:r>
      <w:r>
        <w:rPr>
          <w:spacing w:val="6"/>
        </w:rPr>
        <w:t>非本集团能够控制该暂时性差异转回的时间且该暂时性差异在可预见的未来很可能不会转</w:t>
      </w:r>
      <w:r>
        <w:rPr>
          <w:spacing w:val="-108"/>
        </w:rPr>
        <w:t> </w:t>
      </w:r>
      <w:r>
        <w:rPr>
          <w:spacing w:val="-108"/>
        </w:rPr>
      </w:r>
      <w:r>
        <w:rPr/>
        <w:t>回。对与子公司、联营企业及合营企业投资相关的可抵扣暂时性差异，当该暂时性差异在可</w:t>
      </w:r>
      <w:r>
        <w:rPr>
          <w:spacing w:val="-94"/>
        </w:rPr>
        <w:t> </w:t>
      </w:r>
      <w:r>
        <w:rPr>
          <w:spacing w:val="-94"/>
        </w:rPr>
      </w:r>
      <w:r>
        <w:rPr/>
        <w:t>预见的未来很可能转回且未来很可能获得用来抵扣可抵扣暂时性差异的应纳税所得额时，确</w:t>
      </w:r>
      <w:r>
        <w:rPr>
          <w:spacing w:val="-94"/>
        </w:rPr>
        <w:t> </w:t>
      </w:r>
      <w:r>
        <w:rPr>
          <w:spacing w:val="-94"/>
        </w:rPr>
      </w:r>
      <w:r>
        <w:rPr/>
        <w:t>认递延所得税资产。</w:t>
      </w:r>
    </w:p>
    <w:p>
      <w:pPr>
        <w:spacing w:line="240" w:lineRule="auto" w:before="3"/>
        <w:rPr>
          <w:rFonts w:ascii="宋体" w:hAnsi="宋体" w:cs="宋体" w:eastAsia="宋体" w:hint="default"/>
          <w:sz w:val="19"/>
          <w:szCs w:val="19"/>
        </w:rPr>
      </w:pPr>
    </w:p>
    <w:p>
      <w:pPr>
        <w:pStyle w:val="BodyText"/>
        <w:spacing w:line="240" w:lineRule="auto"/>
        <w:ind w:left="607" w:right="0"/>
        <w:jc w:val="both"/>
      </w:pPr>
      <w:r>
        <w:rPr/>
        <w:t>同时满足下列条件的递延所得税资产和递延所得税负债以抵销后的净额列示：</w:t>
      </w:r>
    </w:p>
    <w:p>
      <w:pPr>
        <w:spacing w:line="240" w:lineRule="auto" w:before="3"/>
        <w:rPr>
          <w:rFonts w:ascii="宋体" w:hAnsi="宋体" w:cs="宋体" w:eastAsia="宋体" w:hint="default"/>
          <w:sz w:val="21"/>
          <w:szCs w:val="21"/>
        </w:rPr>
      </w:pPr>
    </w:p>
    <w:p>
      <w:pPr>
        <w:pStyle w:val="BodyText"/>
        <w:tabs>
          <w:tab w:pos="1028" w:val="left" w:leader="none"/>
        </w:tabs>
        <w:spacing w:line="286" w:lineRule="exact"/>
        <w:ind w:left="1028" w:right="107" w:hanging="392"/>
        <w:jc w:val="left"/>
      </w:pPr>
      <w:r>
        <w:rPr>
          <w:rFonts w:ascii="Symbol" w:hAnsi="Symbol" w:cs="Symbol" w:eastAsia="Symbol" w:hint="default"/>
          <w:w w:val="95"/>
        </w:rPr>
        <w:t></w:t>
      </w:r>
      <w:r>
        <w:rPr>
          <w:rFonts w:ascii="Times New Roman" w:hAnsi="Times New Roman" w:cs="Times New Roman" w:eastAsia="Times New Roman" w:hint="default"/>
          <w:w w:val="95"/>
        </w:rPr>
        <w:tab/>
      </w:r>
      <w:r>
        <w:rPr/>
        <w:t>递延所得税资产和递延所得税负债与同一税收征管部门对本集团内同一纳税主体征收的</w:t>
      </w:r>
      <w:r>
        <w:rPr>
          <w:spacing w:val="-87"/>
        </w:rPr>
        <w:t> </w:t>
      </w:r>
      <w:r>
        <w:rPr>
          <w:spacing w:val="-87"/>
        </w:rPr>
      </w:r>
      <w:r>
        <w:rPr/>
        <w:t>所得税相关；</w:t>
      </w:r>
    </w:p>
    <w:p>
      <w:pPr>
        <w:pStyle w:val="BodyText"/>
        <w:spacing w:line="277" w:lineRule="exact"/>
        <w:ind w:left="637" w:right="0"/>
        <w:jc w:val="both"/>
      </w:pPr>
      <w:r>
        <w:rPr>
          <w:rFonts w:ascii="Symbol" w:hAnsi="Symbol" w:cs="Symbol" w:eastAsia="Symbol" w:hint="default"/>
        </w:rPr>
        <w:t></w:t>
      </w:r>
      <w:r>
        <w:rPr>
          <w:rFonts w:ascii="Symbol" w:hAnsi="Symbol" w:cs="Symbol" w:eastAsia="Symbol" w:hint="default"/>
          <w:spacing w:val="13"/>
        </w:rPr>
        <w:t></w:t>
      </w:r>
      <w:r>
        <w:rPr>
          <w:rFonts w:ascii="Times New Roman" w:hAnsi="Times New Roman" w:cs="Times New Roman" w:eastAsia="Times New Roman" w:hint="default"/>
          <w:spacing w:val="13"/>
        </w:rPr>
      </w:r>
      <w:r>
        <w:rPr/>
        <w:t>本集团内该纳税主体拥有以净额结算当期所得税资产及当期所得税负债的法定权利。</w:t>
      </w:r>
    </w:p>
    <w:p>
      <w:pPr>
        <w:spacing w:line="240" w:lineRule="auto" w:before="7"/>
        <w:rPr>
          <w:rFonts w:ascii="宋体" w:hAnsi="宋体" w:cs="宋体" w:eastAsia="宋体" w:hint="default"/>
          <w:sz w:val="15"/>
          <w:szCs w:val="15"/>
        </w:rPr>
      </w:pPr>
    </w:p>
    <w:p>
      <w:pPr>
        <w:pStyle w:val="BodyText"/>
        <w:spacing w:line="240" w:lineRule="auto"/>
        <w:ind w:left="118" w:right="3262"/>
        <w:jc w:val="left"/>
      </w:pPr>
      <w:r>
        <w:rPr>
          <w:rFonts w:ascii="Arial" w:hAnsi="Arial" w:cs="Arial" w:eastAsia="Arial" w:hint="default"/>
        </w:rPr>
        <w:t>28</w:t>
      </w:r>
      <w:r>
        <w:rPr/>
        <w:t>、租赁</w:t>
      </w:r>
    </w:p>
    <w:p>
      <w:pPr>
        <w:spacing w:line="240" w:lineRule="auto" w:before="11"/>
        <w:rPr>
          <w:rFonts w:ascii="宋体" w:hAnsi="宋体" w:cs="宋体" w:eastAsia="宋体" w:hint="default"/>
          <w:sz w:val="18"/>
          <w:szCs w:val="18"/>
        </w:rPr>
      </w:pPr>
    </w:p>
    <w:p>
      <w:pPr>
        <w:pStyle w:val="BodyText"/>
        <w:spacing w:line="286" w:lineRule="exact"/>
        <w:ind w:left="607" w:right="106"/>
        <w:jc w:val="both"/>
      </w:pPr>
      <w:r>
        <w:rPr/>
        <w:t>实质上转移了与资产所有权有关的全部风险和报酬的租赁为融资租赁。其他的租赁为经营租</w:t>
      </w:r>
      <w:r>
        <w:rPr>
          <w:spacing w:val="-94"/>
        </w:rPr>
        <w:t> </w:t>
      </w:r>
      <w:r>
        <w:rPr>
          <w:spacing w:val="-94"/>
        </w:rPr>
      </w:r>
      <w:r>
        <w:rPr/>
        <w:t>赁。</w:t>
      </w:r>
    </w:p>
    <w:p>
      <w:pPr>
        <w:spacing w:line="240" w:lineRule="auto" w:before="2"/>
        <w:rPr>
          <w:rFonts w:ascii="宋体" w:hAnsi="宋体" w:cs="宋体" w:eastAsia="宋体" w:hint="default"/>
          <w:sz w:val="17"/>
          <w:szCs w:val="17"/>
        </w:rPr>
      </w:pPr>
    </w:p>
    <w:p>
      <w:pPr>
        <w:pStyle w:val="BodyText"/>
        <w:tabs>
          <w:tab w:pos="608" w:val="left" w:leader="none"/>
        </w:tabs>
        <w:spacing w:line="240" w:lineRule="auto"/>
        <w:ind w:left="118" w:right="3262"/>
        <w:jc w:val="left"/>
      </w:pPr>
      <w:r>
        <w:rPr>
          <w:rFonts w:ascii="Arial" w:hAnsi="Arial" w:cs="Arial" w:eastAsia="Arial" w:hint="default"/>
          <w:w w:val="95"/>
        </w:rPr>
        <w:t>(a)</w:t>
        <w:tab/>
      </w:r>
      <w:r>
        <w:rPr/>
        <w:t>融资租赁</w:t>
      </w:r>
    </w:p>
    <w:p>
      <w:pPr>
        <w:spacing w:line="240" w:lineRule="auto" w:before="0"/>
        <w:rPr>
          <w:rFonts w:ascii="宋体" w:hAnsi="宋体" w:cs="宋体" w:eastAsia="宋体" w:hint="default"/>
          <w:sz w:val="20"/>
          <w:szCs w:val="20"/>
        </w:rPr>
      </w:pPr>
    </w:p>
    <w:p>
      <w:pPr>
        <w:pStyle w:val="BodyText"/>
        <w:spacing w:line="286" w:lineRule="exact"/>
        <w:ind w:left="607" w:right="106"/>
        <w:jc w:val="both"/>
      </w:pPr>
      <w:r>
        <w:rPr/>
        <w:t>以租赁资产的公允价值与最低租赁付款额的现值两者中较低者作为租入资产的入账价值，租</w:t>
      </w:r>
      <w:r>
        <w:rPr>
          <w:spacing w:val="-94"/>
        </w:rPr>
        <w:t> </w:t>
      </w:r>
      <w:r>
        <w:rPr>
          <w:spacing w:val="-94"/>
        </w:rPr>
      </w:r>
      <w:r>
        <w:rPr/>
        <w:t>入资产的入账价值与最低租赁付款额之间的差额为未确认融资费用，在租赁期内按实际利率</w:t>
      </w:r>
      <w:r>
        <w:rPr>
          <w:spacing w:val="-94"/>
        </w:rPr>
        <w:t> </w:t>
      </w:r>
      <w:r>
        <w:rPr>
          <w:spacing w:val="-94"/>
        </w:rPr>
      </w:r>
      <w:r>
        <w:rPr/>
        <w:t>法摊销。最低租赁付款额扣除未确认融资费用后的余额作为长期应付款列示。</w:t>
      </w:r>
    </w:p>
    <w:p>
      <w:pPr>
        <w:spacing w:line="240" w:lineRule="auto" w:before="1"/>
        <w:rPr>
          <w:rFonts w:ascii="宋体" w:hAnsi="宋体" w:cs="宋体" w:eastAsia="宋体" w:hint="default"/>
          <w:sz w:val="17"/>
          <w:szCs w:val="17"/>
        </w:rPr>
      </w:pPr>
    </w:p>
    <w:p>
      <w:pPr>
        <w:pStyle w:val="BodyText"/>
        <w:tabs>
          <w:tab w:pos="608" w:val="left" w:leader="none"/>
        </w:tabs>
        <w:spacing w:line="240" w:lineRule="auto"/>
        <w:ind w:left="118" w:right="3262"/>
        <w:jc w:val="left"/>
      </w:pPr>
      <w:r>
        <w:rPr>
          <w:rFonts w:ascii="Arial" w:hAnsi="Arial" w:cs="Arial" w:eastAsia="Arial" w:hint="default"/>
          <w:w w:val="95"/>
        </w:rPr>
        <w:t>(b)</w:t>
        <w:tab/>
      </w:r>
      <w:r>
        <w:rPr/>
        <w:t>经营租赁</w:t>
      </w:r>
    </w:p>
    <w:p>
      <w:pPr>
        <w:spacing w:line="240" w:lineRule="auto" w:before="13"/>
        <w:rPr>
          <w:rFonts w:ascii="宋体" w:hAnsi="宋体" w:cs="宋体" w:eastAsia="宋体" w:hint="default"/>
          <w:sz w:val="17"/>
          <w:szCs w:val="17"/>
        </w:rPr>
      </w:pPr>
    </w:p>
    <w:p>
      <w:pPr>
        <w:pStyle w:val="BodyText"/>
        <w:spacing w:line="240" w:lineRule="auto"/>
        <w:ind w:left="607" w:right="0"/>
        <w:jc w:val="both"/>
      </w:pPr>
      <w:r>
        <w:rPr/>
        <w:t>经营租赁的租金支出在租赁期内按照直线法计入相关资产成本或当期损益。</w:t>
      </w:r>
    </w:p>
    <w:p>
      <w:pPr>
        <w:spacing w:line="240" w:lineRule="auto" w:before="12"/>
        <w:rPr>
          <w:rFonts w:ascii="宋体" w:hAnsi="宋体" w:cs="宋体" w:eastAsia="宋体" w:hint="default"/>
          <w:sz w:val="16"/>
          <w:szCs w:val="16"/>
        </w:rPr>
      </w:pPr>
    </w:p>
    <w:p>
      <w:pPr>
        <w:pStyle w:val="BodyText"/>
        <w:spacing w:line="240" w:lineRule="auto"/>
        <w:ind w:left="118" w:right="3262"/>
        <w:jc w:val="left"/>
      </w:pPr>
      <w:r>
        <w:rPr>
          <w:rFonts w:ascii="Arial" w:hAnsi="Arial" w:cs="Arial" w:eastAsia="Arial" w:hint="default"/>
        </w:rPr>
        <w:t>29</w:t>
      </w:r>
      <w:r>
        <w:rPr/>
        <w:t>、分部信息</w:t>
      </w:r>
    </w:p>
    <w:p>
      <w:pPr>
        <w:spacing w:line="240" w:lineRule="auto" w:before="11"/>
        <w:rPr>
          <w:rFonts w:ascii="宋体" w:hAnsi="宋体" w:cs="宋体" w:eastAsia="宋体" w:hint="default"/>
          <w:sz w:val="18"/>
          <w:szCs w:val="18"/>
        </w:rPr>
      </w:pPr>
    </w:p>
    <w:p>
      <w:pPr>
        <w:pStyle w:val="BodyText"/>
        <w:spacing w:line="286" w:lineRule="exact"/>
        <w:ind w:left="607" w:right="106"/>
        <w:jc w:val="both"/>
      </w:pPr>
      <w:r>
        <w:rPr/>
        <w:t>本集团以内部组织结构、管理要求、内部报告制度为依据确定经营分部，以经营分部为基础</w:t>
      </w:r>
      <w:r>
        <w:rPr>
          <w:spacing w:val="-94"/>
        </w:rPr>
        <w:t> </w:t>
      </w:r>
      <w:r>
        <w:rPr>
          <w:spacing w:val="-94"/>
        </w:rPr>
      </w:r>
      <w:r>
        <w:rPr/>
        <w:t>确定报告分部并披露分部信息。</w:t>
      </w:r>
    </w:p>
    <w:p>
      <w:pPr>
        <w:spacing w:line="240" w:lineRule="auto" w:before="3"/>
        <w:rPr>
          <w:rFonts w:ascii="宋体" w:hAnsi="宋体" w:cs="宋体" w:eastAsia="宋体" w:hint="default"/>
          <w:sz w:val="19"/>
          <w:szCs w:val="19"/>
        </w:rPr>
      </w:pPr>
    </w:p>
    <w:p>
      <w:pPr>
        <w:pStyle w:val="BodyText"/>
        <w:spacing w:line="286" w:lineRule="exact"/>
        <w:ind w:left="607" w:right="106"/>
        <w:jc w:val="both"/>
      </w:pPr>
      <w:r>
        <w:rPr>
          <w:spacing w:val="-1"/>
        </w:rPr>
        <w:t>经营分部是指本集团内同时满足下列条件的组成部分：</w:t>
      </w:r>
      <w:r>
        <w:rPr>
          <w:rFonts w:ascii="Arial" w:hAnsi="Arial" w:cs="Arial" w:eastAsia="Arial" w:hint="default"/>
          <w:spacing w:val="-1"/>
        </w:rPr>
        <w:t>(1)</w:t>
      </w:r>
      <w:r>
        <w:rPr>
          <w:spacing w:val="-1"/>
        </w:rPr>
        <w:t>该组成部分能够在日常活动中产生</w:t>
      </w:r>
      <w:r>
        <w:rPr>
          <w:spacing w:val="-99"/>
        </w:rPr>
        <w:t> </w:t>
      </w:r>
      <w:r>
        <w:rPr>
          <w:spacing w:val="-99"/>
        </w:rPr>
      </w:r>
      <w:r>
        <w:rPr>
          <w:spacing w:val="-1"/>
        </w:rPr>
        <w:t>收入、发生费用；</w:t>
      </w:r>
      <w:r>
        <w:rPr>
          <w:rFonts w:ascii="Arial" w:hAnsi="Arial" w:cs="Arial" w:eastAsia="Arial" w:hint="default"/>
          <w:spacing w:val="-1"/>
        </w:rPr>
        <w:t>(2)</w:t>
      </w:r>
      <w:r>
        <w:rPr>
          <w:spacing w:val="-1"/>
        </w:rPr>
        <w:t>本集团管理层能够定期评价该组成部分的经营成果，以决定向其配置资</w:t>
      </w:r>
      <w:r>
        <w:rPr>
          <w:spacing w:val="-99"/>
        </w:rPr>
        <w:t> </w:t>
      </w:r>
      <w:r>
        <w:rPr>
          <w:spacing w:val="-99"/>
        </w:rPr>
      </w:r>
      <w:r>
        <w:rPr>
          <w:spacing w:val="-1"/>
        </w:rPr>
        <w:t>源、评价其业绩；</w:t>
      </w:r>
      <w:r>
        <w:rPr>
          <w:rFonts w:ascii="Arial" w:hAnsi="Arial" w:cs="Arial" w:eastAsia="Arial" w:hint="default"/>
          <w:spacing w:val="-1"/>
        </w:rPr>
        <w:t>(3)</w:t>
      </w:r>
      <w:r>
        <w:rPr>
          <w:spacing w:val="-1"/>
        </w:rPr>
        <w:t>本集团能够取得该组成部分的财务状况、经营成果和现金流量等有关会</w:t>
      </w:r>
      <w:r>
        <w:rPr>
          <w:spacing w:val="-99"/>
        </w:rPr>
        <w:t> </w:t>
      </w:r>
      <w:r>
        <w:rPr>
          <w:spacing w:val="-99"/>
        </w:rPr>
      </w:r>
      <w:r>
        <w:rPr/>
        <w:t>计信息。如果两个或多个经营分部具有相似的经济特征，并且满足一定条件的，则可合并为</w:t>
      </w:r>
      <w:r>
        <w:rPr>
          <w:spacing w:val="-94"/>
        </w:rPr>
        <w:t> </w:t>
      </w:r>
      <w:r>
        <w:rPr>
          <w:spacing w:val="-94"/>
        </w:rPr>
      </w:r>
      <w:r>
        <w:rPr/>
        <w:t>一个经营分部。</w:t>
      </w:r>
    </w:p>
    <w:p>
      <w:pPr>
        <w:spacing w:after="0" w:line="286" w:lineRule="exact"/>
        <w:jc w:val="both"/>
        <w:sectPr>
          <w:headerReference w:type="default" r:id="rId58"/>
          <w:pgSz w:w="11900" w:h="16840"/>
          <w:pgMar w:header="967" w:footer="600" w:top="282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3262"/>
        <w:jc w:val="left"/>
      </w:pPr>
      <w:r>
        <w:rPr>
          <w:rFonts w:ascii="Arial" w:hAnsi="Arial" w:cs="Arial" w:eastAsia="Arial" w:hint="default"/>
        </w:rPr>
        <w:t>30</w:t>
      </w:r>
      <w:r>
        <w:rPr/>
        <w:t>、非货币性资产交换</w:t>
      </w:r>
    </w:p>
    <w:p>
      <w:pPr>
        <w:spacing w:line="240" w:lineRule="auto" w:before="4"/>
        <w:rPr>
          <w:rFonts w:ascii="宋体" w:hAnsi="宋体" w:cs="宋体" w:eastAsia="宋体" w:hint="default"/>
          <w:sz w:val="15"/>
          <w:szCs w:val="15"/>
        </w:rPr>
      </w:pPr>
    </w:p>
    <w:p>
      <w:pPr>
        <w:pStyle w:val="BodyText"/>
        <w:spacing w:line="235" w:lineRule="auto"/>
        <w:ind w:left="596" w:right="108"/>
        <w:jc w:val="both"/>
      </w:pPr>
      <w:r>
        <w:rPr/>
        <w:t>本集团在与第三方通过存货、固定资产等非货币性资产进行交换时，不涉及或仅涉及少量货</w:t>
      </w:r>
      <w:r>
        <w:rPr>
          <w:spacing w:val="-87"/>
        </w:rPr>
        <w:t> </w:t>
      </w:r>
      <w:r>
        <w:rPr>
          <w:spacing w:val="-87"/>
        </w:rPr>
      </w:r>
      <w:r>
        <w:rPr/>
        <w:t>币性资产（即补价）时，对该等交易按照非货币性资产交换进行处理。非货币性资产交换同</w:t>
      </w:r>
      <w:r>
        <w:rPr>
          <w:spacing w:val="-87"/>
        </w:rPr>
        <w:t> </w:t>
      </w:r>
      <w:r>
        <w:rPr>
          <w:spacing w:val="-87"/>
        </w:rPr>
      </w:r>
      <w:r>
        <w:rPr/>
        <w:t>时满足</w:t>
      </w:r>
      <w:r>
        <w:rPr>
          <w:rFonts w:ascii="Arial" w:hAnsi="Arial" w:cs="Arial" w:eastAsia="Arial" w:hint="default"/>
        </w:rPr>
        <w:t>(i)</w:t>
      </w:r>
      <w:r>
        <w:rPr/>
        <w:t>该项交换具有商业实质，及</w:t>
      </w:r>
      <w:r>
        <w:rPr>
          <w:rFonts w:ascii="Arial" w:hAnsi="Arial" w:cs="Arial" w:eastAsia="Arial" w:hint="default"/>
        </w:rPr>
        <w:t>(ii)</w:t>
      </w:r>
      <w:r>
        <w:rPr/>
        <w:t>换入资产或换出资产的公允价值能够可靠地计量这两</w:t>
      </w:r>
      <w:r>
        <w:rPr>
          <w:spacing w:val="-87"/>
        </w:rPr>
        <w:t> </w:t>
      </w:r>
      <w:r>
        <w:rPr/>
        <w:t>项条件的，以换出资产公允价值和应支付的相关税费作为换入资产的成本，公允价值与换出</w:t>
      </w:r>
      <w:r>
        <w:rPr>
          <w:spacing w:val="-87"/>
        </w:rPr>
        <w:t> </w:t>
      </w:r>
      <w:r>
        <w:rPr>
          <w:spacing w:val="-87"/>
        </w:rPr>
      </w:r>
      <w:r>
        <w:rPr/>
        <w:t>资产账面价值的差额计入当期损益；未同时满足上述两项条件的非货币性资产交换，以换出</w:t>
      </w:r>
      <w:r>
        <w:rPr>
          <w:spacing w:val="-87"/>
        </w:rPr>
        <w:t> </w:t>
      </w:r>
      <w:r>
        <w:rPr>
          <w:spacing w:val="-87"/>
        </w:rPr>
      </w:r>
      <w:r>
        <w:rPr/>
        <w:t>资产的账面价值和应支付的相关税费作为换入资产的成本，不确认损益。</w:t>
      </w:r>
    </w:p>
    <w:p>
      <w:pPr>
        <w:spacing w:line="240" w:lineRule="auto" w:before="4"/>
        <w:rPr>
          <w:rFonts w:ascii="宋体" w:hAnsi="宋体" w:cs="宋体" w:eastAsia="宋体" w:hint="default"/>
          <w:sz w:val="15"/>
          <w:szCs w:val="15"/>
        </w:rPr>
      </w:pPr>
    </w:p>
    <w:p>
      <w:pPr>
        <w:pStyle w:val="BodyText"/>
        <w:spacing w:line="240" w:lineRule="auto"/>
        <w:ind w:left="118" w:right="3262"/>
        <w:jc w:val="left"/>
      </w:pPr>
      <w:r>
        <w:rPr>
          <w:rFonts w:ascii="Arial" w:hAnsi="Arial" w:cs="Arial" w:eastAsia="Arial" w:hint="default"/>
        </w:rPr>
        <w:t>31</w:t>
      </w:r>
      <w:r>
        <w:rPr/>
        <w:t>、与少数股东之间的交易</w:t>
      </w:r>
    </w:p>
    <w:p>
      <w:pPr>
        <w:pStyle w:val="BodyText"/>
        <w:spacing w:line="237" w:lineRule="auto" w:before="197"/>
        <w:ind w:left="596" w:right="109"/>
        <w:jc w:val="both"/>
      </w:pPr>
      <w:r>
        <w:rPr/>
        <w:t>在不影响控制权的情况下，导致本公司对子公司持股比例发生变化的交易属于与少数股东之</w:t>
      </w:r>
      <w:r>
        <w:rPr>
          <w:spacing w:val="-87"/>
        </w:rPr>
        <w:t> </w:t>
      </w:r>
      <w:r>
        <w:rPr>
          <w:spacing w:val="-87"/>
        </w:rPr>
      </w:r>
      <w:r>
        <w:rPr/>
        <w:t>间的交易。对于与少数股东之间的交易，在合并财务报表中，子公司的资产、负债以购买日</w:t>
      </w:r>
      <w:r>
        <w:rPr>
          <w:spacing w:val="-87"/>
        </w:rPr>
        <w:t> </w:t>
      </w:r>
      <w:r>
        <w:rPr>
          <w:spacing w:val="-87"/>
        </w:rPr>
      </w:r>
      <w:r>
        <w:rPr/>
        <w:t>或合并日开始持续计算的金额反映，增加或减少的长期股权投资与按照本公司新的持股比例</w:t>
      </w:r>
      <w:r>
        <w:rPr>
          <w:spacing w:val="-87"/>
        </w:rPr>
        <w:t> </w:t>
      </w:r>
      <w:r>
        <w:rPr>
          <w:spacing w:val="-87"/>
        </w:rPr>
      </w:r>
      <w:r>
        <w:rPr/>
        <w:t>计算应享有子公司自购买日或合并日开始持续计算的净资产份额之间的差额调整资本公积，</w:t>
      </w:r>
      <w:r>
        <w:rPr>
          <w:spacing w:val="-87"/>
        </w:rPr>
        <w:t> </w:t>
      </w:r>
      <w:r>
        <w:rPr>
          <w:spacing w:val="-87"/>
        </w:rPr>
      </w:r>
      <w:r>
        <w:rPr/>
        <w:t>资本公积的金额不足冲减的，调整留存收益。</w:t>
      </w:r>
    </w:p>
    <w:p>
      <w:pPr>
        <w:spacing w:line="240" w:lineRule="auto" w:before="3"/>
        <w:rPr>
          <w:rFonts w:ascii="宋体" w:hAnsi="宋体" w:cs="宋体" w:eastAsia="宋体" w:hint="default"/>
          <w:sz w:val="15"/>
          <w:szCs w:val="15"/>
        </w:rPr>
      </w:pPr>
    </w:p>
    <w:p>
      <w:pPr>
        <w:pStyle w:val="BodyText"/>
        <w:spacing w:line="240" w:lineRule="auto"/>
        <w:ind w:left="118" w:right="3262"/>
        <w:jc w:val="left"/>
      </w:pPr>
      <w:r>
        <w:rPr>
          <w:rFonts w:ascii="Arial" w:hAnsi="Arial" w:cs="Arial" w:eastAsia="Arial" w:hint="default"/>
        </w:rPr>
        <w:t>32</w:t>
      </w:r>
      <w:r>
        <w:rPr/>
        <w:t>、重要会计估计和判断</w:t>
      </w:r>
    </w:p>
    <w:p>
      <w:pPr>
        <w:spacing w:line="240" w:lineRule="auto" w:before="3"/>
        <w:rPr>
          <w:rFonts w:ascii="宋体" w:hAnsi="宋体" w:cs="宋体" w:eastAsia="宋体" w:hint="default"/>
          <w:sz w:val="17"/>
          <w:szCs w:val="17"/>
        </w:rPr>
      </w:pPr>
    </w:p>
    <w:p>
      <w:pPr>
        <w:pStyle w:val="BodyText"/>
        <w:spacing w:line="284" w:lineRule="exact"/>
        <w:ind w:left="596" w:right="109"/>
        <w:jc w:val="both"/>
      </w:pPr>
      <w:r>
        <w:rPr/>
        <w:t>本集团根据历史经验和其他因素，包括对未来事项的合理预期，对所采用的重要会计估计和</w:t>
      </w:r>
      <w:r>
        <w:rPr>
          <w:spacing w:val="-87"/>
        </w:rPr>
        <w:t> </w:t>
      </w:r>
      <w:r>
        <w:rPr>
          <w:spacing w:val="-87"/>
        </w:rPr>
      </w:r>
      <w:r>
        <w:rPr/>
        <w:t>关键判断进行持续的评价。</w:t>
      </w:r>
    </w:p>
    <w:p>
      <w:pPr>
        <w:spacing w:line="240" w:lineRule="auto" w:before="6"/>
        <w:rPr>
          <w:rFonts w:ascii="宋体" w:hAnsi="宋体" w:cs="宋体" w:eastAsia="宋体" w:hint="default"/>
          <w:sz w:val="15"/>
          <w:szCs w:val="15"/>
        </w:rPr>
      </w:pPr>
    </w:p>
    <w:p>
      <w:pPr>
        <w:pStyle w:val="BodyText"/>
        <w:spacing w:line="240" w:lineRule="auto"/>
        <w:ind w:left="133" w:right="3262"/>
        <w:jc w:val="left"/>
      </w:pPr>
      <w:r>
        <w:rPr>
          <w:rFonts w:ascii="Arial" w:hAnsi="Arial" w:cs="Arial" w:eastAsia="Arial" w:hint="default"/>
        </w:rPr>
        <w:t>(a)  </w:t>
      </w:r>
      <w:r>
        <w:rPr>
          <w:rFonts w:ascii="Arial" w:hAnsi="Arial" w:cs="Arial" w:eastAsia="Arial" w:hint="default"/>
          <w:spacing w:val="8"/>
        </w:rPr>
        <w:t> </w:t>
      </w:r>
      <w:r>
        <w:rPr/>
        <w:t>重要会计估计及其关键假设</w:t>
      </w:r>
    </w:p>
    <w:p>
      <w:pPr>
        <w:spacing w:line="240" w:lineRule="auto" w:before="4"/>
        <w:rPr>
          <w:rFonts w:ascii="宋体" w:hAnsi="宋体" w:cs="宋体" w:eastAsia="宋体" w:hint="default"/>
          <w:sz w:val="18"/>
          <w:szCs w:val="18"/>
        </w:rPr>
      </w:pPr>
    </w:p>
    <w:p>
      <w:pPr>
        <w:pStyle w:val="BodyText"/>
        <w:spacing w:line="286" w:lineRule="exact"/>
        <w:ind w:left="596" w:right="109"/>
        <w:jc w:val="both"/>
      </w:pPr>
      <w:r>
        <w:rPr/>
        <w:t>下列重大会计估计及关键假设存在会导致下一会计年度资产和负债的账面价值出现重大调整</w:t>
      </w:r>
      <w:r>
        <w:rPr>
          <w:spacing w:val="-87"/>
        </w:rPr>
        <w:t> </w:t>
      </w:r>
      <w:r>
        <w:rPr>
          <w:spacing w:val="-87"/>
        </w:rPr>
      </w:r>
      <w:r>
        <w:rPr/>
        <w:t>的主要风险：</w:t>
      </w:r>
    </w:p>
    <w:p>
      <w:pPr>
        <w:spacing w:line="240" w:lineRule="auto" w:before="4"/>
        <w:rPr>
          <w:rFonts w:ascii="宋体" w:hAnsi="宋体" w:cs="宋体" w:eastAsia="宋体" w:hint="default"/>
          <w:sz w:val="15"/>
          <w:szCs w:val="15"/>
        </w:rPr>
      </w:pPr>
    </w:p>
    <w:p>
      <w:pPr>
        <w:pStyle w:val="BodyText"/>
        <w:tabs>
          <w:tab w:pos="608" w:val="left" w:leader="none"/>
        </w:tabs>
        <w:spacing w:line="240" w:lineRule="auto"/>
        <w:ind w:left="146" w:right="3262"/>
        <w:jc w:val="left"/>
      </w:pPr>
      <w:r>
        <w:rPr>
          <w:rFonts w:ascii="Arial" w:hAnsi="Arial" w:cs="Arial" w:eastAsia="Arial" w:hint="default"/>
          <w:w w:val="95"/>
        </w:rPr>
        <w:t>(i)</w:t>
        <w:tab/>
      </w:r>
      <w:r>
        <w:rPr/>
        <w:t>固定资产折旧</w:t>
      </w:r>
    </w:p>
    <w:p>
      <w:pPr>
        <w:spacing w:line="240" w:lineRule="auto" w:before="6"/>
        <w:rPr>
          <w:rFonts w:ascii="宋体" w:hAnsi="宋体" w:cs="宋体" w:eastAsia="宋体" w:hint="default"/>
          <w:sz w:val="16"/>
          <w:szCs w:val="16"/>
        </w:rPr>
      </w:pPr>
    </w:p>
    <w:p>
      <w:pPr>
        <w:pStyle w:val="BodyText"/>
        <w:spacing w:line="237" w:lineRule="auto"/>
        <w:ind w:left="596" w:right="109"/>
        <w:jc w:val="both"/>
      </w:pPr>
      <w:r>
        <w:rPr/>
        <w:t>本集团固定资产的折旧在预计使用寿命内以资产的入账价值减去预计净残值后的金额按直线</w:t>
      </w:r>
      <w:r>
        <w:rPr>
          <w:spacing w:val="-87"/>
        </w:rPr>
        <w:t> </w:t>
      </w:r>
      <w:r>
        <w:rPr>
          <w:spacing w:val="-87"/>
        </w:rPr>
      </w:r>
      <w:r>
        <w:rPr/>
        <w:t>法计提。本集团定期对预计使用寿命和预计净残值进行评估，以确保折旧方法及折旧率与固</w:t>
      </w:r>
      <w:r>
        <w:rPr>
          <w:spacing w:val="-87"/>
        </w:rPr>
        <w:t> </w:t>
      </w:r>
      <w:r>
        <w:rPr>
          <w:spacing w:val="-87"/>
        </w:rPr>
      </w:r>
      <w:r>
        <w:rPr/>
        <w:t>定资产的预计经济利益实现模式一致。</w:t>
      </w:r>
    </w:p>
    <w:p>
      <w:pPr>
        <w:spacing w:line="240" w:lineRule="auto" w:before="10"/>
        <w:rPr>
          <w:rFonts w:ascii="宋体" w:hAnsi="宋体" w:cs="宋体" w:eastAsia="宋体" w:hint="default"/>
          <w:sz w:val="19"/>
          <w:szCs w:val="19"/>
        </w:rPr>
      </w:pPr>
    </w:p>
    <w:p>
      <w:pPr>
        <w:pStyle w:val="BodyText"/>
        <w:spacing w:line="284" w:lineRule="exact"/>
        <w:ind w:left="596" w:right="109"/>
        <w:jc w:val="both"/>
      </w:pPr>
      <w:r>
        <w:rPr/>
        <w:t>本集团对固定资产预计使用寿命及净残值的估计是基于历史经验并考虑预期的技术更新而作</w:t>
      </w:r>
      <w:r>
        <w:rPr>
          <w:spacing w:val="-87"/>
        </w:rPr>
        <w:t> </w:t>
      </w:r>
      <w:r>
        <w:rPr>
          <w:spacing w:val="-87"/>
        </w:rPr>
      </w:r>
      <w:r>
        <w:rPr/>
        <w:t>出的。当预计使用寿命及预计净残值发生重大变化时，可能需要相应调整折旧费用。</w:t>
      </w:r>
    </w:p>
    <w:p>
      <w:pPr>
        <w:spacing w:line="240" w:lineRule="auto" w:before="6"/>
        <w:rPr>
          <w:rFonts w:ascii="宋体" w:hAnsi="宋体" w:cs="宋体" w:eastAsia="宋体" w:hint="default"/>
          <w:sz w:val="15"/>
          <w:szCs w:val="15"/>
        </w:rPr>
      </w:pPr>
    </w:p>
    <w:p>
      <w:pPr>
        <w:pStyle w:val="BodyText"/>
        <w:tabs>
          <w:tab w:pos="608" w:val="left" w:leader="none"/>
        </w:tabs>
        <w:spacing w:line="240" w:lineRule="auto"/>
        <w:ind w:left="146" w:right="3262"/>
        <w:jc w:val="left"/>
      </w:pPr>
      <w:r>
        <w:rPr>
          <w:rFonts w:ascii="Arial" w:hAnsi="Arial" w:cs="Arial" w:eastAsia="Arial" w:hint="default"/>
          <w:w w:val="95"/>
        </w:rPr>
        <w:t>(ii)</w:t>
        <w:tab/>
      </w:r>
      <w:r>
        <w:rPr/>
        <w:t>非流动资产的减值</w:t>
      </w:r>
    </w:p>
    <w:p>
      <w:pPr>
        <w:spacing w:line="240" w:lineRule="auto" w:before="7"/>
        <w:rPr>
          <w:rFonts w:ascii="宋体" w:hAnsi="宋体" w:cs="宋体" w:eastAsia="宋体" w:hint="default"/>
          <w:sz w:val="16"/>
          <w:szCs w:val="16"/>
        </w:rPr>
      </w:pPr>
    </w:p>
    <w:p>
      <w:pPr>
        <w:pStyle w:val="BodyText"/>
        <w:spacing w:line="235" w:lineRule="auto"/>
        <w:ind w:left="596" w:right="104"/>
        <w:jc w:val="both"/>
      </w:pPr>
      <w:r>
        <w:rPr/>
        <w:t>本集团按照附注二</w:t>
      </w:r>
      <w:r>
        <w:rPr>
          <w:rFonts w:ascii="Arial" w:hAnsi="Arial" w:cs="Arial" w:eastAsia="Arial" w:hint="default"/>
        </w:rPr>
        <w:t>(18)</w:t>
      </w:r>
      <w:r>
        <w:rPr/>
        <w:t>所述会计政策评估非流动资产是否存在减值。一项资产的可收回金额</w:t>
      </w:r>
      <w:r>
        <w:rPr>
          <w:spacing w:val="-43"/>
        </w:rPr>
        <w:t> </w:t>
      </w:r>
      <w:r>
        <w:rPr>
          <w:spacing w:val="-43"/>
        </w:rPr>
      </w:r>
      <w:r>
        <w:rPr>
          <w:spacing w:val="6"/>
        </w:rPr>
        <w:t>是指资产公允价值减去处置费用后的净额与资产预计未来现金流量的现值两者之间的较高</w:t>
      </w:r>
      <w:r>
        <w:rPr>
          <w:spacing w:val="-96"/>
        </w:rPr>
        <w:t> </w:t>
      </w:r>
      <w:r>
        <w:rPr>
          <w:spacing w:val="-96"/>
        </w:rPr>
      </w:r>
      <w:r>
        <w:rPr/>
        <w:t>者。管理层估计的资产预计未来现金流量的现值是根据能够独立产生现金流入的最小资产组</w:t>
      </w:r>
      <w:r>
        <w:rPr>
          <w:spacing w:val="-87"/>
        </w:rPr>
        <w:t> </w:t>
      </w:r>
      <w:r>
        <w:rPr>
          <w:spacing w:val="-87"/>
        </w:rPr>
      </w:r>
      <w:r>
        <w:rPr/>
        <w:t>合的预期未来税前现金流量折现确定。当管理层的假设和非流动资产的预期可收回金额发生</w:t>
      </w:r>
      <w:r>
        <w:rPr>
          <w:spacing w:val="-87"/>
        </w:rPr>
        <w:t> </w:t>
      </w:r>
      <w:r>
        <w:rPr>
          <w:spacing w:val="-87"/>
        </w:rPr>
      </w:r>
      <w:r>
        <w:rPr/>
        <w:t>重大变化时，本集团的未来经营成果将受到影响。</w:t>
      </w:r>
    </w:p>
    <w:p>
      <w:pPr>
        <w:spacing w:line="240" w:lineRule="auto" w:before="6"/>
        <w:rPr>
          <w:rFonts w:ascii="宋体" w:hAnsi="宋体" w:cs="宋体" w:eastAsia="宋体" w:hint="default"/>
          <w:sz w:val="17"/>
          <w:szCs w:val="17"/>
        </w:rPr>
      </w:pPr>
    </w:p>
    <w:p>
      <w:pPr>
        <w:pStyle w:val="BodyText"/>
        <w:spacing w:line="240" w:lineRule="auto"/>
        <w:ind w:left="596" w:right="0"/>
        <w:jc w:val="both"/>
      </w:pPr>
      <w:r>
        <w:rPr/>
        <w:t>于</w:t>
      </w:r>
      <w:r>
        <w:rPr>
          <w:rFonts w:ascii="Arial" w:hAnsi="Arial" w:cs="Arial" w:eastAsia="Arial" w:hint="default"/>
        </w:rPr>
        <w:t>2011</w:t>
      </w:r>
      <w:r>
        <w:rPr/>
        <w:t>年度及</w:t>
      </w:r>
      <w:r>
        <w:rPr>
          <w:rFonts w:ascii="Arial" w:hAnsi="Arial" w:cs="Arial" w:eastAsia="Arial" w:hint="default"/>
        </w:rPr>
        <w:t>2010</w:t>
      </w:r>
      <w:r>
        <w:rPr/>
        <w:t>年度，本集团并未确认重大非流动资产减值损失。</w:t>
      </w:r>
    </w:p>
    <w:p>
      <w:pPr>
        <w:spacing w:after="0" w:line="240" w:lineRule="auto"/>
        <w:jc w:val="both"/>
        <w:sectPr>
          <w:headerReference w:type="default" r:id="rId59"/>
          <w:pgSz w:w="11900" w:h="16840"/>
          <w:pgMar w:header="967" w:footer="600" w:top="2820" w:bottom="780" w:left="1440" w:right="920"/>
        </w:sectPr>
      </w:pPr>
    </w:p>
    <w:p>
      <w:pPr>
        <w:spacing w:line="240" w:lineRule="auto" w:before="6"/>
        <w:rPr>
          <w:rFonts w:ascii="宋体" w:hAnsi="宋体" w:cs="宋体" w:eastAsia="宋体" w:hint="default"/>
          <w:sz w:val="11"/>
          <w:szCs w:val="11"/>
        </w:rPr>
      </w:pPr>
    </w:p>
    <w:p>
      <w:pPr>
        <w:pStyle w:val="BodyText"/>
        <w:spacing w:line="240" w:lineRule="auto" w:before="31"/>
        <w:ind w:left="133" w:right="3262"/>
        <w:jc w:val="left"/>
      </w:pPr>
      <w:r>
        <w:rPr>
          <w:rFonts w:ascii="Arial" w:hAnsi="Arial" w:cs="Arial" w:eastAsia="Arial" w:hint="default"/>
        </w:rPr>
        <w:t>(a)  </w:t>
      </w:r>
      <w:r>
        <w:rPr>
          <w:rFonts w:ascii="Arial" w:hAnsi="Arial" w:cs="Arial" w:eastAsia="Arial" w:hint="default"/>
          <w:spacing w:val="8"/>
        </w:rPr>
        <w:t> </w:t>
      </w:r>
      <w:r>
        <w:rPr/>
        <w:t>重要会计估计及其关键假设（续）</w:t>
      </w:r>
    </w:p>
    <w:p>
      <w:pPr>
        <w:spacing w:line="240" w:lineRule="auto" w:before="13"/>
        <w:rPr>
          <w:rFonts w:ascii="宋体" w:hAnsi="宋体" w:cs="宋体" w:eastAsia="宋体" w:hint="default"/>
          <w:sz w:val="16"/>
          <w:szCs w:val="16"/>
        </w:rPr>
      </w:pPr>
    </w:p>
    <w:p>
      <w:pPr>
        <w:pStyle w:val="ListParagraph"/>
        <w:numPr>
          <w:ilvl w:val="2"/>
          <w:numId w:val="1"/>
        </w:numPr>
        <w:tabs>
          <w:tab w:pos="623" w:val="left" w:leader="none"/>
        </w:tabs>
        <w:spacing w:line="240" w:lineRule="auto" w:before="0" w:after="0"/>
        <w:ind w:left="622" w:right="3262" w:hanging="489"/>
        <w:jc w:val="left"/>
        <w:rPr>
          <w:rFonts w:ascii="宋体" w:hAnsi="宋体" w:cs="宋体" w:eastAsia="宋体" w:hint="default"/>
          <w:sz w:val="22"/>
          <w:szCs w:val="22"/>
        </w:rPr>
      </w:pPr>
      <w:r>
        <w:rPr>
          <w:rFonts w:ascii="宋体" w:hAnsi="宋体" w:cs="宋体" w:eastAsia="宋体" w:hint="default"/>
          <w:sz w:val="22"/>
          <w:szCs w:val="22"/>
        </w:rPr>
        <w:t>所得税</w:t>
      </w:r>
    </w:p>
    <w:p>
      <w:pPr>
        <w:spacing w:line="240" w:lineRule="auto" w:before="1"/>
        <w:rPr>
          <w:rFonts w:ascii="宋体" w:hAnsi="宋体" w:cs="宋体" w:eastAsia="宋体" w:hint="default"/>
          <w:sz w:val="18"/>
          <w:szCs w:val="18"/>
        </w:rPr>
      </w:pPr>
    </w:p>
    <w:p>
      <w:pPr>
        <w:pStyle w:val="BodyText"/>
        <w:spacing w:line="237" w:lineRule="auto"/>
        <w:ind w:left="596" w:right="109"/>
        <w:jc w:val="both"/>
      </w:pPr>
      <w:r>
        <w:rPr/>
        <w:t>本集团按照现行税收法规计算企业所得税，并考虑了适用的所得税的相关规定及税收优惠。</w:t>
      </w:r>
      <w:r>
        <w:rPr>
          <w:spacing w:val="-87"/>
        </w:rPr>
        <w:t> </w:t>
      </w:r>
      <w:r>
        <w:rPr>
          <w:spacing w:val="-87"/>
        </w:rPr>
      </w:r>
      <w:r>
        <w:rPr/>
        <w:t>本集团在多个地区缴纳企业所得税，在正常的经营活动中，很多交易和事项的最终税务处理</w:t>
      </w:r>
      <w:r>
        <w:rPr>
          <w:spacing w:val="-87"/>
        </w:rPr>
        <w:t> </w:t>
      </w:r>
      <w:r>
        <w:rPr>
          <w:spacing w:val="-87"/>
        </w:rPr>
      </w:r>
      <w:r>
        <w:rPr/>
        <w:t>都存在不确定性，在计提各个地区的所得税费用时本集团需要作出重大判断。本集团还就未</w:t>
      </w:r>
      <w:r>
        <w:rPr>
          <w:spacing w:val="-87"/>
        </w:rPr>
        <w:t> </w:t>
      </w:r>
      <w:r>
        <w:rPr>
          <w:spacing w:val="-87"/>
        </w:rPr>
      </w:r>
      <w:r>
        <w:rPr/>
        <w:t>来最终税务申报过程中可能存在判断差异的纳税项目预计是否需要缴纳额外税款，并根据估</w:t>
      </w:r>
      <w:r>
        <w:rPr>
          <w:spacing w:val="-87"/>
        </w:rPr>
        <w:t> </w:t>
      </w:r>
      <w:r>
        <w:rPr>
          <w:spacing w:val="-87"/>
        </w:rPr>
      </w:r>
      <w:r>
        <w:rPr/>
        <w:t>计的结果判断是否需要确认相应的所得税负债。如果这些税务事项的最终认定结果与最初入</w:t>
      </w:r>
      <w:r>
        <w:rPr>
          <w:spacing w:val="-87"/>
        </w:rPr>
        <w:t> </w:t>
      </w:r>
      <w:r>
        <w:rPr>
          <w:spacing w:val="-87"/>
        </w:rPr>
      </w:r>
      <w:r>
        <w:rPr/>
        <w:t>账的金额存在差异，该差异将对作出上述最终认定期间的所得税费用和递延所得税的金额产</w:t>
      </w:r>
      <w:r>
        <w:rPr>
          <w:spacing w:val="-87"/>
        </w:rPr>
        <w:t> </w:t>
      </w:r>
      <w:r>
        <w:rPr>
          <w:spacing w:val="-87"/>
        </w:rPr>
      </w:r>
      <w:r>
        <w:rPr/>
        <w:t>生影响。</w:t>
      </w:r>
    </w:p>
    <w:p>
      <w:pPr>
        <w:spacing w:line="240" w:lineRule="auto" w:before="3"/>
        <w:rPr>
          <w:rFonts w:ascii="宋体" w:hAnsi="宋体" w:cs="宋体" w:eastAsia="宋体" w:hint="default"/>
          <w:sz w:val="21"/>
          <w:szCs w:val="21"/>
        </w:rPr>
      </w:pPr>
    </w:p>
    <w:p>
      <w:pPr>
        <w:pStyle w:val="BodyText"/>
        <w:spacing w:line="286" w:lineRule="exact"/>
        <w:ind w:left="596" w:right="109"/>
        <w:jc w:val="both"/>
      </w:pPr>
      <w:r>
        <w:rPr/>
        <w:t>在确认递延所得税资产时，本集团也考虑了递延所得税资产得以实现的可能性。可抵扣暂时</w:t>
      </w:r>
      <w:r>
        <w:rPr>
          <w:spacing w:val="-87"/>
        </w:rPr>
        <w:t> </w:t>
      </w:r>
      <w:r>
        <w:rPr>
          <w:spacing w:val="-87"/>
        </w:rPr>
      </w:r>
      <w:r>
        <w:rPr/>
        <w:t>性差异主要包括坏账准备、尚未获准税前抵扣的预提费用以及可供出售金融资产的公允价值</w:t>
      </w:r>
      <w:r>
        <w:rPr>
          <w:spacing w:val="-87"/>
        </w:rPr>
        <w:t> </w:t>
      </w:r>
      <w:r>
        <w:rPr>
          <w:spacing w:val="-87"/>
        </w:rPr>
      </w:r>
      <w:r>
        <w:rPr/>
        <w:t>变动损失的影响。递延所得税资产的确认是基于本集团预计该递延所得税资产于可预见的将</w:t>
      </w:r>
      <w:r>
        <w:rPr>
          <w:spacing w:val="-87"/>
        </w:rPr>
        <w:t> </w:t>
      </w:r>
      <w:r>
        <w:rPr>
          <w:spacing w:val="-87"/>
        </w:rPr>
      </w:r>
      <w:r>
        <w:rPr/>
        <w:t>来能够通过持续经营产生足够的应纳税所得额而转回。</w:t>
      </w:r>
    </w:p>
    <w:p>
      <w:pPr>
        <w:pStyle w:val="BodyText"/>
        <w:spacing w:line="286" w:lineRule="exact" w:before="178"/>
        <w:ind w:left="596" w:right="105"/>
        <w:jc w:val="both"/>
      </w:pPr>
      <w:r>
        <w:rPr/>
        <w:t>本集团已基于现行的税法规定及当前最佳的估计及假设计提了当期所得税及递延所得税项。</w:t>
      </w:r>
      <w:r>
        <w:rPr>
          <w:spacing w:val="-87"/>
        </w:rPr>
        <w:t> </w:t>
      </w:r>
      <w:r>
        <w:rPr>
          <w:spacing w:val="-87"/>
        </w:rPr>
      </w:r>
      <w:r>
        <w:rPr>
          <w:spacing w:val="6"/>
        </w:rPr>
        <w:t>未来可能因税法规定或相关情况的改变而需要对当期所得税及递延所得税项作出相应的调</w:t>
      </w:r>
      <w:r>
        <w:rPr>
          <w:spacing w:val="-96"/>
        </w:rPr>
        <w:t> </w:t>
      </w:r>
      <w:r>
        <w:rPr>
          <w:spacing w:val="-96"/>
        </w:rPr>
      </w:r>
      <w:r>
        <w:rPr/>
        <w:t>整。</w:t>
      </w:r>
    </w:p>
    <w:p>
      <w:pPr>
        <w:spacing w:line="240" w:lineRule="auto" w:before="2"/>
        <w:rPr>
          <w:rFonts w:ascii="宋体" w:hAnsi="宋体" w:cs="宋体" w:eastAsia="宋体" w:hint="default"/>
          <w:sz w:val="17"/>
          <w:szCs w:val="17"/>
        </w:rPr>
      </w:pPr>
    </w:p>
    <w:p>
      <w:pPr>
        <w:tabs>
          <w:tab w:pos="608" w:val="left" w:leader="none"/>
        </w:tabs>
        <w:spacing w:before="0"/>
        <w:ind w:left="118" w:right="3262" w:firstLine="0"/>
        <w:jc w:val="left"/>
        <w:rPr>
          <w:rFonts w:ascii="宋体" w:hAnsi="宋体" w:cs="宋体" w:eastAsia="宋体" w:hint="default"/>
          <w:sz w:val="22"/>
          <w:szCs w:val="22"/>
        </w:rPr>
      </w:pPr>
      <w:r>
        <w:rPr>
          <w:rFonts w:ascii="Arial" w:hAnsi="Arial" w:cs="Arial" w:eastAsia="Arial" w:hint="default"/>
          <w:sz w:val="20"/>
          <w:szCs w:val="20"/>
        </w:rPr>
        <w:t>(b)</w:t>
        <w:tab/>
      </w:r>
      <w:r>
        <w:rPr>
          <w:rFonts w:ascii="宋体" w:hAnsi="宋体" w:cs="宋体" w:eastAsia="宋体" w:hint="default"/>
          <w:sz w:val="22"/>
          <w:szCs w:val="22"/>
        </w:rPr>
        <w:t>采取会计政策的关键判断</w:t>
      </w:r>
    </w:p>
    <w:p>
      <w:pPr>
        <w:pStyle w:val="BodyText"/>
        <w:tabs>
          <w:tab w:pos="608" w:val="left" w:leader="none"/>
        </w:tabs>
        <w:spacing w:line="240" w:lineRule="auto" w:before="165"/>
        <w:ind w:left="133" w:right="3262"/>
        <w:jc w:val="left"/>
      </w:pPr>
      <w:r>
        <w:rPr>
          <w:rFonts w:ascii="Arial" w:hAnsi="Arial" w:cs="Arial" w:eastAsia="Arial" w:hint="default"/>
          <w:w w:val="95"/>
        </w:rPr>
        <w:t>(i)</w:t>
        <w:tab/>
      </w:r>
      <w:r>
        <w:rPr/>
        <w:t>一次性不可退还收入及直接相关成本的确认</w:t>
      </w:r>
    </w:p>
    <w:p>
      <w:pPr>
        <w:spacing w:line="240" w:lineRule="auto" w:before="7"/>
        <w:rPr>
          <w:rFonts w:ascii="宋体" w:hAnsi="宋体" w:cs="宋体" w:eastAsia="宋体" w:hint="default"/>
          <w:sz w:val="18"/>
          <w:szCs w:val="18"/>
        </w:rPr>
      </w:pPr>
    </w:p>
    <w:p>
      <w:pPr>
        <w:pStyle w:val="BodyText"/>
        <w:spacing w:line="232" w:lineRule="auto"/>
        <w:ind w:left="596" w:right="106"/>
        <w:jc w:val="both"/>
      </w:pPr>
      <w:r>
        <w:rPr/>
        <w:t>本集团对开通移动通信服务时收取的一次性不可退还收入，包括自移动电话用户一次性收取</w:t>
      </w:r>
      <w:r>
        <w:rPr>
          <w:spacing w:val="-87"/>
        </w:rPr>
        <w:t> </w:t>
      </w:r>
      <w:r>
        <w:rPr>
          <w:spacing w:val="-87"/>
        </w:rPr>
      </w:r>
      <w:r>
        <w:rPr/>
        <w:t>的手机识别卡（如</w:t>
      </w:r>
      <w:r>
        <w:rPr>
          <w:rFonts w:ascii="Arial" w:hAnsi="Arial" w:cs="Arial" w:eastAsia="Arial" w:hint="default"/>
        </w:rPr>
        <w:t>SIM</w:t>
      </w:r>
      <w:r>
        <w:rPr/>
        <w:t>卡或</w:t>
      </w:r>
      <w:r>
        <w:rPr>
          <w:rFonts w:ascii="Arial" w:hAnsi="Arial" w:cs="Arial" w:eastAsia="Arial" w:hint="default"/>
        </w:rPr>
        <w:t>USIM</w:t>
      </w:r>
      <w:r>
        <w:rPr/>
        <w:t>卡）开通费，是在预计为移动通信用户提供服务的期限</w:t>
      </w:r>
      <w:r>
        <w:rPr>
          <w:rFonts w:ascii="Arial" w:hAnsi="Arial" w:cs="Arial" w:eastAsia="Arial" w:hint="default"/>
        </w:rPr>
        <w:t>3</w:t>
      </w:r>
      <w:r>
        <w:rPr/>
        <w:t>年</w:t>
      </w:r>
      <w:r>
        <w:rPr>
          <w:spacing w:val="-54"/>
        </w:rPr>
        <w:t> </w:t>
      </w:r>
      <w:r>
        <w:rPr/>
        <w:t>内进行递延及摊销（</w:t>
      </w:r>
      <w:r>
        <w:rPr>
          <w:rFonts w:ascii="Arial" w:hAnsi="Arial" w:cs="Arial" w:eastAsia="Arial" w:hint="default"/>
        </w:rPr>
        <w:t>2010</w:t>
      </w:r>
      <w:r>
        <w:rPr/>
        <w:t>年：</w:t>
      </w:r>
      <w:r>
        <w:rPr>
          <w:rFonts w:ascii="Arial" w:hAnsi="Arial" w:cs="Arial" w:eastAsia="Arial" w:hint="default"/>
        </w:rPr>
        <w:t>3</w:t>
      </w:r>
      <w:r>
        <w:rPr/>
        <w:t>年）。同时，与收取的一次性不可退还收入相关的，为获取</w:t>
      </w:r>
      <w:r>
        <w:rPr>
          <w:spacing w:val="-46"/>
        </w:rPr>
        <w:t> </w:t>
      </w:r>
      <w:r>
        <w:rPr>
          <w:spacing w:val="-46"/>
        </w:rPr>
      </w:r>
      <w:r>
        <w:rPr/>
        <w:t>和开通移动通信业务而发生的直接相关成本，包括手机识别卡成本及佣金亦予以资本化并在</w:t>
      </w:r>
      <w:r>
        <w:rPr>
          <w:spacing w:val="-87"/>
        </w:rPr>
        <w:t> </w:t>
      </w:r>
      <w:r>
        <w:rPr>
          <w:spacing w:val="-87"/>
        </w:rPr>
      </w:r>
      <w:r>
        <w:rPr/>
        <w:t>预计为移动通信客户提供的服务期内进行递延及摊销。</w:t>
      </w:r>
    </w:p>
    <w:p>
      <w:pPr>
        <w:spacing w:after="0" w:line="232" w:lineRule="auto"/>
        <w:jc w:val="both"/>
        <w:sectPr>
          <w:headerReference w:type="default" r:id="rId60"/>
          <w:pgSz w:w="11900" w:h="16840"/>
          <w:pgMar w:header="967" w:footer="600" w:top="3440" w:bottom="780" w:left="1440" w:right="920"/>
        </w:sectPr>
      </w:pPr>
    </w:p>
    <w:p>
      <w:pPr>
        <w:spacing w:line="240" w:lineRule="auto" w:before="3"/>
        <w:rPr>
          <w:rFonts w:ascii="宋体" w:hAnsi="宋体" w:cs="宋体" w:eastAsia="宋体" w:hint="default"/>
          <w:sz w:val="16"/>
          <w:szCs w:val="16"/>
        </w:rPr>
      </w:pPr>
    </w:p>
    <w:p>
      <w:pPr>
        <w:pStyle w:val="BodyText"/>
        <w:tabs>
          <w:tab w:pos="622" w:val="left" w:leader="none"/>
        </w:tabs>
        <w:spacing w:line="240" w:lineRule="auto" w:before="31"/>
        <w:ind w:left="110" w:right="91"/>
        <w:jc w:val="left"/>
      </w:pPr>
      <w:r>
        <w:rPr>
          <w:rFonts w:ascii="Arial" w:hAnsi="Arial" w:cs="Arial" w:eastAsia="Arial" w:hint="default"/>
          <w:w w:val="95"/>
        </w:rPr>
        <w:t>(i)</w:t>
        <w:tab/>
      </w:r>
      <w:r>
        <w:rPr/>
        <w:t>一次性不可退还收入及直接相关成本的确认（续）</w:t>
      </w:r>
    </w:p>
    <w:p>
      <w:pPr>
        <w:spacing w:line="240" w:lineRule="auto" w:before="10"/>
        <w:rPr>
          <w:rFonts w:ascii="宋体" w:hAnsi="宋体" w:cs="宋体" w:eastAsia="宋体" w:hint="default"/>
          <w:sz w:val="18"/>
          <w:szCs w:val="18"/>
        </w:rPr>
      </w:pPr>
    </w:p>
    <w:p>
      <w:pPr>
        <w:pStyle w:val="BodyText"/>
        <w:spacing w:line="230" w:lineRule="auto"/>
        <w:ind w:left="596" w:right="227"/>
        <w:jc w:val="both"/>
      </w:pPr>
      <w:r>
        <w:rPr/>
        <w:t>本集团对开通固网通信服务时收取的一次性不可退还收入，包括固网客户一次性初装费和装</w:t>
      </w:r>
      <w:r>
        <w:rPr>
          <w:spacing w:val="-87"/>
        </w:rPr>
        <w:t> </w:t>
      </w:r>
      <w:r>
        <w:rPr>
          <w:spacing w:val="-87"/>
        </w:rPr>
      </w:r>
      <w:r>
        <w:rPr/>
        <w:t>移机费在预期固网通信客户服务期限</w:t>
      </w:r>
      <w:r>
        <w:rPr>
          <w:rFonts w:ascii="Arial" w:hAnsi="Arial" w:cs="Arial" w:eastAsia="Arial" w:hint="default"/>
        </w:rPr>
        <w:t>10</w:t>
      </w:r>
      <w:r>
        <w:rPr/>
        <w:t>年进行递延和摊销。与收取的一次性不可退还收入相</w:t>
      </w:r>
      <w:r>
        <w:rPr>
          <w:spacing w:val="-107"/>
        </w:rPr>
        <w:t> </w:t>
      </w:r>
      <w:r>
        <w:rPr>
          <w:spacing w:val="-107"/>
        </w:rPr>
      </w:r>
      <w:r>
        <w:rPr/>
        <w:t>关的装移机直接成本也予以资本化并按相同的预期固网通信客户服务期限进行递延和摊销。</w:t>
      </w:r>
    </w:p>
    <w:p>
      <w:pPr>
        <w:spacing w:line="240" w:lineRule="auto" w:before="7"/>
        <w:rPr>
          <w:rFonts w:ascii="宋体" w:hAnsi="宋体" w:cs="宋体" w:eastAsia="宋体" w:hint="default"/>
          <w:sz w:val="21"/>
          <w:szCs w:val="21"/>
        </w:rPr>
      </w:pPr>
    </w:p>
    <w:p>
      <w:pPr>
        <w:pStyle w:val="BodyText"/>
        <w:spacing w:line="284" w:lineRule="exact"/>
        <w:ind w:left="596" w:right="229"/>
        <w:jc w:val="both"/>
      </w:pPr>
      <w:r>
        <w:rPr/>
        <w:t>本集团仅资本化将产生未来经济利益的成本，对于超过一次性不可退还收入部分的直接相关</w:t>
      </w:r>
      <w:r>
        <w:rPr>
          <w:spacing w:val="-87"/>
        </w:rPr>
        <w:t> </w:t>
      </w:r>
      <w:r>
        <w:rPr>
          <w:spacing w:val="-87"/>
        </w:rPr>
      </w:r>
      <w:r>
        <w:rPr/>
        <w:t>成本（如有），差额在当期利润表中被立即确认为费用。</w:t>
      </w:r>
    </w:p>
    <w:p>
      <w:pPr>
        <w:spacing w:line="240" w:lineRule="auto" w:before="5"/>
        <w:rPr>
          <w:rFonts w:ascii="宋体" w:hAnsi="宋体" w:cs="宋体" w:eastAsia="宋体" w:hint="default"/>
          <w:sz w:val="17"/>
          <w:szCs w:val="17"/>
        </w:rPr>
      </w:pPr>
    </w:p>
    <w:p>
      <w:pPr>
        <w:pStyle w:val="BodyText"/>
        <w:spacing w:line="237" w:lineRule="auto"/>
        <w:ind w:left="596" w:right="106"/>
        <w:jc w:val="left"/>
      </w:pPr>
      <w:r>
        <w:rPr/>
        <w:t>本集团根据以往保留客户的经验，预计的未来竞争程度，本集团服务的技术性或功能性过时</w:t>
      </w:r>
      <w:r>
        <w:rPr>
          <w:spacing w:val="-87"/>
        </w:rPr>
        <w:t> </w:t>
      </w:r>
      <w:r>
        <w:rPr>
          <w:spacing w:val="-87"/>
        </w:rPr>
      </w:r>
      <w:r>
        <w:rPr>
          <w:spacing w:val="-2"/>
        </w:rPr>
        <w:t>的风险，技术创新以及法规和社会环境的预期变化来评估客户服务期限。如果因为竞争加剧、</w:t>
      </w:r>
      <w:r>
        <w:rPr>
          <w:spacing w:val="-108"/>
        </w:rPr>
        <w:t> </w:t>
      </w:r>
      <w:r>
        <w:rPr>
          <w:spacing w:val="-108"/>
        </w:rPr>
      </w:r>
      <w:r>
        <w:rPr/>
        <w:t>电信技术的变化或其他因素而导致本集团的预计客户服务期限发生变化，则本集团的递延的</w:t>
      </w:r>
      <w:r>
        <w:rPr>
          <w:spacing w:val="-87"/>
        </w:rPr>
        <w:t> </w:t>
      </w:r>
      <w:r>
        <w:rPr>
          <w:spacing w:val="-87"/>
        </w:rPr>
      </w:r>
      <w:r>
        <w:rPr/>
        <w:t>一次性不可退还收入及直接相关成本在未来期间内的摊销金额和摊销期可能会发生变化。</w:t>
      </w:r>
    </w:p>
    <w:p>
      <w:pPr>
        <w:pStyle w:val="BodyText"/>
        <w:tabs>
          <w:tab w:pos="595" w:val="left" w:leader="none"/>
        </w:tabs>
        <w:spacing w:line="240" w:lineRule="auto" w:before="178"/>
        <w:ind w:left="133" w:right="91"/>
        <w:jc w:val="left"/>
      </w:pPr>
      <w:r>
        <w:rPr>
          <w:rFonts w:ascii="Arial" w:hAnsi="Arial" w:cs="Arial" w:eastAsia="Arial" w:hint="default"/>
          <w:w w:val="95"/>
        </w:rPr>
        <w:t>(ii)</w:t>
        <w:tab/>
      </w:r>
      <w:r>
        <w:rPr/>
        <w:t>南方固定电信网络租赁</w:t>
      </w:r>
    </w:p>
    <w:p>
      <w:pPr>
        <w:pStyle w:val="BodyText"/>
        <w:spacing w:line="232" w:lineRule="auto" w:before="169"/>
        <w:ind w:left="596" w:right="225" w:hanging="1"/>
        <w:jc w:val="both"/>
      </w:pPr>
      <w:r>
        <w:rPr>
          <w:spacing w:val="-2"/>
        </w:rPr>
        <w:t>于</w:t>
      </w:r>
      <w:r>
        <w:rPr>
          <w:rFonts w:ascii="Arial" w:hAnsi="Arial" w:cs="Arial" w:eastAsia="Arial" w:hint="default"/>
          <w:spacing w:val="-2"/>
        </w:rPr>
        <w:t>2008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16</w:t>
      </w:r>
      <w:r>
        <w:rPr>
          <w:spacing w:val="-2"/>
        </w:rPr>
        <w:t>日，联通运营公司、联通集团、网通集团和联通集团全资子公司联通新时空</w:t>
      </w:r>
      <w:r>
        <w:rPr>
          <w:spacing w:val="-93"/>
        </w:rPr>
        <w:t> </w:t>
      </w:r>
      <w:r>
        <w:rPr>
          <w:spacing w:val="-93"/>
        </w:rPr>
      </w:r>
      <w:r>
        <w:rPr/>
        <w:t>通信有限公司（“联通新时空”）订立《关于相关电信网络设施的租赁协议》（“网络租赁</w:t>
      </w:r>
      <w:r>
        <w:rPr>
          <w:spacing w:val="-88"/>
        </w:rPr>
        <w:t> </w:t>
      </w:r>
      <w:r>
        <w:rPr>
          <w:spacing w:val="-88"/>
        </w:rPr>
      </w:r>
      <w:r>
        <w:rPr/>
        <w:t>协议”）。根据此协议，联通运营公司将独家从联通新时空租用其在上海市、江苏省、浙江</w:t>
      </w:r>
      <w:r>
        <w:rPr>
          <w:spacing w:val="-88"/>
        </w:rPr>
        <w:t> </w:t>
      </w:r>
      <w:r>
        <w:rPr>
          <w:spacing w:val="-88"/>
        </w:rPr>
      </w:r>
      <w:r>
        <w:rPr/>
        <w:t>省、安徽省、福建省、江西省、湖北省、湖南省、广东省、广西壮族自治区、海南省、重庆</w:t>
      </w:r>
      <w:r>
        <w:rPr>
          <w:spacing w:val="-88"/>
        </w:rPr>
        <w:t> </w:t>
      </w:r>
      <w:r>
        <w:rPr>
          <w:spacing w:val="-88"/>
        </w:rPr>
      </w:r>
      <w:r>
        <w:rPr/>
        <w:t>市、四川省、贵州省、云南省、西藏自治区、陕西省、甘肃省、青海省、宁夏回族自治区和</w:t>
      </w:r>
      <w:r>
        <w:rPr>
          <w:spacing w:val="-88"/>
        </w:rPr>
        <w:t> </w:t>
      </w:r>
      <w:r>
        <w:rPr>
          <w:spacing w:val="-88"/>
        </w:rPr>
      </w:r>
      <w:r>
        <w:rPr>
          <w:w w:val="95"/>
        </w:rPr>
        <w:t>新疆维吾尔自治区等</w:t>
      </w:r>
      <w:r>
        <w:rPr>
          <w:rFonts w:ascii="Arial" w:hAnsi="Arial" w:cs="Arial" w:eastAsia="Arial" w:hint="default"/>
          <w:w w:val="95"/>
        </w:rPr>
        <w:t>21</w:t>
      </w:r>
      <w:r>
        <w:rPr>
          <w:w w:val="95"/>
        </w:rPr>
        <w:t>个省、自治区及直辖市（以上地区以下统称“南方</w:t>
      </w:r>
      <w:r>
        <w:rPr>
          <w:rFonts w:ascii="Arial" w:hAnsi="Arial" w:cs="Arial" w:eastAsia="Arial" w:hint="default"/>
          <w:w w:val="95"/>
        </w:rPr>
        <w:t>21</w:t>
      </w:r>
      <w:r>
        <w:rPr>
          <w:w w:val="95"/>
        </w:rPr>
        <w:t>省”）的固定电</w:t>
      </w:r>
      <w:r>
        <w:rPr>
          <w:spacing w:val="103"/>
          <w:w w:val="95"/>
        </w:rPr>
        <w:t> </w:t>
      </w:r>
      <w:r>
        <w:rPr>
          <w:spacing w:val="103"/>
          <w:w w:val="95"/>
        </w:rPr>
      </w:r>
      <w:r>
        <w:rPr>
          <w:spacing w:val="2"/>
        </w:rPr>
        <w:t>信网络（“南方固定电信网络”），初始租赁期为</w:t>
      </w:r>
      <w:r>
        <w:rPr>
          <w:rFonts w:ascii="Arial" w:hAnsi="Arial" w:cs="Arial" w:eastAsia="Arial" w:hint="default"/>
          <w:spacing w:val="2"/>
        </w:rPr>
        <w:t>2</w:t>
      </w:r>
      <w:r>
        <w:rPr>
          <w:spacing w:val="2"/>
        </w:rPr>
        <w:t>年，自</w:t>
      </w:r>
      <w:r>
        <w:rPr>
          <w:rFonts w:ascii="Arial" w:hAnsi="Arial" w:cs="Arial" w:eastAsia="Arial" w:hint="default"/>
          <w:spacing w:val="2"/>
        </w:rPr>
        <w:t>2009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31</w:t>
      </w:r>
      <w:r>
        <w:rPr>
          <w:spacing w:val="2"/>
        </w:rPr>
        <w:t>日起生效，于</w:t>
      </w:r>
      <w:r>
        <w:rPr>
          <w:rFonts w:ascii="Arial" w:hAnsi="Arial" w:cs="Arial" w:eastAsia="Arial" w:hint="default"/>
          <w:spacing w:val="2"/>
        </w:rPr>
        <w:t>2009</w:t>
      </w:r>
      <w:r>
        <w:rPr>
          <w:rFonts w:ascii="Arial" w:hAnsi="Arial" w:cs="Arial" w:eastAsia="Arial" w:hint="default"/>
          <w:w w:val="99"/>
        </w:rPr>
        <w:t> </w:t>
      </w:r>
      <w:r>
        <w:rPr/>
        <w:t>年和</w:t>
      </w:r>
      <w:r>
        <w:rPr>
          <w:rFonts w:ascii="Arial" w:hAnsi="Arial" w:cs="Arial" w:eastAsia="Arial" w:hint="default"/>
        </w:rPr>
        <w:t>2010</w:t>
      </w:r>
      <w:r>
        <w:rPr/>
        <w:t>年的年度租赁费分别为人民币</w:t>
      </w:r>
      <w:r>
        <w:rPr>
          <w:rFonts w:ascii="Arial" w:hAnsi="Arial" w:cs="Arial" w:eastAsia="Arial" w:hint="default"/>
        </w:rPr>
        <w:t>20</w:t>
      </w:r>
      <w:r>
        <w:rPr/>
        <w:t>亿和人民币</w:t>
      </w:r>
      <w:r>
        <w:rPr>
          <w:rFonts w:ascii="Arial" w:hAnsi="Arial" w:cs="Arial" w:eastAsia="Arial" w:hint="default"/>
        </w:rPr>
        <w:t>22</w:t>
      </w:r>
      <w:r>
        <w:rPr/>
        <w:t>亿元。于</w:t>
      </w:r>
      <w:r>
        <w:rPr>
          <w:rFonts w:ascii="Arial" w:hAnsi="Arial" w:cs="Arial" w:eastAsia="Arial" w:hint="default"/>
        </w:rPr>
        <w:t>2010</w:t>
      </w:r>
      <w:r>
        <w:rPr/>
        <w:t>年</w:t>
      </w:r>
      <w:r>
        <w:rPr>
          <w:rFonts w:ascii="Arial" w:hAnsi="Arial" w:cs="Arial" w:eastAsia="Arial" w:hint="default"/>
        </w:rPr>
        <w:t>10</w:t>
      </w:r>
      <w:r>
        <w:rPr/>
        <w:t>月</w:t>
      </w:r>
      <w:r>
        <w:rPr>
          <w:rFonts w:ascii="Arial" w:hAnsi="Arial" w:cs="Arial" w:eastAsia="Arial" w:hint="default"/>
        </w:rPr>
        <w:t>29</w:t>
      </w:r>
      <w:r>
        <w:rPr/>
        <w:t>日，联通运</w:t>
      </w:r>
      <w:r>
        <w:rPr>
          <w:spacing w:val="-73"/>
        </w:rPr>
        <w:t> </w:t>
      </w:r>
      <w:r>
        <w:rPr>
          <w:spacing w:val="-73"/>
        </w:rPr>
      </w:r>
      <w:r>
        <w:rPr>
          <w:spacing w:val="-5"/>
        </w:rPr>
        <w:t>营公司与联通新时空签订了《</w:t>
      </w:r>
      <w:r>
        <w:rPr>
          <w:rFonts w:ascii="Arial" w:hAnsi="Arial" w:cs="Arial" w:eastAsia="Arial" w:hint="default"/>
          <w:spacing w:val="-5"/>
        </w:rPr>
        <w:t>2011-2012</w:t>
      </w:r>
      <w:r>
        <w:rPr>
          <w:spacing w:val="-5"/>
        </w:rPr>
        <w:t>年南方</w:t>
      </w:r>
      <w:r>
        <w:rPr>
          <w:rFonts w:ascii="Arial" w:hAnsi="Arial" w:cs="Arial" w:eastAsia="Arial" w:hint="default"/>
          <w:spacing w:val="-5"/>
        </w:rPr>
        <w:t>21</w:t>
      </w:r>
      <w:r>
        <w:rPr>
          <w:spacing w:val="-5"/>
        </w:rPr>
        <w:t>省网络租赁协议》以延续租赁交易，自</w:t>
      </w:r>
      <w:r>
        <w:rPr>
          <w:rFonts w:ascii="Arial" w:hAnsi="Arial" w:cs="Arial" w:eastAsia="Arial" w:hint="default"/>
          <w:spacing w:val="-5"/>
        </w:rPr>
        <w:t>2011</w:t>
      </w:r>
      <w:r>
        <w:rPr>
          <w:rFonts w:ascii="Arial" w:hAnsi="Arial" w:cs="Arial" w:eastAsia="Arial" w:hint="default"/>
          <w:spacing w:val="-43"/>
        </w:rPr>
        <w:t> </w:t>
      </w:r>
      <w:r>
        <w:rPr/>
        <w:t>年</w:t>
      </w:r>
      <w:r>
        <w:rPr>
          <w:rFonts w:ascii="Arial" w:hAnsi="Arial" w:cs="Arial" w:eastAsia="Arial" w:hint="default"/>
        </w:rPr>
        <w:t>1</w:t>
      </w:r>
      <w:r>
        <w:rPr/>
        <w:t>月</w:t>
      </w:r>
      <w:r>
        <w:rPr>
          <w:rFonts w:ascii="Arial" w:hAnsi="Arial" w:cs="Arial" w:eastAsia="Arial" w:hint="default"/>
        </w:rPr>
        <w:t>1</w:t>
      </w:r>
      <w:r>
        <w:rPr/>
        <w:t>日起生效，于</w:t>
      </w:r>
      <w:r>
        <w:rPr>
          <w:rFonts w:ascii="Arial" w:hAnsi="Arial" w:cs="Arial" w:eastAsia="Arial" w:hint="default"/>
        </w:rPr>
        <w:t>2011</w:t>
      </w:r>
      <w:r>
        <w:rPr/>
        <w:t>年和</w:t>
      </w:r>
      <w:r>
        <w:rPr>
          <w:rFonts w:ascii="Arial" w:hAnsi="Arial" w:cs="Arial" w:eastAsia="Arial" w:hint="default"/>
        </w:rPr>
        <w:t>2012</w:t>
      </w:r>
      <w:r>
        <w:rPr/>
        <w:t>年年度租赁费分别为人民币</w:t>
      </w:r>
      <w:r>
        <w:rPr>
          <w:rFonts w:ascii="Arial" w:hAnsi="Arial" w:cs="Arial" w:eastAsia="Arial" w:hint="default"/>
        </w:rPr>
        <w:t>24</w:t>
      </w:r>
      <w:r>
        <w:rPr/>
        <w:t>亿元和人民币</w:t>
      </w:r>
      <w:r>
        <w:rPr>
          <w:rFonts w:ascii="Arial" w:hAnsi="Arial" w:cs="Arial" w:eastAsia="Arial" w:hint="default"/>
        </w:rPr>
        <w:t>26</w:t>
      </w:r>
      <w:r>
        <w:rPr/>
        <w:t>亿元。联</w:t>
      </w:r>
      <w:r>
        <w:rPr>
          <w:spacing w:val="-49"/>
        </w:rPr>
        <w:t> </w:t>
      </w:r>
      <w:r>
        <w:rPr/>
        <w:t>通运营公司有权在租赁期届满前通知联通新时空是否按网络租赁协议的条款继续租赁南方固</w:t>
      </w:r>
      <w:r>
        <w:rPr>
          <w:spacing w:val="-88"/>
        </w:rPr>
        <w:t> </w:t>
      </w:r>
      <w:r>
        <w:rPr>
          <w:spacing w:val="-88"/>
        </w:rPr>
      </w:r>
      <w:r>
        <w:rPr/>
        <w:t>定电信网络，同时联通运营公司亦有权购买该等固网电信网络资产，购买价将以独立评估师</w:t>
      </w:r>
      <w:r>
        <w:rPr>
          <w:spacing w:val="-88"/>
        </w:rPr>
        <w:t> </w:t>
      </w:r>
      <w:r>
        <w:rPr>
          <w:spacing w:val="-88"/>
        </w:rPr>
      </w:r>
      <w:r>
        <w:rPr/>
        <w:t>的评估结果为基础由联通新时空和联通运营公司协商确定。</w:t>
      </w:r>
    </w:p>
    <w:p>
      <w:pPr>
        <w:spacing w:after="0" w:line="232" w:lineRule="auto"/>
        <w:jc w:val="both"/>
        <w:sectPr>
          <w:headerReference w:type="default" r:id="rId61"/>
          <w:pgSz w:w="11900" w:h="16840"/>
          <w:pgMar w:header="967" w:footer="600" w:top="3980" w:bottom="780" w:left="1440" w:right="800"/>
        </w:sectPr>
      </w:pPr>
    </w:p>
    <w:p>
      <w:pPr>
        <w:spacing w:line="240" w:lineRule="auto" w:before="10"/>
        <w:rPr>
          <w:rFonts w:ascii="宋体" w:hAnsi="宋体" w:cs="宋体" w:eastAsia="宋体" w:hint="default"/>
          <w:sz w:val="13"/>
          <w:szCs w:val="13"/>
        </w:rPr>
      </w:pPr>
    </w:p>
    <w:p>
      <w:pPr>
        <w:pStyle w:val="BodyText"/>
        <w:tabs>
          <w:tab w:pos="614" w:val="left" w:leader="none"/>
        </w:tabs>
        <w:spacing w:line="240" w:lineRule="auto" w:before="31"/>
        <w:ind w:left="110" w:right="0"/>
        <w:jc w:val="left"/>
      </w:pPr>
      <w:r>
        <w:rPr>
          <w:rFonts w:ascii="Arial" w:hAnsi="Arial" w:cs="Arial" w:eastAsia="Arial" w:hint="default"/>
          <w:w w:val="95"/>
        </w:rPr>
        <w:t>(ii)</w:t>
        <w:tab/>
      </w:r>
      <w:r>
        <w:rPr/>
        <w:t>南方固定电信网络租赁（续）</w:t>
      </w:r>
    </w:p>
    <w:p>
      <w:pPr>
        <w:spacing w:line="240" w:lineRule="auto" w:before="1"/>
        <w:rPr>
          <w:rFonts w:ascii="宋体" w:hAnsi="宋体" w:cs="宋体" w:eastAsia="宋体" w:hint="default"/>
          <w:sz w:val="18"/>
          <w:szCs w:val="18"/>
        </w:rPr>
      </w:pPr>
    </w:p>
    <w:p>
      <w:pPr>
        <w:pStyle w:val="BodyText"/>
        <w:spacing w:line="237" w:lineRule="auto"/>
        <w:ind w:left="607" w:right="206"/>
        <w:jc w:val="both"/>
      </w:pPr>
      <w:r>
        <w:rPr/>
        <w:t>联通新时空对南方固定电信网络拥有法律上的所有权。此外，在签订网络租赁协议时，市场</w:t>
      </w:r>
      <w:r>
        <w:rPr>
          <w:spacing w:val="-94"/>
        </w:rPr>
        <w:t> </w:t>
      </w:r>
      <w:r>
        <w:rPr>
          <w:spacing w:val="-94"/>
        </w:rPr>
      </w:r>
      <w:r>
        <w:rPr/>
        <w:t>环境或南方固网业务的经营成果均存在重大的不确定性，故本集团在签署上述两次网络租赁</w:t>
      </w:r>
      <w:r>
        <w:rPr>
          <w:spacing w:val="-94"/>
        </w:rPr>
        <w:t> </w:t>
      </w:r>
      <w:r>
        <w:rPr>
          <w:spacing w:val="-94"/>
        </w:rPr>
      </w:r>
      <w:r>
        <w:rPr/>
        <w:t>协议时，对租赁期结束后是否续租或行使购买选择权均存在重大的不确定性。因此，本集团</w:t>
      </w:r>
      <w:r>
        <w:rPr>
          <w:spacing w:val="-94"/>
        </w:rPr>
        <w:t> </w:t>
      </w:r>
      <w:r>
        <w:rPr>
          <w:spacing w:val="-94"/>
        </w:rPr>
      </w:r>
      <w:r>
        <w:rPr/>
        <w:t>认为本集团仅承担于租赁期间因经营南方固网业务所带来的经营风险，而没有任何拥有南方</w:t>
      </w:r>
      <w:r>
        <w:rPr>
          <w:spacing w:val="-94"/>
        </w:rPr>
        <w:t> </w:t>
      </w:r>
      <w:r>
        <w:rPr>
          <w:spacing w:val="-94"/>
        </w:rPr>
      </w:r>
      <w:r>
        <w:rPr/>
        <w:t>固定电信网络的所有权风险，而联通新时空及联通集团承担与南方固定电信网络相关的所有</w:t>
      </w:r>
      <w:r>
        <w:rPr>
          <w:spacing w:val="-94"/>
        </w:rPr>
        <w:t> </w:t>
      </w:r>
      <w:r>
        <w:rPr>
          <w:spacing w:val="-94"/>
        </w:rPr>
      </w:r>
      <w:r>
        <w:rPr/>
        <w:t>权风险。所以本集团判断上述南方固定电信网络租赁为经营性租赁，因此南方固定电信网络</w:t>
      </w:r>
      <w:r>
        <w:rPr>
          <w:spacing w:val="-94"/>
        </w:rPr>
        <w:t> </w:t>
      </w:r>
      <w:r>
        <w:rPr>
          <w:spacing w:val="-94"/>
        </w:rPr>
      </w:r>
      <w:r>
        <w:rPr/>
        <w:t>租赁费被记录在利润表中，而南方固定电信网络资产的账面价值及相关的负债并未包括在本</w:t>
      </w:r>
      <w:r>
        <w:rPr>
          <w:spacing w:val="-94"/>
        </w:rPr>
        <w:t> </w:t>
      </w:r>
      <w:r>
        <w:rPr>
          <w:spacing w:val="-94"/>
        </w:rPr>
      </w:r>
      <w:r>
        <w:rPr/>
        <w:t>集团的合并资产负债表中。</w:t>
      </w:r>
    </w:p>
    <w:p>
      <w:pPr>
        <w:spacing w:line="240" w:lineRule="auto" w:before="9"/>
        <w:rPr>
          <w:rFonts w:ascii="宋体" w:hAnsi="宋体" w:cs="宋体" w:eastAsia="宋体" w:hint="default"/>
          <w:sz w:val="16"/>
          <w:szCs w:val="16"/>
        </w:rPr>
      </w:pPr>
    </w:p>
    <w:p>
      <w:pPr>
        <w:pStyle w:val="BodyText"/>
        <w:spacing w:line="240" w:lineRule="auto"/>
        <w:ind w:left="133" w:right="0"/>
        <w:jc w:val="left"/>
      </w:pPr>
      <w:r>
        <w:rPr>
          <w:rFonts w:ascii="Arial" w:hAnsi="Arial" w:cs="Arial" w:eastAsia="Arial" w:hint="default"/>
        </w:rPr>
        <w:t>(iii) </w:t>
      </w:r>
      <w:r>
        <w:rPr>
          <w:rFonts w:ascii="Arial" w:hAnsi="Arial" w:cs="Arial" w:eastAsia="Arial" w:hint="default"/>
          <w:spacing w:val="43"/>
        </w:rPr>
        <w:t> </w:t>
      </w:r>
      <w:r>
        <w:rPr/>
        <w:t>可供出售金融资产减值评估</w:t>
      </w:r>
    </w:p>
    <w:p>
      <w:pPr>
        <w:spacing w:line="240" w:lineRule="auto" w:before="8"/>
        <w:rPr>
          <w:rFonts w:ascii="宋体" w:hAnsi="宋体" w:cs="宋体" w:eastAsia="宋体" w:hint="default"/>
          <w:sz w:val="16"/>
          <w:szCs w:val="16"/>
        </w:rPr>
      </w:pPr>
    </w:p>
    <w:p>
      <w:pPr>
        <w:pStyle w:val="BodyText"/>
        <w:spacing w:line="225" w:lineRule="auto"/>
        <w:ind w:left="607" w:right="0"/>
        <w:jc w:val="left"/>
      </w:pPr>
      <w:r>
        <w:rPr>
          <w:w w:val="95"/>
        </w:rPr>
        <w:t>出于战略合作的考虑，本公司的子公司联通红筹公司于</w:t>
      </w:r>
      <w:r>
        <w:rPr>
          <w:rFonts w:ascii="Arial" w:hAnsi="Arial" w:cs="Arial" w:eastAsia="Arial" w:hint="default"/>
          <w:w w:val="95"/>
        </w:rPr>
        <w:t>2009</w:t>
      </w:r>
      <w:r>
        <w:rPr>
          <w:w w:val="95"/>
        </w:rPr>
        <w:t>年</w:t>
      </w:r>
      <w:r>
        <w:rPr>
          <w:rFonts w:ascii="Arial" w:hAnsi="Arial" w:cs="Arial" w:eastAsia="Arial" w:hint="default"/>
          <w:w w:val="95"/>
        </w:rPr>
        <w:t>10</w:t>
      </w:r>
      <w:r>
        <w:rPr>
          <w:w w:val="95"/>
        </w:rPr>
        <w:t>月</w:t>
      </w:r>
      <w:r>
        <w:rPr>
          <w:rFonts w:ascii="Arial" w:hAnsi="Arial" w:cs="Arial" w:eastAsia="Arial" w:hint="default"/>
          <w:w w:val="95"/>
        </w:rPr>
        <w:t>21</w:t>
      </w:r>
      <w:r>
        <w:rPr>
          <w:w w:val="95"/>
        </w:rPr>
        <w:t>日与西班牙电信签署了</w:t>
      </w:r>
      <w:r>
        <w:rPr>
          <w:spacing w:val="49"/>
          <w:w w:val="95"/>
        </w:rPr>
        <w:t> </w:t>
      </w:r>
      <w:r>
        <w:rPr>
          <w:spacing w:val="49"/>
          <w:w w:val="95"/>
        </w:rPr>
      </w:r>
      <w:r>
        <w:rPr/>
        <w:t>认购协议，由联通红筹公司与西班牙电信通过互换股份的方式互相认购了对方相当于</w:t>
      </w:r>
      <w:r>
        <w:rPr>
          <w:rFonts w:ascii="Arial" w:hAnsi="Arial" w:cs="Arial" w:eastAsia="Arial" w:hint="default"/>
        </w:rPr>
        <w:t>10</w:t>
      </w:r>
      <w:r>
        <w:rPr/>
        <w:t>亿美</w:t>
      </w:r>
      <w:r>
        <w:rPr>
          <w:spacing w:val="-2"/>
          <w:w w:val="99"/>
        </w:rPr>
        <w:t> </w:t>
      </w:r>
      <w:r>
        <w:rPr/>
        <w:t>元的股份（“第一次投资”）。其后并于</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23</w:t>
      </w:r>
      <w:r>
        <w:rPr/>
        <w:t>日签署一份后续的认购协议，由联通</w:t>
      </w:r>
      <w:r>
        <w:rPr>
          <w:spacing w:val="-76"/>
        </w:rPr>
        <w:t> </w:t>
      </w:r>
      <w:r>
        <w:rPr>
          <w:spacing w:val="-76"/>
        </w:rPr>
      </w:r>
      <w:r>
        <w:rPr>
          <w:w w:val="95"/>
        </w:rPr>
        <w:t>红筹公司与西班牙电信互相以现金方式认购对方相当于</w:t>
      </w:r>
      <w:r>
        <w:rPr>
          <w:rFonts w:ascii="Arial" w:hAnsi="Arial" w:cs="Arial" w:eastAsia="Arial" w:hint="default"/>
          <w:w w:val="95"/>
        </w:rPr>
        <w:t>5</w:t>
      </w:r>
      <w:r>
        <w:rPr>
          <w:w w:val="95"/>
        </w:rPr>
        <w:t>亿美元的股份（“第二次投资”）。</w:t>
      </w:r>
      <w:r>
        <w:rPr>
          <w:spacing w:val="22"/>
          <w:w w:val="95"/>
        </w:rPr>
        <w:t> </w:t>
      </w:r>
      <w:r>
        <w:rPr>
          <w:spacing w:val="22"/>
          <w:w w:val="95"/>
        </w:rPr>
      </w:r>
      <w:r>
        <w:rPr/>
        <w:t>此权益工具投资作为可供出售金融资产入账。</w:t>
      </w:r>
    </w:p>
    <w:p>
      <w:pPr>
        <w:spacing w:line="240" w:lineRule="auto" w:before="11"/>
        <w:rPr>
          <w:rFonts w:ascii="宋体" w:hAnsi="宋体" w:cs="宋体" w:eastAsia="宋体" w:hint="default"/>
          <w:sz w:val="19"/>
          <w:szCs w:val="19"/>
        </w:rPr>
      </w:pPr>
    </w:p>
    <w:p>
      <w:pPr>
        <w:pStyle w:val="BodyText"/>
        <w:spacing w:line="232" w:lineRule="auto"/>
        <w:ind w:left="607" w:right="206"/>
        <w:jc w:val="both"/>
      </w:pPr>
      <w:r>
        <w:rPr/>
        <w:t>本公司在评估此项可供出售金融资产于资产负债表日是否存在客观证据表明其发生减值时，</w:t>
      </w:r>
      <w:r>
        <w:rPr>
          <w:spacing w:val="-94"/>
        </w:rPr>
        <w:t> </w:t>
      </w:r>
      <w:r>
        <w:rPr>
          <w:spacing w:val="-94"/>
        </w:rPr>
      </w:r>
      <w:r>
        <w:rPr/>
        <w:t>通过综合分析后认为：西班牙电信投资近期股价下跌主要是因受全球金融动荡及欧元区某些</w:t>
      </w:r>
      <w:r>
        <w:rPr>
          <w:spacing w:val="-94"/>
        </w:rPr>
        <w:t> </w:t>
      </w:r>
      <w:r>
        <w:rPr>
          <w:spacing w:val="-94"/>
        </w:rPr>
      </w:r>
      <w:r>
        <w:rPr>
          <w:spacing w:val="-1"/>
        </w:rPr>
        <w:t>国家信用等级下调等因素所致；同时，作为一家大型跨国通信公司，西班牙电信自</w:t>
      </w:r>
      <w:r>
        <w:rPr>
          <w:rFonts w:ascii="Arial" w:hAnsi="Arial" w:cs="Arial" w:eastAsia="Arial" w:hint="default"/>
          <w:spacing w:val="-1"/>
        </w:rPr>
        <w:t>2009</w:t>
      </w:r>
      <w:r>
        <w:rPr>
          <w:spacing w:val="-1"/>
        </w:rPr>
        <w:t>年度</w:t>
      </w:r>
      <w:r>
        <w:rPr>
          <w:spacing w:val="-104"/>
        </w:rPr>
        <w:t> </w:t>
      </w:r>
      <w:r>
        <w:rPr>
          <w:spacing w:val="-1"/>
        </w:rPr>
        <w:t>至</w:t>
      </w:r>
      <w:r>
        <w:rPr>
          <w:rFonts w:ascii="Arial" w:hAnsi="Arial" w:cs="Arial" w:eastAsia="Arial" w:hint="default"/>
          <w:spacing w:val="-1"/>
        </w:rPr>
        <w:t>2011</w:t>
      </w:r>
      <w:r>
        <w:rPr>
          <w:spacing w:val="-1"/>
        </w:rPr>
        <w:t>年度经营运作稳定，收入及用户数保持稳定增长，息税折旧前盈余及经营利润在剔除</w:t>
      </w:r>
      <w:r>
        <w:rPr>
          <w:spacing w:val="-99"/>
        </w:rPr>
        <w:t> </w:t>
      </w:r>
      <w:r>
        <w:rPr>
          <w:spacing w:val="-99"/>
        </w:rPr>
      </w:r>
      <w:r>
        <w:rPr/>
        <w:t>个别的一次性事项影响后保持稳定，表明其经营状况以及财务状况不存在下滑的情况；鉴于</w:t>
      </w:r>
      <w:r>
        <w:rPr>
          <w:spacing w:val="-94"/>
        </w:rPr>
        <w:t> </w:t>
      </w:r>
      <w:r>
        <w:rPr>
          <w:spacing w:val="-94"/>
        </w:rPr>
      </w:r>
      <w:r>
        <w:rPr/>
        <w:t>西班牙电信的稳定的经营业绩和业务前景、以及本集团在可预见的未来将以战略合作为目的</w:t>
      </w:r>
      <w:r>
        <w:rPr>
          <w:spacing w:val="-94"/>
        </w:rPr>
        <w:t> </w:t>
      </w:r>
      <w:r>
        <w:rPr>
          <w:spacing w:val="-94"/>
        </w:rPr>
      </w:r>
      <w:r>
        <w:rPr>
          <w:spacing w:val="-2"/>
        </w:rPr>
        <w:t>继续持有该项投资等综合因素的考虑，此项可供出售金融资产于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日尚无需进行</w:t>
      </w:r>
      <w:r>
        <w:rPr>
          <w:spacing w:val="-104"/>
        </w:rPr>
        <w:t> </w:t>
      </w:r>
      <w:r>
        <w:rPr>
          <w:spacing w:val="-104"/>
        </w:rPr>
      </w:r>
      <w:r>
        <w:rPr/>
        <w:t>减值的会计处理。</w:t>
      </w:r>
    </w:p>
    <w:p>
      <w:pPr>
        <w:spacing w:line="240" w:lineRule="auto" w:before="2"/>
        <w:rPr>
          <w:rFonts w:ascii="宋体" w:hAnsi="宋体" w:cs="宋体" w:eastAsia="宋体" w:hint="default"/>
          <w:sz w:val="19"/>
          <w:szCs w:val="19"/>
        </w:rPr>
      </w:pPr>
    </w:p>
    <w:p>
      <w:pPr>
        <w:pStyle w:val="BodyText"/>
        <w:spacing w:line="424" w:lineRule="auto"/>
        <w:ind w:left="118" w:right="7278" w:hanging="1"/>
        <w:jc w:val="left"/>
      </w:pPr>
      <w:r>
        <w:rPr>
          <w:rFonts w:ascii="Arial" w:hAnsi="Arial" w:cs="Arial" w:eastAsia="Arial" w:hint="default"/>
        </w:rPr>
        <w:t>33</w:t>
      </w:r>
      <w:r>
        <w:rPr/>
        <w:t>、金融工具及其风险</w:t>
      </w:r>
      <w:r>
        <w:rPr>
          <w:w w:val="99"/>
        </w:rPr>
        <w:t> </w:t>
      </w:r>
      <w:r>
        <w:rPr>
          <w:rFonts w:ascii="Arial" w:hAnsi="Arial" w:cs="Arial" w:eastAsia="Arial" w:hint="default"/>
        </w:rPr>
        <w:t>(a) </w:t>
      </w:r>
      <w:r>
        <w:rPr>
          <w:rFonts w:ascii="Arial" w:hAnsi="Arial" w:cs="Arial" w:eastAsia="Arial" w:hint="default"/>
          <w:spacing w:val="58"/>
        </w:rPr>
        <w:t> </w:t>
      </w:r>
      <w:r>
        <w:rPr/>
        <w:t>金融风险因素</w:t>
      </w:r>
    </w:p>
    <w:p>
      <w:pPr>
        <w:pStyle w:val="BodyText"/>
        <w:spacing w:line="286" w:lineRule="exact" w:before="73"/>
        <w:ind w:left="596" w:right="209"/>
        <w:jc w:val="both"/>
      </w:pPr>
      <w:r>
        <w:rPr/>
        <w:t>本集团的经营活动会涉及各种金融风险，包括：市场风险（包括外汇风险、价格风险、现金</w:t>
      </w:r>
      <w:r>
        <w:rPr>
          <w:spacing w:val="-87"/>
        </w:rPr>
        <w:t> </w:t>
      </w:r>
      <w:r>
        <w:rPr>
          <w:spacing w:val="-87"/>
        </w:rPr>
      </w:r>
      <w:r>
        <w:rPr/>
        <w:t>流量利率风险及公允价值利率风险），信用风险和流动性风险。本集团整体风险管理计划是</w:t>
      </w:r>
      <w:r>
        <w:rPr>
          <w:spacing w:val="-87"/>
        </w:rPr>
        <w:t> </w:t>
      </w:r>
      <w:r>
        <w:rPr>
          <w:spacing w:val="-87"/>
        </w:rPr>
      </w:r>
      <w:r>
        <w:rPr/>
        <w:t>针对金融市场的不可预见性，尽可能减少对本集团财务业绩的潜在不利影响。</w:t>
      </w:r>
    </w:p>
    <w:p>
      <w:pPr>
        <w:spacing w:after="0" w:line="286" w:lineRule="exact"/>
        <w:jc w:val="both"/>
        <w:sectPr>
          <w:headerReference w:type="default" r:id="rId62"/>
          <w:pgSz w:w="11900" w:h="16840"/>
          <w:pgMar w:header="967" w:footer="600" w:top="3980" w:bottom="780" w:left="1440" w:right="820"/>
        </w:sectPr>
      </w:pPr>
    </w:p>
    <w:p>
      <w:pPr>
        <w:spacing w:line="240" w:lineRule="auto" w:before="12"/>
        <w:rPr>
          <w:rFonts w:ascii="宋体" w:hAnsi="宋体" w:cs="宋体" w:eastAsia="宋体" w:hint="default"/>
          <w:sz w:val="15"/>
          <w:szCs w:val="15"/>
        </w:rPr>
      </w:pPr>
    </w:p>
    <w:p>
      <w:pPr>
        <w:pStyle w:val="BodyText"/>
        <w:tabs>
          <w:tab w:pos="596" w:val="left" w:leader="none"/>
        </w:tabs>
        <w:spacing w:line="240" w:lineRule="auto" w:before="31"/>
        <w:ind w:left="118" w:right="91"/>
        <w:jc w:val="left"/>
      </w:pPr>
      <w:r>
        <w:rPr>
          <w:rFonts w:ascii="Arial" w:hAnsi="Arial" w:cs="Arial" w:eastAsia="Arial" w:hint="default"/>
          <w:w w:val="95"/>
        </w:rPr>
        <w:t>(1)</w:t>
        <w:tab/>
      </w:r>
      <w:r>
        <w:rPr/>
        <w:t>市场风险</w:t>
      </w:r>
    </w:p>
    <w:p>
      <w:pPr>
        <w:spacing w:line="240" w:lineRule="auto" w:before="13"/>
        <w:rPr>
          <w:rFonts w:ascii="宋体" w:hAnsi="宋体" w:cs="宋体" w:eastAsia="宋体" w:hint="default"/>
          <w:sz w:val="17"/>
          <w:szCs w:val="17"/>
        </w:rPr>
      </w:pPr>
    </w:p>
    <w:p>
      <w:pPr>
        <w:pStyle w:val="BodyText"/>
        <w:tabs>
          <w:tab w:pos="596" w:val="left" w:leader="none"/>
        </w:tabs>
        <w:spacing w:line="240" w:lineRule="auto"/>
        <w:ind w:left="118" w:right="91"/>
        <w:jc w:val="left"/>
      </w:pPr>
      <w:r>
        <w:rPr>
          <w:rFonts w:ascii="Arial" w:hAnsi="Arial" w:cs="Arial" w:eastAsia="Arial" w:hint="default"/>
          <w:w w:val="95"/>
        </w:rPr>
        <w:t>(i)</w:t>
        <w:tab/>
      </w:r>
      <w:r>
        <w:rPr/>
        <w:t>外汇风险</w:t>
      </w:r>
    </w:p>
    <w:p>
      <w:pPr>
        <w:spacing w:line="240" w:lineRule="auto" w:before="0"/>
        <w:rPr>
          <w:rFonts w:ascii="宋体" w:hAnsi="宋体" w:cs="宋体" w:eastAsia="宋体" w:hint="default"/>
          <w:sz w:val="20"/>
          <w:szCs w:val="20"/>
        </w:rPr>
      </w:pPr>
    </w:p>
    <w:p>
      <w:pPr>
        <w:pStyle w:val="BodyText"/>
        <w:spacing w:line="286" w:lineRule="exact"/>
        <w:ind w:left="596" w:right="229"/>
        <w:jc w:val="both"/>
      </w:pPr>
      <w:r>
        <w:rPr/>
        <w:t>本集团的主要经营位于中国境内，主要业务也以人民币结算。但本集团承受因多种不同货币</w:t>
      </w:r>
      <w:r>
        <w:rPr>
          <w:spacing w:val="-87"/>
        </w:rPr>
        <w:t> </w:t>
      </w:r>
      <w:r>
        <w:rPr>
          <w:spacing w:val="-87"/>
        </w:rPr>
      </w:r>
      <w:r>
        <w:rPr/>
        <w:t>产生的外汇风险，主要涉及美元、港币和欧元，如当偿还外币借款，以外币支付款项予设备</w:t>
      </w:r>
      <w:r>
        <w:rPr>
          <w:spacing w:val="-87"/>
        </w:rPr>
        <w:t> </w:t>
      </w:r>
      <w:r>
        <w:rPr>
          <w:spacing w:val="-87"/>
        </w:rPr>
      </w:r>
      <w:r>
        <w:rPr/>
        <w:t>供货商和承办商或偿还外币借款等情况下，即存在外汇风险。</w:t>
      </w:r>
    </w:p>
    <w:p>
      <w:pPr>
        <w:spacing w:line="240" w:lineRule="auto" w:before="3"/>
        <w:rPr>
          <w:rFonts w:ascii="宋体" w:hAnsi="宋体" w:cs="宋体" w:eastAsia="宋体" w:hint="default"/>
          <w:sz w:val="19"/>
          <w:szCs w:val="19"/>
        </w:rPr>
      </w:pPr>
    </w:p>
    <w:p>
      <w:pPr>
        <w:pStyle w:val="BodyText"/>
        <w:spacing w:line="286" w:lineRule="exact"/>
        <w:ind w:left="596" w:right="222"/>
        <w:jc w:val="both"/>
      </w:pPr>
      <w:r>
        <w:rPr/>
        <w:t>本集团总部财务部门负责监管集团外币资产及负债规模，以降低所面临的外汇风险。本集团</w:t>
      </w:r>
      <w:r>
        <w:rPr>
          <w:spacing w:val="-87"/>
        </w:rPr>
        <w:t> </w:t>
      </w:r>
      <w:r>
        <w:rPr>
          <w:spacing w:val="-87"/>
        </w:rPr>
      </w:r>
      <w:r>
        <w:rPr>
          <w:spacing w:val="-2"/>
        </w:rPr>
        <w:t>可能签署远期外汇合约或货币掉期合约以规避外汇风险。于</w:t>
      </w:r>
      <w:r>
        <w:rPr>
          <w:rFonts w:ascii="Arial" w:hAnsi="Arial" w:cs="Arial" w:eastAsia="Arial" w:hint="default"/>
          <w:spacing w:val="-2"/>
        </w:rPr>
        <w:t>2011</w:t>
      </w:r>
      <w:r>
        <w:rPr>
          <w:spacing w:val="-2"/>
        </w:rPr>
        <w:t>年度和</w:t>
      </w:r>
      <w:r>
        <w:rPr>
          <w:rFonts w:ascii="Arial" w:hAnsi="Arial" w:cs="Arial" w:eastAsia="Arial" w:hint="default"/>
          <w:spacing w:val="-2"/>
        </w:rPr>
        <w:t>2010</w:t>
      </w:r>
      <w:r>
        <w:rPr>
          <w:spacing w:val="-2"/>
        </w:rPr>
        <w:t>年度，本集团未</w:t>
      </w:r>
      <w:r>
        <w:rPr>
          <w:spacing w:val="-95"/>
        </w:rPr>
        <w:t> </w:t>
      </w:r>
      <w:r>
        <w:rPr>
          <w:spacing w:val="-95"/>
        </w:rPr>
      </w:r>
      <w:r>
        <w:rPr/>
        <w:t>签署任何远期外汇合约或货币掉期合约。</w:t>
      </w:r>
    </w:p>
    <w:p>
      <w:pPr>
        <w:spacing w:line="240" w:lineRule="auto" w:before="3"/>
        <w:rPr>
          <w:rFonts w:ascii="宋体" w:hAnsi="宋体" w:cs="宋体" w:eastAsia="宋体" w:hint="default"/>
          <w:sz w:val="19"/>
          <w:szCs w:val="19"/>
        </w:rPr>
      </w:pPr>
    </w:p>
    <w:p>
      <w:pPr>
        <w:pStyle w:val="BodyText"/>
        <w:spacing w:line="286" w:lineRule="exact"/>
        <w:ind w:left="596" w:right="222" w:hanging="1"/>
        <w:jc w:val="both"/>
      </w:pPr>
      <w:r>
        <w:rPr>
          <w:spacing w:val="3"/>
        </w:rPr>
        <w:t>于</w:t>
      </w: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日及</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日，本集团分别有等值约人民币</w:t>
      </w:r>
      <w:r>
        <w:rPr>
          <w:rFonts w:ascii="Arial" w:hAnsi="Arial" w:cs="Arial" w:eastAsia="Arial" w:hint="default"/>
          <w:spacing w:val="3"/>
        </w:rPr>
        <w:t>78.12</w:t>
      </w:r>
      <w:r>
        <w:rPr>
          <w:spacing w:val="3"/>
        </w:rPr>
        <w:t>亿元和约人民币</w:t>
      </w:r>
      <w:r>
        <w:rPr>
          <w:spacing w:val="4"/>
          <w:w w:val="99"/>
        </w:rPr>
        <w:t> </w:t>
      </w:r>
      <w:r>
        <w:rPr>
          <w:rFonts w:ascii="Arial" w:hAnsi="Arial" w:cs="Arial" w:eastAsia="Arial" w:hint="default"/>
        </w:rPr>
        <w:t>185.54</w:t>
      </w:r>
      <w:r>
        <w:rPr/>
        <w:t>亿元的可供出售金融资产及外币货币资金。于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w:t>
      </w:r>
      <w:r>
        <w:rPr>
          <w:spacing w:val="-83"/>
        </w:rPr>
        <w:t> </w:t>
      </w:r>
      <w:r>
        <w:rPr/>
        <w:t>本集团分别有等值约人民币</w:t>
      </w:r>
      <w:r>
        <w:rPr>
          <w:rFonts w:ascii="Arial" w:hAnsi="Arial" w:cs="Arial" w:eastAsia="Arial" w:hint="default"/>
        </w:rPr>
        <w:t>284.98</w:t>
      </w:r>
      <w:r>
        <w:rPr/>
        <w:t>亿元和约人民币</w:t>
      </w:r>
      <w:r>
        <w:rPr>
          <w:rFonts w:ascii="Arial" w:hAnsi="Arial" w:cs="Arial" w:eastAsia="Arial" w:hint="default"/>
        </w:rPr>
        <w:t>254.09</w:t>
      </w:r>
      <w:r>
        <w:rPr/>
        <w:t>亿元的可转换债券和外币借款。</w:t>
      </w:r>
    </w:p>
    <w:p>
      <w:pPr>
        <w:spacing w:line="240" w:lineRule="auto" w:before="5"/>
        <w:rPr>
          <w:rFonts w:ascii="宋体" w:hAnsi="宋体" w:cs="宋体" w:eastAsia="宋体" w:hint="default"/>
          <w:sz w:val="18"/>
          <w:szCs w:val="18"/>
        </w:rPr>
      </w:pPr>
    </w:p>
    <w:p>
      <w:pPr>
        <w:pStyle w:val="BodyText"/>
        <w:spacing w:line="225" w:lineRule="auto"/>
        <w:ind w:left="596" w:right="116" w:hanging="1"/>
        <w:jc w:val="both"/>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日，对于本集团以外币计价的货币资金及银行借款，假设人民币对外币（主</w:t>
      </w:r>
      <w:r>
        <w:rPr>
          <w:w w:val="99"/>
        </w:rPr>
        <w:t> </w:t>
      </w:r>
      <w:r>
        <w:rPr/>
        <w:t>要为对美元、港币和欧元）升值或贬值</w:t>
      </w:r>
      <w:r>
        <w:rPr>
          <w:rFonts w:ascii="Arial" w:hAnsi="Arial" w:cs="Arial" w:eastAsia="Arial" w:hint="default"/>
        </w:rPr>
        <w:t>10%</w:t>
      </w:r>
      <w:r>
        <w:rPr/>
        <w:t>，而其他因素保持不变，则本集团会额外产生汇</w:t>
      </w:r>
      <w:r>
        <w:rPr>
          <w:spacing w:val="-89"/>
        </w:rPr>
        <w:t> </w:t>
      </w:r>
      <w:r>
        <w:rPr>
          <w:spacing w:val="-89"/>
        </w:rPr>
      </w:r>
      <w:r>
        <w:rPr>
          <w:spacing w:val="-4"/>
        </w:rPr>
        <w:t>兑收益或损失约人民币</w:t>
      </w:r>
      <w:r>
        <w:rPr>
          <w:rFonts w:ascii="Arial" w:hAnsi="Arial" w:cs="Arial" w:eastAsia="Arial" w:hint="default"/>
          <w:spacing w:val="-4"/>
        </w:rPr>
        <w:t>27.52</w:t>
      </w:r>
      <w:r>
        <w:rPr>
          <w:spacing w:val="-4"/>
        </w:rPr>
        <w:t>亿元（</w:t>
      </w:r>
      <w:r>
        <w:rPr>
          <w:rFonts w:ascii="Arial" w:hAnsi="Arial" w:cs="Arial" w:eastAsia="Arial" w:hint="default"/>
          <w:spacing w:val="-4"/>
        </w:rPr>
        <w:t>2010</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31</w:t>
      </w:r>
      <w:r>
        <w:rPr>
          <w:spacing w:val="-4"/>
        </w:rPr>
        <w:t>日：汇兑收益或损失约人民币</w:t>
      </w:r>
      <w:r>
        <w:rPr>
          <w:rFonts w:ascii="Arial" w:hAnsi="Arial" w:cs="Arial" w:eastAsia="Arial" w:hint="default"/>
          <w:spacing w:val="-4"/>
        </w:rPr>
        <w:t>12.94</w:t>
      </w:r>
      <w:r>
        <w:rPr>
          <w:spacing w:val="-4"/>
        </w:rPr>
        <w:t>亿元）。</w:t>
      </w:r>
    </w:p>
    <w:p>
      <w:pPr>
        <w:spacing w:line="240" w:lineRule="auto" w:before="2"/>
        <w:rPr>
          <w:rFonts w:ascii="宋体" w:hAnsi="宋体" w:cs="宋体" w:eastAsia="宋体" w:hint="default"/>
          <w:sz w:val="18"/>
          <w:szCs w:val="18"/>
        </w:rPr>
      </w:pPr>
    </w:p>
    <w:p>
      <w:pPr>
        <w:pStyle w:val="ListParagraph"/>
        <w:numPr>
          <w:ilvl w:val="0"/>
          <w:numId w:val="2"/>
        </w:numPr>
        <w:tabs>
          <w:tab w:pos="597" w:val="left" w:leader="none"/>
        </w:tabs>
        <w:spacing w:line="240" w:lineRule="auto" w:before="0" w:after="0"/>
        <w:ind w:left="596" w:right="91" w:hanging="478"/>
        <w:jc w:val="left"/>
        <w:rPr>
          <w:rFonts w:ascii="宋体" w:hAnsi="宋体" w:cs="宋体" w:eastAsia="宋体" w:hint="default"/>
          <w:sz w:val="22"/>
          <w:szCs w:val="22"/>
        </w:rPr>
      </w:pPr>
      <w:r>
        <w:rPr>
          <w:rFonts w:ascii="宋体" w:hAnsi="宋体" w:cs="宋体" w:eastAsia="宋体" w:hint="default"/>
          <w:sz w:val="22"/>
          <w:szCs w:val="22"/>
        </w:rPr>
        <w:t>价格风险</w:t>
      </w:r>
    </w:p>
    <w:p>
      <w:pPr>
        <w:spacing w:line="240" w:lineRule="auto" w:before="0"/>
        <w:rPr>
          <w:rFonts w:ascii="宋体" w:hAnsi="宋体" w:cs="宋体" w:eastAsia="宋体" w:hint="default"/>
          <w:sz w:val="20"/>
          <w:szCs w:val="20"/>
        </w:rPr>
      </w:pPr>
    </w:p>
    <w:p>
      <w:pPr>
        <w:pStyle w:val="BodyText"/>
        <w:spacing w:line="286" w:lineRule="exact"/>
        <w:ind w:left="596" w:right="227"/>
        <w:jc w:val="both"/>
      </w:pPr>
      <w:r>
        <w:rPr/>
        <w:t>本集团在资产负债表中被分类为可供出售金融资产的股票投资主要为西班牙电信的股票，因</w:t>
      </w:r>
      <w:r>
        <w:rPr>
          <w:spacing w:val="-87"/>
        </w:rPr>
        <w:t> </w:t>
      </w:r>
      <w:r>
        <w:rPr>
          <w:spacing w:val="-87"/>
        </w:rPr>
      </w:r>
      <w:r>
        <w:rPr/>
        <w:t>此本集团承受权益证券的市场价格风险。</w:t>
      </w:r>
    </w:p>
    <w:p>
      <w:pPr>
        <w:spacing w:line="240" w:lineRule="auto" w:before="12"/>
        <w:rPr>
          <w:rFonts w:ascii="宋体" w:hAnsi="宋体" w:cs="宋体" w:eastAsia="宋体" w:hint="default"/>
          <w:sz w:val="17"/>
          <w:szCs w:val="17"/>
        </w:rPr>
      </w:pPr>
    </w:p>
    <w:p>
      <w:pPr>
        <w:pStyle w:val="BodyText"/>
        <w:spacing w:line="230" w:lineRule="auto"/>
        <w:ind w:left="596" w:right="227"/>
        <w:jc w:val="both"/>
      </w:pPr>
      <w:r>
        <w:rPr>
          <w:spacing w:val="-2"/>
        </w:rPr>
        <w:t>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日，假设西班牙电信的股票价格上升或下降</w:t>
      </w:r>
      <w:r>
        <w:rPr>
          <w:rFonts w:ascii="Arial" w:hAnsi="Arial" w:cs="Arial" w:eastAsia="Arial" w:hint="default"/>
          <w:spacing w:val="-2"/>
        </w:rPr>
        <w:t>10%</w:t>
      </w:r>
      <w:r>
        <w:rPr>
          <w:spacing w:val="-2"/>
        </w:rPr>
        <w:t>，而其他因素保持不变，则</w:t>
      </w:r>
      <w:r>
        <w:rPr>
          <w:spacing w:val="-93"/>
        </w:rPr>
        <w:t> </w:t>
      </w:r>
      <w:r>
        <w:rPr>
          <w:spacing w:val="-93"/>
        </w:rPr>
      </w:r>
      <w:r>
        <w:rPr/>
        <w:t>本集团会额外确认因可供出售金融资产公允价值变动导致的可供出售金融资产账面价值增加</w:t>
      </w:r>
      <w:r>
        <w:rPr>
          <w:spacing w:val="-87"/>
        </w:rPr>
        <w:t> </w:t>
      </w:r>
      <w:r>
        <w:rPr>
          <w:spacing w:val="-87"/>
        </w:rPr>
      </w:r>
      <w:r>
        <w:rPr/>
        <w:t>或减少约人民币</w:t>
      </w:r>
      <w:r>
        <w:rPr>
          <w:rFonts w:ascii="Arial" w:hAnsi="Arial" w:cs="Arial" w:eastAsia="Arial" w:hint="default"/>
        </w:rPr>
        <w:t>6.84</w:t>
      </w:r>
      <w:r>
        <w:rPr/>
        <w:t>亿元（</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6.09</w:t>
      </w:r>
      <w:r>
        <w:rPr/>
        <w:t>亿元）。</w:t>
      </w:r>
    </w:p>
    <w:p>
      <w:pPr>
        <w:pStyle w:val="BodyText"/>
        <w:spacing w:line="240" w:lineRule="auto" w:before="183"/>
        <w:ind w:left="118" w:right="91"/>
        <w:jc w:val="left"/>
      </w:pPr>
      <w:r>
        <w:rPr>
          <w:rFonts w:ascii="Arial" w:hAnsi="Arial" w:cs="Arial" w:eastAsia="Arial" w:hint="default"/>
        </w:rPr>
        <w:t>(iii) </w:t>
      </w:r>
      <w:r>
        <w:rPr>
          <w:rFonts w:ascii="Arial" w:hAnsi="Arial" w:cs="Arial" w:eastAsia="Arial" w:hint="default"/>
          <w:spacing w:val="59"/>
        </w:rPr>
        <w:t> </w:t>
      </w:r>
      <w:r>
        <w:rPr/>
        <w:t>现金流量利率和公允价值利率风险</w:t>
      </w:r>
    </w:p>
    <w:p>
      <w:pPr>
        <w:spacing w:line="240" w:lineRule="auto" w:before="1"/>
        <w:rPr>
          <w:rFonts w:ascii="宋体" w:hAnsi="宋体" w:cs="宋体" w:eastAsia="宋体" w:hint="default"/>
          <w:sz w:val="16"/>
          <w:szCs w:val="16"/>
        </w:rPr>
      </w:pPr>
    </w:p>
    <w:p>
      <w:pPr>
        <w:pStyle w:val="BodyText"/>
        <w:spacing w:line="286" w:lineRule="exact"/>
        <w:ind w:left="596" w:right="229"/>
        <w:jc w:val="both"/>
      </w:pPr>
      <w:r>
        <w:rPr/>
        <w:t>本集团的带息资产主要为银行存款。由于主要的银行存款皆为短期性质并且所涉及的利息金</w:t>
      </w:r>
      <w:r>
        <w:rPr>
          <w:spacing w:val="-87"/>
        </w:rPr>
        <w:t> </w:t>
      </w:r>
      <w:r>
        <w:rPr>
          <w:spacing w:val="-87"/>
        </w:rPr>
      </w:r>
      <w:r>
        <w:rPr/>
        <w:t>额并不重大，管理层认为市场存款利率的波动并不会对财务报表造成重大的影响。</w:t>
      </w:r>
    </w:p>
    <w:p>
      <w:pPr>
        <w:spacing w:line="240" w:lineRule="auto" w:before="3"/>
        <w:rPr>
          <w:rFonts w:ascii="宋体" w:hAnsi="宋体" w:cs="宋体" w:eastAsia="宋体" w:hint="default"/>
          <w:sz w:val="19"/>
          <w:szCs w:val="19"/>
        </w:rPr>
      </w:pPr>
    </w:p>
    <w:p>
      <w:pPr>
        <w:pStyle w:val="BodyText"/>
        <w:spacing w:line="286" w:lineRule="exact"/>
        <w:ind w:left="596" w:right="229"/>
        <w:jc w:val="both"/>
      </w:pPr>
      <w:r>
        <w:rPr/>
        <w:t>本集团的利率风险产生于带息债务，包括银行借款、长短期债券及关联方借款等计息借款。</w:t>
      </w:r>
      <w:r>
        <w:rPr>
          <w:spacing w:val="-87"/>
        </w:rPr>
        <w:t> </w:t>
      </w:r>
      <w:r>
        <w:rPr>
          <w:spacing w:val="-87"/>
        </w:rPr>
      </w:r>
      <w:r>
        <w:rPr/>
        <w:t>浮动利率计息的借款导致本集团产生现金流量利率风险，而固定利率计息的借款导致本集团</w:t>
      </w:r>
      <w:r>
        <w:rPr>
          <w:spacing w:val="-87"/>
        </w:rPr>
        <w:t> </w:t>
      </w:r>
      <w:r>
        <w:rPr>
          <w:spacing w:val="-87"/>
        </w:rPr>
      </w:r>
      <w:r>
        <w:rPr/>
        <w:t>产生公允价值利率风险。本集团主要根据当时的市场环境来决定使用固定利率或浮动利率借</w:t>
      </w:r>
      <w:r>
        <w:rPr>
          <w:spacing w:val="-87"/>
        </w:rPr>
        <w:t> </w:t>
      </w:r>
      <w:r>
        <w:rPr>
          <w:spacing w:val="-87"/>
        </w:rPr>
      </w:r>
      <w:r>
        <w:rPr/>
        <w:t>款的政策。</w:t>
      </w:r>
    </w:p>
    <w:p>
      <w:pPr>
        <w:spacing w:after="0" w:line="286" w:lineRule="exact"/>
        <w:jc w:val="both"/>
        <w:sectPr>
          <w:headerReference w:type="default" r:id="rId63"/>
          <w:pgSz w:w="11900" w:h="16840"/>
          <w:pgMar w:header="967" w:footer="600" w:top="3980" w:bottom="780" w:left="1440" w:right="800"/>
        </w:sectPr>
      </w:pPr>
    </w:p>
    <w:p>
      <w:pPr>
        <w:spacing w:line="240" w:lineRule="auto" w:before="11"/>
        <w:rPr>
          <w:rFonts w:ascii="宋体" w:hAnsi="宋体" w:cs="宋体" w:eastAsia="宋体" w:hint="default"/>
          <w:sz w:val="7"/>
          <w:szCs w:val="7"/>
        </w:rPr>
      </w:pPr>
    </w:p>
    <w:p>
      <w:pPr>
        <w:pStyle w:val="BodyText"/>
        <w:tabs>
          <w:tab w:pos="596" w:val="left" w:leader="none"/>
        </w:tabs>
        <w:spacing w:line="240" w:lineRule="auto" w:before="31"/>
        <w:ind w:left="118" w:right="0"/>
        <w:jc w:val="left"/>
      </w:pPr>
      <w:r>
        <w:rPr>
          <w:rFonts w:ascii="Arial" w:hAnsi="Arial" w:cs="Arial" w:eastAsia="Arial" w:hint="default"/>
          <w:w w:val="95"/>
        </w:rPr>
        <w:t>(1)</w:t>
        <w:tab/>
      </w:r>
      <w:r>
        <w:rPr/>
        <w:t>市场风险（续）</w:t>
      </w:r>
    </w:p>
    <w:p>
      <w:pPr>
        <w:spacing w:line="240" w:lineRule="auto" w:before="12"/>
        <w:rPr>
          <w:rFonts w:ascii="宋体" w:hAnsi="宋体" w:cs="宋体" w:eastAsia="宋体" w:hint="default"/>
          <w:sz w:val="17"/>
          <w:szCs w:val="17"/>
        </w:rPr>
      </w:pPr>
    </w:p>
    <w:p>
      <w:pPr>
        <w:pStyle w:val="BodyText"/>
        <w:spacing w:line="240" w:lineRule="auto"/>
        <w:ind w:left="118" w:right="0"/>
        <w:jc w:val="left"/>
      </w:pPr>
      <w:r>
        <w:rPr>
          <w:rFonts w:ascii="Arial" w:hAnsi="Arial" w:cs="Arial" w:eastAsia="Arial" w:hint="default"/>
        </w:rPr>
        <w:t>(iii) </w:t>
      </w:r>
      <w:r>
        <w:rPr>
          <w:rFonts w:ascii="Arial" w:hAnsi="Arial" w:cs="Arial" w:eastAsia="Arial" w:hint="default"/>
          <w:spacing w:val="59"/>
        </w:rPr>
        <w:t> </w:t>
      </w:r>
      <w:r>
        <w:rPr/>
        <w:t>现金流量利率和公允价值利率风险（续）</w:t>
      </w:r>
    </w:p>
    <w:p>
      <w:pPr>
        <w:spacing w:line="240" w:lineRule="auto" w:before="2"/>
        <w:rPr>
          <w:rFonts w:ascii="宋体" w:hAnsi="宋体" w:cs="宋体" w:eastAsia="宋体" w:hint="default"/>
          <w:sz w:val="18"/>
          <w:szCs w:val="18"/>
        </w:rPr>
      </w:pPr>
    </w:p>
    <w:p>
      <w:pPr>
        <w:pStyle w:val="BodyText"/>
        <w:spacing w:line="237" w:lineRule="auto"/>
        <w:ind w:left="596" w:right="147"/>
        <w:jc w:val="both"/>
      </w:pPr>
      <w:r>
        <w:rPr/>
        <w:t>如果利率上升会增加新增借款的成本以及本集团尚未付清的以浮动利率计息的借款的利息支</w:t>
      </w:r>
      <w:r>
        <w:rPr>
          <w:spacing w:val="-87"/>
        </w:rPr>
        <w:t> </w:t>
      </w:r>
      <w:r>
        <w:rPr>
          <w:spacing w:val="-87"/>
        </w:rPr>
      </w:r>
      <w:r>
        <w:rPr/>
        <w:t>出，并对本集团的财务状况产生重大的不利影响。管理层持续监控集团利率水平并依据最新</w:t>
      </w:r>
      <w:r>
        <w:rPr>
          <w:spacing w:val="-87"/>
        </w:rPr>
        <w:t> </w:t>
      </w:r>
      <w:r>
        <w:rPr>
          <w:spacing w:val="-87"/>
        </w:rPr>
      </w:r>
      <w:r>
        <w:rPr/>
        <w:t>的市场状况及时做出调整。本集团可能采用利率掉期安排以降低由浮动利率计息的借款而产</w:t>
      </w:r>
      <w:r>
        <w:rPr>
          <w:spacing w:val="-87"/>
        </w:rPr>
        <w:t> </w:t>
      </w:r>
      <w:r>
        <w:rPr>
          <w:spacing w:val="-87"/>
        </w:rPr>
      </w:r>
      <w:r>
        <w:rPr/>
        <w:t>生的利率风险，但本集团认为在</w:t>
      </w:r>
      <w:r>
        <w:rPr>
          <w:rFonts w:ascii="Arial" w:hAnsi="Arial" w:cs="Arial" w:eastAsia="Arial" w:hint="default"/>
        </w:rPr>
        <w:t>2011</w:t>
      </w:r>
      <w:r>
        <w:rPr/>
        <w:t>年度及</w:t>
      </w:r>
      <w:r>
        <w:rPr>
          <w:rFonts w:ascii="Arial" w:hAnsi="Arial" w:cs="Arial" w:eastAsia="Arial" w:hint="default"/>
        </w:rPr>
        <w:t>2010</w:t>
      </w:r>
      <w:r>
        <w:rPr/>
        <w:t>年度并无该等安排的需要。</w:t>
      </w:r>
    </w:p>
    <w:p>
      <w:pPr>
        <w:spacing w:line="240" w:lineRule="auto" w:before="2"/>
        <w:rPr>
          <w:rFonts w:ascii="宋体" w:hAnsi="宋体" w:cs="宋体" w:eastAsia="宋体" w:hint="default"/>
          <w:sz w:val="15"/>
          <w:szCs w:val="15"/>
        </w:rPr>
      </w:pPr>
    </w:p>
    <w:p>
      <w:pPr>
        <w:pStyle w:val="BodyText"/>
        <w:spacing w:line="225" w:lineRule="auto"/>
        <w:ind w:left="596" w:right="107"/>
        <w:jc w:val="both"/>
      </w:pPr>
      <w:r>
        <w:rPr>
          <w:spacing w:val="-2"/>
        </w:rPr>
        <w:t>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日，本集团以固定利率计息的银行借款、应付债券及应付短期债券等约为人</w:t>
      </w:r>
      <w:r>
        <w:rPr>
          <w:spacing w:val="-93"/>
        </w:rPr>
        <w:t> </w:t>
      </w:r>
      <w:r>
        <w:rPr>
          <w:spacing w:val="-93"/>
        </w:rPr>
      </w:r>
      <w:r>
        <w:rPr>
          <w:spacing w:val="-2"/>
        </w:rPr>
        <w:t>民币</w:t>
      </w:r>
      <w:r>
        <w:rPr>
          <w:rFonts w:ascii="Arial" w:hAnsi="Arial" w:cs="Arial" w:eastAsia="Arial" w:hint="default"/>
          <w:spacing w:val="-2"/>
        </w:rPr>
        <w:t>728.30</w:t>
      </w:r>
      <w:r>
        <w:rPr>
          <w:spacing w:val="-2"/>
        </w:rPr>
        <w:t>亿元（</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日：约人民币</w:t>
      </w:r>
      <w:r>
        <w:rPr>
          <w:rFonts w:ascii="Arial" w:hAnsi="Arial" w:cs="Arial" w:eastAsia="Arial" w:hint="default"/>
          <w:spacing w:val="-2"/>
        </w:rPr>
        <w:t>600.92</w:t>
      </w:r>
      <w:r>
        <w:rPr>
          <w:spacing w:val="-2"/>
        </w:rPr>
        <w:t>亿元），浮动利率计息的银行借款及关</w:t>
      </w:r>
      <w:r>
        <w:rPr>
          <w:w w:val="99"/>
        </w:rPr>
        <w:t> </w:t>
      </w:r>
      <w:r>
        <w:rPr/>
        <w:t>联方借款等约为人民币</w:t>
      </w:r>
      <w:r>
        <w:rPr>
          <w:rFonts w:ascii="Arial" w:hAnsi="Arial" w:cs="Arial" w:eastAsia="Arial" w:hint="default"/>
        </w:rPr>
        <w:t>342.78</w:t>
      </w:r>
      <w:r>
        <w:rPr/>
        <w:t>亿元（</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日：银行借款约人民币</w:t>
      </w:r>
      <w:r>
        <w:rPr>
          <w:rFonts w:ascii="Arial" w:hAnsi="Arial" w:cs="Arial" w:eastAsia="Arial" w:hint="default"/>
        </w:rPr>
        <w:t>369.51</w:t>
      </w:r>
      <w:r>
        <w:rPr/>
        <w:t>亿元）。</w:t>
      </w:r>
    </w:p>
    <w:p>
      <w:pPr>
        <w:spacing w:line="240" w:lineRule="auto" w:before="6"/>
        <w:rPr>
          <w:rFonts w:ascii="宋体" w:hAnsi="宋体" w:cs="宋体" w:eastAsia="宋体" w:hint="default"/>
          <w:sz w:val="16"/>
          <w:szCs w:val="16"/>
        </w:rPr>
      </w:pPr>
    </w:p>
    <w:p>
      <w:pPr>
        <w:pStyle w:val="BodyText"/>
        <w:spacing w:line="284" w:lineRule="exact"/>
        <w:ind w:left="596" w:right="107"/>
        <w:jc w:val="both"/>
      </w:pPr>
      <w:r>
        <w:rPr>
          <w:w w:val="95"/>
        </w:rPr>
        <w:t>于</w:t>
      </w:r>
      <w:r>
        <w:rPr>
          <w:rFonts w:ascii="Arial" w:hAnsi="Arial" w:cs="Arial" w:eastAsia="Arial" w:hint="default"/>
          <w:w w:val="95"/>
        </w:rPr>
        <w:t>2011</w:t>
      </w:r>
      <w:r>
        <w:rPr>
          <w:w w:val="95"/>
        </w:rPr>
        <w:t>年度，假设以浮动利率计算的借款利率上升或下降</w:t>
      </w:r>
      <w:r>
        <w:rPr>
          <w:rFonts w:ascii="Arial" w:hAnsi="Arial" w:cs="Arial" w:eastAsia="Arial" w:hint="default"/>
          <w:w w:val="95"/>
        </w:rPr>
        <w:t>50</w:t>
      </w:r>
      <w:r>
        <w:rPr>
          <w:w w:val="95"/>
        </w:rPr>
        <w:t>个基点，而其他因素保持不变，</w:t>
      </w:r>
      <w:r>
        <w:rPr>
          <w:spacing w:val="19"/>
          <w:w w:val="95"/>
        </w:rPr>
        <w:t> </w:t>
      </w:r>
      <w:r>
        <w:rPr>
          <w:spacing w:val="19"/>
          <w:w w:val="95"/>
        </w:rPr>
      </w:r>
      <w:r>
        <w:rPr/>
        <w:t>本集团的利息费用会额外增加或减少约人民币</w:t>
      </w:r>
      <w:r>
        <w:rPr>
          <w:rFonts w:ascii="Arial" w:hAnsi="Arial" w:cs="Arial" w:eastAsia="Arial" w:hint="default"/>
        </w:rPr>
        <w:t>1.71</w:t>
      </w:r>
      <w:r>
        <w:rPr/>
        <w:t>亿元（</w:t>
      </w:r>
      <w:r>
        <w:rPr>
          <w:rFonts w:ascii="Arial" w:hAnsi="Arial" w:cs="Arial" w:eastAsia="Arial" w:hint="default"/>
        </w:rPr>
        <w:t>2010</w:t>
      </w:r>
      <w:r>
        <w:rPr/>
        <w:t>年度：约人民币</w:t>
      </w:r>
      <w:r>
        <w:rPr>
          <w:rFonts w:ascii="Arial" w:hAnsi="Arial" w:cs="Arial" w:eastAsia="Arial" w:hint="default"/>
        </w:rPr>
        <w:t>1.85</w:t>
      </w:r>
      <w:r>
        <w:rPr/>
        <w:t>亿元）。</w:t>
      </w:r>
    </w:p>
    <w:p>
      <w:pPr>
        <w:pStyle w:val="BodyText"/>
        <w:spacing w:line="240" w:lineRule="auto" w:before="179"/>
        <w:ind w:left="118" w:right="0"/>
        <w:jc w:val="left"/>
      </w:pPr>
      <w:r>
        <w:rPr>
          <w:rFonts w:ascii="Arial" w:hAnsi="Arial" w:cs="Arial" w:eastAsia="Arial" w:hint="default"/>
        </w:rPr>
        <w:t>(2)  </w:t>
      </w:r>
      <w:r>
        <w:rPr>
          <w:rFonts w:ascii="Arial" w:hAnsi="Arial" w:cs="Arial" w:eastAsia="Arial" w:hint="default"/>
          <w:spacing w:val="13"/>
        </w:rPr>
        <w:t> </w:t>
      </w:r>
      <w:r>
        <w:rPr/>
        <w:t>信用风险</w:t>
      </w:r>
    </w:p>
    <w:p>
      <w:pPr>
        <w:spacing w:line="240" w:lineRule="auto" w:before="0"/>
        <w:rPr>
          <w:rFonts w:ascii="宋体" w:hAnsi="宋体" w:cs="宋体" w:eastAsia="宋体" w:hint="default"/>
          <w:sz w:val="16"/>
          <w:szCs w:val="16"/>
        </w:rPr>
      </w:pPr>
    </w:p>
    <w:p>
      <w:pPr>
        <w:pStyle w:val="BodyText"/>
        <w:spacing w:line="286" w:lineRule="exact"/>
        <w:ind w:left="596" w:right="149"/>
        <w:jc w:val="both"/>
      </w:pPr>
      <w:r>
        <w:rPr/>
        <w:t>本集团对信用风险按组合分类进行管理。本集团的货币资金，以及提供给企业客户、个人客</w:t>
      </w:r>
      <w:r>
        <w:rPr>
          <w:spacing w:val="-87"/>
        </w:rPr>
        <w:t> </w:t>
      </w:r>
      <w:r>
        <w:rPr>
          <w:spacing w:val="-87"/>
        </w:rPr>
      </w:r>
      <w:r>
        <w:rPr/>
        <w:t>户、关联公司及其它电信运营商的信用额度均会产生信用风险。</w:t>
      </w:r>
    </w:p>
    <w:p>
      <w:pPr>
        <w:spacing w:line="240" w:lineRule="auto" w:before="3"/>
        <w:rPr>
          <w:rFonts w:ascii="宋体" w:hAnsi="宋体" w:cs="宋体" w:eastAsia="宋体" w:hint="default"/>
          <w:sz w:val="15"/>
          <w:szCs w:val="15"/>
        </w:rPr>
      </w:pPr>
    </w:p>
    <w:p>
      <w:pPr>
        <w:pStyle w:val="BodyText"/>
        <w:spacing w:line="286" w:lineRule="exact"/>
        <w:ind w:left="596" w:right="149"/>
        <w:jc w:val="both"/>
      </w:pPr>
      <w:r>
        <w:rPr/>
        <w:t>下表列示了本集团于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日存放于主要银行的现金及现金等价</w:t>
      </w:r>
      <w:r>
        <w:rPr>
          <w:spacing w:val="-72"/>
        </w:rPr>
        <w:t> </w:t>
      </w:r>
      <w:r>
        <w:rPr>
          <w:spacing w:val="-72"/>
        </w:rPr>
      </w:r>
      <w:r>
        <w:rPr/>
        <w:t>物及银行存款余额：</w:t>
      </w:r>
    </w:p>
    <w:p>
      <w:pPr>
        <w:spacing w:line="240" w:lineRule="auto" w:before="1"/>
        <w:rPr>
          <w:rFonts w:ascii="宋体" w:hAnsi="宋体" w:cs="宋体" w:eastAsia="宋体" w:hint="default"/>
          <w:sz w:val="14"/>
          <w:szCs w:val="14"/>
        </w:rPr>
      </w:pPr>
    </w:p>
    <w:tbl>
      <w:tblPr>
        <w:tblW w:w="0" w:type="auto"/>
        <w:jc w:val="left"/>
        <w:tblInd w:w="641" w:type="dxa"/>
        <w:tblLayout w:type="fixed"/>
        <w:tblCellMar>
          <w:top w:w="0" w:type="dxa"/>
          <w:left w:w="0" w:type="dxa"/>
          <w:bottom w:w="0" w:type="dxa"/>
          <w:right w:w="0" w:type="dxa"/>
        </w:tblCellMar>
        <w:tblLook w:val="01E0"/>
      </w:tblPr>
      <w:tblGrid>
        <w:gridCol w:w="3957"/>
        <w:gridCol w:w="2226"/>
        <w:gridCol w:w="402"/>
        <w:gridCol w:w="2234"/>
      </w:tblGrid>
      <w:tr>
        <w:trPr>
          <w:trHeight w:val="36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（单位：人民币百万）</w:t>
            </w:r>
          </w:p>
        </w:tc>
        <w:tc>
          <w:tcPr>
            <w:tcW w:w="222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71"/>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402"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43"/>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61"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现金及现金等价物</w:t>
            </w:r>
          </w:p>
        </w:tc>
        <w:tc>
          <w:tcPr>
            <w:tcW w:w="2226" w:type="dxa"/>
            <w:tcBorders>
              <w:top w:val="single" w:sz="6" w:space="0" w:color="000000"/>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234" w:type="dxa"/>
            <w:tcBorders>
              <w:top w:val="single" w:sz="6" w:space="0" w:color="000000"/>
              <w:left w:val="nil" w:sz="6" w:space="0" w:color="auto"/>
              <w:bottom w:val="nil" w:sz="6" w:space="0" w:color="auto"/>
              <w:right w:val="nil" w:sz="6" w:space="0" w:color="auto"/>
            </w:tcBorders>
          </w:tcPr>
          <w:p>
            <w:pPr>
              <w:pStyle w:val="TableParagraph"/>
              <w:spacing w:line="253" w:lineRule="exact"/>
              <w:ind w:right="107"/>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77"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2" w:lineRule="exact"/>
              <w:ind w:left="254" w:right="0"/>
              <w:jc w:val="left"/>
              <w:rPr>
                <w:rFonts w:ascii="宋体" w:hAnsi="宋体" w:cs="宋体" w:eastAsia="宋体" w:hint="default"/>
                <w:sz w:val="22"/>
                <w:szCs w:val="22"/>
              </w:rPr>
            </w:pPr>
            <w:r>
              <w:rPr>
                <w:rFonts w:ascii="宋体" w:hAnsi="宋体" w:cs="宋体" w:eastAsia="宋体" w:hint="default"/>
                <w:sz w:val="22"/>
                <w:szCs w:val="22"/>
              </w:rPr>
              <w:t>国有银行</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Arial" w:hAnsi="Arial" w:cs="Arial" w:eastAsia="Arial" w:hint="default"/>
                <w:sz w:val="22"/>
                <w:szCs w:val="22"/>
              </w:rPr>
            </w:pPr>
            <w:r>
              <w:rPr>
                <w:rFonts w:ascii="Arial"/>
                <w:w w:val="95"/>
                <w:sz w:val="22"/>
              </w:rPr>
              <w:t>14,388</w:t>
            </w:r>
            <w:r>
              <w:rPr>
                <w:rFonts w:ascii="Arial"/>
                <w:sz w:val="22"/>
              </w:rPr>
            </w:r>
          </w:p>
        </w:tc>
        <w:tc>
          <w:tcPr>
            <w:tcW w:w="402"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Arial" w:hAnsi="Arial" w:cs="Arial" w:eastAsia="Arial" w:hint="default"/>
                <w:sz w:val="22"/>
                <w:szCs w:val="22"/>
              </w:rPr>
            </w:pPr>
            <w:r>
              <w:rPr>
                <w:rFonts w:ascii="Arial"/>
                <w:w w:val="95"/>
                <w:sz w:val="22"/>
              </w:rPr>
              <w:t>22,061</w:t>
            </w:r>
            <w:r>
              <w:rPr>
                <w:rFonts w:ascii="Arial"/>
                <w:sz w:val="22"/>
              </w:rPr>
            </w:r>
          </w:p>
        </w:tc>
      </w:tr>
    </w:tbl>
    <w:p>
      <w:pPr>
        <w:pStyle w:val="BodyText"/>
        <w:tabs>
          <w:tab w:pos="4598" w:val="left" w:leader="none"/>
          <w:tab w:pos="6347" w:val="left" w:leader="none"/>
          <w:tab w:pos="7226" w:val="left" w:leader="none"/>
          <w:tab w:pos="9003" w:val="left" w:leader="none"/>
          <w:tab w:pos="9460" w:val="left" w:leader="none"/>
        </w:tabs>
        <w:spacing w:line="288" w:lineRule="exact"/>
        <w:ind w:left="896" w:right="0"/>
        <w:jc w:val="left"/>
        <w:rPr>
          <w:rFonts w:ascii="Arial" w:hAnsi="Arial" w:cs="Arial" w:eastAsia="Arial" w:hint="default"/>
        </w:rPr>
      </w:pPr>
      <w:r>
        <w:rPr>
          <w:w w:val="95"/>
          <w:position w:val="1"/>
        </w:rPr>
        <w:t>其他银行</w:t>
        <w:tab/>
      </w:r>
      <w:r>
        <w:rPr>
          <w:rFonts w:ascii="Arial" w:hAnsi="Arial" w:cs="Arial" w:eastAsia="Arial" w:hint="default"/>
          <w:w w:val="95"/>
        </w:rPr>
      </w:r>
      <w:r>
        <w:rPr>
          <w:rFonts w:ascii="Arial" w:hAnsi="Arial" w:cs="Arial" w:eastAsia="Arial" w:hint="default"/>
          <w:w w:val="95"/>
          <w:u w:val="single" w:color="000000"/>
        </w:rPr>
        <w:t> </w:t>
        <w:tab/>
        <w:t>747</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559</w:t>
        <w:tab/>
      </w:r>
      <w:r>
        <w:rPr>
          <w:rFonts w:ascii="Arial" w:hAnsi="Arial" w:cs="Arial" w:eastAsia="Arial" w:hint="default"/>
        </w:rPr>
      </w:r>
    </w:p>
    <w:p>
      <w:pPr>
        <w:pStyle w:val="BodyText"/>
        <w:tabs>
          <w:tab w:pos="6041" w:val="left" w:leader="none"/>
          <w:tab w:pos="7226" w:val="left" w:leader="none"/>
          <w:tab w:pos="8697" w:val="left" w:leader="none"/>
          <w:tab w:pos="9460" w:val="left" w:leader="none"/>
        </w:tabs>
        <w:spacing w:line="240" w:lineRule="auto" w:before="31"/>
        <w:ind w:left="4598" w:right="0"/>
        <w:jc w:val="left"/>
        <w:rPr>
          <w:rFonts w:ascii="Arial" w:hAnsi="Arial" w:cs="Arial" w:eastAsia="Arial" w:hint="default"/>
        </w:rPr>
      </w:pPr>
      <w:r>
        <w:rPr>
          <w:rFonts w:ascii="Arial"/>
          <w:w w:val="99"/>
        </w:rPr>
      </w:r>
      <w:r>
        <w:rPr>
          <w:rFonts w:ascii="Arial"/>
          <w:w w:val="99"/>
          <w:u w:val="single" w:color="000000"/>
        </w:rPr>
        <w:t> </w:t>
      </w:r>
      <w:r>
        <w:rPr>
          <w:rFonts w:ascii="Arial"/>
          <w:u w:val="single" w:color="000000"/>
        </w:rPr>
        <w:tab/>
      </w:r>
      <w:r>
        <w:rPr>
          <w:rFonts w:ascii="Arial"/>
          <w:w w:val="95"/>
          <w:u w:val="single" w:color="000000"/>
        </w:rPr>
        <w:t>15,135</w:t>
      </w:r>
      <w:r>
        <w:rPr>
          <w:rFonts w:ascii="Arial"/>
          <w:w w:val="95"/>
        </w:rPr>
        <w:tab/>
      </w:r>
      <w:r>
        <w:rPr>
          <w:rFonts w:ascii="Arial"/>
          <w:w w:val="95"/>
          <w:u w:val="single" w:color="000000"/>
        </w:rPr>
        <w:t> </w:t>
        <w:tab/>
      </w:r>
      <w:r>
        <w:rPr>
          <w:rFonts w:ascii="Arial"/>
          <w:u w:val="single" w:color="000000"/>
        </w:rPr>
        <w:t>22,620</w:t>
        <w:tab/>
      </w:r>
      <w:r>
        <w:rPr>
          <w:rFonts w:ascii="Arial"/>
        </w:rPr>
      </w:r>
    </w:p>
    <w:p>
      <w:pPr>
        <w:pStyle w:val="BodyText"/>
        <w:spacing w:line="269" w:lineRule="exact"/>
        <w:ind w:left="676" w:right="0"/>
        <w:jc w:val="left"/>
      </w:pPr>
      <w:r>
        <w:rPr>
          <w:rFonts w:ascii="Arial" w:hAnsi="Arial" w:cs="Arial" w:eastAsia="Arial" w:hint="default"/>
        </w:rPr>
        <w:t>3</w:t>
      </w:r>
      <w:r>
        <w:rPr>
          <w:rFonts w:ascii="Arial" w:hAnsi="Arial" w:cs="Arial" w:eastAsia="Arial" w:hint="default"/>
          <w:spacing w:val="-8"/>
        </w:rPr>
        <w:t> </w:t>
      </w:r>
      <w:r>
        <w:rPr/>
        <w:t>个月以上银行存款等</w:t>
      </w:r>
    </w:p>
    <w:p>
      <w:pPr>
        <w:pStyle w:val="BodyText"/>
        <w:tabs>
          <w:tab w:pos="6347" w:val="left" w:leader="none"/>
          <w:tab w:pos="9370" w:val="right" w:leader="none"/>
        </w:tabs>
        <w:spacing w:line="284" w:lineRule="exact"/>
        <w:ind w:left="896" w:right="0"/>
        <w:jc w:val="left"/>
        <w:rPr>
          <w:rFonts w:ascii="Arial" w:hAnsi="Arial" w:cs="Arial" w:eastAsia="Arial" w:hint="default"/>
        </w:rPr>
      </w:pPr>
      <w:r>
        <w:rPr>
          <w:w w:val="95"/>
          <w:position w:val="1"/>
        </w:rPr>
        <w:t>国有银行</w:t>
        <w:tab/>
      </w:r>
      <w:r>
        <w:rPr>
          <w:rFonts w:ascii="Arial" w:hAnsi="Arial" w:cs="Arial" w:eastAsia="Arial" w:hint="default"/>
        </w:rPr>
        <w:t>177</w:t>
        <w:tab/>
        <w:t>131</w:t>
      </w:r>
    </w:p>
    <w:p>
      <w:pPr>
        <w:pStyle w:val="BodyText"/>
        <w:tabs>
          <w:tab w:pos="4598" w:val="left" w:leader="none"/>
          <w:tab w:pos="6347" w:val="left" w:leader="none"/>
          <w:tab w:pos="7226" w:val="left" w:leader="none"/>
          <w:tab w:pos="9003" w:val="left" w:leader="none"/>
          <w:tab w:pos="9460" w:val="left" w:leader="none"/>
        </w:tabs>
        <w:spacing w:line="299" w:lineRule="exact"/>
        <w:ind w:left="896" w:right="0"/>
        <w:jc w:val="left"/>
        <w:rPr>
          <w:rFonts w:ascii="Arial" w:hAnsi="Arial" w:cs="Arial" w:eastAsia="Arial" w:hint="default"/>
        </w:rPr>
      </w:pPr>
      <w:r>
        <w:rPr>
          <w:w w:val="95"/>
          <w:position w:val="1"/>
        </w:rPr>
        <w:t>其他银行</w:t>
        <w:tab/>
      </w:r>
      <w:r>
        <w:rPr>
          <w:rFonts w:ascii="Arial" w:hAnsi="Arial" w:cs="Arial" w:eastAsia="Arial" w:hint="default"/>
          <w:w w:val="95"/>
        </w:rPr>
      </w:r>
      <w:r>
        <w:rPr>
          <w:rFonts w:ascii="Arial" w:hAnsi="Arial" w:cs="Arial" w:eastAsia="Arial" w:hint="default"/>
          <w:w w:val="95"/>
          <w:u w:val="single" w:color="000000"/>
        </w:rPr>
        <w:t> </w:t>
        <w:tab/>
        <w:t>127</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142</w:t>
        <w:tab/>
      </w:r>
      <w:r>
        <w:rPr>
          <w:rFonts w:ascii="Arial" w:hAnsi="Arial" w:cs="Arial" w:eastAsia="Arial" w:hint="default"/>
        </w:rPr>
      </w:r>
    </w:p>
    <w:p>
      <w:pPr>
        <w:pStyle w:val="BodyText"/>
        <w:tabs>
          <w:tab w:pos="6347" w:val="left" w:leader="none"/>
          <w:tab w:pos="7226" w:val="left" w:leader="none"/>
          <w:tab w:pos="9003" w:val="left" w:leader="none"/>
          <w:tab w:pos="9460" w:val="left" w:leader="none"/>
        </w:tabs>
        <w:spacing w:line="240" w:lineRule="auto" w:before="31"/>
        <w:ind w:left="4598" w:right="0"/>
        <w:jc w:val="left"/>
        <w:rPr>
          <w:rFonts w:ascii="Arial" w:hAnsi="Arial" w:cs="Arial" w:eastAsia="Arial" w:hint="default"/>
        </w:rPr>
      </w:pPr>
      <w:r>
        <w:rPr>
          <w:rFonts w:ascii="Arial"/>
          <w:w w:val="99"/>
        </w:rPr>
      </w:r>
      <w:r>
        <w:rPr>
          <w:rFonts w:ascii="Arial"/>
          <w:w w:val="99"/>
          <w:u w:val="single" w:color="000000"/>
        </w:rPr>
        <w:t> </w:t>
      </w:r>
      <w:r>
        <w:rPr>
          <w:rFonts w:ascii="Arial"/>
          <w:u w:val="single" w:color="000000"/>
        </w:rPr>
        <w:tab/>
      </w:r>
      <w:r>
        <w:rPr>
          <w:rFonts w:ascii="Arial"/>
          <w:w w:val="95"/>
          <w:u w:val="single" w:color="000000"/>
        </w:rPr>
        <w:t>304</w:t>
      </w:r>
      <w:r>
        <w:rPr>
          <w:rFonts w:ascii="Arial"/>
          <w:w w:val="95"/>
        </w:rPr>
        <w:tab/>
      </w:r>
      <w:r>
        <w:rPr>
          <w:rFonts w:ascii="Arial"/>
          <w:w w:val="95"/>
          <w:u w:val="single" w:color="000000"/>
        </w:rPr>
        <w:t> </w:t>
        <w:tab/>
      </w:r>
      <w:r>
        <w:rPr>
          <w:rFonts w:ascii="Arial"/>
          <w:u w:val="single" w:color="000000"/>
        </w:rPr>
        <w:t>273</w:t>
        <w:tab/>
      </w:r>
      <w:r>
        <w:rPr>
          <w:rFonts w:ascii="Arial"/>
        </w:rPr>
      </w:r>
    </w:p>
    <w:p>
      <w:pPr>
        <w:pStyle w:val="BodyText"/>
        <w:tabs>
          <w:tab w:pos="6041" w:val="left" w:leader="none"/>
          <w:tab w:pos="8697" w:val="left" w:leader="none"/>
        </w:tabs>
        <w:spacing w:line="240" w:lineRule="auto" w:before="82"/>
        <w:ind w:left="676" w:right="0"/>
        <w:jc w:val="left"/>
        <w:rPr>
          <w:rFonts w:ascii="Arial" w:hAnsi="Arial" w:cs="Arial" w:eastAsia="Arial" w:hint="default"/>
        </w:rPr>
      </w:pPr>
      <w:r>
        <w:rPr>
          <w:w w:val="95"/>
          <w:position w:val="1"/>
        </w:rPr>
        <w:t>货币资金合计</w:t>
        <w:tab/>
      </w:r>
      <w:r>
        <w:rPr>
          <w:rFonts w:ascii="Arial" w:hAnsi="Arial" w:cs="Arial" w:eastAsia="Arial" w:hint="default"/>
          <w:w w:val="95"/>
        </w:rPr>
        <w:t>15,439</w:t>
        <w:tab/>
      </w:r>
      <w:r>
        <w:rPr>
          <w:rFonts w:ascii="Arial" w:hAnsi="Arial" w:cs="Arial" w:eastAsia="Arial" w:hint="default"/>
        </w:rPr>
        <w:t>22,893</w:t>
      </w:r>
    </w:p>
    <w:p>
      <w:pPr>
        <w:tabs>
          <w:tab w:pos="7204" w:val="left" w:leader="none"/>
        </w:tabs>
        <w:spacing w:line="43" w:lineRule="exact"/>
        <w:ind w:left="4576" w:right="0" w:firstLine="0"/>
        <w:rPr>
          <w:rFonts w:ascii="Arial" w:hAnsi="Arial" w:cs="Arial" w:eastAsia="Arial" w:hint="default"/>
          <w:sz w:val="4"/>
          <w:szCs w:val="4"/>
        </w:rPr>
      </w:pPr>
      <w:r>
        <w:rPr>
          <w:rFonts w:ascii="Arial"/>
          <w:position w:val="0"/>
          <w:sz w:val="4"/>
        </w:rPr>
        <w:pict>
          <v:group style="width:112.75pt;height:2.2pt;mso-position-horizontal-relative:char;mso-position-vertical-relative:line" coordorigin="0,0" coordsize="2255,44">
            <v:group style="position:absolute;left:7;top:36;width:2241;height:2" coordorigin="7,36" coordsize="2241,2">
              <v:shape style="position:absolute;left:7;top:36;width:2241;height:2" coordorigin="7,36" coordsize="2241,0" path="m7,36l2248,36e" filled="false" stroked="true" strokeweight=".72pt" strokecolor="#000000">
                <v:path arrowok="t"/>
              </v:shape>
            </v:group>
            <v:group style="position:absolute;left:7;top:7;width:2241;height:2" coordorigin="7,7" coordsize="2241,2">
              <v:shape style="position:absolute;left:7;top:7;width:2241;height:2" coordorigin="7,7" coordsize="2241,0" path="m7,7l2248,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13.2pt;height:2.2pt;mso-position-horizontal-relative:char;mso-position-vertical-relative:line" coordorigin="0,0" coordsize="2264,44">
            <v:group style="position:absolute;left:7;top:36;width:2249;height:2" coordorigin="7,36" coordsize="2249,2">
              <v:shape style="position:absolute;left:7;top:36;width:2249;height:2" coordorigin="7,36" coordsize="2249,0" path="m7,36l2256,36e" filled="false" stroked="true" strokeweight=".72pt" strokecolor="#000000">
                <v:path arrowok="t"/>
              </v:shape>
            </v:group>
            <v:group style="position:absolute;left:7;top:7;width:2249;height:2" coordorigin="7,7" coordsize="2249,2">
              <v:shape style="position:absolute;left:7;top:7;width:2249;height:2" coordorigin="7,7" coordsize="2249,0" path="m7,7l2256,7e" filled="false" stroked="true" strokeweight=".72pt" strokecolor="#000000">
                <v:path arrowok="t"/>
              </v:shape>
            </v:group>
          </v:group>
        </w:pict>
      </w:r>
      <w:r>
        <w:rPr>
          <w:rFonts w:ascii="Arial"/>
          <w:position w:val="0"/>
          <w:sz w:val="4"/>
        </w:rPr>
      </w:r>
    </w:p>
    <w:p>
      <w:pPr>
        <w:spacing w:after="0" w:line="43" w:lineRule="exact"/>
        <w:rPr>
          <w:rFonts w:ascii="Arial" w:hAnsi="Arial" w:cs="Arial" w:eastAsia="Arial" w:hint="default"/>
          <w:sz w:val="4"/>
          <w:szCs w:val="4"/>
        </w:rPr>
        <w:sectPr>
          <w:headerReference w:type="default" r:id="rId64"/>
          <w:pgSz w:w="11900" w:h="16840"/>
          <w:pgMar w:header="967" w:footer="600" w:top="3980" w:bottom="780" w:left="1440" w:right="880"/>
        </w:sectPr>
      </w:pPr>
    </w:p>
    <w:p>
      <w:pPr>
        <w:spacing w:line="240" w:lineRule="auto" w:before="6"/>
        <w:rPr>
          <w:rFonts w:ascii="Arial" w:hAnsi="Arial" w:cs="Arial" w:eastAsia="Arial" w:hint="default"/>
          <w:sz w:val="13"/>
          <w:szCs w:val="13"/>
        </w:rPr>
      </w:pPr>
    </w:p>
    <w:p>
      <w:pPr>
        <w:pStyle w:val="BodyText"/>
        <w:spacing w:line="240" w:lineRule="auto" w:before="31"/>
        <w:ind w:left="118" w:right="888"/>
        <w:jc w:val="left"/>
      </w:pPr>
      <w:r>
        <w:rPr>
          <w:rFonts w:ascii="Arial" w:hAnsi="Arial" w:cs="Arial" w:eastAsia="Arial" w:hint="default"/>
        </w:rPr>
        <w:t>(2)  </w:t>
      </w:r>
      <w:r>
        <w:rPr>
          <w:rFonts w:ascii="Arial" w:hAnsi="Arial" w:cs="Arial" w:eastAsia="Arial" w:hint="default"/>
          <w:spacing w:val="14"/>
        </w:rPr>
        <w:t> </w:t>
      </w:r>
      <w:r>
        <w:rPr/>
        <w:t>信用风险（续）</w:t>
      </w:r>
    </w:p>
    <w:p>
      <w:pPr>
        <w:spacing w:line="240" w:lineRule="auto" w:before="0"/>
        <w:rPr>
          <w:rFonts w:ascii="宋体" w:hAnsi="宋体" w:cs="宋体" w:eastAsia="宋体" w:hint="default"/>
          <w:sz w:val="16"/>
          <w:szCs w:val="16"/>
        </w:rPr>
      </w:pPr>
    </w:p>
    <w:p>
      <w:pPr>
        <w:pStyle w:val="BodyText"/>
        <w:spacing w:line="286" w:lineRule="exact"/>
        <w:ind w:left="596" w:right="129"/>
        <w:jc w:val="both"/>
      </w:pPr>
      <w:r>
        <w:rPr/>
        <w:t>由于国有银行受到政府的支持，而且其它银行均为大中型的上市银行，本集团认为存放于国</w:t>
      </w:r>
      <w:r>
        <w:rPr>
          <w:spacing w:val="-87"/>
        </w:rPr>
        <w:t> </w:t>
      </w:r>
      <w:r>
        <w:rPr>
          <w:spacing w:val="-87"/>
        </w:rPr>
      </w:r>
      <w:r>
        <w:rPr/>
        <w:t>有银行和其它大中型上市银行的现金及现金等价物及银行存款不存在重大的信用风险。管理</w:t>
      </w:r>
      <w:r>
        <w:rPr>
          <w:spacing w:val="-87"/>
        </w:rPr>
        <w:t> </w:t>
      </w:r>
      <w:r>
        <w:rPr>
          <w:spacing w:val="-87"/>
        </w:rPr>
      </w:r>
      <w:r>
        <w:rPr/>
        <w:t>层预计不会因对方单位的违约行为将导致任何重大损失。</w:t>
      </w:r>
    </w:p>
    <w:p>
      <w:pPr>
        <w:pStyle w:val="BodyText"/>
        <w:spacing w:line="237" w:lineRule="auto" w:before="173"/>
        <w:ind w:left="596" w:right="129"/>
        <w:jc w:val="both"/>
      </w:pPr>
      <w:r>
        <w:rPr/>
        <w:t>此外，本集团于企业客户及个人用户方面并无重大集中性的信用风险。本集团的信用风险敞</w:t>
      </w:r>
      <w:r>
        <w:rPr>
          <w:spacing w:val="-87"/>
        </w:rPr>
        <w:t> </w:t>
      </w:r>
      <w:r>
        <w:rPr>
          <w:spacing w:val="-87"/>
        </w:rPr>
      </w:r>
      <w:r>
        <w:rPr/>
        <w:t>口主要表现为应收服务款项的公允价值。本集团设定相关政策以限制该信用风险敞口。本集</w:t>
      </w:r>
      <w:r>
        <w:rPr>
          <w:spacing w:val="-87"/>
        </w:rPr>
        <w:t> </w:t>
      </w:r>
      <w:r>
        <w:rPr>
          <w:spacing w:val="-87"/>
        </w:rPr>
      </w:r>
      <w:r>
        <w:rPr/>
        <w:t>团基于对客户的财务状况、从第三方获取担保的可能性、信用记录及其他因素诸如目前市场</w:t>
      </w:r>
      <w:r>
        <w:rPr>
          <w:spacing w:val="-87"/>
        </w:rPr>
        <w:t> </w:t>
      </w:r>
      <w:r>
        <w:rPr>
          <w:spacing w:val="-87"/>
        </w:rPr>
      </w:r>
      <w:r>
        <w:rPr/>
        <w:t>状况等评估了信用资质并设置信用额度。本集团授予通信服务用户的信用期一般为自账单日</w:t>
      </w:r>
      <w:r>
        <w:rPr>
          <w:spacing w:val="-87"/>
        </w:rPr>
        <w:t> </w:t>
      </w:r>
      <w:r>
        <w:rPr>
          <w:spacing w:val="-87"/>
        </w:rPr>
      </w:r>
      <w:r>
        <w:rPr/>
        <w:t>起平均</w:t>
      </w:r>
      <w:r>
        <w:rPr>
          <w:rFonts w:ascii="Arial" w:hAnsi="Arial" w:cs="Arial" w:eastAsia="Arial" w:hint="default"/>
        </w:rPr>
        <w:t>30</w:t>
      </w:r>
      <w:r>
        <w:rPr/>
        <w:t>天。本集团定期对客户使用其信用额度的状况以及结算惯例进行监控。</w:t>
      </w:r>
    </w:p>
    <w:p>
      <w:pPr>
        <w:spacing w:line="240" w:lineRule="auto" w:before="0"/>
        <w:rPr>
          <w:rFonts w:ascii="宋体" w:hAnsi="宋体" w:cs="宋体" w:eastAsia="宋体" w:hint="default"/>
          <w:sz w:val="16"/>
          <w:szCs w:val="16"/>
        </w:rPr>
      </w:pPr>
    </w:p>
    <w:p>
      <w:pPr>
        <w:pStyle w:val="BodyText"/>
        <w:spacing w:line="286" w:lineRule="exact"/>
        <w:ind w:left="596" w:right="129"/>
        <w:jc w:val="both"/>
      </w:pPr>
      <w:r>
        <w:rPr/>
        <w:t>由于关联方及其它电信运营商具有良好的信誉，并且应收此等公司的款项均定期结算，相关</w:t>
      </w:r>
      <w:r>
        <w:rPr>
          <w:spacing w:val="-87"/>
        </w:rPr>
        <w:t> </w:t>
      </w:r>
      <w:r>
        <w:rPr>
          <w:spacing w:val="-87"/>
        </w:rPr>
      </w:r>
      <w:r>
        <w:rPr/>
        <w:t>的信用风险并不重大。</w:t>
      </w:r>
    </w:p>
    <w:p>
      <w:pPr>
        <w:spacing w:line="240" w:lineRule="auto" w:before="6"/>
        <w:rPr>
          <w:rFonts w:ascii="宋体" w:hAnsi="宋体" w:cs="宋体" w:eastAsia="宋体" w:hint="default"/>
          <w:sz w:val="15"/>
          <w:szCs w:val="15"/>
        </w:rPr>
      </w:pPr>
    </w:p>
    <w:p>
      <w:pPr>
        <w:pStyle w:val="BodyText"/>
        <w:spacing w:line="240" w:lineRule="auto"/>
        <w:ind w:left="118" w:right="888"/>
        <w:jc w:val="left"/>
      </w:pPr>
      <w:r>
        <w:rPr>
          <w:rFonts w:ascii="Arial" w:hAnsi="Arial" w:cs="Arial" w:eastAsia="Arial" w:hint="default"/>
        </w:rPr>
        <w:t>(3)  </w:t>
      </w:r>
      <w:r>
        <w:rPr>
          <w:rFonts w:ascii="Arial" w:hAnsi="Arial" w:cs="Arial" w:eastAsia="Arial" w:hint="default"/>
          <w:spacing w:val="14"/>
        </w:rPr>
        <w:t> </w:t>
      </w:r>
      <w:r>
        <w:rPr/>
        <w:t>流动性风险</w:t>
      </w:r>
    </w:p>
    <w:p>
      <w:pPr>
        <w:pStyle w:val="BodyText"/>
        <w:spacing w:line="237" w:lineRule="auto" w:before="183"/>
        <w:ind w:left="596" w:right="129"/>
        <w:jc w:val="both"/>
      </w:pPr>
      <w:r>
        <w:rPr/>
        <w:t>谨慎的流动性风险管理指通过不同资金渠道来维持充足的现金和资金获取能力，包括短期银</w:t>
      </w:r>
      <w:r>
        <w:rPr>
          <w:spacing w:val="-87"/>
        </w:rPr>
        <w:t> </w:t>
      </w:r>
      <w:r>
        <w:rPr>
          <w:spacing w:val="-87"/>
        </w:rPr>
      </w:r>
      <w:r>
        <w:rPr/>
        <w:t>行借款及发行债券。由于业务本身的多变性，本集团总部的资产管理部门通过在必要时维持</w:t>
      </w:r>
      <w:r>
        <w:rPr>
          <w:spacing w:val="-87"/>
        </w:rPr>
        <w:t> </w:t>
      </w:r>
      <w:r>
        <w:rPr>
          <w:spacing w:val="-87"/>
        </w:rPr>
      </w:r>
      <w:r>
        <w:rPr/>
        <w:t>充足的现金及现金等价物和通过保持不同的融资渠道来确保营运资金的灵活性。本集团以持</w:t>
      </w:r>
      <w:r>
        <w:rPr>
          <w:spacing w:val="-87"/>
        </w:rPr>
        <w:t> </w:t>
      </w:r>
      <w:r>
        <w:rPr>
          <w:spacing w:val="-87"/>
        </w:rPr>
      </w:r>
      <w:r>
        <w:rPr/>
        <w:t>续经营基准编制其财务报表，请详见附注二</w:t>
      </w:r>
      <w:r>
        <w:rPr>
          <w:rFonts w:ascii="Arial" w:hAnsi="Arial" w:cs="Arial" w:eastAsia="Arial" w:hint="default"/>
        </w:rPr>
        <w:t>(1)(c)</w:t>
      </w:r>
      <w:r>
        <w:rPr/>
        <w:t>的说明。</w:t>
      </w:r>
    </w:p>
    <w:p>
      <w:pPr>
        <w:pStyle w:val="BodyText"/>
        <w:spacing w:line="230" w:lineRule="auto" w:before="193"/>
        <w:ind w:left="596" w:right="127"/>
        <w:jc w:val="both"/>
      </w:pPr>
      <w:r>
        <w:rPr/>
        <w:t>本集团金融资产及金融负债（含利息费用）以未折现金额按合约规定的到期日列示如下。于</w:t>
      </w:r>
      <w:r>
        <w:rPr>
          <w:spacing w:val="-87"/>
        </w:rPr>
        <w:t> </w:t>
      </w:r>
      <w:r>
        <w:rPr>
          <w:spacing w:val="-87"/>
        </w:rPr>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日，金融资产除下列项目外，还包括可供出售金融资产共计约人民币</w:t>
      </w:r>
      <w:r>
        <w:rPr>
          <w:rFonts w:ascii="Arial" w:hAnsi="Arial" w:cs="Arial" w:eastAsia="Arial" w:hint="default"/>
        </w:rPr>
        <w:t>69.51</w:t>
      </w:r>
      <w:r>
        <w:rPr/>
        <w:t>亿</w:t>
      </w:r>
      <w:r>
        <w:rPr>
          <w:spacing w:val="-79"/>
        </w:rPr>
        <w:t> </w:t>
      </w:r>
      <w:r>
        <w:rPr/>
        <w:t>元（</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62.14</w:t>
      </w:r>
      <w:r>
        <w:rPr/>
        <w:t>亿元）。在可预见的将来，本集团并没有交易上述可</w:t>
      </w:r>
      <w:r>
        <w:rPr>
          <w:spacing w:val="-79"/>
        </w:rPr>
        <w:t> </w:t>
      </w:r>
      <w:r>
        <w:rPr>
          <w:spacing w:val="-79"/>
        </w:rPr>
      </w:r>
      <w:r>
        <w:rPr/>
        <w:t>供出售金融资产的计划。</w:t>
      </w:r>
    </w:p>
    <w:p>
      <w:pPr>
        <w:spacing w:line="240" w:lineRule="auto" w:before="12"/>
        <w:rPr>
          <w:rFonts w:ascii="宋体" w:hAnsi="宋体" w:cs="宋体" w:eastAsia="宋体" w:hint="default"/>
          <w:sz w:val="15"/>
          <w:szCs w:val="15"/>
        </w:rPr>
      </w:pPr>
    </w:p>
    <w:tbl>
      <w:tblPr>
        <w:tblW w:w="0" w:type="auto"/>
        <w:jc w:val="left"/>
        <w:tblInd w:w="435" w:type="dxa"/>
        <w:tblLayout w:type="fixed"/>
        <w:tblCellMar>
          <w:top w:w="0" w:type="dxa"/>
          <w:left w:w="0" w:type="dxa"/>
          <w:bottom w:w="0" w:type="dxa"/>
          <w:right w:w="0" w:type="dxa"/>
        </w:tblCellMar>
        <w:tblLook w:val="01E0"/>
      </w:tblPr>
      <w:tblGrid>
        <w:gridCol w:w="2491"/>
        <w:gridCol w:w="1134"/>
        <w:gridCol w:w="244"/>
        <w:gridCol w:w="1023"/>
        <w:gridCol w:w="285"/>
        <w:gridCol w:w="1058"/>
        <w:gridCol w:w="229"/>
        <w:gridCol w:w="153"/>
        <w:gridCol w:w="878"/>
        <w:gridCol w:w="244"/>
        <w:gridCol w:w="1285"/>
      </w:tblGrid>
      <w:tr>
        <w:trPr>
          <w:trHeight w:val="361" w:hRule="exact"/>
        </w:trPr>
        <w:tc>
          <w:tcPr>
            <w:tcW w:w="4892" w:type="dxa"/>
            <w:gridSpan w:val="4"/>
            <w:tcBorders>
              <w:top w:val="nil" w:sz="6" w:space="0" w:color="auto"/>
              <w:left w:val="nil" w:sz="6" w:space="0" w:color="auto"/>
              <w:bottom w:val="nil" w:sz="6" w:space="0" w:color="auto"/>
              <w:right w:val="nil" w:sz="6" w:space="0" w:color="auto"/>
            </w:tcBorders>
          </w:tcPr>
          <w:p>
            <w:pPr/>
          </w:p>
        </w:tc>
        <w:tc>
          <w:tcPr>
            <w:tcW w:w="1726" w:type="dxa"/>
            <w:gridSpan w:val="4"/>
            <w:tcBorders>
              <w:top w:val="nil" w:sz="6" w:space="0" w:color="auto"/>
              <w:left w:val="nil" w:sz="6" w:space="0" w:color="auto"/>
              <w:bottom w:val="single" w:sz="6" w:space="0" w:color="000000"/>
              <w:right w:val="nil" w:sz="6" w:space="0" w:color="auto"/>
            </w:tcBorders>
          </w:tcPr>
          <w:p>
            <w:pPr>
              <w:pStyle w:val="TableParagraph"/>
              <w:spacing w:line="240" w:lineRule="auto" w:before="31"/>
              <w:ind w:left="52" w:right="0"/>
              <w:jc w:val="left"/>
              <w:rPr>
                <w:rFonts w:ascii="宋体" w:hAnsi="宋体" w:cs="宋体" w:eastAsia="宋体" w:hint="default"/>
                <w:sz w:val="22"/>
                <w:szCs w:val="22"/>
              </w:rPr>
            </w:pPr>
            <w:r>
              <w:rPr>
                <w:rFonts w:ascii="Arial" w:hAnsi="Arial" w:cs="Arial" w:eastAsia="Arial" w:hint="default"/>
                <w:sz w:val="22"/>
                <w:szCs w:val="22"/>
              </w:rPr>
              <w:t>2011</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c>
          <w:tcPr>
            <w:tcW w:w="2407" w:type="dxa"/>
            <w:gridSpan w:val="3"/>
            <w:tcBorders>
              <w:top w:val="nil" w:sz="6" w:space="0" w:color="auto"/>
              <w:left w:val="nil" w:sz="6" w:space="0" w:color="auto"/>
              <w:bottom w:val="single" w:sz="6" w:space="0" w:color="000000"/>
              <w:right w:val="nil" w:sz="6" w:space="0" w:color="auto"/>
            </w:tcBorders>
          </w:tcPr>
          <w:p>
            <w:pPr/>
          </w:p>
        </w:tc>
      </w:tr>
      <w:tr>
        <w:trPr>
          <w:trHeight w:val="30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2"/>
                <w:szCs w:val="22"/>
              </w:rPr>
            </w:pPr>
            <w:r>
              <w:rPr>
                <w:rFonts w:ascii="宋体" w:hAnsi="宋体" w:cs="宋体" w:eastAsia="宋体" w:hint="default"/>
                <w:w w:val="99"/>
                <w:sz w:val="22"/>
                <w:szCs w:val="22"/>
              </w:rPr>
              <w:t>（单位</w:t>
            </w:r>
            <w:r>
              <w:rPr>
                <w:rFonts w:ascii="宋体" w:hAnsi="宋体" w:cs="宋体" w:eastAsia="宋体" w:hint="default"/>
                <w:spacing w:val="-105"/>
                <w:w w:val="99"/>
                <w:sz w:val="22"/>
                <w:szCs w:val="22"/>
              </w:rPr>
              <w:t>：</w:t>
            </w:r>
            <w:r>
              <w:rPr>
                <w:rFonts w:ascii="宋体" w:hAnsi="宋体" w:cs="宋体" w:eastAsia="宋体" w:hint="default"/>
                <w:w w:val="99"/>
                <w:sz w:val="22"/>
                <w:szCs w:val="22"/>
              </w:rPr>
              <w:t>人</w:t>
            </w:r>
            <w:r>
              <w:rPr>
                <w:rFonts w:ascii="宋体" w:hAnsi="宋体" w:cs="宋体" w:eastAsia="宋体" w:hint="default"/>
                <w:spacing w:val="1"/>
                <w:w w:val="99"/>
                <w:sz w:val="22"/>
                <w:szCs w:val="22"/>
              </w:rPr>
              <w:t>民</w:t>
            </w:r>
            <w:r>
              <w:rPr>
                <w:rFonts w:ascii="宋体" w:hAnsi="宋体" w:cs="宋体" w:eastAsia="宋体" w:hint="default"/>
                <w:w w:val="99"/>
                <w:sz w:val="22"/>
                <w:szCs w:val="22"/>
              </w:rPr>
              <w:t>币百万</w:t>
            </w:r>
            <w:r>
              <w:rPr>
                <w:rFonts w:ascii="宋体" w:hAnsi="宋体" w:cs="宋体" w:eastAsia="宋体" w:hint="default"/>
                <w:spacing w:val="1"/>
                <w:w w:val="99"/>
                <w:sz w:val="22"/>
                <w:szCs w:val="22"/>
              </w:rPr>
              <w:t>元</w:t>
            </w:r>
            <w:r>
              <w:rPr>
                <w:rFonts w:ascii="宋体" w:hAnsi="宋体" w:cs="宋体" w:eastAsia="宋体" w:hint="default"/>
                <w:w w:val="99"/>
                <w:sz w:val="22"/>
                <w:szCs w:val="22"/>
              </w:rPr>
              <w:t>）</w:t>
            </w:r>
            <w:r>
              <w:rPr>
                <w:rFonts w:ascii="宋体" w:hAnsi="宋体" w:cs="宋体" w:eastAsia="宋体" w:hint="default"/>
                <w:sz w:val="22"/>
                <w:szCs w:val="22"/>
              </w:rPr>
            </w:r>
          </w:p>
        </w:tc>
        <w:tc>
          <w:tcPr>
            <w:tcW w:w="1134"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43"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年以内</w:t>
            </w:r>
          </w:p>
        </w:tc>
        <w:tc>
          <w:tcPr>
            <w:tcW w:w="244" w:type="dxa"/>
            <w:tcBorders>
              <w:top w:val="single" w:sz="6" w:space="0" w:color="000000"/>
              <w:left w:val="nil" w:sz="6" w:space="0" w:color="auto"/>
              <w:bottom w:val="nil" w:sz="6" w:space="0" w:color="auto"/>
              <w:right w:val="nil" w:sz="6" w:space="0" w:color="auto"/>
            </w:tcBorders>
          </w:tcPr>
          <w:p>
            <w:pPr/>
          </w:p>
        </w:tc>
        <w:tc>
          <w:tcPr>
            <w:tcW w:w="1023"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86"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至</w:t>
            </w:r>
            <w:r>
              <w:rPr>
                <w:rFonts w:ascii="Arial" w:hAnsi="Arial" w:cs="Arial" w:eastAsia="Arial" w:hint="default"/>
                <w:sz w:val="22"/>
                <w:szCs w:val="22"/>
              </w:rPr>
              <w:t>2</w:t>
            </w:r>
            <w:r>
              <w:rPr>
                <w:rFonts w:ascii="宋体" w:hAnsi="宋体" w:cs="宋体" w:eastAsia="宋体" w:hint="default"/>
                <w:sz w:val="22"/>
                <w:szCs w:val="22"/>
              </w:rPr>
              <w:t>年</w:t>
            </w:r>
          </w:p>
        </w:tc>
        <w:tc>
          <w:tcPr>
            <w:tcW w:w="1726" w:type="dxa"/>
            <w:gridSpan w:val="4"/>
            <w:tcBorders>
              <w:top w:val="single" w:sz="6" w:space="0" w:color="000000"/>
              <w:left w:val="nil" w:sz="6" w:space="0" w:color="auto"/>
              <w:bottom w:val="nil" w:sz="6" w:space="0" w:color="auto"/>
              <w:right w:val="nil" w:sz="6" w:space="0" w:color="auto"/>
            </w:tcBorders>
          </w:tcPr>
          <w:p>
            <w:pPr>
              <w:pStyle w:val="TableParagraph"/>
              <w:spacing w:line="267" w:lineRule="exact"/>
              <w:ind w:left="550"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至</w:t>
            </w:r>
            <w:r>
              <w:rPr>
                <w:rFonts w:ascii="Arial" w:hAnsi="Arial" w:cs="Arial" w:eastAsia="Arial" w:hint="default"/>
                <w:sz w:val="22"/>
                <w:szCs w:val="22"/>
              </w:rPr>
              <w:t>5</w:t>
            </w:r>
            <w:r>
              <w:rPr>
                <w:rFonts w:ascii="宋体" w:hAnsi="宋体" w:cs="宋体" w:eastAsia="宋体" w:hint="default"/>
                <w:sz w:val="22"/>
                <w:szCs w:val="22"/>
              </w:rPr>
              <w:t>年</w:t>
            </w:r>
          </w:p>
        </w:tc>
        <w:tc>
          <w:tcPr>
            <w:tcW w:w="878" w:type="dxa"/>
            <w:tcBorders>
              <w:top w:val="single" w:sz="6" w:space="0" w:color="000000"/>
              <w:left w:val="nil" w:sz="6" w:space="0" w:color="auto"/>
              <w:bottom w:val="single" w:sz="6" w:space="0" w:color="000000"/>
              <w:right w:val="nil" w:sz="6" w:space="0" w:color="auto"/>
            </w:tcBorders>
          </w:tcPr>
          <w:p>
            <w:pPr>
              <w:pStyle w:val="TableParagraph"/>
              <w:spacing w:line="267" w:lineRule="exact"/>
              <w:ind w:right="59"/>
              <w:jc w:val="right"/>
              <w:rPr>
                <w:rFonts w:ascii="宋体" w:hAnsi="宋体" w:cs="宋体" w:eastAsia="宋体" w:hint="default"/>
                <w:sz w:val="22"/>
                <w:szCs w:val="22"/>
              </w:rPr>
            </w:pPr>
            <w:r>
              <w:rPr>
                <w:rFonts w:ascii="Arial" w:hAnsi="Arial" w:cs="Arial" w:eastAsia="Arial" w:hint="default"/>
                <w:w w:val="95"/>
                <w:sz w:val="22"/>
                <w:szCs w:val="22"/>
              </w:rPr>
              <w:t>5</w:t>
            </w:r>
            <w:r>
              <w:rPr>
                <w:rFonts w:ascii="宋体" w:hAnsi="宋体" w:cs="宋体" w:eastAsia="宋体" w:hint="default"/>
                <w:w w:val="95"/>
                <w:sz w:val="22"/>
                <w:szCs w:val="22"/>
              </w:rPr>
              <w:t>年以上</w:t>
            </w:r>
            <w:r>
              <w:rPr>
                <w:rFonts w:ascii="宋体" w:hAnsi="宋体" w:cs="宋体" w:eastAsia="宋体" w:hint="default"/>
                <w:sz w:val="22"/>
                <w:szCs w:val="22"/>
              </w:rPr>
            </w:r>
          </w:p>
        </w:tc>
        <w:tc>
          <w:tcPr>
            <w:tcW w:w="244" w:type="dxa"/>
            <w:tcBorders>
              <w:top w:val="single" w:sz="6" w:space="0" w:color="000000"/>
              <w:left w:val="nil" w:sz="6" w:space="0" w:color="auto"/>
              <w:bottom w:val="nil" w:sz="6" w:space="0" w:color="auto"/>
              <w:right w:val="nil" w:sz="6" w:space="0" w:color="auto"/>
            </w:tcBorders>
          </w:tcPr>
          <w:p>
            <w:pPr/>
          </w:p>
        </w:tc>
        <w:tc>
          <w:tcPr>
            <w:tcW w:w="1285" w:type="dxa"/>
            <w:tcBorders>
              <w:top w:val="single" w:sz="6" w:space="0" w:color="000000"/>
              <w:left w:val="nil" w:sz="6" w:space="0" w:color="auto"/>
              <w:bottom w:val="single" w:sz="6" w:space="0" w:color="000000"/>
              <w:right w:val="nil" w:sz="6" w:space="0" w:color="auto"/>
            </w:tcBorders>
          </w:tcPr>
          <w:p>
            <w:pPr>
              <w:pStyle w:val="TableParagraph"/>
              <w:spacing w:line="252" w:lineRule="exact"/>
              <w:ind w:left="711" w:right="0"/>
              <w:jc w:val="left"/>
              <w:rPr>
                <w:rFonts w:ascii="宋体" w:hAnsi="宋体" w:cs="宋体" w:eastAsia="宋体" w:hint="default"/>
                <w:sz w:val="22"/>
                <w:szCs w:val="22"/>
              </w:rPr>
            </w:pPr>
            <w:r>
              <w:rPr>
                <w:rFonts w:ascii="宋体" w:hAnsi="宋体" w:cs="宋体" w:eastAsia="宋体" w:hint="default"/>
                <w:sz w:val="22"/>
                <w:szCs w:val="22"/>
              </w:rPr>
              <w:t>合计</w:t>
            </w:r>
          </w:p>
        </w:tc>
      </w:tr>
      <w:tr>
        <w:trPr>
          <w:trHeight w:val="591"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58" w:lineRule="exact"/>
              <w:ind w:left="148" w:right="0"/>
              <w:jc w:val="left"/>
              <w:rPr>
                <w:rFonts w:ascii="宋体" w:hAnsi="宋体" w:cs="宋体" w:eastAsia="宋体" w:hint="default"/>
                <w:sz w:val="22"/>
                <w:szCs w:val="22"/>
              </w:rPr>
            </w:pPr>
            <w:r>
              <w:rPr>
                <w:rFonts w:ascii="宋体" w:hAnsi="宋体" w:cs="宋体" w:eastAsia="宋体" w:hint="default"/>
                <w:sz w:val="22"/>
                <w:szCs w:val="22"/>
              </w:rPr>
              <w:t>金融资产</w:t>
            </w:r>
          </w:p>
          <w:p>
            <w:pPr>
              <w:pStyle w:val="TableParagraph"/>
              <w:spacing w:line="287" w:lineRule="exact"/>
              <w:ind w:left="148"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134"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43" w:right="0"/>
              <w:jc w:val="left"/>
              <w:rPr>
                <w:rFonts w:ascii="Arial" w:hAnsi="Arial" w:cs="Arial" w:eastAsia="Arial" w:hint="default"/>
                <w:sz w:val="22"/>
                <w:szCs w:val="22"/>
              </w:rPr>
            </w:pPr>
            <w:r>
              <w:rPr>
                <w:rFonts w:ascii="Arial"/>
                <w:sz w:val="22"/>
              </w:rPr>
              <w:t>15,423</w:t>
            </w: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57"/>
              <w:jc w:val="right"/>
              <w:rPr>
                <w:rFonts w:ascii="Arial" w:hAnsi="Arial" w:cs="Arial" w:eastAsia="Arial" w:hint="default"/>
                <w:sz w:val="22"/>
                <w:szCs w:val="22"/>
              </w:rPr>
            </w:pPr>
            <w:r>
              <w:rPr>
                <w:rFonts w:ascii="Arial"/>
                <w:w w:val="99"/>
                <w:sz w:val="22"/>
              </w:rPr>
              <w:t>-</w:t>
            </w:r>
            <w:r>
              <w:rPr>
                <w:rFonts w:ascii="Arial"/>
                <w:sz w:val="22"/>
              </w:rPr>
            </w:r>
          </w:p>
        </w:tc>
        <w:tc>
          <w:tcPr>
            <w:tcW w:w="1726"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292" w:right="0"/>
              <w:jc w:val="left"/>
              <w:rPr>
                <w:rFonts w:ascii="宋体" w:hAnsi="宋体" w:cs="宋体" w:eastAsia="宋体" w:hint="default"/>
                <w:sz w:val="2"/>
                <w:szCs w:val="2"/>
              </w:rPr>
            </w:pPr>
            <w:r>
              <w:rPr>
                <w:rFonts w:ascii="宋体" w:hAnsi="宋体" w:cs="宋体" w:eastAsia="宋体" w:hint="default"/>
                <w:sz w:val="2"/>
                <w:szCs w:val="2"/>
              </w:rPr>
              <w:pict>
                <v:group style="width:52.95pt;height:.75pt;mso-position-horizontal-relative:char;mso-position-vertical-relative:line" coordorigin="0,0" coordsize="1059,15">
                  <v:group style="position:absolute;left:7;top:7;width:1044;height:2" coordorigin="7,7" coordsize="1044,2">
                    <v:shape style="position:absolute;left:7;top:7;width:1044;height:2" coordorigin="7,7" coordsize="1044,0" path="m7,7l105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478"/>
              <w:jc w:val="right"/>
              <w:rPr>
                <w:rFonts w:ascii="Arial" w:hAnsi="Arial" w:cs="Arial" w:eastAsia="Arial" w:hint="default"/>
                <w:sz w:val="22"/>
                <w:szCs w:val="22"/>
              </w:rPr>
            </w:pPr>
            <w:r>
              <w:rPr>
                <w:rFonts w:ascii="Arial"/>
                <w:w w:val="99"/>
                <w:sz w:val="22"/>
              </w:rPr>
              <w:t>-</w:t>
            </w:r>
            <w:r>
              <w:rPr>
                <w:rFonts w:ascii="Arial"/>
                <w:sz w:val="22"/>
              </w:rPr>
            </w:r>
          </w:p>
        </w:tc>
        <w:tc>
          <w:tcPr>
            <w:tcW w:w="87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4"/>
              <w:jc w:val="right"/>
              <w:rPr>
                <w:rFonts w:ascii="Arial" w:hAnsi="Arial" w:cs="Arial" w:eastAsia="Arial" w:hint="default"/>
                <w:sz w:val="22"/>
                <w:szCs w:val="22"/>
              </w:rPr>
            </w:pPr>
            <w:r>
              <w:rPr>
                <w:rFonts w:ascii="Arial"/>
                <w:w w:val="95"/>
                <w:sz w:val="22"/>
              </w:rPr>
              <w:t>16</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52" w:right="0"/>
              <w:jc w:val="left"/>
              <w:rPr>
                <w:rFonts w:ascii="Arial" w:hAnsi="Arial" w:cs="Arial" w:eastAsia="Arial" w:hint="default"/>
                <w:sz w:val="22"/>
                <w:szCs w:val="22"/>
              </w:rPr>
            </w:pPr>
            <w:r>
              <w:rPr>
                <w:rFonts w:ascii="Arial"/>
                <w:sz w:val="22"/>
              </w:rPr>
              <w:t>15,439</w:t>
            </w:r>
          </w:p>
        </w:tc>
      </w:tr>
      <w:tr>
        <w:trPr>
          <w:trHeight w:val="416"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20" w:lineRule="exact"/>
              <w:ind w:left="148" w:right="0"/>
              <w:jc w:val="left"/>
              <w:rPr>
                <w:rFonts w:ascii="宋体" w:hAnsi="宋体" w:cs="宋体" w:eastAsia="宋体" w:hint="default"/>
                <w:sz w:val="22"/>
                <w:szCs w:val="22"/>
              </w:rPr>
            </w:pPr>
            <w:r>
              <w:rPr>
                <w:rFonts w:ascii="宋体" w:hAnsi="宋体" w:cs="宋体" w:eastAsia="宋体" w:hint="default"/>
                <w:sz w:val="22"/>
                <w:szCs w:val="22"/>
              </w:rPr>
              <w:t>应收款项</w:t>
            </w:r>
          </w:p>
        </w:tc>
        <w:tc>
          <w:tcPr>
            <w:tcW w:w="1134" w:type="dxa"/>
            <w:tcBorders>
              <w:top w:val="nil" w:sz="6" w:space="0" w:color="auto"/>
              <w:left w:val="nil" w:sz="6" w:space="0" w:color="auto"/>
              <w:bottom w:val="nil" w:sz="6" w:space="0" w:color="auto"/>
              <w:right w:val="nil" w:sz="6" w:space="0" w:color="auto"/>
            </w:tcBorders>
          </w:tcPr>
          <w:p>
            <w:pPr>
              <w:pStyle w:val="TableParagraph"/>
              <w:tabs>
                <w:tab w:pos="343" w:val="left" w:leader="none"/>
                <w:tab w:pos="1133" w:val="left" w:leader="none"/>
              </w:tabs>
              <w:spacing w:line="251" w:lineRule="exact"/>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14,395</w:t>
              <w:tab/>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tabs>
                <w:tab w:pos="890" w:val="left" w:leader="none"/>
                <w:tab w:pos="1079" w:val="left" w:leader="none"/>
              </w:tabs>
              <w:spacing w:line="251" w:lineRule="exact"/>
              <w:ind w:right="-5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85"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tabs>
                <w:tab w:pos="872" w:val="left" w:leader="none"/>
                <w:tab w:pos="1043" w:val="left" w:leader="none"/>
              </w:tabs>
              <w:spacing w:line="251" w:lineRule="exact"/>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29" w:type="dxa"/>
            <w:tcBorders>
              <w:top w:val="nil" w:sz="6" w:space="0" w:color="auto"/>
              <w:left w:val="nil" w:sz="6" w:space="0" w:color="auto"/>
              <w:bottom w:val="nil" w:sz="6" w:space="0" w:color="auto"/>
              <w:right w:val="nil" w:sz="6" w:space="0" w:color="auto"/>
            </w:tcBorders>
          </w:tcPr>
          <w:p>
            <w:pPr/>
          </w:p>
        </w:tc>
        <w:tc>
          <w:tcPr>
            <w:tcW w:w="1031" w:type="dxa"/>
            <w:gridSpan w:val="2"/>
            <w:tcBorders>
              <w:top w:val="nil" w:sz="6" w:space="0" w:color="auto"/>
              <w:left w:val="nil" w:sz="6" w:space="0" w:color="auto"/>
              <w:bottom w:val="nil" w:sz="6" w:space="0" w:color="auto"/>
              <w:right w:val="nil" w:sz="6" w:space="0" w:color="auto"/>
            </w:tcBorders>
          </w:tcPr>
          <w:p>
            <w:pPr>
              <w:pStyle w:val="TableParagraph"/>
              <w:tabs>
                <w:tab w:pos="840" w:val="left" w:leader="none"/>
                <w:tab w:pos="1030" w:val="left" w:leader="none"/>
              </w:tabs>
              <w:spacing w:line="251" w:lineRule="exact"/>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tabs>
                <w:tab w:pos="452" w:val="left" w:leader="none"/>
                <w:tab w:pos="1250" w:val="left" w:leader="none"/>
              </w:tabs>
              <w:spacing w:line="251" w:lineRule="exact"/>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14,395</w:t>
              <w:tab/>
            </w:r>
            <w:r>
              <w:rPr>
                <w:rFonts w:ascii="Arial"/>
                <w:sz w:val="22"/>
              </w:rPr>
            </w:r>
          </w:p>
        </w:tc>
      </w:tr>
      <w:tr>
        <w:trPr>
          <w:trHeight w:val="399" w:hRule="exact"/>
        </w:trPr>
        <w:tc>
          <w:tcPr>
            <w:tcW w:w="249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343" w:right="0"/>
              <w:jc w:val="left"/>
              <w:rPr>
                <w:rFonts w:ascii="Arial" w:hAnsi="Arial" w:cs="Arial" w:eastAsia="Arial" w:hint="default"/>
                <w:sz w:val="22"/>
                <w:szCs w:val="22"/>
              </w:rPr>
            </w:pPr>
            <w:r>
              <w:rPr>
                <w:rFonts w:ascii="Arial"/>
                <w:sz w:val="22"/>
              </w:rPr>
              <w:t>29,818</w:t>
            </w: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57"/>
              <w:jc w:val="right"/>
              <w:rPr>
                <w:rFonts w:ascii="Arial" w:hAnsi="Arial" w:cs="Arial" w:eastAsia="Arial" w:hint="default"/>
                <w:sz w:val="22"/>
                <w:szCs w:val="22"/>
              </w:rPr>
            </w:pPr>
            <w:r>
              <w:rPr>
                <w:rFonts w:ascii="Arial"/>
                <w:w w:val="99"/>
                <w:sz w:val="22"/>
              </w:rPr>
              <w:t>-</w:t>
            </w:r>
            <w:r>
              <w:rPr>
                <w:rFonts w:ascii="Arial"/>
                <w:sz w:val="22"/>
              </w:rPr>
            </w:r>
          </w:p>
        </w:tc>
        <w:tc>
          <w:tcPr>
            <w:tcW w:w="285"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96"/>
              <w:jc w:val="right"/>
              <w:rPr>
                <w:rFonts w:ascii="Arial" w:hAnsi="Arial" w:cs="Arial" w:eastAsia="Arial" w:hint="default"/>
                <w:sz w:val="22"/>
                <w:szCs w:val="22"/>
              </w:rPr>
            </w:pPr>
            <w:r>
              <w:rPr>
                <w:rFonts w:ascii="Arial"/>
                <w:w w:val="99"/>
                <w:sz w:val="22"/>
              </w:rPr>
              <w:t>-</w:t>
            </w:r>
            <w:r>
              <w:rPr>
                <w:rFonts w:ascii="Arial"/>
                <w:sz w:val="22"/>
              </w:rPr>
            </w:r>
          </w:p>
        </w:tc>
        <w:tc>
          <w:tcPr>
            <w:tcW w:w="229" w:type="dxa"/>
            <w:tcBorders>
              <w:top w:val="nil" w:sz="6" w:space="0" w:color="auto"/>
              <w:left w:val="nil" w:sz="6" w:space="0" w:color="auto"/>
              <w:bottom w:val="nil" w:sz="6" w:space="0" w:color="auto"/>
              <w:right w:val="nil" w:sz="6" w:space="0" w:color="auto"/>
            </w:tcBorders>
          </w:tcPr>
          <w:p>
            <w:pPr/>
          </w:p>
        </w:tc>
        <w:tc>
          <w:tcPr>
            <w:tcW w:w="1031"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22"/>
              <w:ind w:left="669" w:right="0"/>
              <w:jc w:val="left"/>
              <w:rPr>
                <w:rFonts w:ascii="Arial" w:hAnsi="Arial" w:cs="Arial" w:eastAsia="Arial" w:hint="default"/>
                <w:sz w:val="22"/>
                <w:szCs w:val="22"/>
              </w:rPr>
            </w:pPr>
            <w:r>
              <w:rPr>
                <w:rFonts w:ascii="Arial"/>
                <w:sz w:val="22"/>
              </w:rPr>
              <w:t>16</w:t>
            </w: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452" w:right="0"/>
              <w:jc w:val="left"/>
              <w:rPr>
                <w:rFonts w:ascii="Arial" w:hAnsi="Arial" w:cs="Arial" w:eastAsia="Arial" w:hint="default"/>
                <w:sz w:val="22"/>
                <w:szCs w:val="22"/>
              </w:rPr>
            </w:pPr>
            <w:r>
              <w:rPr>
                <w:rFonts w:ascii="Arial"/>
                <w:sz w:val="22"/>
              </w:rPr>
              <w:t>29,834</w:t>
            </w:r>
          </w:p>
        </w:tc>
      </w:tr>
      <w:tr>
        <w:trPr>
          <w:trHeight w:val="307"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75" w:lineRule="exact"/>
              <w:ind w:left="148" w:right="0"/>
              <w:jc w:val="left"/>
              <w:rPr>
                <w:rFonts w:ascii="宋体" w:hAnsi="宋体" w:cs="宋体" w:eastAsia="宋体" w:hint="default"/>
                <w:sz w:val="22"/>
                <w:szCs w:val="22"/>
              </w:rPr>
            </w:pPr>
            <w:r>
              <w:rPr>
                <w:rFonts w:ascii="宋体" w:hAnsi="宋体" w:cs="宋体" w:eastAsia="宋体" w:hint="default"/>
                <w:sz w:val="22"/>
                <w:szCs w:val="22"/>
              </w:rPr>
              <w:t>金融负债</w:t>
            </w:r>
          </w:p>
        </w:tc>
        <w:tc>
          <w:tcPr>
            <w:tcW w:w="1134" w:type="dxa"/>
            <w:tcBorders>
              <w:top w:val="single" w:sz="17"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single" w:sz="17" w:space="0" w:color="000000"/>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1058" w:type="dxa"/>
            <w:tcBorders>
              <w:top w:val="single" w:sz="17"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031" w:type="dxa"/>
            <w:gridSpan w:val="2"/>
            <w:tcBorders>
              <w:top w:val="single" w:sz="17"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single" w:sz="17" w:space="0" w:color="000000"/>
              <w:left w:val="nil" w:sz="6" w:space="0" w:color="auto"/>
              <w:bottom w:val="nil" w:sz="6" w:space="0" w:color="auto"/>
              <w:right w:val="nil" w:sz="6" w:space="0" w:color="auto"/>
            </w:tcBorders>
          </w:tcPr>
          <w:p>
            <w:pPr/>
          </w:p>
        </w:tc>
      </w:tr>
      <w:tr>
        <w:trPr>
          <w:trHeight w:val="299"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53" w:lineRule="exact"/>
              <w:ind w:left="148"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49" w:right="0"/>
              <w:jc w:val="left"/>
              <w:rPr>
                <w:rFonts w:ascii="Arial" w:hAnsi="Arial" w:cs="Arial" w:eastAsia="Arial" w:hint="default"/>
                <w:sz w:val="22"/>
                <w:szCs w:val="22"/>
              </w:rPr>
            </w:pPr>
            <w:r>
              <w:rPr>
                <w:rFonts w:ascii="Arial"/>
                <w:sz w:val="22"/>
              </w:rPr>
              <w:t>101</w:t>
            </w: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7"/>
              <w:jc w:val="right"/>
              <w:rPr>
                <w:rFonts w:ascii="Arial" w:hAnsi="Arial" w:cs="Arial" w:eastAsia="Arial" w:hint="default"/>
                <w:sz w:val="22"/>
                <w:szCs w:val="22"/>
              </w:rPr>
            </w:pPr>
            <w:r>
              <w:rPr>
                <w:rFonts w:ascii="Arial"/>
                <w:w w:val="95"/>
                <w:sz w:val="22"/>
              </w:rPr>
              <w:t>898</w:t>
            </w:r>
            <w:r>
              <w:rPr>
                <w:rFonts w:ascii="Arial"/>
                <w:sz w:val="22"/>
              </w:rPr>
            </w:r>
          </w:p>
        </w:tc>
        <w:tc>
          <w:tcPr>
            <w:tcW w:w="285"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6"/>
              <w:jc w:val="right"/>
              <w:rPr>
                <w:rFonts w:ascii="Arial" w:hAnsi="Arial" w:cs="Arial" w:eastAsia="Arial" w:hint="default"/>
                <w:sz w:val="22"/>
                <w:szCs w:val="22"/>
              </w:rPr>
            </w:pPr>
            <w:r>
              <w:rPr>
                <w:rFonts w:ascii="Arial"/>
                <w:w w:val="95"/>
                <w:sz w:val="22"/>
              </w:rPr>
              <w:t>163</w:t>
            </w:r>
            <w:r>
              <w:rPr>
                <w:rFonts w:ascii="Arial"/>
                <w:sz w:val="22"/>
              </w:rPr>
            </w:r>
          </w:p>
        </w:tc>
        <w:tc>
          <w:tcPr>
            <w:tcW w:w="229" w:type="dxa"/>
            <w:tcBorders>
              <w:top w:val="nil" w:sz="6" w:space="0" w:color="auto"/>
              <w:left w:val="nil" w:sz="6" w:space="0" w:color="auto"/>
              <w:bottom w:val="nil" w:sz="6" w:space="0" w:color="auto"/>
              <w:right w:val="nil" w:sz="6" w:space="0" w:color="auto"/>
            </w:tcBorders>
          </w:tcPr>
          <w:p>
            <w:pPr/>
          </w:p>
        </w:tc>
        <w:tc>
          <w:tcPr>
            <w:tcW w:w="1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546" w:right="0"/>
              <w:jc w:val="left"/>
              <w:rPr>
                <w:rFonts w:ascii="Arial" w:hAnsi="Arial" w:cs="Arial" w:eastAsia="Arial" w:hint="default"/>
                <w:sz w:val="22"/>
                <w:szCs w:val="22"/>
              </w:rPr>
            </w:pPr>
            <w:r>
              <w:rPr>
                <w:rFonts w:ascii="Arial"/>
                <w:sz w:val="22"/>
              </w:rPr>
              <w:t>391</w:t>
            </w: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74" w:right="0"/>
              <w:jc w:val="left"/>
              <w:rPr>
                <w:rFonts w:ascii="Arial" w:hAnsi="Arial" w:cs="Arial" w:eastAsia="Arial" w:hint="default"/>
                <w:sz w:val="22"/>
                <w:szCs w:val="22"/>
              </w:rPr>
            </w:pPr>
            <w:r>
              <w:rPr>
                <w:rFonts w:ascii="Arial"/>
                <w:sz w:val="22"/>
              </w:rPr>
              <w:t>1,553</w:t>
            </w:r>
          </w:p>
        </w:tc>
      </w:tr>
      <w:tr>
        <w:trPr>
          <w:trHeight w:val="286"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39" w:lineRule="exact"/>
              <w:ind w:left="148" w:right="0"/>
              <w:jc w:val="left"/>
              <w:rPr>
                <w:rFonts w:ascii="宋体" w:hAnsi="宋体" w:cs="宋体" w:eastAsia="宋体" w:hint="default"/>
                <w:sz w:val="22"/>
                <w:szCs w:val="22"/>
              </w:rPr>
            </w:pPr>
            <w:r>
              <w:rPr>
                <w:rFonts w:ascii="宋体" w:hAnsi="宋体" w:cs="宋体" w:eastAsia="宋体" w:hint="default"/>
                <w:sz w:val="22"/>
                <w:szCs w:val="22"/>
              </w:rPr>
              <w:t>应付融资租赁款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78</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7"/>
              <w:jc w:val="right"/>
              <w:rPr>
                <w:rFonts w:ascii="Arial" w:hAnsi="Arial" w:cs="Arial" w:eastAsia="Arial" w:hint="default"/>
                <w:sz w:val="22"/>
                <w:szCs w:val="22"/>
              </w:rPr>
            </w:pPr>
            <w:r>
              <w:rPr>
                <w:rFonts w:ascii="Arial"/>
                <w:w w:val="99"/>
                <w:sz w:val="22"/>
              </w:rPr>
              <w:t>-</w:t>
            </w:r>
            <w:r>
              <w:rPr>
                <w:rFonts w:ascii="Arial"/>
                <w:sz w:val="22"/>
              </w:rPr>
            </w:r>
          </w:p>
        </w:tc>
        <w:tc>
          <w:tcPr>
            <w:tcW w:w="285"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Arial" w:hAnsi="Arial" w:cs="Arial" w:eastAsia="Arial" w:hint="default"/>
                <w:sz w:val="22"/>
                <w:szCs w:val="22"/>
              </w:rPr>
            </w:pPr>
            <w:r>
              <w:rPr>
                <w:rFonts w:ascii="Arial"/>
                <w:w w:val="99"/>
                <w:sz w:val="22"/>
              </w:rPr>
              <w:t>-</w:t>
            </w:r>
            <w:r>
              <w:rPr>
                <w:rFonts w:ascii="Arial"/>
                <w:sz w:val="22"/>
              </w:rPr>
            </w:r>
          </w:p>
        </w:tc>
        <w:tc>
          <w:tcPr>
            <w:tcW w:w="229" w:type="dxa"/>
            <w:tcBorders>
              <w:top w:val="nil" w:sz="6" w:space="0" w:color="auto"/>
              <w:left w:val="nil" w:sz="6" w:space="0" w:color="auto"/>
              <w:bottom w:val="nil" w:sz="6" w:space="0" w:color="auto"/>
              <w:right w:val="nil" w:sz="6" w:space="0" w:color="auto"/>
            </w:tcBorders>
          </w:tcPr>
          <w:p>
            <w:pPr/>
          </w:p>
        </w:tc>
        <w:tc>
          <w:tcPr>
            <w:tcW w:w="1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9"/>
                <w:sz w:val="22"/>
              </w:rPr>
              <w:t>-</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7"/>
              <w:jc w:val="right"/>
              <w:rPr>
                <w:rFonts w:ascii="Arial" w:hAnsi="Arial" w:cs="Arial" w:eastAsia="Arial" w:hint="default"/>
                <w:sz w:val="22"/>
                <w:szCs w:val="22"/>
              </w:rPr>
            </w:pPr>
            <w:r>
              <w:rPr>
                <w:rFonts w:ascii="Arial"/>
                <w:w w:val="95"/>
                <w:sz w:val="22"/>
              </w:rPr>
              <w:t>78</w:t>
            </w:r>
            <w:r>
              <w:rPr>
                <w:rFonts w:ascii="Arial"/>
                <w:sz w:val="22"/>
              </w:rPr>
            </w:r>
          </w:p>
        </w:tc>
      </w:tr>
      <w:tr>
        <w:trPr>
          <w:trHeight w:val="285"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39" w:lineRule="exact"/>
              <w:ind w:left="148"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3" w:right="0"/>
              <w:jc w:val="left"/>
              <w:rPr>
                <w:rFonts w:ascii="Arial" w:hAnsi="Arial" w:cs="Arial" w:eastAsia="Arial" w:hint="default"/>
                <w:sz w:val="22"/>
                <w:szCs w:val="22"/>
              </w:rPr>
            </w:pPr>
            <w:r>
              <w:rPr>
                <w:rFonts w:ascii="Arial"/>
                <w:sz w:val="22"/>
              </w:rPr>
              <w:t>40,101</w:t>
            </w: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0" w:right="0"/>
              <w:jc w:val="left"/>
              <w:rPr>
                <w:rFonts w:ascii="Arial" w:hAnsi="Arial" w:cs="Arial" w:eastAsia="Arial" w:hint="default"/>
                <w:sz w:val="22"/>
                <w:szCs w:val="22"/>
              </w:rPr>
            </w:pPr>
            <w:r>
              <w:rPr>
                <w:rFonts w:ascii="Arial"/>
                <w:sz w:val="22"/>
              </w:rPr>
              <w:t>20,666</w:t>
            </w:r>
          </w:p>
        </w:tc>
        <w:tc>
          <w:tcPr>
            <w:tcW w:w="285"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6" w:right="0"/>
              <w:jc w:val="left"/>
              <w:rPr>
                <w:rFonts w:ascii="Arial" w:hAnsi="Arial" w:cs="Arial" w:eastAsia="Arial" w:hint="default"/>
                <w:sz w:val="22"/>
                <w:szCs w:val="22"/>
              </w:rPr>
            </w:pPr>
            <w:r>
              <w:rPr>
                <w:rFonts w:ascii="Arial"/>
                <w:sz w:val="22"/>
              </w:rPr>
              <w:t>12,012</w:t>
            </w:r>
          </w:p>
        </w:tc>
        <w:tc>
          <w:tcPr>
            <w:tcW w:w="229" w:type="dxa"/>
            <w:tcBorders>
              <w:top w:val="nil" w:sz="6" w:space="0" w:color="auto"/>
              <w:left w:val="nil" w:sz="6" w:space="0" w:color="auto"/>
              <w:bottom w:val="nil" w:sz="6" w:space="0" w:color="auto"/>
              <w:right w:val="nil" w:sz="6" w:space="0" w:color="auto"/>
            </w:tcBorders>
          </w:tcPr>
          <w:p>
            <w:pPr/>
          </w:p>
        </w:tc>
        <w:tc>
          <w:tcPr>
            <w:tcW w:w="1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63" w:right="0"/>
              <w:jc w:val="left"/>
              <w:rPr>
                <w:rFonts w:ascii="Arial" w:hAnsi="Arial" w:cs="Arial" w:eastAsia="Arial" w:hint="default"/>
                <w:sz w:val="22"/>
                <w:szCs w:val="22"/>
              </w:rPr>
            </w:pPr>
            <w:r>
              <w:rPr>
                <w:rFonts w:ascii="Arial"/>
                <w:sz w:val="22"/>
              </w:rPr>
              <w:t>2,039</w:t>
            </w: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2" w:right="0"/>
              <w:jc w:val="left"/>
              <w:rPr>
                <w:rFonts w:ascii="Arial" w:hAnsi="Arial" w:cs="Arial" w:eastAsia="Arial" w:hint="default"/>
                <w:sz w:val="22"/>
                <w:szCs w:val="22"/>
              </w:rPr>
            </w:pPr>
            <w:r>
              <w:rPr>
                <w:rFonts w:ascii="Arial"/>
                <w:sz w:val="22"/>
              </w:rPr>
              <w:t>74,818</w:t>
            </w:r>
          </w:p>
        </w:tc>
      </w:tr>
      <w:tr>
        <w:trPr>
          <w:trHeight w:val="285"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39" w:lineRule="exact"/>
              <w:ind w:left="149"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0" w:right="0"/>
              <w:jc w:val="left"/>
              <w:rPr>
                <w:rFonts w:ascii="Arial" w:hAnsi="Arial" w:cs="Arial" w:eastAsia="Arial" w:hint="default"/>
                <w:sz w:val="22"/>
                <w:szCs w:val="22"/>
              </w:rPr>
            </w:pPr>
            <w:r>
              <w:rPr>
                <w:rFonts w:ascii="Arial"/>
                <w:sz w:val="22"/>
              </w:rPr>
              <w:t>101,666</w:t>
            </w: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7"/>
              <w:jc w:val="right"/>
              <w:rPr>
                <w:rFonts w:ascii="Arial" w:hAnsi="Arial" w:cs="Arial" w:eastAsia="Arial" w:hint="default"/>
                <w:sz w:val="22"/>
                <w:szCs w:val="22"/>
              </w:rPr>
            </w:pPr>
            <w:r>
              <w:rPr>
                <w:rFonts w:ascii="Arial"/>
                <w:w w:val="99"/>
                <w:sz w:val="22"/>
              </w:rPr>
              <w:t>6</w:t>
            </w:r>
            <w:r>
              <w:rPr>
                <w:rFonts w:ascii="Arial"/>
                <w:sz w:val="22"/>
              </w:rPr>
            </w:r>
          </w:p>
        </w:tc>
        <w:tc>
          <w:tcPr>
            <w:tcW w:w="285"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Arial" w:hAnsi="Arial" w:cs="Arial" w:eastAsia="Arial" w:hint="default"/>
                <w:sz w:val="22"/>
                <w:szCs w:val="22"/>
              </w:rPr>
            </w:pPr>
            <w:r>
              <w:rPr>
                <w:rFonts w:ascii="Arial"/>
                <w:w w:val="95"/>
                <w:sz w:val="22"/>
              </w:rPr>
              <w:t>17</w:t>
            </w:r>
            <w:r>
              <w:rPr>
                <w:rFonts w:ascii="Arial"/>
                <w:sz w:val="22"/>
              </w:rPr>
            </w:r>
          </w:p>
        </w:tc>
        <w:tc>
          <w:tcPr>
            <w:tcW w:w="229" w:type="dxa"/>
            <w:tcBorders>
              <w:top w:val="nil" w:sz="6" w:space="0" w:color="auto"/>
              <w:left w:val="nil" w:sz="6" w:space="0" w:color="auto"/>
              <w:bottom w:val="nil" w:sz="6" w:space="0" w:color="auto"/>
              <w:right w:val="nil" w:sz="6" w:space="0" w:color="auto"/>
            </w:tcBorders>
          </w:tcPr>
          <w:p>
            <w:pPr/>
          </w:p>
        </w:tc>
        <w:tc>
          <w:tcPr>
            <w:tcW w:w="1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669" w:right="0"/>
              <w:jc w:val="left"/>
              <w:rPr>
                <w:rFonts w:ascii="Arial" w:hAnsi="Arial" w:cs="Arial" w:eastAsia="Arial" w:hint="default"/>
                <w:sz w:val="22"/>
                <w:szCs w:val="22"/>
              </w:rPr>
            </w:pPr>
            <w:r>
              <w:rPr>
                <w:rFonts w:ascii="Arial"/>
                <w:sz w:val="22"/>
              </w:rPr>
              <w:t>65</w:t>
            </w: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29" w:right="0"/>
              <w:jc w:val="left"/>
              <w:rPr>
                <w:rFonts w:ascii="Arial" w:hAnsi="Arial" w:cs="Arial" w:eastAsia="Arial" w:hint="default"/>
                <w:sz w:val="22"/>
                <w:szCs w:val="22"/>
              </w:rPr>
            </w:pPr>
            <w:r>
              <w:rPr>
                <w:rFonts w:ascii="Arial"/>
                <w:sz w:val="22"/>
              </w:rPr>
              <w:t>101,754</w:t>
            </w:r>
          </w:p>
        </w:tc>
      </w:tr>
      <w:tr>
        <w:trPr>
          <w:trHeight w:val="416"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39" w:lineRule="exact"/>
              <w:ind w:left="149"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134" w:type="dxa"/>
            <w:tcBorders>
              <w:top w:val="nil" w:sz="6" w:space="0" w:color="auto"/>
              <w:left w:val="nil" w:sz="6" w:space="0" w:color="auto"/>
              <w:bottom w:val="nil" w:sz="6" w:space="0" w:color="auto"/>
              <w:right w:val="nil" w:sz="6" w:space="0" w:color="auto"/>
            </w:tcBorders>
          </w:tcPr>
          <w:p>
            <w:pPr>
              <w:pStyle w:val="TableParagraph"/>
              <w:tabs>
                <w:tab w:pos="343" w:val="left" w:leader="none"/>
                <w:tab w:pos="1133"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32,877</w:t>
              <w:tab/>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tabs>
                <w:tab w:pos="890" w:val="left" w:leader="none"/>
                <w:tab w:pos="1079" w:val="left" w:leader="none"/>
              </w:tabs>
              <w:spacing w:line="240" w:lineRule="auto" w:before="17"/>
              <w:ind w:right="-5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85"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tabs>
                <w:tab w:pos="872" w:val="left" w:leader="none"/>
                <w:tab w:pos="104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29" w:type="dxa"/>
            <w:tcBorders>
              <w:top w:val="nil" w:sz="6" w:space="0" w:color="auto"/>
              <w:left w:val="nil" w:sz="6" w:space="0" w:color="auto"/>
              <w:bottom w:val="nil" w:sz="6" w:space="0" w:color="auto"/>
              <w:right w:val="nil" w:sz="6" w:space="0" w:color="auto"/>
            </w:tcBorders>
          </w:tcPr>
          <w:p>
            <w:pPr/>
          </w:p>
        </w:tc>
        <w:tc>
          <w:tcPr>
            <w:tcW w:w="1031" w:type="dxa"/>
            <w:gridSpan w:val="2"/>
            <w:tcBorders>
              <w:top w:val="nil" w:sz="6" w:space="0" w:color="auto"/>
              <w:left w:val="nil" w:sz="6" w:space="0" w:color="auto"/>
              <w:bottom w:val="nil" w:sz="6" w:space="0" w:color="auto"/>
              <w:right w:val="nil" w:sz="6" w:space="0" w:color="auto"/>
            </w:tcBorders>
          </w:tcPr>
          <w:p>
            <w:pPr>
              <w:pStyle w:val="TableParagraph"/>
              <w:tabs>
                <w:tab w:pos="840" w:val="left" w:leader="none"/>
                <w:tab w:pos="1030"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tabs>
                <w:tab w:pos="452" w:val="left" w:leader="none"/>
                <w:tab w:pos="1250"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32,877</w:t>
              <w:tab/>
            </w:r>
            <w:r>
              <w:rPr>
                <w:rFonts w:ascii="Arial"/>
                <w:sz w:val="22"/>
              </w:rPr>
            </w:r>
          </w:p>
        </w:tc>
      </w:tr>
      <w:tr>
        <w:trPr>
          <w:trHeight w:val="402" w:hRule="exact"/>
        </w:trPr>
        <w:tc>
          <w:tcPr>
            <w:tcW w:w="249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122"/>
              <w:ind w:left="220" w:right="0"/>
              <w:jc w:val="left"/>
              <w:rPr>
                <w:rFonts w:ascii="Arial" w:hAnsi="Arial" w:cs="Arial" w:eastAsia="Arial" w:hint="default"/>
                <w:sz w:val="22"/>
                <w:szCs w:val="22"/>
              </w:rPr>
            </w:pPr>
            <w:r>
              <w:rPr>
                <w:rFonts w:ascii="Arial"/>
                <w:sz w:val="22"/>
              </w:rPr>
              <w:t>174,823</w:t>
            </w:r>
          </w:p>
        </w:tc>
        <w:tc>
          <w:tcPr>
            <w:tcW w:w="2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290" w:right="0"/>
              <w:jc w:val="left"/>
              <w:rPr>
                <w:rFonts w:ascii="Arial" w:hAnsi="Arial" w:cs="Arial" w:eastAsia="Arial" w:hint="default"/>
                <w:sz w:val="22"/>
                <w:szCs w:val="22"/>
              </w:rPr>
            </w:pPr>
            <w:r>
              <w:rPr>
                <w:rFonts w:ascii="Arial"/>
                <w:sz w:val="22"/>
              </w:rPr>
              <w:t>21,570</w:t>
            </w:r>
          </w:p>
        </w:tc>
        <w:tc>
          <w:tcPr>
            <w:tcW w:w="285"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286" w:right="0"/>
              <w:jc w:val="left"/>
              <w:rPr>
                <w:rFonts w:ascii="Arial" w:hAnsi="Arial" w:cs="Arial" w:eastAsia="Arial" w:hint="default"/>
                <w:sz w:val="22"/>
                <w:szCs w:val="22"/>
              </w:rPr>
            </w:pPr>
            <w:r>
              <w:rPr>
                <w:rFonts w:ascii="Arial"/>
                <w:sz w:val="22"/>
              </w:rPr>
              <w:t>12,192</w:t>
            </w:r>
          </w:p>
        </w:tc>
        <w:tc>
          <w:tcPr>
            <w:tcW w:w="229" w:type="dxa"/>
            <w:tcBorders>
              <w:top w:val="nil" w:sz="6" w:space="0" w:color="auto"/>
              <w:left w:val="nil" w:sz="6" w:space="0" w:color="auto"/>
              <w:bottom w:val="nil" w:sz="6" w:space="0" w:color="auto"/>
              <w:right w:val="nil" w:sz="6" w:space="0" w:color="auto"/>
            </w:tcBorders>
          </w:tcPr>
          <w:p>
            <w:pPr/>
          </w:p>
        </w:tc>
        <w:tc>
          <w:tcPr>
            <w:tcW w:w="1031"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22"/>
              <w:ind w:left="363" w:right="0"/>
              <w:jc w:val="left"/>
              <w:rPr>
                <w:rFonts w:ascii="Arial" w:hAnsi="Arial" w:cs="Arial" w:eastAsia="Arial" w:hint="default"/>
                <w:sz w:val="22"/>
                <w:szCs w:val="22"/>
              </w:rPr>
            </w:pPr>
            <w:r>
              <w:rPr>
                <w:rFonts w:ascii="Arial"/>
                <w:sz w:val="22"/>
              </w:rPr>
              <w:t>2,495</w:t>
            </w:r>
          </w:p>
        </w:tc>
        <w:tc>
          <w:tcPr>
            <w:tcW w:w="244"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329" w:right="0"/>
              <w:jc w:val="left"/>
              <w:rPr>
                <w:rFonts w:ascii="Arial" w:hAnsi="Arial" w:cs="Arial" w:eastAsia="Arial" w:hint="default"/>
                <w:sz w:val="22"/>
                <w:szCs w:val="22"/>
              </w:rPr>
            </w:pPr>
            <w:r>
              <w:rPr>
                <w:rFonts w:ascii="Arial"/>
                <w:sz w:val="22"/>
              </w:rPr>
              <w:t>211,080</w:t>
            </w:r>
          </w:p>
        </w:tc>
      </w:tr>
    </w:tbl>
    <w:p>
      <w:pPr>
        <w:spacing w:after="0" w:line="240" w:lineRule="auto"/>
        <w:jc w:val="left"/>
        <w:rPr>
          <w:rFonts w:ascii="Arial" w:hAnsi="Arial" w:cs="Arial" w:eastAsia="Arial" w:hint="default"/>
          <w:sz w:val="22"/>
          <w:szCs w:val="22"/>
        </w:rPr>
        <w:sectPr>
          <w:headerReference w:type="default" r:id="rId65"/>
          <w:pgSz w:w="11900" w:h="16840"/>
          <w:pgMar w:header="967" w:footer="600" w:top="3940" w:bottom="780" w:left="1440" w:right="900"/>
        </w:sectPr>
      </w:pPr>
    </w:p>
    <w:p>
      <w:pPr>
        <w:spacing w:line="240" w:lineRule="auto" w:before="12"/>
        <w:rPr>
          <w:rFonts w:ascii="宋体" w:hAnsi="宋体" w:cs="宋体" w:eastAsia="宋体" w:hint="default"/>
          <w:sz w:val="15"/>
          <w:szCs w:val="15"/>
        </w:rPr>
      </w:pPr>
    </w:p>
    <w:p>
      <w:pPr>
        <w:pStyle w:val="BodyText"/>
        <w:spacing w:line="240" w:lineRule="auto" w:before="31"/>
        <w:ind w:left="138" w:right="0"/>
        <w:jc w:val="left"/>
      </w:pPr>
      <w:r>
        <w:rPr>
          <w:rFonts w:ascii="Arial" w:hAnsi="Arial" w:cs="Arial" w:eastAsia="Arial" w:hint="default"/>
        </w:rPr>
        <w:t>(3)  </w:t>
      </w:r>
      <w:r>
        <w:rPr>
          <w:rFonts w:ascii="Arial" w:hAnsi="Arial" w:cs="Arial" w:eastAsia="Arial" w:hint="default"/>
          <w:spacing w:val="14"/>
        </w:rPr>
        <w:t> </w:t>
      </w:r>
      <w:r>
        <w:rPr/>
        <w:t>流动性风险（续）</w:t>
      </w:r>
    </w:p>
    <w:p>
      <w:pPr>
        <w:spacing w:line="240" w:lineRule="auto" w:before="7"/>
        <w:rPr>
          <w:rFonts w:ascii="宋体" w:hAnsi="宋体" w:cs="宋体" w:eastAsia="宋体" w:hint="default"/>
          <w:sz w:val="15"/>
          <w:szCs w:val="15"/>
        </w:rPr>
      </w:pPr>
    </w:p>
    <w:p>
      <w:pPr>
        <w:pStyle w:val="BodyText"/>
        <w:spacing w:line="240" w:lineRule="auto" w:before="31"/>
        <w:ind w:left="4908" w:right="0"/>
        <w:jc w:val="left"/>
      </w:pP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日（经重列）</w:t>
      </w:r>
    </w:p>
    <w:p>
      <w:pPr>
        <w:spacing w:line="240" w:lineRule="auto" w:before="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2"/>
        <w:gridCol w:w="3674"/>
        <w:gridCol w:w="242"/>
        <w:gridCol w:w="1080"/>
        <w:gridCol w:w="244"/>
        <w:gridCol w:w="1034"/>
        <w:gridCol w:w="252"/>
        <w:gridCol w:w="1018"/>
        <w:gridCol w:w="242"/>
        <w:gridCol w:w="1205"/>
      </w:tblGrid>
      <w:tr>
        <w:trPr>
          <w:trHeight w:val="301" w:hRule="exact"/>
        </w:trPr>
        <w:tc>
          <w:tcPr>
            <w:tcW w:w="4077" w:type="dxa"/>
            <w:gridSpan w:val="2"/>
            <w:tcBorders>
              <w:top w:val="nil" w:sz="6" w:space="0" w:color="auto"/>
              <w:left w:val="nil" w:sz="6" w:space="0" w:color="auto"/>
              <w:bottom w:val="nil" w:sz="6" w:space="0" w:color="auto"/>
              <w:right w:val="nil" w:sz="6" w:space="0" w:color="auto"/>
            </w:tcBorders>
          </w:tcPr>
          <w:p>
            <w:pPr>
              <w:pStyle w:val="TableParagraph"/>
              <w:tabs>
                <w:tab w:pos="3186" w:val="left" w:leader="none"/>
              </w:tabs>
              <w:spacing w:line="276" w:lineRule="exact"/>
              <w:ind w:left="386" w:right="0"/>
              <w:jc w:val="left"/>
              <w:rPr>
                <w:rFonts w:ascii="宋体" w:hAnsi="宋体" w:cs="宋体" w:eastAsia="宋体" w:hint="default"/>
                <w:sz w:val="22"/>
                <w:szCs w:val="22"/>
              </w:rPr>
            </w:pPr>
            <w:r>
              <w:rPr>
                <w:rFonts w:ascii="宋体" w:hAnsi="宋体" w:cs="宋体" w:eastAsia="宋体" w:hint="default"/>
                <w:w w:val="99"/>
                <w:sz w:val="22"/>
                <w:szCs w:val="22"/>
              </w:rPr>
              <w:t>（单位</w:t>
            </w:r>
            <w:r>
              <w:rPr>
                <w:rFonts w:ascii="宋体" w:hAnsi="宋体" w:cs="宋体" w:eastAsia="宋体" w:hint="default"/>
                <w:spacing w:val="-105"/>
                <w:w w:val="99"/>
                <w:sz w:val="22"/>
                <w:szCs w:val="22"/>
              </w:rPr>
              <w:t>：</w:t>
            </w:r>
            <w:r>
              <w:rPr>
                <w:rFonts w:ascii="宋体" w:hAnsi="宋体" w:cs="宋体" w:eastAsia="宋体" w:hint="default"/>
                <w:w w:val="99"/>
                <w:sz w:val="22"/>
                <w:szCs w:val="22"/>
              </w:rPr>
              <w:t>人</w:t>
            </w:r>
            <w:r>
              <w:rPr>
                <w:rFonts w:ascii="宋体" w:hAnsi="宋体" w:cs="宋体" w:eastAsia="宋体" w:hint="default"/>
                <w:spacing w:val="1"/>
                <w:w w:val="99"/>
                <w:sz w:val="22"/>
                <w:szCs w:val="22"/>
              </w:rPr>
              <w:t>民</w:t>
            </w:r>
            <w:r>
              <w:rPr>
                <w:rFonts w:ascii="宋体" w:hAnsi="宋体" w:cs="宋体" w:eastAsia="宋体" w:hint="default"/>
                <w:w w:val="99"/>
                <w:sz w:val="22"/>
                <w:szCs w:val="22"/>
              </w:rPr>
              <w:t>币百万</w:t>
            </w:r>
            <w:r>
              <w:rPr>
                <w:rFonts w:ascii="宋体" w:hAnsi="宋体" w:cs="宋体" w:eastAsia="宋体" w:hint="default"/>
                <w:spacing w:val="1"/>
                <w:w w:val="99"/>
                <w:sz w:val="22"/>
                <w:szCs w:val="22"/>
              </w:rPr>
              <w:t>元</w:t>
            </w:r>
            <w:r>
              <w:rPr>
                <w:rFonts w:ascii="宋体" w:hAnsi="宋体" w:cs="宋体" w:eastAsia="宋体" w:hint="default"/>
                <w:w w:val="99"/>
                <w:sz w:val="22"/>
                <w:szCs w:val="22"/>
              </w:rPr>
              <w:t>）</w:t>
            </w:r>
            <w:r>
              <w:rPr>
                <w:rFonts w:ascii="宋体" w:hAnsi="宋体" w:cs="宋体" w:eastAsia="宋体" w:hint="default"/>
                <w:sz w:val="22"/>
                <w:szCs w:val="22"/>
              </w:rPr>
              <w:tab/>
            </w:r>
            <w:r>
              <w:rPr>
                <w:rFonts w:ascii="Arial" w:hAnsi="Arial" w:cs="Arial" w:eastAsia="Arial" w:hint="default"/>
                <w:w w:val="99"/>
                <w:sz w:val="22"/>
                <w:szCs w:val="22"/>
              </w:rPr>
              <w:t>1</w:t>
            </w:r>
            <w:r>
              <w:rPr>
                <w:rFonts w:ascii="宋体" w:hAnsi="宋体" w:cs="宋体" w:eastAsia="宋体" w:hint="default"/>
                <w:w w:val="99"/>
                <w:sz w:val="22"/>
                <w:szCs w:val="22"/>
              </w:rPr>
              <w:t>年以内</w:t>
            </w:r>
            <w:r>
              <w:rPr>
                <w:rFonts w:ascii="宋体" w:hAnsi="宋体" w:cs="宋体" w:eastAsia="宋体" w:hint="default"/>
                <w:sz w:val="22"/>
                <w:szCs w:val="22"/>
              </w:rPr>
            </w:r>
          </w:p>
        </w:tc>
        <w:tc>
          <w:tcPr>
            <w:tcW w:w="242" w:type="dxa"/>
            <w:tcBorders>
              <w:top w:val="single" w:sz="6" w:space="0" w:color="000000"/>
              <w:left w:val="nil" w:sz="6" w:space="0" w:color="auto"/>
              <w:bottom w:val="nil" w:sz="6" w:space="0" w:color="auto"/>
              <w:right w:val="nil" w:sz="6" w:space="0" w:color="auto"/>
            </w:tcBorders>
          </w:tcPr>
          <w:p>
            <w:pP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69" w:lineRule="exact"/>
              <w:ind w:left="286"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至</w:t>
            </w:r>
            <w:r>
              <w:rPr>
                <w:rFonts w:ascii="Arial" w:hAnsi="Arial" w:cs="Arial" w:eastAsia="Arial" w:hint="default"/>
                <w:sz w:val="22"/>
                <w:szCs w:val="22"/>
              </w:rPr>
              <w:t>2</w:t>
            </w:r>
            <w:r>
              <w:rPr>
                <w:rFonts w:ascii="宋体" w:hAnsi="宋体" w:cs="宋体" w:eastAsia="宋体" w:hint="default"/>
                <w:sz w:val="22"/>
                <w:szCs w:val="22"/>
              </w:rPr>
              <w:t>年</w:t>
            </w:r>
          </w:p>
        </w:tc>
        <w:tc>
          <w:tcPr>
            <w:tcW w:w="244" w:type="dxa"/>
            <w:tcBorders>
              <w:top w:val="single" w:sz="6" w:space="0" w:color="000000"/>
              <w:left w:val="nil" w:sz="6" w:space="0" w:color="auto"/>
              <w:bottom w:val="nil" w:sz="6" w:space="0" w:color="auto"/>
              <w:right w:val="nil" w:sz="6" w:space="0" w:color="auto"/>
            </w:tcBorders>
          </w:tcPr>
          <w:p>
            <w:pPr/>
          </w:p>
        </w:tc>
        <w:tc>
          <w:tcPr>
            <w:tcW w:w="1034" w:type="dxa"/>
            <w:tcBorders>
              <w:top w:val="single" w:sz="6" w:space="0" w:color="000000"/>
              <w:left w:val="nil" w:sz="6" w:space="0" w:color="auto"/>
              <w:bottom w:val="single" w:sz="6" w:space="0" w:color="000000"/>
              <w:right w:val="nil" w:sz="6" w:space="0" w:color="auto"/>
            </w:tcBorders>
          </w:tcPr>
          <w:p>
            <w:pPr>
              <w:pStyle w:val="TableParagraph"/>
              <w:spacing w:line="269" w:lineRule="exact"/>
              <w:ind w:left="241"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至</w:t>
            </w:r>
            <w:r>
              <w:rPr>
                <w:rFonts w:ascii="Arial" w:hAnsi="Arial" w:cs="Arial" w:eastAsia="Arial" w:hint="default"/>
                <w:sz w:val="22"/>
                <w:szCs w:val="22"/>
              </w:rPr>
              <w:t>5</w:t>
            </w:r>
            <w:r>
              <w:rPr>
                <w:rFonts w:ascii="宋体" w:hAnsi="宋体" w:cs="宋体" w:eastAsia="宋体" w:hint="default"/>
                <w:sz w:val="22"/>
                <w:szCs w:val="22"/>
              </w:rPr>
              <w:t>年</w:t>
            </w:r>
          </w:p>
        </w:tc>
        <w:tc>
          <w:tcPr>
            <w:tcW w:w="252" w:type="dxa"/>
            <w:tcBorders>
              <w:top w:val="single" w:sz="6" w:space="0" w:color="000000"/>
              <w:left w:val="nil" w:sz="6" w:space="0" w:color="auto"/>
              <w:bottom w:val="nil" w:sz="6" w:space="0" w:color="auto"/>
              <w:right w:val="nil" w:sz="6" w:space="0" w:color="auto"/>
            </w:tcBorders>
          </w:tcPr>
          <w:p>
            <w:pPr/>
          </w:p>
        </w:tc>
        <w:tc>
          <w:tcPr>
            <w:tcW w:w="1018" w:type="dxa"/>
            <w:tcBorders>
              <w:top w:val="single" w:sz="6" w:space="0" w:color="000000"/>
              <w:left w:val="nil" w:sz="6" w:space="0" w:color="auto"/>
              <w:bottom w:val="single" w:sz="6" w:space="0" w:color="000000"/>
              <w:right w:val="nil" w:sz="6" w:space="0" w:color="auto"/>
            </w:tcBorders>
          </w:tcPr>
          <w:p>
            <w:pPr>
              <w:pStyle w:val="TableParagraph"/>
              <w:spacing w:line="269" w:lineRule="exact"/>
              <w:ind w:right="60"/>
              <w:jc w:val="right"/>
              <w:rPr>
                <w:rFonts w:ascii="宋体" w:hAnsi="宋体" w:cs="宋体" w:eastAsia="宋体" w:hint="default"/>
                <w:sz w:val="22"/>
                <w:szCs w:val="22"/>
              </w:rPr>
            </w:pPr>
            <w:r>
              <w:rPr>
                <w:rFonts w:ascii="Arial" w:hAnsi="Arial" w:cs="Arial" w:eastAsia="Arial" w:hint="default"/>
                <w:w w:val="95"/>
                <w:sz w:val="22"/>
                <w:szCs w:val="22"/>
              </w:rPr>
              <w:t>5</w:t>
            </w:r>
            <w:r>
              <w:rPr>
                <w:rFonts w:ascii="宋体" w:hAnsi="宋体" w:cs="宋体" w:eastAsia="宋体" w:hint="default"/>
                <w:w w:val="95"/>
                <w:sz w:val="22"/>
                <w:szCs w:val="22"/>
              </w:rPr>
              <w:t>年以上</w:t>
            </w:r>
            <w:r>
              <w:rPr>
                <w:rFonts w:ascii="宋体" w:hAnsi="宋体" w:cs="宋体" w:eastAsia="宋体" w:hint="default"/>
                <w:sz w:val="22"/>
                <w:szCs w:val="22"/>
              </w:rPr>
            </w:r>
          </w:p>
        </w:tc>
        <w:tc>
          <w:tcPr>
            <w:tcW w:w="242" w:type="dxa"/>
            <w:tcBorders>
              <w:top w:val="single" w:sz="6" w:space="0" w:color="000000"/>
              <w:left w:val="nil" w:sz="6" w:space="0" w:color="auto"/>
              <w:bottom w:val="nil" w:sz="6" w:space="0" w:color="auto"/>
              <w:right w:val="nil" w:sz="6" w:space="0" w:color="auto"/>
            </w:tcBorders>
          </w:tcPr>
          <w:p>
            <w:pPr/>
          </w:p>
        </w:tc>
        <w:tc>
          <w:tcPr>
            <w:tcW w:w="1205" w:type="dxa"/>
            <w:tcBorders>
              <w:top w:val="single" w:sz="6" w:space="0" w:color="000000"/>
              <w:left w:val="nil" w:sz="6" w:space="0" w:color="auto"/>
              <w:bottom w:val="single" w:sz="6" w:space="0" w:color="000000"/>
              <w:right w:val="nil" w:sz="6" w:space="0" w:color="auto"/>
            </w:tcBorders>
          </w:tcPr>
          <w:p>
            <w:pPr>
              <w:pStyle w:val="TableParagraph"/>
              <w:spacing w:line="253" w:lineRule="exact"/>
              <w:ind w:left="603" w:right="0"/>
              <w:jc w:val="left"/>
              <w:rPr>
                <w:rFonts w:ascii="宋体" w:hAnsi="宋体" w:cs="宋体" w:eastAsia="宋体" w:hint="default"/>
                <w:sz w:val="22"/>
                <w:szCs w:val="22"/>
              </w:rPr>
            </w:pPr>
            <w:r>
              <w:rPr>
                <w:rFonts w:ascii="宋体" w:hAnsi="宋体" w:cs="宋体" w:eastAsia="宋体" w:hint="default"/>
                <w:sz w:val="22"/>
                <w:szCs w:val="22"/>
              </w:rPr>
              <w:t>合计</w:t>
            </w:r>
          </w:p>
        </w:tc>
      </w:tr>
      <w:tr>
        <w:trPr>
          <w:trHeight w:val="591" w:hRule="exact"/>
        </w:trPr>
        <w:tc>
          <w:tcPr>
            <w:tcW w:w="4077"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500" w:right="0"/>
              <w:jc w:val="left"/>
              <w:rPr>
                <w:rFonts w:ascii="宋体" w:hAnsi="宋体" w:cs="宋体" w:eastAsia="宋体" w:hint="default"/>
                <w:sz w:val="22"/>
                <w:szCs w:val="22"/>
              </w:rPr>
            </w:pPr>
            <w:r>
              <w:rPr>
                <w:rFonts w:ascii="宋体" w:hAnsi="宋体" w:cs="宋体" w:eastAsia="宋体" w:hint="default"/>
                <w:sz w:val="22"/>
                <w:szCs w:val="22"/>
              </w:rPr>
              <w:t>金融资产</w:t>
            </w:r>
          </w:p>
          <w:p>
            <w:pPr>
              <w:pStyle w:val="TableParagraph"/>
              <w:tabs>
                <w:tab w:pos="3285" w:val="left" w:leader="none"/>
              </w:tabs>
              <w:spacing w:line="320" w:lineRule="exact"/>
              <w:ind w:left="500" w:right="0"/>
              <w:jc w:val="left"/>
              <w:rPr>
                <w:rFonts w:ascii="Arial" w:hAnsi="Arial" w:cs="Arial" w:eastAsia="Arial" w:hint="default"/>
                <w:sz w:val="22"/>
                <w:szCs w:val="22"/>
              </w:rPr>
            </w:pPr>
            <w:r>
              <w:rPr>
                <w:rFonts w:ascii="宋体" w:hAnsi="宋体" w:cs="宋体" w:eastAsia="宋体" w:hint="default"/>
                <w:w w:val="95"/>
                <w:position w:val="2"/>
                <w:sz w:val="22"/>
                <w:szCs w:val="22"/>
              </w:rPr>
              <w:t>货币资金</w:t>
              <w:tab/>
            </w:r>
            <w:r>
              <w:rPr>
                <w:rFonts w:ascii="Arial" w:hAnsi="Arial" w:cs="Arial" w:eastAsia="Arial" w:hint="default"/>
                <w:sz w:val="22"/>
                <w:szCs w:val="22"/>
              </w:rPr>
              <w:t>22,874</w:t>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4"/>
              <w:jc w:val="right"/>
              <w:rPr>
                <w:rFonts w:ascii="Arial" w:hAnsi="Arial" w:cs="Arial" w:eastAsia="Arial" w:hint="default"/>
                <w:sz w:val="22"/>
                <w:szCs w:val="22"/>
              </w:rPr>
            </w:pPr>
            <w:r>
              <w:rPr>
                <w:rFonts w:ascii="Arial"/>
                <w:w w:val="99"/>
                <w:sz w:val="22"/>
              </w:rPr>
              <w:t>-</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86"/>
              <w:jc w:val="right"/>
              <w:rPr>
                <w:rFonts w:ascii="Arial" w:hAnsi="Arial" w:cs="Arial" w:eastAsia="Arial" w:hint="default"/>
                <w:sz w:val="22"/>
                <w:szCs w:val="22"/>
              </w:rPr>
            </w:pPr>
            <w:r>
              <w:rPr>
                <w:rFonts w:ascii="Arial"/>
                <w:w w:val="99"/>
                <w:sz w:val="22"/>
              </w:rPr>
              <w:t>-</w:t>
            </w:r>
            <w:r>
              <w:rPr>
                <w:rFonts w:ascii="Arial"/>
                <w:sz w:val="22"/>
              </w:rPr>
            </w: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5"/>
              <w:jc w:val="right"/>
              <w:rPr>
                <w:rFonts w:ascii="Arial" w:hAnsi="Arial" w:cs="Arial" w:eastAsia="Arial" w:hint="default"/>
                <w:sz w:val="22"/>
                <w:szCs w:val="22"/>
              </w:rPr>
            </w:pPr>
            <w:r>
              <w:rPr>
                <w:rFonts w:ascii="Arial"/>
                <w:w w:val="95"/>
                <w:sz w:val="22"/>
              </w:rPr>
              <w:t>19</w:t>
            </w:r>
            <w:r>
              <w:rPr>
                <w:rFonts w:ascii="Arial"/>
                <w:sz w:val="22"/>
              </w:rPr>
            </w: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80" w:right="0"/>
              <w:jc w:val="left"/>
              <w:rPr>
                <w:rFonts w:ascii="Arial" w:hAnsi="Arial" w:cs="Arial" w:eastAsia="Arial" w:hint="default"/>
                <w:sz w:val="22"/>
                <w:szCs w:val="22"/>
              </w:rPr>
            </w:pPr>
            <w:r>
              <w:rPr>
                <w:rFonts w:ascii="Arial"/>
                <w:sz w:val="22"/>
              </w:rPr>
              <w:t>22,893</w:t>
            </w:r>
          </w:p>
        </w:tc>
      </w:tr>
      <w:tr>
        <w:trPr>
          <w:trHeight w:val="416"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tabs>
                <w:tab w:pos="2540" w:val="left" w:leader="none"/>
                <w:tab w:pos="2883" w:val="left" w:leader="none"/>
                <w:tab w:pos="3674" w:val="left" w:leader="none"/>
              </w:tabs>
              <w:spacing w:line="251" w:lineRule="exact"/>
              <w:ind w:left="98" w:right="0"/>
              <w:jc w:val="left"/>
              <w:rPr>
                <w:rFonts w:ascii="Arial" w:hAnsi="Arial" w:cs="Arial" w:eastAsia="Arial" w:hint="default"/>
                <w:sz w:val="22"/>
                <w:szCs w:val="22"/>
              </w:rPr>
            </w:pPr>
            <w:r>
              <w:rPr>
                <w:rFonts w:ascii="宋体" w:hAnsi="宋体" w:cs="宋体" w:eastAsia="宋体" w:hint="default"/>
                <w:w w:val="95"/>
                <w:position w:val="2"/>
                <w:sz w:val="22"/>
                <w:szCs w:val="22"/>
              </w:rPr>
              <w:t>应收款项</w:t>
              <w:tab/>
            </w:r>
            <w:r>
              <w:rPr>
                <w:rFonts w:ascii="Arial" w:hAnsi="Arial" w:cs="Arial" w:eastAsia="Arial" w:hint="default"/>
                <w:w w:val="95"/>
                <w:sz w:val="22"/>
                <w:szCs w:val="22"/>
              </w:rPr>
            </w:r>
            <w:r>
              <w:rPr>
                <w:rFonts w:ascii="Arial" w:hAnsi="Arial" w:cs="Arial" w:eastAsia="Arial" w:hint="default"/>
                <w:w w:val="95"/>
                <w:sz w:val="22"/>
                <w:szCs w:val="22"/>
                <w:u w:val="single" w:color="000000"/>
              </w:rPr>
              <w:t> </w:t>
              <w:tab/>
            </w:r>
            <w:r>
              <w:rPr>
                <w:rFonts w:ascii="Arial" w:hAnsi="Arial" w:cs="Arial" w:eastAsia="Arial" w:hint="default"/>
                <w:sz w:val="22"/>
                <w:szCs w:val="22"/>
                <w:u w:val="single" w:color="000000"/>
              </w:rPr>
              <w:t>12,104</w:t>
              <w:tab/>
            </w:r>
            <w:r>
              <w:rPr>
                <w:rFonts w:ascii="Arial" w:hAnsi="Arial" w:cs="Arial" w:eastAsia="Arial" w:hint="default"/>
                <w:sz w:val="22"/>
                <w:szCs w:val="22"/>
              </w:rPr>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tabs>
                <w:tab w:pos="890" w:val="left" w:leader="none"/>
                <w:tab w:pos="1079" w:val="left" w:leader="none"/>
              </w:tabs>
              <w:spacing w:line="251" w:lineRule="exact"/>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tabs>
                <w:tab w:pos="872" w:val="left" w:leader="none"/>
                <w:tab w:pos="1034" w:val="left" w:leader="none"/>
              </w:tabs>
              <w:spacing w:line="251" w:lineRule="exact"/>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tabs>
                <w:tab w:pos="826" w:val="left" w:leader="none"/>
                <w:tab w:pos="1017" w:val="left" w:leader="none"/>
              </w:tabs>
              <w:spacing w:line="251" w:lineRule="exact"/>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tabs>
                <w:tab w:pos="380" w:val="left" w:leader="none"/>
                <w:tab w:pos="1169" w:val="left" w:leader="none"/>
              </w:tabs>
              <w:spacing w:line="251" w:lineRule="exact"/>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12,104</w:t>
              <w:tab/>
            </w:r>
            <w:r>
              <w:rPr>
                <w:rFonts w:ascii="Arial"/>
                <w:sz w:val="22"/>
              </w:rPr>
            </w:r>
          </w:p>
        </w:tc>
      </w:tr>
      <w:tr>
        <w:trPr>
          <w:trHeight w:val="399"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15"/>
              <w:jc w:val="right"/>
              <w:rPr>
                <w:rFonts w:ascii="Arial" w:hAnsi="Arial" w:cs="Arial" w:eastAsia="Arial" w:hint="default"/>
                <w:sz w:val="22"/>
                <w:szCs w:val="22"/>
              </w:rPr>
            </w:pPr>
            <w:r>
              <w:rPr>
                <w:rFonts w:ascii="Arial"/>
                <w:w w:val="95"/>
                <w:sz w:val="22"/>
              </w:rPr>
              <w:t>34,978</w:t>
            </w:r>
            <w:r>
              <w:rPr>
                <w:rFonts w:ascii="Arial"/>
                <w:sz w:val="22"/>
              </w:rPr>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114"/>
              <w:jc w:val="right"/>
              <w:rPr>
                <w:rFonts w:ascii="Arial" w:hAnsi="Arial" w:cs="Arial" w:eastAsia="Arial" w:hint="default"/>
                <w:sz w:val="22"/>
                <w:szCs w:val="22"/>
              </w:rPr>
            </w:pPr>
            <w:r>
              <w:rPr>
                <w:rFonts w:ascii="Arial"/>
                <w:w w:val="99"/>
                <w:sz w:val="22"/>
              </w:rPr>
              <w:t>-</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86"/>
              <w:jc w:val="right"/>
              <w:rPr>
                <w:rFonts w:ascii="Arial" w:hAnsi="Arial" w:cs="Arial" w:eastAsia="Arial" w:hint="default"/>
                <w:sz w:val="22"/>
                <w:szCs w:val="22"/>
              </w:rPr>
            </w:pPr>
            <w:r>
              <w:rPr>
                <w:rFonts w:ascii="Arial"/>
                <w:w w:val="99"/>
                <w:sz w:val="22"/>
              </w:rPr>
              <w:t>-</w:t>
            </w:r>
            <w:r>
              <w:rPr>
                <w:rFonts w:ascii="Arial"/>
                <w:sz w:val="22"/>
              </w:rPr>
            </w: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115"/>
              <w:jc w:val="right"/>
              <w:rPr>
                <w:rFonts w:ascii="Arial" w:hAnsi="Arial" w:cs="Arial" w:eastAsia="Arial" w:hint="default"/>
                <w:sz w:val="22"/>
                <w:szCs w:val="22"/>
              </w:rPr>
            </w:pPr>
            <w:r>
              <w:rPr>
                <w:rFonts w:ascii="Arial"/>
                <w:w w:val="95"/>
                <w:sz w:val="22"/>
              </w:rPr>
              <w:t>19</w:t>
            </w:r>
            <w:r>
              <w:rPr>
                <w:rFonts w:ascii="Arial"/>
                <w:sz w:val="22"/>
              </w:rPr>
            </w: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380" w:right="0"/>
              <w:jc w:val="left"/>
              <w:rPr>
                <w:rFonts w:ascii="Arial" w:hAnsi="Arial" w:cs="Arial" w:eastAsia="Arial" w:hint="default"/>
                <w:sz w:val="22"/>
                <w:szCs w:val="22"/>
              </w:rPr>
            </w:pPr>
            <w:r>
              <w:rPr>
                <w:rFonts w:ascii="Arial"/>
                <w:sz w:val="22"/>
              </w:rPr>
              <w:t>34,997</w:t>
            </w:r>
          </w:p>
        </w:tc>
      </w:tr>
      <w:tr>
        <w:trPr>
          <w:trHeight w:val="307"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spacing w:line="275" w:lineRule="exact"/>
              <w:ind w:left="98" w:right="0"/>
              <w:jc w:val="left"/>
              <w:rPr>
                <w:rFonts w:ascii="宋体" w:hAnsi="宋体" w:cs="宋体" w:eastAsia="宋体" w:hint="default"/>
                <w:sz w:val="22"/>
                <w:szCs w:val="22"/>
              </w:rPr>
            </w:pPr>
            <w:r>
              <w:rPr>
                <w:rFonts w:ascii="宋体" w:hAnsi="宋体" w:cs="宋体" w:eastAsia="宋体" w:hint="default"/>
                <w:sz w:val="22"/>
                <w:szCs w:val="22"/>
              </w:rPr>
              <w:t>金融负债</w:t>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single" w:sz="17"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single" w:sz="17" w:space="0" w:color="000000"/>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single" w:sz="17"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single" w:sz="17" w:space="0" w:color="000000"/>
              <w:left w:val="nil" w:sz="6" w:space="0" w:color="auto"/>
              <w:bottom w:val="nil" w:sz="6" w:space="0" w:color="auto"/>
              <w:right w:val="nil" w:sz="6" w:space="0" w:color="auto"/>
            </w:tcBorders>
          </w:tcPr>
          <w:p>
            <w:pPr/>
          </w:p>
        </w:tc>
      </w:tr>
      <w:tr>
        <w:trPr>
          <w:trHeight w:val="299"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tabs>
                <w:tab w:pos="3556" w:val="right" w:leader="none"/>
              </w:tabs>
              <w:spacing w:line="284" w:lineRule="exact"/>
              <w:ind w:left="98" w:right="0"/>
              <w:jc w:val="left"/>
              <w:rPr>
                <w:rFonts w:ascii="Arial" w:hAnsi="Arial" w:cs="Arial" w:eastAsia="Arial" w:hint="default"/>
                <w:sz w:val="22"/>
                <w:szCs w:val="22"/>
              </w:rPr>
            </w:pPr>
            <w:r>
              <w:rPr>
                <w:rFonts w:ascii="宋体" w:hAnsi="宋体" w:cs="宋体" w:eastAsia="宋体" w:hint="default"/>
                <w:position w:val="2"/>
                <w:sz w:val="22"/>
                <w:szCs w:val="22"/>
              </w:rPr>
              <w:t>长期借款</w:t>
            </w:r>
            <w:r>
              <w:rPr>
                <w:rFonts w:ascii="Arial" w:hAnsi="Arial" w:cs="Arial" w:eastAsia="Arial" w:hint="default"/>
                <w:sz w:val="22"/>
                <w:szCs w:val="22"/>
              </w:rPr>
              <w:tab/>
              <w:t>103</w:t>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18" w:right="0"/>
              <w:jc w:val="left"/>
              <w:rPr>
                <w:rFonts w:ascii="Arial" w:hAnsi="Arial" w:cs="Arial" w:eastAsia="Arial" w:hint="default"/>
                <w:sz w:val="22"/>
                <w:szCs w:val="22"/>
              </w:rPr>
            </w:pPr>
            <w:r>
              <w:rPr>
                <w:rFonts w:ascii="Arial"/>
                <w:sz w:val="22"/>
              </w:rPr>
              <w:t>94</w:t>
            </w: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4" w:right="0"/>
              <w:jc w:val="left"/>
              <w:rPr>
                <w:rFonts w:ascii="Arial" w:hAnsi="Arial" w:cs="Arial" w:eastAsia="Arial" w:hint="default"/>
                <w:sz w:val="22"/>
                <w:szCs w:val="22"/>
              </w:rPr>
            </w:pPr>
            <w:r>
              <w:rPr>
                <w:rFonts w:ascii="Arial"/>
                <w:sz w:val="22"/>
              </w:rPr>
              <w:t>1,004</w:t>
            </w: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5"/>
              <w:jc w:val="right"/>
              <w:rPr>
                <w:rFonts w:ascii="Arial" w:hAnsi="Arial" w:cs="Arial" w:eastAsia="Arial" w:hint="default"/>
                <w:sz w:val="22"/>
                <w:szCs w:val="22"/>
              </w:rPr>
            </w:pPr>
            <w:r>
              <w:rPr>
                <w:rFonts w:ascii="Arial"/>
                <w:w w:val="95"/>
                <w:sz w:val="22"/>
              </w:rPr>
              <w:t>533</w:t>
            </w:r>
            <w:r>
              <w:rPr>
                <w:rFonts w:ascii="Arial"/>
                <w:sz w:val="22"/>
              </w:rPr>
            </w: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02" w:right="0"/>
              <w:jc w:val="left"/>
              <w:rPr>
                <w:rFonts w:ascii="Arial" w:hAnsi="Arial" w:cs="Arial" w:eastAsia="Arial" w:hint="default"/>
                <w:sz w:val="22"/>
                <w:szCs w:val="22"/>
              </w:rPr>
            </w:pPr>
            <w:r>
              <w:rPr>
                <w:rFonts w:ascii="Arial"/>
                <w:sz w:val="22"/>
              </w:rPr>
              <w:t>1,734</w:t>
            </w:r>
          </w:p>
        </w:tc>
      </w:tr>
      <w:tr>
        <w:trPr>
          <w:trHeight w:val="285"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tabs>
                <w:tab w:pos="3556" w:val="right" w:leader="none"/>
              </w:tabs>
              <w:spacing w:line="271" w:lineRule="exact"/>
              <w:ind w:left="98" w:right="0"/>
              <w:jc w:val="left"/>
              <w:rPr>
                <w:rFonts w:ascii="Arial" w:hAnsi="Arial" w:cs="Arial" w:eastAsia="Arial" w:hint="default"/>
                <w:sz w:val="22"/>
                <w:szCs w:val="22"/>
              </w:rPr>
            </w:pPr>
            <w:r>
              <w:rPr>
                <w:rFonts w:ascii="宋体" w:hAnsi="宋体" w:cs="宋体" w:eastAsia="宋体" w:hint="default"/>
                <w:position w:val="2"/>
                <w:sz w:val="22"/>
                <w:szCs w:val="22"/>
              </w:rPr>
              <w:t>应付融资租赁款</w:t>
            </w:r>
            <w:r>
              <w:rPr>
                <w:rFonts w:ascii="Arial" w:hAnsi="Arial" w:cs="Arial" w:eastAsia="Arial" w:hint="default"/>
                <w:sz w:val="22"/>
                <w:szCs w:val="22"/>
              </w:rPr>
              <w:tab/>
              <w:t>126</w:t>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8" w:right="0"/>
              <w:jc w:val="left"/>
              <w:rPr>
                <w:rFonts w:ascii="Arial" w:hAnsi="Arial" w:cs="Arial" w:eastAsia="Arial" w:hint="default"/>
                <w:sz w:val="22"/>
                <w:szCs w:val="22"/>
              </w:rPr>
            </w:pPr>
            <w:r>
              <w:rPr>
                <w:rFonts w:ascii="Arial"/>
                <w:sz w:val="22"/>
              </w:rPr>
              <w:t>78</w:t>
            </w: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9"/>
                <w:sz w:val="22"/>
              </w:rPr>
              <w:t>-</w:t>
            </w:r>
            <w:r>
              <w:rPr>
                <w:rFonts w:ascii="Arial"/>
                <w:sz w:val="22"/>
              </w:rPr>
            </w: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9"/>
                <w:sz w:val="22"/>
              </w:rPr>
              <w:t>-</w:t>
            </w:r>
            <w:r>
              <w:rPr>
                <w:rFonts w:ascii="Arial"/>
                <w:sz w:val="22"/>
              </w:rPr>
            </w: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86" w:right="0"/>
              <w:jc w:val="left"/>
              <w:rPr>
                <w:rFonts w:ascii="Arial" w:hAnsi="Arial" w:cs="Arial" w:eastAsia="Arial" w:hint="default"/>
                <w:sz w:val="22"/>
                <w:szCs w:val="22"/>
              </w:rPr>
            </w:pPr>
            <w:r>
              <w:rPr>
                <w:rFonts w:ascii="Arial"/>
                <w:sz w:val="22"/>
              </w:rPr>
              <w:t>204</w:t>
            </w:r>
          </w:p>
        </w:tc>
      </w:tr>
      <w:tr>
        <w:trPr>
          <w:trHeight w:val="285"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tabs>
                <w:tab w:pos="2883" w:val="left" w:leader="none"/>
              </w:tabs>
              <w:spacing w:line="270" w:lineRule="exact"/>
              <w:ind w:left="98" w:right="0"/>
              <w:jc w:val="left"/>
              <w:rPr>
                <w:rFonts w:ascii="Arial" w:hAnsi="Arial" w:cs="Arial" w:eastAsia="Arial" w:hint="default"/>
                <w:sz w:val="22"/>
                <w:szCs w:val="22"/>
              </w:rPr>
            </w:pPr>
            <w:r>
              <w:rPr>
                <w:rFonts w:ascii="宋体" w:hAnsi="宋体" w:cs="宋体" w:eastAsia="宋体" w:hint="default"/>
                <w:w w:val="95"/>
                <w:position w:val="2"/>
                <w:sz w:val="22"/>
                <w:szCs w:val="22"/>
              </w:rPr>
              <w:t>应付债券</w:t>
              <w:tab/>
            </w:r>
            <w:r>
              <w:rPr>
                <w:rFonts w:ascii="Arial" w:hAnsi="Arial" w:cs="Arial" w:eastAsia="Arial" w:hint="default"/>
                <w:sz w:val="22"/>
                <w:szCs w:val="22"/>
              </w:rPr>
              <w:t>24,576</w:t>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96" w:right="0"/>
              <w:jc w:val="left"/>
              <w:rPr>
                <w:rFonts w:ascii="Arial" w:hAnsi="Arial" w:cs="Arial" w:eastAsia="Arial" w:hint="default"/>
                <w:sz w:val="22"/>
                <w:szCs w:val="22"/>
              </w:rPr>
            </w:pPr>
            <w:r>
              <w:rPr>
                <w:rFonts w:ascii="Arial"/>
                <w:sz w:val="22"/>
              </w:rPr>
              <w:t>955</w:t>
            </w: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2" w:right="0"/>
              <w:jc w:val="left"/>
              <w:rPr>
                <w:rFonts w:ascii="Arial" w:hAnsi="Arial" w:cs="Arial" w:eastAsia="Arial" w:hint="default"/>
                <w:sz w:val="22"/>
                <w:szCs w:val="22"/>
              </w:rPr>
            </w:pPr>
            <w:r>
              <w:rPr>
                <w:rFonts w:ascii="Arial"/>
                <w:sz w:val="22"/>
              </w:rPr>
              <w:t>33,497</w:t>
            </w: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9" w:right="0"/>
              <w:jc w:val="left"/>
              <w:rPr>
                <w:rFonts w:ascii="Arial" w:hAnsi="Arial" w:cs="Arial" w:eastAsia="Arial" w:hint="default"/>
                <w:sz w:val="22"/>
                <w:szCs w:val="22"/>
              </w:rPr>
            </w:pPr>
            <w:r>
              <w:rPr>
                <w:rFonts w:ascii="Arial"/>
                <w:sz w:val="22"/>
              </w:rPr>
              <w:t>2,180</w:t>
            </w: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0" w:right="0"/>
              <w:jc w:val="left"/>
              <w:rPr>
                <w:rFonts w:ascii="Arial" w:hAnsi="Arial" w:cs="Arial" w:eastAsia="Arial" w:hint="default"/>
                <w:sz w:val="22"/>
                <w:szCs w:val="22"/>
              </w:rPr>
            </w:pPr>
            <w:r>
              <w:rPr>
                <w:rFonts w:ascii="Arial"/>
                <w:sz w:val="22"/>
              </w:rPr>
              <w:t>61,208</w:t>
            </w:r>
          </w:p>
        </w:tc>
      </w:tr>
      <w:tr>
        <w:trPr>
          <w:trHeight w:val="286"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tabs>
                <w:tab w:pos="2761" w:val="left" w:leader="none"/>
              </w:tabs>
              <w:spacing w:line="271" w:lineRule="exact"/>
              <w:ind w:left="98" w:right="0"/>
              <w:jc w:val="left"/>
              <w:rPr>
                <w:rFonts w:ascii="Arial" w:hAnsi="Arial" w:cs="Arial" w:eastAsia="Arial" w:hint="default"/>
                <w:sz w:val="22"/>
                <w:szCs w:val="22"/>
              </w:rPr>
            </w:pPr>
            <w:r>
              <w:rPr>
                <w:rFonts w:ascii="宋体" w:hAnsi="宋体" w:cs="宋体" w:eastAsia="宋体" w:hint="default"/>
                <w:w w:val="95"/>
                <w:position w:val="2"/>
                <w:sz w:val="22"/>
                <w:szCs w:val="22"/>
              </w:rPr>
              <w:t>应付款项</w:t>
              <w:tab/>
            </w:r>
            <w:r>
              <w:rPr>
                <w:rFonts w:ascii="Arial" w:hAnsi="Arial" w:cs="Arial" w:eastAsia="Arial" w:hint="default"/>
                <w:sz w:val="22"/>
                <w:szCs w:val="22"/>
              </w:rPr>
              <w:t>103,779</w:t>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9"/>
                <w:sz w:val="22"/>
              </w:rPr>
              <w:t>9</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5"/>
                <w:sz w:val="22"/>
              </w:rPr>
              <w:t>27</w:t>
            </w:r>
            <w:r>
              <w:rPr>
                <w:rFonts w:ascii="Arial"/>
                <w:sz w:val="22"/>
              </w:rPr>
            </w: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47</w:t>
            </w:r>
            <w:r>
              <w:rPr>
                <w:rFonts w:ascii="Arial"/>
                <w:sz w:val="22"/>
              </w:rPr>
            </w: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57" w:right="0"/>
              <w:jc w:val="left"/>
              <w:rPr>
                <w:rFonts w:ascii="Arial" w:hAnsi="Arial" w:cs="Arial" w:eastAsia="Arial" w:hint="default"/>
                <w:sz w:val="22"/>
                <w:szCs w:val="22"/>
              </w:rPr>
            </w:pPr>
            <w:r>
              <w:rPr>
                <w:rFonts w:ascii="Arial"/>
                <w:sz w:val="22"/>
              </w:rPr>
              <w:t>103,862</w:t>
            </w:r>
          </w:p>
        </w:tc>
      </w:tr>
      <w:tr>
        <w:trPr>
          <w:trHeight w:val="416"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tabs>
                <w:tab w:pos="2540" w:val="left" w:leader="none"/>
                <w:tab w:pos="2883" w:val="left" w:leader="none"/>
                <w:tab w:pos="3674" w:val="left" w:leader="none"/>
              </w:tabs>
              <w:spacing w:line="271" w:lineRule="exact"/>
              <w:ind w:left="98" w:right="0"/>
              <w:jc w:val="left"/>
              <w:rPr>
                <w:rFonts w:ascii="Arial" w:hAnsi="Arial" w:cs="Arial" w:eastAsia="Arial" w:hint="default"/>
                <w:sz w:val="22"/>
                <w:szCs w:val="22"/>
              </w:rPr>
            </w:pPr>
            <w:r>
              <w:rPr>
                <w:rFonts w:ascii="宋体" w:hAnsi="宋体" w:cs="宋体" w:eastAsia="宋体" w:hint="default"/>
                <w:w w:val="95"/>
                <w:position w:val="2"/>
                <w:sz w:val="22"/>
                <w:szCs w:val="22"/>
              </w:rPr>
              <w:t>短期借款</w:t>
              <w:tab/>
            </w:r>
            <w:r>
              <w:rPr>
                <w:rFonts w:ascii="Arial" w:hAnsi="Arial" w:cs="Arial" w:eastAsia="Arial" w:hint="default"/>
                <w:w w:val="95"/>
                <w:sz w:val="22"/>
                <w:szCs w:val="22"/>
              </w:rPr>
            </w:r>
            <w:r>
              <w:rPr>
                <w:rFonts w:ascii="Arial" w:hAnsi="Arial" w:cs="Arial" w:eastAsia="Arial" w:hint="default"/>
                <w:w w:val="95"/>
                <w:sz w:val="22"/>
                <w:szCs w:val="22"/>
                <w:u w:val="single" w:color="000000"/>
              </w:rPr>
              <w:t> </w:t>
              <w:tab/>
            </w:r>
            <w:r>
              <w:rPr>
                <w:rFonts w:ascii="Arial" w:hAnsi="Arial" w:cs="Arial" w:eastAsia="Arial" w:hint="default"/>
                <w:sz w:val="22"/>
                <w:szCs w:val="22"/>
                <w:u w:val="single" w:color="000000"/>
              </w:rPr>
              <w:t>37,319</w:t>
              <w:tab/>
            </w:r>
            <w:r>
              <w:rPr>
                <w:rFonts w:ascii="Arial" w:hAnsi="Arial" w:cs="Arial" w:eastAsia="Arial" w:hint="default"/>
                <w:sz w:val="22"/>
                <w:szCs w:val="22"/>
              </w:rPr>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tabs>
                <w:tab w:pos="890" w:val="left" w:leader="none"/>
                <w:tab w:pos="1079"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tabs>
                <w:tab w:pos="872" w:val="left" w:leader="none"/>
                <w:tab w:pos="1034"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tabs>
                <w:tab w:pos="826" w:val="left" w:leader="none"/>
                <w:tab w:pos="101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tabs>
                <w:tab w:pos="380" w:val="left" w:leader="none"/>
                <w:tab w:pos="1169"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37,319</w:t>
              <w:tab/>
            </w:r>
            <w:r>
              <w:rPr>
                <w:rFonts w:ascii="Arial"/>
                <w:sz w:val="22"/>
              </w:rPr>
            </w:r>
          </w:p>
        </w:tc>
      </w:tr>
      <w:tr>
        <w:trPr>
          <w:trHeight w:val="401"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15"/>
              <w:jc w:val="right"/>
              <w:rPr>
                <w:rFonts w:ascii="Arial" w:hAnsi="Arial" w:cs="Arial" w:eastAsia="Arial" w:hint="default"/>
                <w:sz w:val="22"/>
                <w:szCs w:val="22"/>
              </w:rPr>
            </w:pPr>
            <w:r>
              <w:rPr>
                <w:rFonts w:ascii="Arial"/>
                <w:w w:val="95"/>
                <w:sz w:val="22"/>
              </w:rPr>
              <w:t>165,903</w:t>
            </w:r>
            <w:r>
              <w:rPr>
                <w:rFonts w:ascii="Arial"/>
                <w:sz w:val="22"/>
              </w:rPr>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412" w:right="0"/>
              <w:jc w:val="left"/>
              <w:rPr>
                <w:rFonts w:ascii="Arial" w:hAnsi="Arial" w:cs="Arial" w:eastAsia="Arial" w:hint="default"/>
                <w:sz w:val="22"/>
                <w:szCs w:val="22"/>
              </w:rPr>
            </w:pPr>
            <w:r>
              <w:rPr>
                <w:rFonts w:ascii="Arial"/>
                <w:sz w:val="22"/>
              </w:rPr>
              <w:t>1,136</w:t>
            </w: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272" w:right="0"/>
              <w:jc w:val="left"/>
              <w:rPr>
                <w:rFonts w:ascii="Arial" w:hAnsi="Arial" w:cs="Arial" w:eastAsia="Arial" w:hint="default"/>
                <w:sz w:val="22"/>
                <w:szCs w:val="22"/>
              </w:rPr>
            </w:pPr>
            <w:r>
              <w:rPr>
                <w:rFonts w:ascii="Arial"/>
                <w:sz w:val="22"/>
              </w:rPr>
              <w:t>34,528</w:t>
            </w: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349" w:right="0"/>
              <w:jc w:val="left"/>
              <w:rPr>
                <w:rFonts w:ascii="Arial" w:hAnsi="Arial" w:cs="Arial" w:eastAsia="Arial" w:hint="default"/>
                <w:sz w:val="22"/>
                <w:szCs w:val="22"/>
              </w:rPr>
            </w:pPr>
            <w:r>
              <w:rPr>
                <w:rFonts w:ascii="Arial"/>
                <w:sz w:val="22"/>
              </w:rPr>
              <w:t>2,760</w:t>
            </w: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257" w:right="0"/>
              <w:jc w:val="left"/>
              <w:rPr>
                <w:rFonts w:ascii="Arial" w:hAnsi="Arial" w:cs="Arial" w:eastAsia="Arial" w:hint="default"/>
                <w:sz w:val="22"/>
                <w:szCs w:val="22"/>
              </w:rPr>
            </w:pPr>
            <w:r>
              <w:rPr>
                <w:rFonts w:ascii="Arial"/>
                <w:sz w:val="22"/>
              </w:rPr>
              <w:t>204,327</w:t>
            </w:r>
          </w:p>
        </w:tc>
      </w:tr>
      <w:tr>
        <w:trPr>
          <w:trHeight w:val="691" w:hRule="exact"/>
        </w:trPr>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2"/>
                <w:szCs w:val="22"/>
              </w:rPr>
            </w:pPr>
            <w:r>
              <w:rPr>
                <w:rFonts w:ascii="Arial"/>
                <w:sz w:val="22"/>
              </w:rPr>
              <w:t>(b)</w:t>
            </w:r>
          </w:p>
        </w:tc>
        <w:tc>
          <w:tcPr>
            <w:tcW w:w="36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资本风险管理</w:t>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single" w:sz="17"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single" w:sz="17" w:space="0" w:color="000000"/>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single" w:sz="17"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single" w:sz="17" w:space="0" w:color="000000"/>
              <w:left w:val="nil" w:sz="6" w:space="0" w:color="auto"/>
              <w:bottom w:val="nil" w:sz="6" w:space="0" w:color="auto"/>
              <w:right w:val="nil" w:sz="6" w:space="0" w:color="auto"/>
            </w:tcBorders>
          </w:tcPr>
          <w:p>
            <w:pPr/>
          </w:p>
        </w:tc>
      </w:tr>
      <w:tr>
        <w:trPr>
          <w:trHeight w:val="474" w:hRule="exact"/>
        </w:trPr>
        <w:tc>
          <w:tcPr>
            <w:tcW w:w="402" w:type="dxa"/>
            <w:tcBorders>
              <w:top w:val="nil" w:sz="6" w:space="0" w:color="auto"/>
              <w:left w:val="nil" w:sz="6" w:space="0" w:color="auto"/>
              <w:bottom w:val="nil" w:sz="6" w:space="0" w:color="auto"/>
              <w:right w:val="nil" w:sz="6" w:space="0" w:color="auto"/>
            </w:tcBorders>
          </w:tcPr>
          <w:p>
            <w:pPr/>
          </w:p>
        </w:tc>
        <w:tc>
          <w:tcPr>
            <w:tcW w:w="367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0" w:right="0"/>
              <w:jc w:val="left"/>
              <w:rPr>
                <w:rFonts w:ascii="宋体" w:hAnsi="宋体" w:cs="宋体" w:eastAsia="宋体" w:hint="default"/>
                <w:sz w:val="22"/>
                <w:szCs w:val="22"/>
              </w:rPr>
            </w:pPr>
            <w:r>
              <w:rPr>
                <w:rFonts w:ascii="宋体" w:hAnsi="宋体" w:cs="宋体" w:eastAsia="宋体" w:hint="default"/>
                <w:sz w:val="22"/>
                <w:szCs w:val="22"/>
              </w:rPr>
              <w:t>本集团资本管理的目标为：</w:t>
            </w:r>
          </w:p>
        </w:tc>
        <w:tc>
          <w:tcPr>
            <w:tcW w:w="24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8"/>
          <w:szCs w:val="8"/>
        </w:rPr>
      </w:pPr>
    </w:p>
    <w:p>
      <w:pPr>
        <w:pStyle w:val="BodyText"/>
        <w:spacing w:line="295" w:lineRule="exact" w:before="31"/>
        <w:ind w:left="657" w:right="0"/>
        <w:jc w:val="both"/>
      </w:pPr>
      <w:r>
        <w:rPr>
          <w:rFonts w:ascii="Symbol" w:hAnsi="Symbol" w:cs="Symbol" w:eastAsia="Symbol" w:hint="default"/>
        </w:rPr>
        <w:t></w:t>
      </w:r>
      <w:r>
        <w:rPr>
          <w:rFonts w:ascii="Symbol" w:hAnsi="Symbol" w:cs="Symbol" w:eastAsia="Symbol" w:hint="default"/>
          <w:spacing w:val="50"/>
        </w:rPr>
        <w:t></w:t>
      </w:r>
      <w:r>
        <w:rPr>
          <w:rFonts w:ascii="Times New Roman" w:hAnsi="Times New Roman" w:cs="Times New Roman" w:eastAsia="Times New Roman" w:hint="default"/>
          <w:spacing w:val="50"/>
        </w:rPr>
      </w:r>
      <w:r>
        <w:rPr/>
        <w:t>保障本集团的持续经营能力，从而持续地为股东提供回报及使其它利益相关者受益。</w:t>
      </w:r>
    </w:p>
    <w:p>
      <w:pPr>
        <w:pStyle w:val="BodyText"/>
        <w:spacing w:line="286" w:lineRule="exact"/>
        <w:ind w:left="657" w:right="0"/>
        <w:jc w:val="both"/>
      </w:pPr>
      <w:r>
        <w:rPr>
          <w:rFonts w:ascii="Symbol" w:hAnsi="Symbol" w:cs="Symbol" w:eastAsia="Symbol" w:hint="default"/>
        </w:rPr>
        <w:t></w:t>
      </w:r>
      <w:r>
        <w:rPr>
          <w:rFonts w:ascii="Symbol" w:hAnsi="Symbol" w:cs="Symbol" w:eastAsia="Symbol" w:hint="default"/>
          <w:spacing w:val="50"/>
        </w:rPr>
        <w:t></w:t>
      </w:r>
      <w:r>
        <w:rPr>
          <w:rFonts w:ascii="Times New Roman" w:hAnsi="Times New Roman" w:cs="Times New Roman" w:eastAsia="Times New Roman" w:hint="default"/>
          <w:spacing w:val="50"/>
        </w:rPr>
      </w:r>
      <w:r>
        <w:rPr/>
        <w:t>保持本集团的稳定及增长。</w:t>
      </w:r>
    </w:p>
    <w:p>
      <w:pPr>
        <w:pStyle w:val="BodyText"/>
        <w:spacing w:line="295" w:lineRule="exact"/>
        <w:ind w:left="657" w:right="0"/>
        <w:jc w:val="both"/>
      </w:pPr>
      <w:r>
        <w:rPr>
          <w:rFonts w:ascii="Symbol" w:hAnsi="Symbol" w:cs="Symbol" w:eastAsia="Symbol" w:hint="default"/>
        </w:rPr>
        <w:t></w:t>
      </w:r>
      <w:r>
        <w:rPr>
          <w:rFonts w:ascii="Symbol" w:hAnsi="Symbol" w:cs="Symbol" w:eastAsia="Symbol" w:hint="default"/>
          <w:spacing w:val="49"/>
        </w:rPr>
        <w:t></w:t>
      </w:r>
      <w:r>
        <w:rPr>
          <w:rFonts w:ascii="Times New Roman" w:hAnsi="Times New Roman" w:cs="Times New Roman" w:eastAsia="Times New Roman" w:hint="default"/>
          <w:spacing w:val="49"/>
        </w:rPr>
      </w:r>
      <w:r>
        <w:rPr/>
        <w:t>提供资本，以强化本集团的风险管理能力。</w:t>
      </w:r>
    </w:p>
    <w:p>
      <w:pPr>
        <w:spacing w:line="240" w:lineRule="auto" w:before="12"/>
        <w:rPr>
          <w:rFonts w:ascii="宋体" w:hAnsi="宋体" w:cs="宋体" w:eastAsia="宋体" w:hint="default"/>
          <w:sz w:val="19"/>
          <w:szCs w:val="19"/>
        </w:rPr>
      </w:pPr>
    </w:p>
    <w:p>
      <w:pPr>
        <w:pStyle w:val="BodyText"/>
        <w:spacing w:line="286" w:lineRule="exact"/>
        <w:ind w:left="616" w:right="149"/>
        <w:jc w:val="both"/>
      </w:pPr>
      <w:r>
        <w:rPr/>
        <w:t>为了保持及调整资本结构，本集团定期积极复核及管理自身的资本结构，力求达到最理想的</w:t>
      </w:r>
      <w:r>
        <w:rPr>
          <w:spacing w:val="-87"/>
        </w:rPr>
        <w:t> </w:t>
      </w:r>
      <w:r>
        <w:rPr>
          <w:spacing w:val="-87"/>
        </w:rPr>
      </w:r>
      <w:r>
        <w:rPr/>
        <w:t>资本结构及股东回报。本集团考虑的因素包括：本集团未来的资本需求、资本效率、现时的</w:t>
      </w:r>
      <w:r>
        <w:rPr>
          <w:spacing w:val="-87"/>
        </w:rPr>
        <w:t> </w:t>
      </w:r>
      <w:r>
        <w:rPr>
          <w:spacing w:val="-87"/>
        </w:rPr>
      </w:r>
      <w:r>
        <w:rPr/>
        <w:t>及预期的盈利能力、预期的经营现金流、预期资本开支及预期的战略投资机会。</w:t>
      </w:r>
    </w:p>
    <w:p>
      <w:pPr>
        <w:spacing w:line="240" w:lineRule="auto" w:before="3"/>
        <w:rPr>
          <w:rFonts w:ascii="宋体" w:hAnsi="宋体" w:cs="宋体" w:eastAsia="宋体" w:hint="default"/>
          <w:sz w:val="19"/>
          <w:szCs w:val="19"/>
        </w:rPr>
      </w:pPr>
    </w:p>
    <w:p>
      <w:pPr>
        <w:pStyle w:val="BodyText"/>
        <w:spacing w:line="286" w:lineRule="exact"/>
        <w:ind w:left="616" w:right="149"/>
        <w:jc w:val="both"/>
      </w:pPr>
      <w:r>
        <w:rPr/>
        <w:t>本集团以债务资本率来检查资本状况，债务资本率为带息债务加少数股东权益除以带息债务</w:t>
      </w:r>
      <w:r>
        <w:rPr>
          <w:spacing w:val="-87"/>
        </w:rPr>
        <w:t> </w:t>
      </w:r>
      <w:r>
        <w:rPr>
          <w:spacing w:val="-87"/>
        </w:rPr>
      </w:r>
      <w:r>
        <w:rPr/>
        <w:t>加总股东权益。带息债务主要包括资产负债表中的长短期银行借款，关联方借款及长短期债</w:t>
      </w:r>
      <w:r>
        <w:rPr>
          <w:spacing w:val="-87"/>
        </w:rPr>
        <w:t> </w:t>
      </w:r>
      <w:r>
        <w:rPr>
          <w:spacing w:val="-87"/>
        </w:rPr>
      </w:r>
      <w:r>
        <w:rPr/>
        <w:t>券。</w:t>
      </w:r>
    </w:p>
    <w:p>
      <w:pPr>
        <w:spacing w:after="0" w:line="286" w:lineRule="exact"/>
        <w:jc w:val="both"/>
        <w:sectPr>
          <w:headerReference w:type="default" r:id="rId66"/>
          <w:pgSz w:w="11900" w:h="16840"/>
          <w:pgMar w:header="967" w:footer="600" w:top="3980" w:bottom="780" w:left="1420" w:right="880"/>
        </w:sectPr>
      </w:pPr>
    </w:p>
    <w:p>
      <w:pPr>
        <w:spacing w:line="240" w:lineRule="auto" w:before="11"/>
        <w:rPr>
          <w:rFonts w:ascii="宋体" w:hAnsi="宋体" w:cs="宋体" w:eastAsia="宋体" w:hint="default"/>
          <w:sz w:val="15"/>
          <w:szCs w:val="15"/>
        </w:rPr>
      </w:pPr>
    </w:p>
    <w:p>
      <w:pPr>
        <w:pStyle w:val="BodyText"/>
        <w:spacing w:line="424" w:lineRule="auto" w:before="31"/>
        <w:ind w:left="608" w:right="888" w:hanging="490"/>
        <w:jc w:val="left"/>
      </w:pPr>
      <w:r>
        <w:rPr>
          <w:rFonts w:ascii="Arial" w:hAnsi="Arial" w:cs="Arial" w:eastAsia="Arial" w:hint="default"/>
        </w:rPr>
        <w:t>(b)</w:t>
      </w:r>
      <w:r>
        <w:rPr>
          <w:rFonts w:ascii="Arial" w:hAnsi="Arial" w:cs="Arial" w:eastAsia="Arial" w:hint="default"/>
          <w:spacing w:val="15"/>
        </w:rPr>
        <w:t> </w:t>
      </w:r>
      <w:r>
        <w:rPr/>
        <w:t>资本风险管理（续）</w:t>
      </w:r>
      <w:r>
        <w:rPr>
          <w:w w:val="99"/>
        </w:rPr>
        <w:t> </w:t>
      </w:r>
      <w:r>
        <w:rPr>
          <w:w w:val="95"/>
        </w:rPr>
        <w:t>于</w:t>
      </w:r>
      <w:r>
        <w:rPr>
          <w:rFonts w:ascii="Arial" w:hAnsi="Arial" w:cs="Arial" w:eastAsia="Arial" w:hint="default"/>
          <w:w w:val="95"/>
        </w:rPr>
        <w:t>2011</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日及</w:t>
      </w: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日，本集团的债务资本率如下：</w:t>
      </w:r>
      <w:r>
        <w:rPr/>
      </w:r>
    </w:p>
    <w:tbl>
      <w:tblPr>
        <w:tblW w:w="0" w:type="auto"/>
        <w:jc w:val="left"/>
        <w:tblInd w:w="573" w:type="dxa"/>
        <w:tblLayout w:type="fixed"/>
        <w:tblCellMar>
          <w:top w:w="0" w:type="dxa"/>
          <w:left w:w="0" w:type="dxa"/>
          <w:bottom w:w="0" w:type="dxa"/>
          <w:right w:w="0" w:type="dxa"/>
        </w:tblCellMar>
        <w:tblLook w:val="01E0"/>
      </w:tblPr>
      <w:tblGrid>
        <w:gridCol w:w="5159"/>
        <w:gridCol w:w="1721"/>
        <w:gridCol w:w="113"/>
        <w:gridCol w:w="1877"/>
      </w:tblGrid>
      <w:tr>
        <w:trPr>
          <w:trHeight w:val="360"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721"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0" w:right="0"/>
              <w:jc w:val="left"/>
              <w:rPr>
                <w:rFonts w:ascii="宋体" w:hAnsi="宋体" w:cs="宋体" w:eastAsia="宋体" w:hint="default"/>
                <w:sz w:val="22"/>
                <w:szCs w:val="22"/>
              </w:rPr>
            </w:pPr>
            <w:r>
              <w:rPr>
                <w:rFonts w:ascii="Arial" w:hAnsi="Arial" w:cs="Arial" w:eastAsia="Arial" w:hint="default"/>
                <w:sz w:val="22"/>
                <w:szCs w:val="22"/>
              </w:rPr>
              <w:t>2011</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70"/>
              <w:jc w:val="right"/>
              <w:rPr>
                <w:rFonts w:ascii="宋体" w:hAnsi="宋体" w:cs="宋体" w:eastAsia="宋体" w:hint="default"/>
                <w:sz w:val="22"/>
                <w:szCs w:val="22"/>
              </w:rPr>
            </w:pPr>
            <w:r>
              <w:rPr>
                <w:rFonts w:ascii="Arial" w:hAnsi="Arial" w:cs="Arial" w:eastAsia="Arial" w:hint="default"/>
                <w:w w:val="95"/>
                <w:sz w:val="22"/>
                <w:szCs w:val="22"/>
              </w:rPr>
              <w:t>2010</w:t>
            </w:r>
            <w:r>
              <w:rPr>
                <w:rFonts w:ascii="宋体" w:hAnsi="宋体" w:cs="宋体" w:eastAsia="宋体" w:hint="default"/>
                <w:w w:val="95"/>
                <w:sz w:val="22"/>
                <w:szCs w:val="22"/>
              </w:rPr>
              <w:t>年</w:t>
            </w:r>
            <w:r>
              <w:rPr>
                <w:rFonts w:ascii="Arial" w:hAnsi="Arial" w:cs="Arial" w:eastAsia="Arial" w:hint="default"/>
                <w:w w:val="95"/>
                <w:sz w:val="22"/>
                <w:szCs w:val="22"/>
              </w:rPr>
              <w:t>12</w:t>
            </w:r>
            <w:r>
              <w:rPr>
                <w:rFonts w:ascii="宋体" w:hAnsi="宋体" w:cs="宋体" w:eastAsia="宋体" w:hint="default"/>
                <w:w w:val="95"/>
                <w:sz w:val="22"/>
                <w:szCs w:val="22"/>
              </w:rPr>
              <w:t>月</w:t>
            </w:r>
            <w:r>
              <w:rPr>
                <w:rFonts w:ascii="Arial" w:hAnsi="Arial" w:cs="Arial" w:eastAsia="Arial" w:hint="default"/>
                <w:w w:val="95"/>
                <w:sz w:val="22"/>
                <w:szCs w:val="22"/>
              </w:rPr>
              <w:t>31</w:t>
            </w:r>
            <w:r>
              <w:rPr>
                <w:rFonts w:ascii="宋体" w:hAnsi="宋体" w:cs="宋体" w:eastAsia="宋体" w:hint="default"/>
                <w:w w:val="95"/>
                <w:sz w:val="22"/>
                <w:szCs w:val="22"/>
              </w:rPr>
              <w:t>日</w:t>
            </w:r>
            <w:r>
              <w:rPr>
                <w:rFonts w:ascii="宋体" w:hAnsi="宋体" w:cs="宋体" w:eastAsia="宋体" w:hint="default"/>
                <w:sz w:val="22"/>
                <w:szCs w:val="22"/>
              </w:rPr>
            </w:r>
          </w:p>
        </w:tc>
      </w:tr>
      <w:tr>
        <w:trPr>
          <w:trHeight w:val="293" w:hRule="exact"/>
        </w:trPr>
        <w:tc>
          <w:tcPr>
            <w:tcW w:w="5159" w:type="dxa"/>
            <w:tcBorders>
              <w:top w:val="nil" w:sz="6" w:space="0" w:color="auto"/>
              <w:left w:val="nil" w:sz="6" w:space="0" w:color="auto"/>
              <w:bottom w:val="nil" w:sz="6" w:space="0" w:color="auto"/>
              <w:right w:val="nil" w:sz="6" w:space="0" w:color="auto"/>
            </w:tcBorders>
          </w:tcPr>
          <w:p>
            <w:pPr/>
          </w:p>
        </w:tc>
        <w:tc>
          <w:tcPr>
            <w:tcW w:w="1721" w:type="dxa"/>
            <w:tcBorders>
              <w:top w:val="single" w:sz="6"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single" w:sz="6" w:space="0" w:color="000000"/>
              <w:left w:val="nil" w:sz="6" w:space="0" w:color="auto"/>
              <w:bottom w:val="nil" w:sz="6" w:space="0" w:color="auto"/>
              <w:right w:val="nil" w:sz="6" w:space="0" w:color="auto"/>
            </w:tcBorders>
          </w:tcPr>
          <w:p>
            <w:pPr>
              <w:pStyle w:val="TableParagraph"/>
              <w:spacing w:line="253" w:lineRule="exact"/>
              <w:ind w:right="34"/>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85"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带息债务：</w:t>
            </w:r>
          </w:p>
        </w:tc>
        <w:tc>
          <w:tcPr>
            <w:tcW w:w="1721"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r>
      <w:tr>
        <w:trPr>
          <w:trHeight w:val="298"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68" w:lineRule="exact"/>
              <w:ind w:left="217"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应付短期债券</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38,000</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2"/>
              <w:jc w:val="right"/>
              <w:rPr>
                <w:rFonts w:ascii="Arial" w:hAnsi="Arial" w:cs="Arial" w:eastAsia="Arial" w:hint="default"/>
                <w:sz w:val="22"/>
                <w:szCs w:val="22"/>
              </w:rPr>
            </w:pPr>
            <w:r>
              <w:rPr>
                <w:rFonts w:ascii="Arial"/>
                <w:w w:val="95"/>
                <w:sz w:val="22"/>
              </w:rPr>
              <w:t>23,000</w:t>
            </w:r>
            <w:r>
              <w:rPr>
                <w:rFonts w:ascii="Arial"/>
                <w:sz w:val="22"/>
              </w:rPr>
            </w:r>
          </w:p>
        </w:tc>
      </w:tr>
      <w:tr>
        <w:trPr>
          <w:trHeight w:val="286"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55" w:lineRule="exact"/>
              <w:ind w:left="217"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短期借款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32,322</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22"/>
                <w:szCs w:val="22"/>
              </w:rPr>
            </w:pPr>
            <w:r>
              <w:rPr>
                <w:rFonts w:ascii="Arial"/>
                <w:w w:val="95"/>
                <w:sz w:val="22"/>
              </w:rPr>
              <w:t>36,727</w:t>
            </w:r>
            <w:r>
              <w:rPr>
                <w:rFonts w:ascii="Arial"/>
                <w:sz w:val="22"/>
              </w:rPr>
            </w:r>
          </w:p>
        </w:tc>
      </w:tr>
      <w:tr>
        <w:trPr>
          <w:trHeight w:val="286"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55" w:lineRule="exact"/>
              <w:ind w:left="217"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长期借款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1,384</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22"/>
                <w:szCs w:val="22"/>
              </w:rPr>
            </w:pPr>
            <w:r>
              <w:rPr>
                <w:rFonts w:ascii="Arial"/>
                <w:w w:val="95"/>
                <w:sz w:val="22"/>
              </w:rPr>
              <w:t>1,462</w:t>
            </w:r>
            <w:r>
              <w:rPr>
                <w:rFonts w:ascii="Arial"/>
                <w:sz w:val="22"/>
              </w:rPr>
            </w:r>
          </w:p>
        </w:tc>
      </w:tr>
      <w:tr>
        <w:trPr>
          <w:trHeight w:val="285"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55" w:lineRule="exact"/>
              <w:ind w:left="217"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一年内到期的长期借款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50</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22"/>
                <w:szCs w:val="22"/>
              </w:rPr>
            </w:pPr>
            <w:r>
              <w:rPr>
                <w:rFonts w:ascii="Arial"/>
                <w:w w:val="95"/>
                <w:sz w:val="22"/>
              </w:rPr>
              <w:t>58</w:t>
            </w:r>
            <w:r>
              <w:rPr>
                <w:rFonts w:ascii="Arial"/>
                <w:sz w:val="22"/>
              </w:rPr>
            </w:r>
          </w:p>
        </w:tc>
      </w:tr>
      <w:tr>
        <w:trPr>
          <w:trHeight w:val="285"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55" w:lineRule="exact"/>
              <w:ind w:left="217"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应付融资租赁款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9"/>
                <w:sz w:val="22"/>
              </w:rPr>
              <w:t>-</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22"/>
                <w:szCs w:val="22"/>
              </w:rPr>
            </w:pPr>
            <w:r>
              <w:rPr>
                <w:rFonts w:ascii="Arial"/>
                <w:w w:val="95"/>
                <w:sz w:val="22"/>
              </w:rPr>
              <w:t>78</w:t>
            </w:r>
            <w:r>
              <w:rPr>
                <w:rFonts w:ascii="Arial"/>
                <w:sz w:val="22"/>
              </w:rPr>
            </w:r>
          </w:p>
        </w:tc>
      </w:tr>
      <w:tr>
        <w:trPr>
          <w:trHeight w:val="286"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55" w:lineRule="exact"/>
              <w:ind w:left="217"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一年内到期的应付融资租赁款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78</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22"/>
                <w:szCs w:val="22"/>
              </w:rPr>
            </w:pPr>
            <w:r>
              <w:rPr>
                <w:rFonts w:ascii="Arial"/>
                <w:w w:val="95"/>
                <w:sz w:val="22"/>
              </w:rPr>
              <w:t>126</w:t>
            </w:r>
            <w:r>
              <w:rPr>
                <w:rFonts w:ascii="Arial"/>
                <w:sz w:val="22"/>
              </w:rPr>
            </w:r>
          </w:p>
        </w:tc>
      </w:tr>
      <w:tr>
        <w:trPr>
          <w:trHeight w:val="286"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55" w:lineRule="exact"/>
              <w:ind w:left="217"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关联公司借款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2,156</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22"/>
                <w:szCs w:val="22"/>
              </w:rPr>
            </w:pPr>
            <w:r>
              <w:rPr>
                <w:rFonts w:ascii="Arial"/>
                <w:w w:val="95"/>
                <w:sz w:val="22"/>
              </w:rPr>
              <w:t>2,034</w:t>
            </w:r>
            <w:r>
              <w:rPr>
                <w:rFonts w:ascii="Arial"/>
                <w:sz w:val="22"/>
              </w:rPr>
            </w:r>
          </w:p>
        </w:tc>
      </w:tr>
      <w:tr>
        <w:trPr>
          <w:trHeight w:val="293"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55" w:lineRule="exact"/>
              <w:ind w:left="217"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应付债券</w:t>
            </w:r>
          </w:p>
        </w:tc>
        <w:tc>
          <w:tcPr>
            <w:tcW w:w="1721" w:type="dxa"/>
            <w:tcBorders>
              <w:top w:val="nil" w:sz="6" w:space="0" w:color="auto"/>
              <w:left w:val="nil" w:sz="6" w:space="0" w:color="auto"/>
              <w:bottom w:val="nil" w:sz="6" w:space="0" w:color="auto"/>
              <w:right w:val="nil" w:sz="6" w:space="0" w:color="auto"/>
            </w:tcBorders>
          </w:tcPr>
          <w:p>
            <w:pPr>
              <w:pStyle w:val="TableParagraph"/>
              <w:tabs>
                <w:tab w:pos="944" w:val="left" w:leader="none"/>
                <w:tab w:pos="1720"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33,118</w:t>
              <w:tab/>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tabs>
                <w:tab w:pos="1045" w:val="left" w:leader="none"/>
                <w:tab w:pos="1827"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33,558</w:t>
            </w:r>
            <w:r>
              <w:rPr>
                <w:rFonts w:ascii="Arial"/>
                <w:sz w:val="22"/>
                <w:u w:val="single" w:color="000000"/>
              </w:rPr>
              <w:tab/>
            </w:r>
            <w:r>
              <w:rPr>
                <w:rFonts w:ascii="Arial"/>
                <w:sz w:val="22"/>
              </w:rPr>
            </w:r>
          </w:p>
        </w:tc>
      </w:tr>
      <w:tr>
        <w:trPr>
          <w:trHeight w:val="419"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小计</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1"/>
              <w:jc w:val="right"/>
              <w:rPr>
                <w:rFonts w:ascii="Arial" w:hAnsi="Arial" w:cs="Arial" w:eastAsia="Arial" w:hint="default"/>
                <w:sz w:val="22"/>
                <w:szCs w:val="22"/>
              </w:rPr>
            </w:pPr>
            <w:r>
              <w:rPr>
                <w:rFonts w:ascii="Arial"/>
                <w:w w:val="95"/>
                <w:sz w:val="22"/>
              </w:rPr>
              <w:t>107,108</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2"/>
              <w:jc w:val="right"/>
              <w:rPr>
                <w:rFonts w:ascii="Arial" w:hAnsi="Arial" w:cs="Arial" w:eastAsia="Arial" w:hint="default"/>
                <w:sz w:val="22"/>
                <w:szCs w:val="22"/>
              </w:rPr>
            </w:pPr>
            <w:r>
              <w:rPr>
                <w:rFonts w:ascii="Arial"/>
                <w:w w:val="95"/>
                <w:sz w:val="22"/>
              </w:rPr>
              <w:t>97,043</w:t>
            </w:r>
            <w:r>
              <w:rPr>
                <w:rFonts w:ascii="Arial"/>
                <w:sz w:val="22"/>
              </w:rPr>
            </w:r>
          </w:p>
        </w:tc>
      </w:tr>
      <w:tr>
        <w:trPr>
          <w:trHeight w:val="546"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1721" w:type="dxa"/>
            <w:tcBorders>
              <w:top w:val="nil" w:sz="6" w:space="0" w:color="auto"/>
              <w:left w:val="nil" w:sz="6" w:space="0" w:color="auto"/>
              <w:bottom w:val="nil" w:sz="6" w:space="0" w:color="auto"/>
              <w:right w:val="nil" w:sz="6" w:space="0" w:color="auto"/>
            </w:tcBorders>
          </w:tcPr>
          <w:p>
            <w:pPr>
              <w:pStyle w:val="TableParagraph"/>
              <w:tabs>
                <w:tab w:pos="821" w:val="left" w:leader="none"/>
                <w:tab w:pos="1720" w:val="left" w:leader="none"/>
              </w:tabs>
              <w:spacing w:line="240" w:lineRule="auto" w:before="144"/>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137,587</w:t>
              <w:tab/>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tabs>
                <w:tab w:pos="922" w:val="left" w:leader="none"/>
                <w:tab w:pos="1827" w:val="left" w:leader="none"/>
              </w:tabs>
              <w:spacing w:line="240" w:lineRule="auto" w:before="144"/>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137,439</w:t>
            </w:r>
            <w:r>
              <w:rPr>
                <w:rFonts w:ascii="Arial"/>
                <w:sz w:val="22"/>
                <w:u w:val="single" w:color="000000"/>
              </w:rPr>
              <w:tab/>
            </w:r>
            <w:r>
              <w:rPr>
                <w:rFonts w:ascii="Arial"/>
                <w:sz w:val="22"/>
              </w:rPr>
            </w:r>
          </w:p>
        </w:tc>
      </w:tr>
      <w:tr>
        <w:trPr>
          <w:trHeight w:val="553"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带息债务加少数股东权益</w:t>
            </w:r>
          </w:p>
        </w:tc>
        <w:tc>
          <w:tcPr>
            <w:tcW w:w="1721" w:type="dxa"/>
            <w:tcBorders>
              <w:top w:val="nil" w:sz="6" w:space="0" w:color="auto"/>
              <w:left w:val="nil" w:sz="6" w:space="0" w:color="auto"/>
              <w:bottom w:val="nil" w:sz="6" w:space="0" w:color="auto"/>
              <w:right w:val="nil" w:sz="6" w:space="0" w:color="auto"/>
            </w:tcBorders>
          </w:tcPr>
          <w:p>
            <w:pPr>
              <w:pStyle w:val="TableParagraph"/>
              <w:tabs>
                <w:tab w:pos="821" w:val="left" w:leader="none"/>
                <w:tab w:pos="1720" w:val="left" w:leader="none"/>
              </w:tabs>
              <w:spacing w:line="240" w:lineRule="auto" w:before="151"/>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244,695</w:t>
              <w:tab/>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tabs>
                <w:tab w:pos="922" w:val="left" w:leader="none"/>
                <w:tab w:pos="1827" w:val="left" w:leader="none"/>
              </w:tabs>
              <w:spacing w:line="240" w:lineRule="auto" w:before="151"/>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234,482</w:t>
            </w:r>
            <w:r>
              <w:rPr>
                <w:rFonts w:ascii="Arial"/>
                <w:sz w:val="22"/>
                <w:u w:val="single" w:color="000000"/>
              </w:rPr>
              <w:tab/>
            </w:r>
            <w:r>
              <w:rPr>
                <w:rFonts w:ascii="Arial"/>
                <w:sz w:val="22"/>
              </w:rPr>
            </w:r>
          </w:p>
        </w:tc>
      </w:tr>
      <w:tr>
        <w:trPr>
          <w:trHeight w:val="406"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总权益：</w:t>
            </w:r>
          </w:p>
        </w:tc>
        <w:tc>
          <w:tcPr>
            <w:tcW w:w="1721"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r>
      <w:tr>
        <w:trPr>
          <w:trHeight w:val="298"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68" w:lineRule="exact"/>
              <w:ind w:left="203"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归属于母公司股东权益</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71,024</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2"/>
              <w:jc w:val="right"/>
              <w:rPr>
                <w:rFonts w:ascii="Arial" w:hAnsi="Arial" w:cs="Arial" w:eastAsia="Arial" w:hint="default"/>
                <w:sz w:val="22"/>
                <w:szCs w:val="22"/>
              </w:rPr>
            </w:pPr>
            <w:r>
              <w:rPr>
                <w:rFonts w:ascii="Arial"/>
                <w:w w:val="95"/>
                <w:sz w:val="22"/>
              </w:rPr>
              <w:t>70,885</w:t>
            </w:r>
            <w:r>
              <w:rPr>
                <w:rFonts w:ascii="Arial"/>
                <w:sz w:val="22"/>
              </w:rPr>
            </w:r>
          </w:p>
        </w:tc>
      </w:tr>
      <w:tr>
        <w:trPr>
          <w:trHeight w:val="290"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55" w:lineRule="exact"/>
              <w:ind w:left="203"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少数股东权益</w:t>
            </w:r>
          </w:p>
        </w:tc>
        <w:tc>
          <w:tcPr>
            <w:tcW w:w="1721" w:type="dxa"/>
            <w:tcBorders>
              <w:top w:val="nil" w:sz="6" w:space="0" w:color="auto"/>
              <w:left w:val="nil" w:sz="6" w:space="0" w:color="auto"/>
              <w:bottom w:val="nil" w:sz="6" w:space="0" w:color="auto"/>
              <w:right w:val="nil" w:sz="6" w:space="0" w:color="auto"/>
            </w:tcBorders>
          </w:tcPr>
          <w:p>
            <w:pPr>
              <w:pStyle w:val="TableParagraph"/>
              <w:tabs>
                <w:tab w:pos="821" w:val="left" w:leader="none"/>
                <w:tab w:pos="1720"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137,587</w:t>
              <w:tab/>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tabs>
                <w:tab w:pos="922" w:val="left" w:leader="none"/>
                <w:tab w:pos="1827"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137,439</w:t>
            </w:r>
            <w:r>
              <w:rPr>
                <w:rFonts w:ascii="Arial"/>
                <w:sz w:val="22"/>
                <w:u w:val="single" w:color="000000"/>
              </w:rPr>
              <w:tab/>
            </w:r>
            <w:r>
              <w:rPr>
                <w:rFonts w:ascii="Arial"/>
                <w:sz w:val="22"/>
              </w:rPr>
            </w:r>
          </w:p>
        </w:tc>
      </w:tr>
      <w:tr>
        <w:trPr>
          <w:trHeight w:val="390" w:hRule="exact"/>
        </w:trPr>
        <w:tc>
          <w:tcPr>
            <w:tcW w:w="515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9" w:lineRule="exact"/>
              <w:ind w:right="101"/>
              <w:jc w:val="right"/>
              <w:rPr>
                <w:rFonts w:ascii="Arial" w:hAnsi="Arial" w:cs="Arial" w:eastAsia="Arial" w:hint="default"/>
                <w:sz w:val="22"/>
                <w:szCs w:val="22"/>
              </w:rPr>
            </w:pPr>
            <w:r>
              <w:rPr>
                <w:rFonts w:ascii="Arial"/>
                <w:w w:val="95"/>
                <w:sz w:val="22"/>
              </w:rPr>
              <w:t>208,611</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9" w:lineRule="exact"/>
              <w:ind w:right="142"/>
              <w:jc w:val="right"/>
              <w:rPr>
                <w:rFonts w:ascii="Arial" w:hAnsi="Arial" w:cs="Arial" w:eastAsia="Arial" w:hint="default"/>
                <w:sz w:val="22"/>
                <w:szCs w:val="22"/>
              </w:rPr>
            </w:pPr>
            <w:r>
              <w:rPr>
                <w:rFonts w:ascii="Arial"/>
                <w:w w:val="95"/>
                <w:sz w:val="22"/>
              </w:rPr>
              <w:t>208,324</w:t>
            </w:r>
            <w:r>
              <w:rPr>
                <w:rFonts w:ascii="Arial"/>
                <w:sz w:val="22"/>
              </w:rPr>
            </w:r>
          </w:p>
        </w:tc>
      </w:tr>
      <w:tr>
        <w:trPr>
          <w:trHeight w:val="545"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2"/>
                <w:szCs w:val="22"/>
              </w:rPr>
            </w:pPr>
            <w:r>
              <w:rPr>
                <w:rFonts w:ascii="宋体" w:hAnsi="宋体" w:cs="宋体" w:eastAsia="宋体" w:hint="default"/>
                <w:sz w:val="22"/>
                <w:szCs w:val="22"/>
              </w:rPr>
              <w:t>带息债务加股东权益合计</w:t>
            </w:r>
          </w:p>
        </w:tc>
        <w:tc>
          <w:tcPr>
            <w:tcW w:w="1721" w:type="dxa"/>
            <w:tcBorders>
              <w:top w:val="nil" w:sz="6" w:space="0" w:color="auto"/>
              <w:left w:val="nil" w:sz="6" w:space="0" w:color="auto"/>
              <w:bottom w:val="nil" w:sz="6" w:space="0" w:color="auto"/>
              <w:right w:val="nil" w:sz="6" w:space="0" w:color="auto"/>
            </w:tcBorders>
          </w:tcPr>
          <w:p>
            <w:pPr>
              <w:pStyle w:val="TableParagraph"/>
              <w:tabs>
                <w:tab w:pos="821" w:val="left" w:leader="none"/>
                <w:tab w:pos="1720" w:val="left" w:leader="none"/>
              </w:tabs>
              <w:spacing w:line="240" w:lineRule="auto" w:before="143"/>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315,719</w:t>
              <w:tab/>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tabs>
                <w:tab w:pos="922" w:val="left" w:leader="none"/>
                <w:tab w:pos="1827" w:val="left" w:leader="none"/>
              </w:tabs>
              <w:spacing w:line="240" w:lineRule="auto" w:before="143"/>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305,367</w:t>
            </w:r>
            <w:r>
              <w:rPr>
                <w:rFonts w:ascii="Arial"/>
                <w:sz w:val="22"/>
                <w:u w:val="single" w:color="000000"/>
              </w:rPr>
              <w:tab/>
            </w:r>
            <w:r>
              <w:rPr>
                <w:rFonts w:ascii="Arial"/>
                <w:sz w:val="22"/>
              </w:rPr>
            </w:r>
          </w:p>
        </w:tc>
      </w:tr>
      <w:tr>
        <w:trPr>
          <w:trHeight w:val="430"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债务资本率</w:t>
            </w:r>
          </w:p>
        </w:tc>
        <w:tc>
          <w:tcPr>
            <w:tcW w:w="172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20"/>
              <w:jc w:val="right"/>
              <w:rPr>
                <w:rFonts w:ascii="Arial" w:hAnsi="Arial" w:cs="Arial" w:eastAsia="Arial" w:hint="default"/>
                <w:sz w:val="22"/>
                <w:szCs w:val="22"/>
              </w:rPr>
            </w:pPr>
            <w:r>
              <w:rPr>
                <w:rFonts w:ascii="Arial"/>
                <w:w w:val="95"/>
                <w:sz w:val="22"/>
              </w:rPr>
              <w:t>77.50%</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56"/>
              <w:jc w:val="right"/>
              <w:rPr>
                <w:rFonts w:ascii="Arial" w:hAnsi="Arial" w:cs="Arial" w:eastAsia="Arial" w:hint="default"/>
                <w:sz w:val="22"/>
                <w:szCs w:val="22"/>
              </w:rPr>
            </w:pPr>
            <w:r>
              <w:rPr>
                <w:rFonts w:ascii="Arial"/>
                <w:w w:val="95"/>
                <w:sz w:val="22"/>
              </w:rPr>
              <w:t>76.79%</w:t>
            </w:r>
            <w:r>
              <w:rPr>
                <w:rFonts w:ascii="Arial"/>
                <w:sz w:val="22"/>
              </w:rPr>
            </w:r>
          </w:p>
        </w:tc>
      </w:tr>
    </w:tbl>
    <w:p>
      <w:pPr>
        <w:spacing w:after="0" w:line="240" w:lineRule="auto"/>
        <w:jc w:val="right"/>
        <w:rPr>
          <w:rFonts w:ascii="Arial" w:hAnsi="Arial" w:cs="Arial" w:eastAsia="Arial" w:hint="default"/>
          <w:sz w:val="22"/>
          <w:szCs w:val="22"/>
        </w:rPr>
        <w:sectPr>
          <w:headerReference w:type="default" r:id="rId67"/>
          <w:pgSz w:w="11900" w:h="16840"/>
          <w:pgMar w:header="967" w:footer="600" w:top="3440" w:bottom="780" w:left="1440" w:right="900"/>
        </w:sectPr>
      </w:pPr>
    </w:p>
    <w:p>
      <w:pPr>
        <w:spacing w:line="240" w:lineRule="auto" w:before="1"/>
        <w:rPr>
          <w:rFonts w:ascii="宋体" w:hAnsi="宋体" w:cs="宋体" w:eastAsia="宋体" w:hint="default"/>
          <w:sz w:val="14"/>
          <w:szCs w:val="14"/>
        </w:rPr>
      </w:pPr>
    </w:p>
    <w:p>
      <w:pPr>
        <w:pStyle w:val="BodyText"/>
        <w:tabs>
          <w:tab w:pos="586" w:val="left" w:leader="none"/>
        </w:tabs>
        <w:spacing w:line="240" w:lineRule="auto" w:before="31"/>
        <w:ind w:left="118" w:right="91"/>
        <w:jc w:val="left"/>
      </w:pPr>
      <w:r>
        <w:rPr>
          <w:rFonts w:ascii="Arial" w:hAnsi="Arial" w:cs="Arial" w:eastAsia="Arial" w:hint="default"/>
          <w:w w:val="95"/>
        </w:rPr>
        <w:t>(c)</w:t>
        <w:tab/>
      </w:r>
      <w:r>
        <w:rPr/>
        <w:t>公允价值估计</w:t>
      </w:r>
    </w:p>
    <w:p>
      <w:pPr>
        <w:spacing w:line="240" w:lineRule="auto" w:before="13"/>
        <w:rPr>
          <w:rFonts w:ascii="宋体" w:hAnsi="宋体" w:cs="宋体" w:eastAsia="宋体" w:hint="default"/>
          <w:sz w:val="17"/>
          <w:szCs w:val="17"/>
        </w:rPr>
      </w:pPr>
    </w:p>
    <w:p>
      <w:pPr>
        <w:pStyle w:val="BodyText"/>
        <w:spacing w:line="372" w:lineRule="auto"/>
        <w:ind w:left="595" w:right="107"/>
        <w:jc w:val="left"/>
      </w:pPr>
      <w:r>
        <w:rPr>
          <w:spacing w:val="-2"/>
        </w:rPr>
        <w:t>根据在公允价值计量中对计量整体具有重大意义的最低层级的输入值，公允价值层级可分为：</w:t>
      </w:r>
      <w:r>
        <w:rPr>
          <w:spacing w:val="-101"/>
        </w:rPr>
        <w:t> </w:t>
      </w:r>
      <w:r>
        <w:rPr>
          <w:spacing w:val="-101"/>
        </w:rPr>
      </w:r>
      <w:r>
        <w:rPr/>
        <w:t>第一层级：相同资产或负债在活跃市场上（未经调整）的报价。</w:t>
      </w:r>
    </w:p>
    <w:p>
      <w:pPr>
        <w:pStyle w:val="BodyText"/>
        <w:spacing w:line="286" w:lineRule="exact" w:before="64"/>
        <w:ind w:left="595" w:right="260"/>
        <w:jc w:val="both"/>
      </w:pPr>
      <w:r>
        <w:rPr/>
        <w:t>第二层级：直接（比如取自价格）或间接（比如根据价格推算的）可观察到的、除第一层级</w:t>
      </w:r>
      <w:r>
        <w:rPr>
          <w:w w:val="99"/>
        </w:rPr>
        <w:t> </w:t>
      </w:r>
      <w:r>
        <w:rPr/>
        <w:t>中的市场报价以外的资产或负债的输入值。</w:t>
      </w:r>
    </w:p>
    <w:p>
      <w:pPr>
        <w:pStyle w:val="BodyText"/>
        <w:spacing w:line="286" w:lineRule="exact" w:before="159"/>
        <w:ind w:left="595" w:right="226"/>
        <w:jc w:val="both"/>
      </w:pPr>
      <w:r>
        <w:rPr/>
        <w:t>第三层级：以可观察到的市场数据以外的变量为基础确定的资产或负债的输入值（不可观察</w:t>
      </w:r>
      <w:r>
        <w:rPr>
          <w:w w:val="99"/>
        </w:rPr>
        <w:t> </w:t>
      </w:r>
      <w:r>
        <w:rPr/>
        <w:t>输入值）。</w:t>
      </w:r>
    </w:p>
    <w:p>
      <w:pPr>
        <w:spacing w:line="240" w:lineRule="auto" w:before="7"/>
        <w:rPr>
          <w:rFonts w:ascii="宋体" w:hAnsi="宋体" w:cs="宋体" w:eastAsia="宋体" w:hint="default"/>
          <w:sz w:val="15"/>
          <w:szCs w:val="15"/>
        </w:rPr>
      </w:pPr>
    </w:p>
    <w:p>
      <w:pPr>
        <w:pStyle w:val="BodyText"/>
        <w:spacing w:line="237" w:lineRule="auto"/>
        <w:ind w:left="607" w:right="226"/>
        <w:jc w:val="both"/>
      </w:pPr>
      <w:r>
        <w:rPr/>
        <w:t>在活跃市场上交易的金融工具的公允价值以资产负债表日的市场报价为基础。若报价可方便</w:t>
      </w:r>
      <w:r>
        <w:rPr>
          <w:spacing w:val="-94"/>
        </w:rPr>
        <w:t> </w:t>
      </w:r>
      <w:r>
        <w:rPr>
          <w:spacing w:val="-94"/>
        </w:rPr>
      </w:r>
      <w:r>
        <w:rPr/>
        <w:t>及定期的自交易所、证券商、经纪、行业团体、报价服务者、或监管代理处获得，且该等报</w:t>
      </w:r>
      <w:r>
        <w:rPr>
          <w:spacing w:val="-94"/>
        </w:rPr>
        <w:t> </w:t>
      </w:r>
      <w:r>
        <w:rPr>
          <w:spacing w:val="-94"/>
        </w:rPr>
      </w:r>
      <w:r>
        <w:rPr/>
        <w:t>价代表按公平交易基准进行的实际或常规市场交易时，该市场被视为活跃。本集团持有的可</w:t>
      </w:r>
      <w:r>
        <w:rPr>
          <w:spacing w:val="-94"/>
        </w:rPr>
        <w:t> </w:t>
      </w:r>
      <w:r>
        <w:rPr>
          <w:spacing w:val="-94"/>
        </w:rPr>
      </w:r>
      <w:r>
        <w:rPr/>
        <w:t>供出售金融资产（如对西班牙电信的股票投资）的市场报价为当时公开股票交易市场上的买</w:t>
      </w:r>
      <w:r>
        <w:rPr>
          <w:spacing w:val="-94"/>
        </w:rPr>
        <w:t> </w:t>
      </w:r>
      <w:r>
        <w:rPr>
          <w:spacing w:val="-94"/>
        </w:rPr>
      </w:r>
      <w:r>
        <w:rPr/>
        <w:t>方报价。</w:t>
      </w:r>
    </w:p>
    <w:p>
      <w:pPr>
        <w:pStyle w:val="BodyText"/>
        <w:spacing w:line="240" w:lineRule="auto" w:before="157"/>
        <w:ind w:left="595" w:right="0"/>
        <w:jc w:val="both"/>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日，以公允价值计量的金融资产按上述三个层级列示如下：</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68"/>
          <w:pgSz w:w="11900" w:h="16840"/>
          <w:pgMar w:header="967" w:footer="600" w:top="3440" w:bottom="780" w:left="1440" w:right="800"/>
        </w:sectPr>
      </w:pPr>
    </w:p>
    <w:p>
      <w:pPr>
        <w:spacing w:line="240" w:lineRule="auto" w:before="10"/>
        <w:rPr>
          <w:rFonts w:ascii="宋体" w:hAnsi="宋体" w:cs="宋体" w:eastAsia="宋体" w:hint="default"/>
          <w:sz w:val="22"/>
          <w:szCs w:val="22"/>
        </w:rPr>
      </w:pPr>
    </w:p>
    <w:p>
      <w:pPr>
        <w:spacing w:line="268" w:lineRule="exact" w:before="0"/>
        <w:ind w:left="586" w:right="-6" w:firstLine="0"/>
        <w:jc w:val="left"/>
        <w:rPr>
          <w:rFonts w:ascii="Arial" w:hAnsi="Arial" w:cs="Arial" w:eastAsia="Arial" w:hint="default"/>
          <w:sz w:val="20"/>
          <w:szCs w:val="20"/>
        </w:rPr>
      </w:pPr>
      <w:r>
        <w:rPr>
          <w:rFonts w:ascii="宋体" w:hAnsi="宋体" w:cs="宋体" w:eastAsia="宋体" w:hint="default"/>
          <w:sz w:val="20"/>
          <w:szCs w:val="20"/>
        </w:rPr>
        <w:t>金融资产</w:t>
      </w:r>
      <w:r>
        <w:rPr>
          <w:rFonts w:ascii="Arial" w:hAnsi="Arial" w:cs="Arial" w:eastAsia="Arial" w:hint="default"/>
          <w:sz w:val="20"/>
          <w:szCs w:val="20"/>
        </w:rPr>
        <w:t>-</w:t>
      </w:r>
    </w:p>
    <w:p>
      <w:pPr>
        <w:spacing w:line="268" w:lineRule="exact" w:before="0"/>
        <w:ind w:left="766" w:right="-6" w:firstLine="0"/>
        <w:jc w:val="left"/>
        <w:rPr>
          <w:rFonts w:ascii="宋体" w:hAnsi="宋体" w:cs="宋体" w:eastAsia="宋体" w:hint="default"/>
          <w:sz w:val="20"/>
          <w:szCs w:val="20"/>
        </w:rPr>
      </w:pPr>
      <w:r>
        <w:rPr>
          <w:rFonts w:ascii="宋体" w:hAnsi="宋体" w:cs="宋体" w:eastAsia="宋体" w:hint="default"/>
          <w:spacing w:val="-1"/>
          <w:sz w:val="20"/>
          <w:szCs w:val="20"/>
        </w:rPr>
        <w:t>可供出售金融资产</w:t>
      </w:r>
      <w:r>
        <w:rPr>
          <w:rFonts w:ascii="Arial" w:hAnsi="Arial" w:cs="Arial" w:eastAsia="Arial" w:hint="default"/>
          <w:spacing w:val="-1"/>
          <w:sz w:val="20"/>
          <w:szCs w:val="20"/>
        </w:rPr>
        <w:t>-</w:t>
      </w:r>
      <w:r>
        <w:rPr>
          <w:rFonts w:ascii="宋体" w:hAnsi="宋体" w:cs="宋体" w:eastAsia="宋体" w:hint="default"/>
          <w:spacing w:val="-1"/>
          <w:sz w:val="20"/>
          <w:szCs w:val="20"/>
        </w:rPr>
        <w:t>可供出售</w:t>
      </w:r>
    </w:p>
    <w:p>
      <w:pPr>
        <w:tabs>
          <w:tab w:pos="2179" w:val="left" w:leader="none"/>
          <w:tab w:pos="3656" w:val="left" w:leader="none"/>
          <w:tab w:pos="5693" w:val="left" w:leader="none"/>
        </w:tabs>
        <w:spacing w:before="38"/>
        <w:ind w:left="58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第一层级</w:t>
        <w:tab/>
        <w:t>第二层级</w:t>
        <w:tab/>
        <w:t>第三层级</w:t>
        <w:tab/>
        <w:t>合计</w:t>
      </w:r>
    </w:p>
    <w:p>
      <w:pPr>
        <w:spacing w:after="0"/>
        <w:jc w:val="left"/>
        <w:rPr>
          <w:rFonts w:ascii="宋体" w:hAnsi="宋体" w:cs="宋体" w:eastAsia="宋体" w:hint="default"/>
          <w:sz w:val="20"/>
          <w:szCs w:val="20"/>
        </w:rPr>
        <w:sectPr>
          <w:type w:val="continuous"/>
          <w:pgSz w:w="11900" w:h="16840"/>
          <w:pgMar w:top="1600" w:bottom="280" w:left="1440" w:right="800"/>
          <w:cols w:num="2" w:equalWidth="0">
            <w:col w:w="3234" w:space="61"/>
            <w:col w:w="6365"/>
          </w:cols>
        </w:sectPr>
      </w:pPr>
    </w:p>
    <w:p>
      <w:pPr>
        <w:tabs>
          <w:tab w:pos="3403" w:val="left" w:leader="none"/>
          <w:tab w:pos="6208" w:val="left" w:leader="none"/>
          <w:tab w:pos="7657" w:val="left" w:leader="none"/>
          <w:tab w:pos="8109" w:val="left" w:leader="none"/>
        </w:tabs>
        <w:spacing w:line="272" w:lineRule="exact" w:before="0"/>
        <w:ind w:left="974" w:right="91" w:firstLine="0"/>
        <w:jc w:val="left"/>
        <w:rPr>
          <w:rFonts w:ascii="Arial" w:hAnsi="Arial" w:cs="Arial" w:eastAsia="Arial" w:hint="default"/>
          <w:sz w:val="20"/>
          <w:szCs w:val="20"/>
        </w:rPr>
      </w:pPr>
      <w:r>
        <w:rPr>
          <w:rFonts w:ascii="宋体" w:hAnsi="宋体" w:cs="宋体" w:eastAsia="宋体" w:hint="default"/>
          <w:position w:val="1"/>
          <w:sz w:val="20"/>
          <w:szCs w:val="20"/>
        </w:rPr>
        <w:t>权益工具</w:t>
        <w:tab/>
      </w:r>
      <w:r>
        <w:rPr>
          <w:rFonts w:ascii="Arial" w:hAnsi="Arial" w:cs="Arial" w:eastAsia="Arial" w:hint="default"/>
          <w:spacing w:val="-2"/>
          <w:sz w:val="20"/>
          <w:szCs w:val="20"/>
        </w:rPr>
        <w:t>6,951,106,326</w:t>
        <w:tab/>
      </w:r>
      <w:r>
        <w:rPr>
          <w:rFonts w:ascii="Arial" w:hAnsi="Arial" w:cs="Arial" w:eastAsia="Arial" w:hint="default"/>
          <w:sz w:val="20"/>
          <w:szCs w:val="20"/>
        </w:rPr>
        <w:t>-</w:t>
        <w:tab/>
        <w:t>-</w:t>
        <w:tab/>
      </w:r>
      <w:r>
        <w:rPr>
          <w:rFonts w:ascii="Arial" w:hAnsi="Arial" w:cs="Arial" w:eastAsia="Arial" w:hint="default"/>
          <w:spacing w:val="-2"/>
          <w:sz w:val="20"/>
          <w:szCs w:val="20"/>
        </w:rPr>
        <w:t>6,951,106,326</w:t>
      </w:r>
    </w:p>
    <w:p>
      <w:pPr>
        <w:spacing w:line="43" w:lineRule="exact"/>
        <w:ind w:left="3220" w:right="0" w:firstLine="0"/>
        <w:rPr>
          <w:rFonts w:ascii="Arial" w:hAnsi="Arial" w:cs="Arial" w:eastAsia="Arial" w:hint="default"/>
          <w:sz w:val="4"/>
          <w:szCs w:val="4"/>
        </w:rPr>
      </w:pPr>
      <w:r>
        <w:rPr>
          <w:rFonts w:ascii="Arial"/>
          <w:position w:val="0"/>
          <w:sz w:val="4"/>
        </w:rPr>
        <w:pict>
          <v:group style="width:77.05pt;height:2.2pt;mso-position-horizontal-relative:char;mso-position-vertical-relative:line" coordorigin="0,0" coordsize="1541,44">
            <v:group style="position:absolute;left:7;top:36;width:1527;height:2" coordorigin="7,36" coordsize="1527,2">
              <v:shape style="position:absolute;left:7;top:36;width:1527;height:2" coordorigin="7,36" coordsize="1527,0" path="m7,36l1534,36e" filled="false" stroked="true" strokeweight=".72pt" strokecolor="#000000">
                <v:path arrowok="t"/>
              </v:shape>
            </v:group>
            <v:group style="position:absolute;left:7;top:7;width:1527;height:2" coordorigin="7,7" coordsize="1527,2">
              <v:shape style="position:absolute;left:7;top:7;width:1527;height:2" coordorigin="7,7" coordsize="1527,0" path="m7,7l1534,7e" filled="false" stroked="true" strokeweight=".72pt" strokecolor="#000000">
                <v:path arrowok="t"/>
              </v:shape>
            </v:group>
          </v:group>
        </w:pict>
      </w:r>
      <w:r>
        <w:rPr>
          <w:rFonts w:ascii="Arial"/>
          <w:position w:val="0"/>
          <w:sz w:val="4"/>
        </w:rPr>
      </w:r>
      <w:r>
        <w:rPr>
          <w:rFonts w:ascii="Times New Roman"/>
          <w:spacing w:val="64"/>
          <w:position w:val="0"/>
          <w:sz w:val="4"/>
        </w:rPr>
        <w:t> </w:t>
      </w:r>
      <w:r>
        <w:rPr>
          <w:rFonts w:ascii="Arial"/>
          <w:spacing w:val="64"/>
          <w:position w:val="0"/>
          <w:sz w:val="4"/>
        </w:rPr>
        <w:pict>
          <v:group style="width:76.150pt;height:2.2pt;mso-position-horizontal-relative:char;mso-position-vertical-relative:line" coordorigin="0,0" coordsize="1523,44">
            <v:group style="position:absolute;left:7;top:36;width:1509;height:2" coordorigin="7,36" coordsize="1509,2">
              <v:shape style="position:absolute;left:7;top:36;width:1509;height:2" coordorigin="7,36" coordsize="1509,0" path="m7,36l1516,36e" filled="false" stroked="true" strokeweight=".72pt" strokecolor="#000000">
                <v:path arrowok="t"/>
              </v:shape>
            </v:group>
            <v:group style="position:absolute;left:7;top:7;width:1509;height:2" coordorigin="7,7" coordsize="1509,2">
              <v:shape style="position:absolute;left:7;top:7;width:1509;height:2" coordorigin="7,7" coordsize="1509,0" path="m7,7l1516,7e" filled="false" stroked="true" strokeweight=".72pt" strokecolor="#000000">
                <v:path arrowok="t"/>
              </v:shape>
            </v:group>
          </v:group>
        </w:pict>
      </w:r>
      <w:r>
        <w:rPr>
          <w:rFonts w:ascii="Arial"/>
          <w:spacing w:val="64"/>
          <w:position w:val="0"/>
          <w:sz w:val="4"/>
        </w:rPr>
      </w:r>
      <w:r>
        <w:rPr>
          <w:rFonts w:ascii="Times New Roman"/>
          <w:spacing w:val="82"/>
          <w:position w:val="0"/>
          <w:sz w:val="4"/>
        </w:rPr>
        <w:t> </w:t>
      </w:r>
      <w:r>
        <w:rPr>
          <w:rFonts w:ascii="Arial"/>
          <w:spacing w:val="82"/>
          <w:position w:val="0"/>
          <w:sz w:val="4"/>
        </w:rPr>
        <w:pict>
          <v:group style="width:68.05pt;height:2.2pt;mso-position-horizontal-relative:char;mso-position-vertical-relative:line" coordorigin="0,0" coordsize="1361,44">
            <v:group style="position:absolute;left:7;top:36;width:1347;height:2" coordorigin="7,36" coordsize="1347,2">
              <v:shape style="position:absolute;left:7;top:36;width:1347;height:2" coordorigin="7,36" coordsize="1347,0" path="m7,36l1354,36e" filled="false" stroked="true" strokeweight=".72pt" strokecolor="#000000">
                <v:path arrowok="t"/>
              </v:shape>
            </v:group>
            <v:group style="position:absolute;left:7;top:7;width:1347;height:2" coordorigin="7,7" coordsize="1347,2">
              <v:shape style="position:absolute;left:7;top:7;width:1347;height:2" coordorigin="7,7" coordsize="1347,0" path="m7,7l1354,7e" filled="false" stroked="true" strokeweight=".72pt" strokecolor="#000000">
                <v:path arrowok="t"/>
              </v:shape>
            </v:group>
          </v:group>
        </w:pict>
      </w:r>
      <w:r>
        <w:rPr>
          <w:rFonts w:ascii="Arial"/>
          <w:spacing w:val="82"/>
          <w:position w:val="0"/>
          <w:sz w:val="4"/>
        </w:rPr>
      </w:r>
      <w:r>
        <w:rPr>
          <w:rFonts w:ascii="Times New Roman"/>
          <w:spacing w:val="64"/>
          <w:position w:val="0"/>
          <w:sz w:val="4"/>
        </w:rPr>
        <w:t> </w:t>
      </w:r>
      <w:r>
        <w:rPr>
          <w:rFonts w:ascii="Arial"/>
          <w:spacing w:val="64"/>
          <w:position w:val="0"/>
          <w:sz w:val="4"/>
        </w:rPr>
        <w:pict>
          <v:group style="width:78.4pt;height:2.2pt;mso-position-horizontal-relative:char;mso-position-vertical-relative:line" coordorigin="0,0" coordsize="1568,44">
            <v:group style="position:absolute;left:7;top:36;width:1553;height:2" coordorigin="7,36" coordsize="1553,2">
              <v:shape style="position:absolute;left:7;top:36;width:1553;height:2" coordorigin="7,36" coordsize="1553,0" path="m7,36l1560,36e" filled="false" stroked="true" strokeweight=".72pt" strokecolor="#000000">
                <v:path arrowok="t"/>
              </v:shape>
            </v:group>
            <v:group style="position:absolute;left:7;top:7;width:1553;height:2" coordorigin="7,7" coordsize="1553,2">
              <v:shape style="position:absolute;left:7;top:7;width:1553;height:2" coordorigin="7,7" coordsize="1553,0" path="m7,7l1560,7e" filled="false" stroked="true" strokeweight=".72pt" strokecolor="#000000">
                <v:path arrowok="t"/>
              </v:shape>
            </v:group>
          </v:group>
        </w:pict>
      </w:r>
      <w:r>
        <w:rPr>
          <w:rFonts w:ascii="Arial"/>
          <w:spacing w:val="64"/>
          <w:position w:val="0"/>
          <w:sz w:val="4"/>
        </w:rPr>
      </w:r>
    </w:p>
    <w:p>
      <w:pPr>
        <w:spacing w:line="240" w:lineRule="auto" w:before="6"/>
        <w:rPr>
          <w:rFonts w:ascii="Arial" w:hAnsi="Arial" w:cs="Arial" w:eastAsia="Arial" w:hint="default"/>
          <w:sz w:val="16"/>
          <w:szCs w:val="16"/>
        </w:rPr>
      </w:pPr>
    </w:p>
    <w:p>
      <w:pPr>
        <w:pStyle w:val="BodyText"/>
        <w:spacing w:line="240" w:lineRule="auto" w:before="31"/>
        <w:ind w:left="564" w:right="91"/>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日，以公允价值计量的金融资产按上述三个层级列示如下：</w:t>
      </w:r>
    </w:p>
    <w:p>
      <w:pPr>
        <w:spacing w:line="240" w:lineRule="auto" w:before="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600" w:bottom="280" w:left="1440" w:right="800"/>
        </w:sectPr>
      </w:pPr>
    </w:p>
    <w:p>
      <w:pPr>
        <w:spacing w:line="240" w:lineRule="auto" w:before="10"/>
        <w:rPr>
          <w:rFonts w:ascii="宋体" w:hAnsi="宋体" w:cs="宋体" w:eastAsia="宋体" w:hint="default"/>
          <w:sz w:val="22"/>
          <w:szCs w:val="22"/>
        </w:rPr>
      </w:pPr>
    </w:p>
    <w:p>
      <w:pPr>
        <w:spacing w:line="268" w:lineRule="exact" w:before="0"/>
        <w:ind w:left="586" w:right="-6" w:firstLine="0"/>
        <w:jc w:val="left"/>
        <w:rPr>
          <w:rFonts w:ascii="Arial" w:hAnsi="Arial" w:cs="Arial" w:eastAsia="Arial" w:hint="default"/>
          <w:sz w:val="20"/>
          <w:szCs w:val="20"/>
        </w:rPr>
      </w:pPr>
      <w:r>
        <w:rPr>
          <w:rFonts w:ascii="宋体" w:hAnsi="宋体" w:cs="宋体" w:eastAsia="宋体" w:hint="default"/>
          <w:sz w:val="20"/>
          <w:szCs w:val="20"/>
        </w:rPr>
        <w:t>金融资产</w:t>
      </w:r>
      <w:r>
        <w:rPr>
          <w:rFonts w:ascii="Arial" w:hAnsi="Arial" w:cs="Arial" w:eastAsia="Arial" w:hint="default"/>
          <w:sz w:val="20"/>
          <w:szCs w:val="20"/>
        </w:rPr>
        <w:t>-</w:t>
      </w:r>
    </w:p>
    <w:p>
      <w:pPr>
        <w:spacing w:line="268" w:lineRule="exact" w:before="0"/>
        <w:ind w:left="766" w:right="-6" w:firstLine="0"/>
        <w:jc w:val="left"/>
        <w:rPr>
          <w:rFonts w:ascii="宋体" w:hAnsi="宋体" w:cs="宋体" w:eastAsia="宋体" w:hint="default"/>
          <w:sz w:val="20"/>
          <w:szCs w:val="20"/>
        </w:rPr>
      </w:pPr>
      <w:r>
        <w:rPr>
          <w:rFonts w:ascii="宋体" w:hAnsi="宋体" w:cs="宋体" w:eastAsia="宋体" w:hint="default"/>
          <w:spacing w:val="-1"/>
          <w:sz w:val="20"/>
          <w:szCs w:val="20"/>
        </w:rPr>
        <w:t>可供出售金融资产</w:t>
      </w:r>
      <w:r>
        <w:rPr>
          <w:rFonts w:ascii="Arial" w:hAnsi="Arial" w:cs="Arial" w:eastAsia="Arial" w:hint="default"/>
          <w:spacing w:val="-1"/>
          <w:sz w:val="20"/>
          <w:szCs w:val="20"/>
        </w:rPr>
        <w:t>-</w:t>
      </w:r>
      <w:r>
        <w:rPr>
          <w:rFonts w:ascii="宋体" w:hAnsi="宋体" w:cs="宋体" w:eastAsia="宋体" w:hint="default"/>
          <w:spacing w:val="-1"/>
          <w:sz w:val="20"/>
          <w:szCs w:val="20"/>
        </w:rPr>
        <w:t>可供出售</w:t>
      </w:r>
    </w:p>
    <w:p>
      <w:pPr>
        <w:tabs>
          <w:tab w:pos="2179" w:val="left" w:leader="none"/>
          <w:tab w:pos="3638" w:val="left" w:leader="none"/>
          <w:tab w:pos="5693" w:val="left" w:leader="none"/>
        </w:tabs>
        <w:spacing w:before="38"/>
        <w:ind w:left="58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第一层级</w:t>
        <w:tab/>
        <w:t>第二层级</w:t>
        <w:tab/>
        <w:t>第三层级</w:t>
        <w:tab/>
        <w:t>合计</w:t>
      </w:r>
    </w:p>
    <w:p>
      <w:pPr>
        <w:spacing w:after="0"/>
        <w:jc w:val="left"/>
        <w:rPr>
          <w:rFonts w:ascii="宋体" w:hAnsi="宋体" w:cs="宋体" w:eastAsia="宋体" w:hint="default"/>
          <w:sz w:val="20"/>
          <w:szCs w:val="20"/>
        </w:rPr>
        <w:sectPr>
          <w:type w:val="continuous"/>
          <w:pgSz w:w="11900" w:h="16840"/>
          <w:pgMar w:top="1600" w:bottom="280" w:left="1440" w:right="800"/>
          <w:cols w:num="2" w:equalWidth="0">
            <w:col w:w="3234" w:space="61"/>
            <w:col w:w="6365"/>
          </w:cols>
        </w:sectPr>
      </w:pPr>
    </w:p>
    <w:p>
      <w:pPr>
        <w:tabs>
          <w:tab w:pos="3403" w:val="left" w:leader="none"/>
          <w:tab w:pos="6208" w:val="left" w:leader="none"/>
          <w:tab w:pos="7666" w:val="left" w:leader="none"/>
          <w:tab w:pos="8109" w:val="left" w:leader="none"/>
        </w:tabs>
        <w:spacing w:line="271" w:lineRule="exact" w:before="0"/>
        <w:ind w:left="974" w:right="91" w:firstLine="0"/>
        <w:jc w:val="left"/>
        <w:rPr>
          <w:rFonts w:ascii="Arial" w:hAnsi="Arial" w:cs="Arial" w:eastAsia="Arial" w:hint="default"/>
          <w:sz w:val="20"/>
          <w:szCs w:val="20"/>
        </w:rPr>
      </w:pPr>
      <w:r>
        <w:rPr>
          <w:rFonts w:ascii="宋体" w:hAnsi="宋体" w:cs="宋体" w:eastAsia="宋体" w:hint="default"/>
          <w:position w:val="1"/>
          <w:sz w:val="20"/>
          <w:szCs w:val="20"/>
        </w:rPr>
        <w:t>权益工具</w:t>
        <w:tab/>
      </w:r>
      <w:r>
        <w:rPr>
          <w:rFonts w:ascii="Arial" w:hAnsi="Arial" w:cs="Arial" w:eastAsia="Arial" w:hint="default"/>
          <w:spacing w:val="-2"/>
          <w:sz w:val="20"/>
          <w:szCs w:val="20"/>
        </w:rPr>
        <w:t>6,213,538,603</w:t>
        <w:tab/>
      </w:r>
      <w:r>
        <w:rPr>
          <w:rFonts w:ascii="Arial" w:hAnsi="Arial" w:cs="Arial" w:eastAsia="Arial" w:hint="default"/>
          <w:sz w:val="20"/>
          <w:szCs w:val="20"/>
        </w:rPr>
        <w:t>-</w:t>
        <w:tab/>
        <w:t>-</w:t>
        <w:tab/>
      </w:r>
      <w:r>
        <w:rPr>
          <w:rFonts w:ascii="Arial" w:hAnsi="Arial" w:cs="Arial" w:eastAsia="Arial" w:hint="default"/>
          <w:spacing w:val="-2"/>
          <w:sz w:val="20"/>
          <w:szCs w:val="20"/>
        </w:rPr>
        <w:t>6,213,538,603</w:t>
      </w:r>
    </w:p>
    <w:p>
      <w:pPr>
        <w:spacing w:line="43" w:lineRule="exact"/>
        <w:ind w:left="3220" w:right="0" w:firstLine="0"/>
        <w:rPr>
          <w:rFonts w:ascii="Arial" w:hAnsi="Arial" w:cs="Arial" w:eastAsia="Arial" w:hint="default"/>
          <w:sz w:val="4"/>
          <w:szCs w:val="4"/>
        </w:rPr>
      </w:pPr>
      <w:r>
        <w:rPr>
          <w:rFonts w:ascii="Arial"/>
          <w:position w:val="0"/>
          <w:sz w:val="4"/>
        </w:rPr>
        <w:pict>
          <v:group style="width:77.05pt;height:2.2pt;mso-position-horizontal-relative:char;mso-position-vertical-relative:line" coordorigin="0,0" coordsize="1541,44">
            <v:group style="position:absolute;left:7;top:36;width:1527;height:2" coordorigin="7,36" coordsize="1527,2">
              <v:shape style="position:absolute;left:7;top:36;width:1527;height:2" coordorigin="7,36" coordsize="1527,0" path="m7,36l1534,36e" filled="false" stroked="true" strokeweight=".71999pt" strokecolor="#000000">
                <v:path arrowok="t"/>
              </v:shape>
            </v:group>
            <v:group style="position:absolute;left:7;top:7;width:1527;height:2" coordorigin="7,7" coordsize="1527,2">
              <v:shape style="position:absolute;left:7;top:7;width:1527;height:2" coordorigin="7,7" coordsize="1527,0" path="m7,7l1534,7e" filled="false" stroked="true" strokeweight=".72pt" strokecolor="#000000">
                <v:path arrowok="t"/>
              </v:shape>
            </v:group>
          </v:group>
        </w:pict>
      </w:r>
      <w:r>
        <w:rPr>
          <w:rFonts w:ascii="Arial"/>
          <w:position w:val="0"/>
          <w:sz w:val="4"/>
        </w:rPr>
      </w:r>
      <w:r>
        <w:rPr>
          <w:rFonts w:ascii="Times New Roman"/>
          <w:spacing w:val="64"/>
          <w:position w:val="0"/>
          <w:sz w:val="4"/>
        </w:rPr>
        <w:t> </w:t>
      </w:r>
      <w:r>
        <w:rPr>
          <w:rFonts w:ascii="Arial"/>
          <w:spacing w:val="64"/>
          <w:position w:val="0"/>
          <w:sz w:val="4"/>
        </w:rPr>
        <w:pict>
          <v:group style="width:76.150pt;height:2.2pt;mso-position-horizontal-relative:char;mso-position-vertical-relative:line" coordorigin="0,0" coordsize="1523,44">
            <v:group style="position:absolute;left:7;top:36;width:1509;height:2" coordorigin="7,36" coordsize="1509,2">
              <v:shape style="position:absolute;left:7;top:36;width:1509;height:2" coordorigin="7,36" coordsize="1509,0" path="m7,36l1516,36e" filled="false" stroked="true" strokeweight=".71999pt" strokecolor="#000000">
                <v:path arrowok="t"/>
              </v:shape>
            </v:group>
            <v:group style="position:absolute;left:7;top:7;width:1509;height:2" coordorigin="7,7" coordsize="1509,2">
              <v:shape style="position:absolute;left:7;top:7;width:1509;height:2" coordorigin="7,7" coordsize="1509,0" path="m7,7l1516,7e" filled="false" stroked="true" strokeweight=".72pt" strokecolor="#000000">
                <v:path arrowok="t"/>
              </v:shape>
            </v:group>
          </v:group>
        </w:pict>
      </w:r>
      <w:r>
        <w:rPr>
          <w:rFonts w:ascii="Arial"/>
          <w:spacing w:val="64"/>
          <w:position w:val="0"/>
          <w:sz w:val="4"/>
        </w:rPr>
      </w:r>
      <w:r>
        <w:rPr>
          <w:rFonts w:ascii="Times New Roman"/>
          <w:spacing w:val="64"/>
          <w:position w:val="0"/>
          <w:sz w:val="4"/>
        </w:rPr>
        <w:t> </w:t>
      </w:r>
      <w:r>
        <w:rPr>
          <w:rFonts w:ascii="Arial"/>
          <w:spacing w:val="64"/>
          <w:position w:val="0"/>
          <w:sz w:val="4"/>
        </w:rPr>
        <w:pict>
          <v:group style="width:151.3pt;height:2.2pt;mso-position-horizontal-relative:char;mso-position-vertical-relative:line" coordorigin="0,0" coordsize="3026,44">
            <v:group style="position:absolute;left:7;top:36;width:1347;height:2" coordorigin="7,36" coordsize="1347,2">
              <v:shape style="position:absolute;left:7;top:36;width:1347;height:2" coordorigin="7,36" coordsize="1347,0" path="m7,36l1354,36e" filled="false" stroked="true" strokeweight=".71999pt" strokecolor="#000000">
                <v:path arrowok="t"/>
              </v:shape>
            </v:group>
            <v:group style="position:absolute;left:7;top:7;width:1347;height:2" coordorigin="7,7" coordsize="1347,2">
              <v:shape style="position:absolute;left:7;top:7;width:1347;height:2" coordorigin="7,7" coordsize="1347,0" path="m7,7l1354,7e" filled="false" stroked="true" strokeweight=".72pt" strokecolor="#000000">
                <v:path arrowok="t"/>
              </v:shape>
            </v:group>
            <v:group style="position:absolute;left:1429;top:36;width:1589;height:2" coordorigin="1429,36" coordsize="1589,2">
              <v:shape style="position:absolute;left:1429;top:36;width:1589;height:2" coordorigin="1429,36" coordsize="1589,0" path="m1429,36l3018,36e" filled="false" stroked="true" strokeweight=".71999pt" strokecolor="#000000">
                <v:path arrowok="t"/>
              </v:shape>
            </v:group>
            <v:group style="position:absolute;left:1429;top:7;width:1589;height:2" coordorigin="1429,7" coordsize="1589,2">
              <v:shape style="position:absolute;left:1429;top:7;width:1589;height:2" coordorigin="1429,7" coordsize="1589,0" path="m1429,7l3018,7e" filled="false" stroked="true" strokeweight=".72pt" strokecolor="#000000">
                <v:path arrowok="t"/>
              </v:shape>
            </v:group>
          </v:group>
        </w:pict>
      </w:r>
      <w:r>
        <w:rPr>
          <w:rFonts w:ascii="Arial"/>
          <w:spacing w:val="64"/>
          <w:position w:val="0"/>
          <w:sz w:val="4"/>
        </w:rPr>
      </w:r>
    </w:p>
    <w:p>
      <w:pPr>
        <w:spacing w:line="240" w:lineRule="auto" w:before="6"/>
        <w:rPr>
          <w:rFonts w:ascii="Arial" w:hAnsi="Arial" w:cs="Arial" w:eastAsia="Arial" w:hint="default"/>
          <w:sz w:val="16"/>
          <w:szCs w:val="16"/>
        </w:rPr>
      </w:pPr>
    </w:p>
    <w:p>
      <w:pPr>
        <w:pStyle w:val="BodyText"/>
        <w:spacing w:line="240" w:lineRule="auto" w:before="31"/>
        <w:ind w:left="568" w:right="91"/>
        <w:jc w:val="left"/>
      </w:pPr>
      <w:r>
        <w:rPr/>
        <w:t>于</w:t>
      </w:r>
      <w:r>
        <w:rPr>
          <w:spacing w:val="-57"/>
        </w:rPr>
        <w:t> </w:t>
      </w:r>
      <w:r>
        <w:rPr>
          <w:rFonts w:ascii="Arial" w:hAnsi="Arial" w:cs="Arial" w:eastAsia="Arial" w:hint="default"/>
        </w:rPr>
        <w:t>2011</w:t>
      </w:r>
      <w:r>
        <w:rPr>
          <w:rFonts w:ascii="Arial" w:hAnsi="Arial" w:cs="Arial" w:eastAsia="Arial" w:hint="default"/>
          <w:spacing w:val="-8"/>
        </w:rPr>
        <w:t> </w:t>
      </w:r>
      <w:r>
        <w:rPr/>
        <w:t>年度以及</w:t>
      </w:r>
      <w:r>
        <w:rPr>
          <w:spacing w:val="-57"/>
        </w:rPr>
        <w:t> </w:t>
      </w:r>
      <w:r>
        <w:rPr>
          <w:rFonts w:ascii="Arial" w:hAnsi="Arial" w:cs="Arial" w:eastAsia="Arial" w:hint="default"/>
        </w:rPr>
        <w:t>2010</w:t>
      </w:r>
      <w:r>
        <w:rPr>
          <w:rFonts w:ascii="Arial" w:hAnsi="Arial" w:cs="Arial" w:eastAsia="Arial" w:hint="default"/>
          <w:spacing w:val="-8"/>
        </w:rPr>
        <w:t> </w:t>
      </w:r>
      <w:r>
        <w:rPr/>
        <w:t>年度，无金融资产在第一层级和第二层级之间转移。</w:t>
      </w:r>
    </w:p>
    <w:p>
      <w:pPr>
        <w:spacing w:after="0" w:line="240" w:lineRule="auto"/>
        <w:jc w:val="left"/>
        <w:sectPr>
          <w:type w:val="continuous"/>
          <w:pgSz w:w="11900" w:h="16840"/>
          <w:pgMar w:top="1600" w:bottom="280" w:left="1440" w:right="800"/>
        </w:sectPr>
      </w:pPr>
    </w:p>
    <w:p>
      <w:pPr>
        <w:spacing w:line="240" w:lineRule="auto" w:before="6"/>
        <w:rPr>
          <w:rFonts w:ascii="宋体" w:hAnsi="宋体" w:cs="宋体" w:eastAsia="宋体" w:hint="default"/>
          <w:sz w:val="14"/>
          <w:szCs w:val="14"/>
        </w:rPr>
      </w:pPr>
    </w:p>
    <w:p>
      <w:pPr>
        <w:pStyle w:val="BodyText"/>
        <w:spacing w:line="240" w:lineRule="auto" w:before="31"/>
        <w:ind w:left="118" w:right="91"/>
        <w:jc w:val="left"/>
      </w:pPr>
      <w:r>
        <w:rPr>
          <w:rFonts w:ascii="Arial" w:hAnsi="Arial" w:cs="Arial" w:eastAsia="Arial" w:hint="default"/>
        </w:rPr>
        <w:t>1</w:t>
      </w:r>
      <w:r>
        <w:rPr/>
        <w:t>、</w:t>
      </w:r>
      <w:r>
        <w:rPr>
          <w:spacing w:val="14"/>
        </w:rPr>
        <w:t> </w:t>
      </w:r>
      <w:r>
        <w:rPr/>
        <w:t>营业税</w:t>
      </w:r>
    </w:p>
    <w:p>
      <w:pPr>
        <w:spacing w:line="240" w:lineRule="auto" w:before="4"/>
        <w:rPr>
          <w:rFonts w:ascii="宋体" w:hAnsi="宋体" w:cs="宋体" w:eastAsia="宋体" w:hint="default"/>
          <w:sz w:val="18"/>
          <w:szCs w:val="18"/>
        </w:rPr>
      </w:pPr>
    </w:p>
    <w:p>
      <w:pPr>
        <w:pStyle w:val="BodyText"/>
        <w:spacing w:line="232" w:lineRule="auto"/>
        <w:ind w:left="595" w:right="108"/>
        <w:jc w:val="left"/>
      </w:pPr>
      <w:r>
        <w:rPr/>
        <w:t>根据《中华人民共和国营业税暂行条例》的规定，本公司所属中国境内各个子公司（见附注</w:t>
      </w:r>
      <w:r>
        <w:rPr>
          <w:spacing w:val="-80"/>
        </w:rPr>
        <w:t> </w:t>
      </w:r>
      <w:r>
        <w:rPr>
          <w:spacing w:val="-80"/>
        </w:rPr>
      </w:r>
      <w:r>
        <w:rPr/>
        <w:t>四），包括联通运营公司、联通信息导航有限公司（“联通信息导航”，原名为联通新国信</w:t>
      </w:r>
      <w:r>
        <w:rPr>
          <w:spacing w:val="-80"/>
        </w:rPr>
        <w:t> </w:t>
      </w:r>
      <w:r>
        <w:rPr>
          <w:spacing w:val="-80"/>
        </w:rPr>
      </w:r>
      <w:r>
        <w:rPr>
          <w:spacing w:val="-7"/>
        </w:rPr>
        <w:t>通信有限公司（“联通新国信”），于</w:t>
      </w:r>
      <w:r>
        <w:rPr>
          <w:spacing w:val="-55"/>
        </w:rPr>
        <w:t> </w:t>
      </w:r>
      <w:r>
        <w:rPr>
          <w:rFonts w:ascii="Arial" w:hAnsi="Arial" w:cs="Arial" w:eastAsia="Arial" w:hint="default"/>
        </w:rPr>
        <w:t>2011</w:t>
      </w:r>
      <w:r>
        <w:rPr>
          <w:rFonts w:ascii="Arial" w:hAnsi="Arial" w:cs="Arial" w:eastAsia="Arial" w:hint="default"/>
          <w:spacing w:val="-6"/>
        </w:rPr>
        <w:t> </w:t>
      </w:r>
      <w:r>
        <w:rPr/>
        <w:t>年</w:t>
      </w:r>
      <w:r>
        <w:rPr>
          <w:spacing w:val="-55"/>
        </w:rPr>
        <w:t> </w:t>
      </w:r>
      <w:r>
        <w:rPr>
          <w:rFonts w:ascii="Arial" w:hAnsi="Arial" w:cs="Arial" w:eastAsia="Arial" w:hint="default"/>
        </w:rPr>
        <w:t>4</w:t>
      </w:r>
      <w:r>
        <w:rPr>
          <w:rFonts w:ascii="Arial" w:hAnsi="Arial" w:cs="Arial" w:eastAsia="Arial" w:hint="default"/>
          <w:spacing w:val="-6"/>
        </w:rPr>
        <w:t> </w:t>
      </w:r>
      <w:r>
        <w:rPr/>
        <w:t>月</w:t>
      </w:r>
      <w:r>
        <w:rPr>
          <w:spacing w:val="-55"/>
        </w:rPr>
        <w:t> </w:t>
      </w:r>
      <w:r>
        <w:rPr>
          <w:rFonts w:ascii="Arial" w:hAnsi="Arial" w:cs="Arial" w:eastAsia="Arial" w:hint="default"/>
        </w:rPr>
        <w:t>22</w:t>
      </w:r>
      <w:r>
        <w:rPr>
          <w:rFonts w:ascii="Arial" w:hAnsi="Arial" w:cs="Arial" w:eastAsia="Arial" w:hint="default"/>
          <w:spacing w:val="-6"/>
        </w:rPr>
        <w:t> </w:t>
      </w:r>
      <w:r>
        <w:rPr>
          <w:spacing w:val="-3"/>
        </w:rPr>
        <w:t>日进行了公司名称变更）、宽带在线、</w:t>
      </w:r>
      <w:r>
        <w:rPr>
          <w:w w:val="99"/>
        </w:rPr>
        <w:t> </w:t>
      </w:r>
      <w:r>
        <w:rPr>
          <w:spacing w:val="7"/>
        </w:rPr>
        <w:t>联通新时讯等对其提供电信服务的收入以及随同电信服务收入一并收取的销售手机识别卡</w:t>
      </w:r>
      <w:r>
        <w:rPr/>
      </w:r>
    </w:p>
    <w:p>
      <w:pPr>
        <w:pStyle w:val="BodyText"/>
        <w:spacing w:line="286" w:lineRule="exact" w:before="26"/>
        <w:ind w:left="595" w:right="223"/>
        <w:jc w:val="both"/>
      </w:pPr>
      <w:r>
        <w:rPr/>
        <w:t>（</w:t>
      </w:r>
      <w:r>
        <w:rPr>
          <w:rFonts w:ascii="Arial" w:hAnsi="Arial" w:cs="Arial" w:eastAsia="Arial" w:hint="default"/>
        </w:rPr>
        <w:t>SIM </w:t>
      </w:r>
      <w:r>
        <w:rPr/>
        <w:t>卡及 </w:t>
      </w:r>
      <w:r>
        <w:rPr>
          <w:rFonts w:ascii="Arial" w:hAnsi="Arial" w:cs="Arial" w:eastAsia="Arial" w:hint="default"/>
        </w:rPr>
        <w:t>USIM </w:t>
      </w:r>
      <w:r>
        <w:rPr/>
        <w:t>卡等）、手机等电信产品的收入均按</w:t>
      </w:r>
      <w:r>
        <w:rPr>
          <w:spacing w:val="-28"/>
        </w:rPr>
        <w:t> </w:t>
      </w:r>
      <w:r>
        <w:rPr>
          <w:rFonts w:ascii="Arial" w:hAnsi="Arial" w:cs="Arial" w:eastAsia="Arial" w:hint="default"/>
        </w:rPr>
        <w:t>3%</w:t>
      </w:r>
      <w:r>
        <w:rPr/>
        <w:t>的税率缴纳营业税；对于提供其</w:t>
      </w:r>
      <w:r>
        <w:rPr>
          <w:w w:val="99"/>
        </w:rPr>
        <w:t> </w:t>
      </w:r>
      <w:r>
        <w:rPr/>
        <w:t>他非电信服务的劳务或服务收入，均按</w:t>
      </w:r>
      <w:r>
        <w:rPr>
          <w:spacing w:val="-58"/>
        </w:rPr>
        <w:t> </w:t>
      </w:r>
      <w:r>
        <w:rPr>
          <w:rFonts w:ascii="Arial" w:hAnsi="Arial" w:cs="Arial" w:eastAsia="Arial" w:hint="default"/>
        </w:rPr>
        <w:t>5%</w:t>
      </w:r>
      <w:r>
        <w:rPr/>
        <w:t>的税率缴纳营业税。</w:t>
      </w:r>
    </w:p>
    <w:p>
      <w:pPr>
        <w:spacing w:line="240" w:lineRule="auto" w:before="1"/>
        <w:rPr>
          <w:rFonts w:ascii="宋体" w:hAnsi="宋体" w:cs="宋体" w:eastAsia="宋体" w:hint="default"/>
          <w:sz w:val="17"/>
          <w:szCs w:val="17"/>
        </w:rPr>
      </w:pPr>
    </w:p>
    <w:p>
      <w:pPr>
        <w:pStyle w:val="BodyText"/>
        <w:spacing w:line="403" w:lineRule="auto"/>
        <w:ind w:left="118" w:right="976" w:firstLine="476"/>
        <w:jc w:val="left"/>
      </w:pPr>
      <w:r>
        <w:rPr/>
        <w:t>本公司所属中国境内各个子公司均按实际缴纳营业税额的</w:t>
      </w:r>
      <w:r>
        <w:rPr>
          <w:spacing w:val="-58"/>
        </w:rPr>
        <w:t> </w:t>
      </w:r>
      <w:r>
        <w:rPr>
          <w:rFonts w:ascii="Arial" w:hAnsi="Arial" w:cs="Arial" w:eastAsia="Arial" w:hint="default"/>
        </w:rPr>
        <w:t>7%</w:t>
      </w:r>
      <w:r>
        <w:rPr/>
        <w:t>缴纳城市维护建设税。</w:t>
      </w:r>
      <w:r>
        <w:rPr>
          <w:w w:val="99"/>
        </w:rPr>
        <w:t> </w:t>
      </w:r>
      <w:r>
        <w:rPr>
          <w:rFonts w:ascii="Arial" w:hAnsi="Arial" w:cs="Arial" w:eastAsia="Arial" w:hint="default"/>
        </w:rPr>
        <w:t>2</w:t>
      </w:r>
      <w:r>
        <w:rPr/>
        <w:t>、</w:t>
      </w:r>
      <w:r>
        <w:rPr>
          <w:spacing w:val="41"/>
        </w:rPr>
        <w:t> </w:t>
      </w:r>
      <w:r>
        <w:rPr/>
        <w:t>增值税</w:t>
      </w:r>
    </w:p>
    <w:p>
      <w:pPr>
        <w:pStyle w:val="BodyText"/>
        <w:spacing w:line="232" w:lineRule="auto" w:before="57"/>
        <w:ind w:left="608" w:right="222"/>
        <w:jc w:val="both"/>
      </w:pPr>
      <w:r>
        <w:rPr/>
        <w:t>根据《中华人民共和国增值税暂行条例》的规定，联通运营公司子公司联通华盛通信有限公</w:t>
      </w:r>
      <w:r>
        <w:rPr>
          <w:spacing w:val="-93"/>
        </w:rPr>
        <w:t> </w:t>
      </w:r>
      <w:r>
        <w:rPr>
          <w:spacing w:val="-93"/>
        </w:rPr>
      </w:r>
      <w:r>
        <w:rPr/>
        <w:t>司（“联通华盛”）与联通兴业通信技术有限公司（“联通兴业”，原名为联通兴业科贸有</w:t>
      </w:r>
      <w:r>
        <w:rPr>
          <w:spacing w:val="-93"/>
        </w:rPr>
        <w:t> </w:t>
      </w:r>
      <w:r>
        <w:rPr>
          <w:spacing w:val="-93"/>
        </w:rPr>
      </w:r>
      <w:r>
        <w:rPr>
          <w:spacing w:val="-7"/>
        </w:rPr>
        <w:t>限公司，于</w:t>
      </w:r>
      <w:r>
        <w:rPr>
          <w:spacing w:val="-60"/>
        </w:rPr>
        <w:t> </w:t>
      </w:r>
      <w:r>
        <w:rPr>
          <w:rFonts w:ascii="Arial" w:hAnsi="Arial" w:cs="Arial" w:eastAsia="Arial" w:hint="default"/>
        </w:rPr>
        <w:t>2011</w:t>
      </w:r>
      <w:r>
        <w:rPr>
          <w:rFonts w:ascii="Arial" w:hAnsi="Arial" w:cs="Arial" w:eastAsia="Arial" w:hint="default"/>
          <w:spacing w:val="-12"/>
        </w:rPr>
        <w:t> </w:t>
      </w:r>
      <w:r>
        <w:rPr/>
        <w:t>年</w:t>
      </w:r>
      <w:r>
        <w:rPr>
          <w:spacing w:val="-61"/>
        </w:rPr>
        <w:t> </w:t>
      </w:r>
      <w:r>
        <w:rPr>
          <w:rFonts w:ascii="Arial" w:hAnsi="Arial" w:cs="Arial" w:eastAsia="Arial" w:hint="default"/>
        </w:rPr>
        <w:t>7</w:t>
      </w:r>
      <w:r>
        <w:rPr>
          <w:rFonts w:ascii="Arial" w:hAnsi="Arial" w:cs="Arial" w:eastAsia="Arial" w:hint="default"/>
          <w:spacing w:val="-12"/>
        </w:rPr>
        <w:t> </w:t>
      </w:r>
      <w:r>
        <w:rPr/>
        <w:t>月</w:t>
      </w:r>
      <w:r>
        <w:rPr>
          <w:spacing w:val="-61"/>
        </w:rPr>
        <w:t> </w:t>
      </w:r>
      <w:r>
        <w:rPr>
          <w:rFonts w:ascii="Arial" w:hAnsi="Arial" w:cs="Arial" w:eastAsia="Arial" w:hint="default"/>
        </w:rPr>
        <w:t>15</w:t>
      </w:r>
      <w:r>
        <w:rPr>
          <w:rFonts w:ascii="Arial" w:hAnsi="Arial" w:cs="Arial" w:eastAsia="Arial" w:hint="default"/>
          <w:spacing w:val="-12"/>
        </w:rPr>
        <w:t> </w:t>
      </w:r>
      <w:r>
        <w:rPr/>
        <w:t>日进行了公司名称变更）的通信终端或通信配件销售和维修业务</w:t>
      </w:r>
      <w:r>
        <w:rPr>
          <w:w w:val="99"/>
        </w:rPr>
        <w:t> </w:t>
      </w:r>
      <w:r>
        <w:rPr/>
        <w:t>及联通系统集成有限公司（“系统集成公司”）的信息与通信技术业务中对第三方产品销售</w:t>
      </w:r>
      <w:r>
        <w:rPr>
          <w:spacing w:val="-93"/>
        </w:rPr>
        <w:t> </w:t>
      </w:r>
      <w:r>
        <w:rPr>
          <w:spacing w:val="-93"/>
        </w:rPr>
      </w:r>
      <w:r>
        <w:rPr/>
        <w:t>的业务适用增值税，税率为</w:t>
      </w:r>
      <w:r>
        <w:rPr>
          <w:spacing w:val="-85"/>
        </w:rPr>
        <w:t> </w:t>
      </w:r>
      <w:r>
        <w:rPr>
          <w:rFonts w:ascii="Arial" w:hAnsi="Arial" w:cs="Arial" w:eastAsia="Arial" w:hint="default"/>
        </w:rPr>
        <w:t>17%</w:t>
      </w:r>
      <w:r>
        <w:rPr/>
        <w:t>。其购买商品、运费等支付的增值税进项税额可以按相关规</w:t>
      </w:r>
      <w:r>
        <w:rPr>
          <w:w w:val="99"/>
        </w:rPr>
        <w:t> </w:t>
      </w:r>
      <w:r>
        <w:rPr/>
        <w:t>定抵扣销项税额。增值税应纳税额为当期销项税额抵减当期可以抵扣的进项税额后的余额。</w:t>
      </w:r>
    </w:p>
    <w:p>
      <w:pPr>
        <w:spacing w:line="240" w:lineRule="auto" w:before="3"/>
        <w:rPr>
          <w:rFonts w:ascii="宋体" w:hAnsi="宋体" w:cs="宋体" w:eastAsia="宋体" w:hint="default"/>
          <w:sz w:val="19"/>
          <w:szCs w:val="19"/>
        </w:rPr>
      </w:pPr>
    </w:p>
    <w:p>
      <w:pPr>
        <w:pStyle w:val="BodyText"/>
        <w:spacing w:line="403" w:lineRule="auto"/>
        <w:ind w:left="118" w:right="963" w:firstLine="489"/>
        <w:jc w:val="left"/>
      </w:pPr>
      <w:r>
        <w:rPr/>
        <w:t>本公司所属中国境内各个子公司均按实际缴纳增值税额的</w:t>
      </w:r>
      <w:r>
        <w:rPr>
          <w:spacing w:val="-58"/>
        </w:rPr>
        <w:t> </w:t>
      </w:r>
      <w:r>
        <w:rPr>
          <w:rFonts w:ascii="Arial" w:hAnsi="Arial" w:cs="Arial" w:eastAsia="Arial" w:hint="default"/>
        </w:rPr>
        <w:t>7%</w:t>
      </w:r>
      <w:r>
        <w:rPr/>
        <w:t>缴纳城市维护建设税。</w:t>
      </w:r>
      <w:r>
        <w:rPr>
          <w:w w:val="99"/>
        </w:rPr>
        <w:t> </w:t>
      </w:r>
      <w:r>
        <w:rPr>
          <w:rFonts w:ascii="Arial" w:hAnsi="Arial" w:cs="Arial" w:eastAsia="Arial" w:hint="default"/>
        </w:rPr>
        <w:t>3</w:t>
      </w:r>
      <w:r>
        <w:rPr/>
        <w:t>、</w:t>
      </w:r>
      <w:r>
        <w:rPr>
          <w:spacing w:val="41"/>
        </w:rPr>
        <w:t> </w:t>
      </w:r>
      <w:r>
        <w:rPr/>
        <w:t>企业所得税</w:t>
      </w:r>
    </w:p>
    <w:p>
      <w:pPr>
        <w:pStyle w:val="BodyText"/>
        <w:tabs>
          <w:tab w:pos="596" w:val="left" w:leader="none"/>
        </w:tabs>
        <w:spacing w:line="240" w:lineRule="auto" w:before="51"/>
        <w:ind w:left="118" w:right="91"/>
        <w:jc w:val="left"/>
      </w:pPr>
      <w:r>
        <w:rPr>
          <w:rFonts w:ascii="Arial" w:hAnsi="Arial" w:cs="Arial" w:eastAsia="Arial" w:hint="default"/>
          <w:w w:val="95"/>
        </w:rPr>
        <w:t>(a)</w:t>
        <w:tab/>
      </w:r>
      <w:r>
        <w:rPr/>
        <w:t>本公司企业所得税</w:t>
      </w:r>
    </w:p>
    <w:p>
      <w:pPr>
        <w:spacing w:line="240" w:lineRule="auto" w:before="2"/>
        <w:rPr>
          <w:rFonts w:ascii="宋体" w:hAnsi="宋体" w:cs="宋体" w:eastAsia="宋体" w:hint="default"/>
          <w:sz w:val="20"/>
          <w:szCs w:val="20"/>
        </w:rPr>
      </w:pPr>
    </w:p>
    <w:p>
      <w:pPr>
        <w:pStyle w:val="BodyText"/>
        <w:spacing w:line="286" w:lineRule="exact"/>
        <w:ind w:left="608" w:right="104" w:hanging="1"/>
        <w:jc w:val="left"/>
      </w:pPr>
      <w:r>
        <w:rPr>
          <w:spacing w:val="-9"/>
          <w:w w:val="99"/>
        </w:rPr>
        <w:t>根据《中华人民共和国企业所得税法》（“所得税法”），本公司适用的企业所得税率为</w:t>
      </w:r>
      <w:r>
        <w:rPr>
          <w:spacing w:val="-54"/>
          <w:w w:val="99"/>
        </w:rPr>
        <w:t> </w:t>
      </w:r>
      <w:r>
        <w:rPr>
          <w:rFonts w:ascii="Arial" w:hAnsi="Arial" w:cs="Arial" w:eastAsia="Arial" w:hint="default"/>
          <w:w w:val="99"/>
        </w:rPr>
        <w:t>25%</w:t>
      </w:r>
      <w:r>
        <w:rPr>
          <w:w w:val="99"/>
        </w:rPr>
        <w:t>。</w:t>
      </w:r>
      <w:r>
        <w:rPr>
          <w:w w:val="99"/>
        </w:rPr>
        <w:t> </w:t>
      </w:r>
      <w:r>
        <w:rPr/>
        <w:t>本公司按收入总额减去准予扣除项目后计算应纳税所得额。</w:t>
      </w:r>
    </w:p>
    <w:p>
      <w:pPr>
        <w:spacing w:line="240" w:lineRule="auto" w:before="1"/>
        <w:rPr>
          <w:rFonts w:ascii="宋体" w:hAnsi="宋体" w:cs="宋体" w:eastAsia="宋体" w:hint="default"/>
          <w:sz w:val="17"/>
          <w:szCs w:val="17"/>
        </w:rPr>
      </w:pPr>
    </w:p>
    <w:p>
      <w:pPr>
        <w:pStyle w:val="BodyText"/>
        <w:tabs>
          <w:tab w:pos="596" w:val="left" w:leader="none"/>
        </w:tabs>
        <w:spacing w:line="240" w:lineRule="auto"/>
        <w:ind w:left="118" w:right="91"/>
        <w:jc w:val="left"/>
      </w:pPr>
      <w:r>
        <w:rPr>
          <w:rFonts w:ascii="Arial" w:hAnsi="Arial" w:cs="Arial" w:eastAsia="Arial" w:hint="default"/>
          <w:w w:val="95"/>
        </w:rPr>
        <w:t>(b)</w:t>
        <w:tab/>
      </w:r>
      <w:r>
        <w:rPr/>
        <w:t>联通运营公司企业所得税</w:t>
      </w:r>
    </w:p>
    <w:p>
      <w:pPr>
        <w:spacing w:line="240" w:lineRule="auto" w:before="10"/>
        <w:rPr>
          <w:rFonts w:ascii="宋体" w:hAnsi="宋体" w:cs="宋体" w:eastAsia="宋体" w:hint="default"/>
          <w:sz w:val="18"/>
          <w:szCs w:val="18"/>
        </w:rPr>
      </w:pPr>
    </w:p>
    <w:p>
      <w:pPr>
        <w:pStyle w:val="BodyText"/>
        <w:spacing w:line="230" w:lineRule="auto"/>
        <w:ind w:left="608" w:right="223" w:hanging="1"/>
        <w:jc w:val="both"/>
      </w:pPr>
      <w:r>
        <w:rPr/>
        <w:t>本公司境内子公司联通运营公司自</w:t>
      </w:r>
      <w:r>
        <w:rPr>
          <w:spacing w:val="-46"/>
        </w:rPr>
        <w:t> </w:t>
      </w:r>
      <w:r>
        <w:rPr>
          <w:rFonts w:ascii="Arial" w:hAnsi="Arial" w:cs="Arial" w:eastAsia="Arial" w:hint="default"/>
        </w:rPr>
        <w:t>2008</w:t>
      </w:r>
      <w:r>
        <w:rPr>
          <w:rFonts w:ascii="Arial" w:hAnsi="Arial" w:cs="Arial" w:eastAsia="Arial" w:hint="default"/>
          <w:spacing w:val="3"/>
        </w:rPr>
        <w:t> </w:t>
      </w:r>
      <w:r>
        <w:rPr/>
        <w:t>年</w:t>
      </w:r>
      <w:r>
        <w:rPr>
          <w:spacing w:val="-47"/>
        </w:rPr>
        <w:t> </w:t>
      </w:r>
      <w:r>
        <w:rPr>
          <w:rFonts w:ascii="Arial" w:hAnsi="Arial" w:cs="Arial" w:eastAsia="Arial" w:hint="default"/>
        </w:rPr>
        <w:t>1</w:t>
      </w:r>
      <w:r>
        <w:rPr>
          <w:rFonts w:ascii="Arial" w:hAnsi="Arial" w:cs="Arial" w:eastAsia="Arial" w:hint="default"/>
          <w:spacing w:val="4"/>
        </w:rPr>
        <w:t> </w:t>
      </w:r>
      <w:r>
        <w:rPr/>
        <w:t>月</w:t>
      </w:r>
      <w:r>
        <w:rPr>
          <w:spacing w:val="-47"/>
        </w:rPr>
        <w:t> </w:t>
      </w:r>
      <w:r>
        <w:rPr>
          <w:rFonts w:ascii="Arial" w:hAnsi="Arial" w:cs="Arial" w:eastAsia="Arial" w:hint="default"/>
        </w:rPr>
        <w:t>1</w:t>
      </w:r>
      <w:r>
        <w:rPr>
          <w:rFonts w:ascii="Arial" w:hAnsi="Arial" w:cs="Arial" w:eastAsia="Arial" w:hint="default"/>
          <w:spacing w:val="3"/>
        </w:rPr>
        <w:t> </w:t>
      </w:r>
      <w:r>
        <w:rPr/>
        <w:t>日起按照所得税法及其实施细则的有关规</w:t>
      </w:r>
      <w:r>
        <w:rPr>
          <w:w w:val="99"/>
        </w:rPr>
        <w:t> </w:t>
      </w:r>
      <w:r>
        <w:rPr/>
        <w:t>定，对其所属各省、市、区分公司分别按所在地适用的所得税税率计算及预缴所得税，并在</w:t>
      </w:r>
      <w:r>
        <w:rPr>
          <w:spacing w:val="-94"/>
        </w:rPr>
        <w:t> </w:t>
      </w:r>
      <w:r>
        <w:rPr>
          <w:spacing w:val="-94"/>
        </w:rPr>
      </w:r>
      <w:r>
        <w:rPr/>
        <w:t>北京于每财年结束后汇算清缴所得税。</w:t>
      </w:r>
    </w:p>
    <w:p>
      <w:pPr>
        <w:spacing w:after="0" w:line="230" w:lineRule="auto"/>
        <w:jc w:val="both"/>
        <w:sectPr>
          <w:headerReference w:type="default" r:id="rId69"/>
          <w:pgSz w:w="11900" w:h="16840"/>
          <w:pgMar w:header="967" w:footer="600" w:top="2820" w:bottom="780" w:left="1440" w:right="800"/>
        </w:sectPr>
      </w:pPr>
    </w:p>
    <w:p>
      <w:pPr>
        <w:spacing w:line="240" w:lineRule="auto" w:before="8"/>
        <w:rPr>
          <w:rFonts w:ascii="宋体" w:hAnsi="宋体" w:cs="宋体" w:eastAsia="宋体" w:hint="default"/>
          <w:sz w:val="13"/>
          <w:szCs w:val="13"/>
        </w:rPr>
      </w:pPr>
    </w:p>
    <w:p>
      <w:pPr>
        <w:pStyle w:val="BodyText"/>
        <w:spacing w:line="424" w:lineRule="auto" w:before="31"/>
        <w:ind w:left="569" w:right="3671" w:hanging="424"/>
        <w:jc w:val="left"/>
      </w:pPr>
      <w:r>
        <w:rPr>
          <w:rFonts w:ascii="Arial" w:hAnsi="Arial" w:cs="Arial" w:eastAsia="Arial" w:hint="default"/>
        </w:rPr>
        <w:t>(b)</w:t>
      </w:r>
      <w:r>
        <w:rPr>
          <w:rFonts w:ascii="Arial" w:hAnsi="Arial" w:cs="Arial" w:eastAsia="Arial" w:hint="default"/>
          <w:spacing w:val="32"/>
        </w:rPr>
        <w:t> </w:t>
      </w:r>
      <w:r>
        <w:rPr/>
        <w:t>联通运营公司企业所得税（续）</w:t>
      </w:r>
      <w:r>
        <w:rPr>
          <w:w w:val="99"/>
        </w:rPr>
        <w:t> </w:t>
      </w:r>
      <w:r>
        <w:rPr/>
        <w:t>联通运营公司部分分公司于所得税法下的税收优惠政策：</w:t>
      </w:r>
    </w:p>
    <w:p>
      <w:pPr>
        <w:spacing w:line="240" w:lineRule="auto" w:before="7"/>
        <w:rPr>
          <w:rFonts w:ascii="宋体" w:hAnsi="宋体" w:cs="宋体" w:eastAsia="宋体" w:hint="default"/>
          <w:sz w:val="3"/>
          <w:szCs w:val="3"/>
        </w:rPr>
      </w:pPr>
    </w:p>
    <w:tbl>
      <w:tblPr>
        <w:tblW w:w="0" w:type="auto"/>
        <w:jc w:val="left"/>
        <w:tblInd w:w="470" w:type="dxa"/>
        <w:tblLayout w:type="fixed"/>
        <w:tblCellMar>
          <w:top w:w="0" w:type="dxa"/>
          <w:left w:w="0" w:type="dxa"/>
          <w:bottom w:w="0" w:type="dxa"/>
          <w:right w:w="0" w:type="dxa"/>
        </w:tblCellMar>
        <w:tblLook w:val="01E0"/>
      </w:tblPr>
      <w:tblGrid>
        <w:gridCol w:w="112"/>
        <w:gridCol w:w="1400"/>
        <w:gridCol w:w="322"/>
        <w:gridCol w:w="236"/>
        <w:gridCol w:w="1126"/>
        <w:gridCol w:w="810"/>
        <w:gridCol w:w="270"/>
        <w:gridCol w:w="2142"/>
        <w:gridCol w:w="242"/>
        <w:gridCol w:w="2520"/>
      </w:tblGrid>
      <w:tr>
        <w:trPr>
          <w:trHeight w:val="338" w:hRule="exact"/>
        </w:trPr>
        <w:tc>
          <w:tcPr>
            <w:tcW w:w="112" w:type="dxa"/>
            <w:vMerge w:val="restart"/>
            <w:tcBorders>
              <w:top w:val="nil" w:sz="6" w:space="0" w:color="auto"/>
              <w:left w:val="nil" w:sz="6" w:space="0" w:color="auto"/>
              <w:right w:val="nil" w:sz="6" w:space="0" w:color="auto"/>
            </w:tcBorders>
          </w:tcPr>
          <w:p>
            <w:pPr/>
          </w:p>
        </w:tc>
        <w:tc>
          <w:tcPr>
            <w:tcW w:w="1400"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0"/>
              <w:jc w:val="left"/>
              <w:rPr>
                <w:rFonts w:ascii="宋体" w:hAnsi="宋体" w:cs="宋体" w:eastAsia="宋体" w:hint="default"/>
                <w:sz w:val="20"/>
                <w:szCs w:val="20"/>
              </w:rPr>
            </w:pPr>
            <w:r>
              <w:rPr>
                <w:rFonts w:ascii="宋体" w:hAnsi="宋体" w:cs="宋体" w:eastAsia="宋体" w:hint="default"/>
                <w:sz w:val="20"/>
                <w:szCs w:val="20"/>
              </w:rPr>
              <w:t>分公司名称</w:t>
            </w:r>
          </w:p>
        </w:tc>
        <w:tc>
          <w:tcPr>
            <w:tcW w:w="322" w:type="dxa"/>
            <w:tcBorders>
              <w:top w:val="nil" w:sz="6" w:space="0" w:color="auto"/>
              <w:left w:val="nil" w:sz="6" w:space="0" w:color="auto"/>
              <w:bottom w:val="single" w:sz="6"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713" w:right="0"/>
              <w:jc w:val="left"/>
              <w:rPr>
                <w:rFonts w:ascii="宋体" w:hAnsi="宋体" w:cs="宋体" w:eastAsia="宋体" w:hint="default"/>
                <w:sz w:val="20"/>
                <w:szCs w:val="20"/>
              </w:rPr>
            </w:pPr>
            <w:r>
              <w:rPr>
                <w:rFonts w:ascii="宋体" w:hAnsi="宋体" w:cs="宋体" w:eastAsia="宋体" w:hint="default"/>
                <w:sz w:val="20"/>
                <w:szCs w:val="20"/>
              </w:rPr>
              <w:t>税率</w:t>
            </w:r>
          </w:p>
        </w:tc>
        <w:tc>
          <w:tcPr>
            <w:tcW w:w="810" w:type="dxa"/>
            <w:tcBorders>
              <w:top w:val="nil" w:sz="6" w:space="0" w:color="auto"/>
              <w:left w:val="nil" w:sz="6" w:space="0" w:color="auto"/>
              <w:bottom w:val="single" w:sz="6" w:space="0" w:color="000000"/>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669" w:right="0"/>
              <w:jc w:val="left"/>
              <w:rPr>
                <w:rFonts w:ascii="宋体" w:hAnsi="宋体" w:cs="宋体" w:eastAsia="宋体" w:hint="default"/>
                <w:sz w:val="20"/>
                <w:szCs w:val="20"/>
              </w:rPr>
            </w:pPr>
            <w:r>
              <w:rPr>
                <w:rFonts w:ascii="宋体" w:hAnsi="宋体" w:cs="宋体" w:eastAsia="宋体" w:hint="default"/>
                <w:sz w:val="20"/>
                <w:szCs w:val="20"/>
              </w:rPr>
              <w:t>批准单位</w:t>
            </w:r>
          </w:p>
        </w:tc>
        <w:tc>
          <w:tcPr>
            <w:tcW w:w="24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358" w:right="0"/>
              <w:jc w:val="left"/>
              <w:rPr>
                <w:rFonts w:ascii="宋体" w:hAnsi="宋体" w:cs="宋体" w:eastAsia="宋体" w:hint="default"/>
                <w:sz w:val="20"/>
                <w:szCs w:val="20"/>
              </w:rPr>
            </w:pPr>
            <w:r>
              <w:rPr>
                <w:rFonts w:ascii="宋体" w:hAnsi="宋体" w:cs="宋体" w:eastAsia="宋体" w:hint="default"/>
                <w:sz w:val="20"/>
                <w:szCs w:val="20"/>
              </w:rPr>
              <w:t>政府文件及适用期限</w:t>
            </w:r>
          </w:p>
        </w:tc>
      </w:tr>
      <w:tr>
        <w:trPr>
          <w:trHeight w:val="248" w:hRule="exact"/>
        </w:trPr>
        <w:tc>
          <w:tcPr>
            <w:tcW w:w="112" w:type="dxa"/>
            <w:vMerge/>
            <w:tcBorders>
              <w:left w:val="nil" w:sz="6" w:space="0" w:color="auto"/>
              <w:right w:val="nil" w:sz="6" w:space="0" w:color="auto"/>
            </w:tcBorders>
          </w:tcPr>
          <w:p>
            <w:pPr/>
          </w:p>
        </w:tc>
        <w:tc>
          <w:tcPr>
            <w:tcW w:w="1400" w:type="dxa"/>
            <w:tcBorders>
              <w:top w:val="single" w:sz="6" w:space="0" w:color="000000"/>
              <w:left w:val="nil" w:sz="6" w:space="0" w:color="auto"/>
              <w:bottom w:val="nil" w:sz="6" w:space="0" w:color="auto"/>
              <w:right w:val="nil" w:sz="6" w:space="0" w:color="auto"/>
            </w:tcBorders>
          </w:tcPr>
          <w:p>
            <w:pPr/>
          </w:p>
        </w:tc>
        <w:tc>
          <w:tcPr>
            <w:tcW w:w="322" w:type="dxa"/>
            <w:tcBorders>
              <w:top w:val="single" w:sz="6"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6" w:type="dxa"/>
            <w:tcBorders>
              <w:top w:val="single" w:sz="6" w:space="0" w:color="000000"/>
              <w:left w:val="nil" w:sz="6" w:space="0" w:color="auto"/>
              <w:bottom w:val="single" w:sz="6" w:space="0" w:color="000000"/>
              <w:right w:val="nil" w:sz="6" w:space="0" w:color="auto"/>
            </w:tcBorders>
          </w:tcPr>
          <w:p>
            <w:pPr>
              <w:pStyle w:val="TableParagraph"/>
              <w:spacing w:line="218" w:lineRule="exact"/>
              <w:ind w:left="9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810" w:type="dxa"/>
            <w:tcBorders>
              <w:top w:val="single" w:sz="6" w:space="0" w:color="000000"/>
              <w:left w:val="nil" w:sz="6" w:space="0" w:color="auto"/>
              <w:bottom w:val="single" w:sz="6" w:space="0" w:color="000000"/>
              <w:right w:val="nil" w:sz="6" w:space="0" w:color="auto"/>
            </w:tcBorders>
          </w:tcPr>
          <w:p>
            <w:pPr>
              <w:pStyle w:val="TableParagraph"/>
              <w:spacing w:line="218" w:lineRule="exact"/>
              <w:ind w:right="3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single" w:sz="6"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520" w:type="dxa"/>
            <w:tcBorders>
              <w:top w:val="single" w:sz="6" w:space="0" w:color="000000"/>
              <w:left w:val="nil" w:sz="6" w:space="0" w:color="auto"/>
              <w:bottom w:val="nil" w:sz="6" w:space="0" w:color="auto"/>
              <w:right w:val="nil" w:sz="6" w:space="0" w:color="auto"/>
            </w:tcBorders>
          </w:tcPr>
          <w:p>
            <w:pPr/>
          </w:p>
        </w:tc>
      </w:tr>
      <w:tr>
        <w:trPr>
          <w:trHeight w:val="242" w:hRule="exact"/>
        </w:trPr>
        <w:tc>
          <w:tcPr>
            <w:tcW w:w="112" w:type="dxa"/>
            <w:vMerge/>
            <w:tcBorders>
              <w:left w:val="nil" w:sz="6" w:space="0" w:color="auto"/>
              <w:right w:val="nil" w:sz="6" w:space="0" w:color="auto"/>
            </w:tcBorders>
          </w:tcPr>
          <w:p>
            <w:pPr/>
          </w:p>
        </w:tc>
        <w:tc>
          <w:tcPr>
            <w:tcW w:w="1400" w:type="dxa"/>
            <w:tcBorders>
              <w:top w:val="nil" w:sz="6" w:space="0" w:color="auto"/>
              <w:left w:val="nil" w:sz="6" w:space="0" w:color="auto"/>
              <w:bottom w:val="single" w:sz="4" w:space="0" w:color="000000"/>
              <w:right w:val="nil" w:sz="6" w:space="0" w:color="auto"/>
            </w:tcBorders>
          </w:tcPr>
          <w:p>
            <w:pPr>
              <w:pStyle w:val="TableParagraph"/>
              <w:spacing w:line="237" w:lineRule="exact"/>
              <w:ind w:right="0"/>
              <w:jc w:val="left"/>
              <w:rPr>
                <w:rFonts w:ascii="宋体" w:hAnsi="宋体" w:cs="宋体" w:eastAsia="宋体" w:hint="default"/>
                <w:sz w:val="20"/>
                <w:szCs w:val="20"/>
              </w:rPr>
            </w:pPr>
            <w:r>
              <w:rPr>
                <w:rFonts w:ascii="宋体" w:hAnsi="宋体" w:cs="宋体" w:eastAsia="宋体" w:hint="default"/>
                <w:spacing w:val="-1"/>
                <w:sz w:val="20"/>
                <w:szCs w:val="20"/>
              </w:rPr>
              <w:t>联通运营公司：</w:t>
            </w:r>
          </w:p>
        </w:tc>
        <w:tc>
          <w:tcPr>
            <w:tcW w:w="3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6" w:type="dxa"/>
            <w:tcBorders>
              <w:top w:val="single" w:sz="6" w:space="0" w:color="000000"/>
              <w:left w:val="nil" w:sz="6" w:space="0" w:color="auto"/>
              <w:bottom w:val="nil" w:sz="6" w:space="0" w:color="auto"/>
              <w:right w:val="nil" w:sz="6" w:space="0" w:color="auto"/>
            </w:tcBorders>
          </w:tcPr>
          <w:p>
            <w:pPr/>
          </w:p>
        </w:tc>
        <w:tc>
          <w:tcPr>
            <w:tcW w:w="810" w:type="dxa"/>
            <w:tcBorders>
              <w:top w:val="single" w:sz="6" w:space="0" w:color="000000"/>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r>
      <w:tr>
        <w:trPr>
          <w:trHeight w:val="267" w:hRule="exact"/>
        </w:trPr>
        <w:tc>
          <w:tcPr>
            <w:tcW w:w="112" w:type="dxa"/>
            <w:vMerge/>
            <w:tcBorders>
              <w:left w:val="nil" w:sz="6" w:space="0" w:color="auto"/>
              <w:right w:val="nil" w:sz="6" w:space="0" w:color="auto"/>
            </w:tcBorders>
          </w:tcPr>
          <w:p>
            <w:pPr/>
          </w:p>
        </w:tc>
        <w:tc>
          <w:tcPr>
            <w:tcW w:w="1400" w:type="dxa"/>
            <w:tcBorders>
              <w:top w:val="single" w:sz="4" w:space="0" w:color="000000"/>
              <w:left w:val="nil" w:sz="6" w:space="0" w:color="auto"/>
              <w:bottom w:val="nil" w:sz="6" w:space="0" w:color="auto"/>
              <w:right w:val="nil" w:sz="6" w:space="0" w:color="auto"/>
            </w:tcBorders>
          </w:tcPr>
          <w:p>
            <w:pPr>
              <w:pStyle w:val="TableParagraph"/>
              <w:spacing w:line="225" w:lineRule="exact"/>
              <w:ind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3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8" w:right="0"/>
              <w:jc w:val="left"/>
              <w:rPr>
                <w:rFonts w:ascii="Arial" w:hAnsi="Arial" w:cs="Arial" w:eastAsia="Arial" w:hint="default"/>
                <w:sz w:val="18"/>
                <w:szCs w:val="18"/>
              </w:rPr>
            </w:pPr>
            <w:r>
              <w:rPr>
                <w:rFonts w:ascii="Arial"/>
                <w:sz w:val="18"/>
              </w:rPr>
              <w:t>22%</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center"/>
              <w:rPr>
                <w:rFonts w:ascii="Arial" w:hAnsi="Arial" w:cs="Arial" w:eastAsia="Arial" w:hint="default"/>
                <w:sz w:val="18"/>
                <w:szCs w:val="18"/>
              </w:rPr>
            </w:pPr>
            <w:r>
              <w:rPr>
                <w:rFonts w:ascii="Arial"/>
                <w:sz w:val="18"/>
              </w:rPr>
              <w:t>24%</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29" w:lineRule="exact"/>
              <w:ind w:left="85"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2" w:lineRule="exact"/>
              <w:ind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3" w:hRule="exact"/>
        </w:trPr>
        <w:tc>
          <w:tcPr>
            <w:tcW w:w="112" w:type="dxa"/>
            <w:vMerge/>
            <w:tcBorders>
              <w:left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珠海分公司</w:t>
            </w:r>
          </w:p>
        </w:tc>
        <w:tc>
          <w:tcPr>
            <w:tcW w:w="3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8" w:right="0"/>
              <w:jc w:val="left"/>
              <w:rPr>
                <w:rFonts w:ascii="Arial" w:hAnsi="Arial" w:cs="Arial" w:eastAsia="Arial" w:hint="default"/>
                <w:sz w:val="18"/>
                <w:szCs w:val="18"/>
              </w:rPr>
            </w:pPr>
            <w:r>
              <w:rPr>
                <w:rFonts w:ascii="Arial"/>
                <w:sz w:val="18"/>
              </w:rPr>
              <w:t>22%</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
              <w:jc w:val="center"/>
              <w:rPr>
                <w:rFonts w:ascii="Arial" w:hAnsi="Arial" w:cs="Arial" w:eastAsia="Arial" w:hint="default"/>
                <w:sz w:val="18"/>
                <w:szCs w:val="18"/>
              </w:rPr>
            </w:pPr>
            <w:r>
              <w:rPr>
                <w:rFonts w:ascii="Arial"/>
                <w:sz w:val="18"/>
              </w:rPr>
              <w:t>24%</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6" w:lineRule="exact"/>
              <w:ind w:left="85"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3" w:hRule="exact"/>
        </w:trPr>
        <w:tc>
          <w:tcPr>
            <w:tcW w:w="112" w:type="dxa"/>
            <w:vMerge/>
            <w:tcBorders>
              <w:left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厦门分公司</w:t>
            </w:r>
          </w:p>
        </w:tc>
        <w:tc>
          <w:tcPr>
            <w:tcW w:w="3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7" w:right="0"/>
              <w:jc w:val="left"/>
              <w:rPr>
                <w:rFonts w:ascii="Arial" w:hAnsi="Arial" w:cs="Arial" w:eastAsia="Arial" w:hint="default"/>
                <w:sz w:val="18"/>
                <w:szCs w:val="18"/>
              </w:rPr>
            </w:pPr>
            <w:r>
              <w:rPr>
                <w:rFonts w:ascii="Arial"/>
                <w:sz w:val="18"/>
              </w:rPr>
              <w:t>22%</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
              <w:jc w:val="center"/>
              <w:rPr>
                <w:rFonts w:ascii="Arial" w:hAnsi="Arial" w:cs="Arial" w:eastAsia="Arial" w:hint="default"/>
                <w:sz w:val="18"/>
                <w:szCs w:val="18"/>
              </w:rPr>
            </w:pPr>
            <w:r>
              <w:rPr>
                <w:rFonts w:ascii="Arial"/>
                <w:sz w:val="18"/>
              </w:rPr>
              <w:t>24%</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5" w:lineRule="exact"/>
              <w:ind w:left="85"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3" w:hRule="exact"/>
        </w:trPr>
        <w:tc>
          <w:tcPr>
            <w:tcW w:w="112" w:type="dxa"/>
            <w:vMerge/>
            <w:tcBorders>
              <w:left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汕头分公司</w:t>
            </w:r>
          </w:p>
        </w:tc>
        <w:tc>
          <w:tcPr>
            <w:tcW w:w="3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7" w:right="0"/>
              <w:jc w:val="left"/>
              <w:rPr>
                <w:rFonts w:ascii="Arial" w:hAnsi="Arial" w:cs="Arial" w:eastAsia="Arial" w:hint="default"/>
                <w:sz w:val="18"/>
                <w:szCs w:val="18"/>
              </w:rPr>
            </w:pPr>
            <w:r>
              <w:rPr>
                <w:rFonts w:ascii="Arial"/>
                <w:sz w:val="18"/>
              </w:rPr>
              <w:t>22%</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
              <w:jc w:val="center"/>
              <w:rPr>
                <w:rFonts w:ascii="Arial" w:hAnsi="Arial" w:cs="Arial" w:eastAsia="Arial" w:hint="default"/>
                <w:sz w:val="18"/>
                <w:szCs w:val="18"/>
              </w:rPr>
            </w:pPr>
            <w:r>
              <w:rPr>
                <w:rFonts w:ascii="Arial"/>
                <w:sz w:val="18"/>
              </w:rPr>
              <w:t>24%</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6" w:lineRule="exact"/>
              <w:ind w:left="85"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3" w:hRule="exact"/>
        </w:trPr>
        <w:tc>
          <w:tcPr>
            <w:tcW w:w="112" w:type="dxa"/>
            <w:vMerge/>
            <w:tcBorders>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海南分公司</w:t>
            </w:r>
          </w:p>
        </w:tc>
        <w:tc>
          <w:tcPr>
            <w:tcW w:w="3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7" w:right="0"/>
              <w:jc w:val="left"/>
              <w:rPr>
                <w:rFonts w:ascii="Arial" w:hAnsi="Arial" w:cs="Arial" w:eastAsia="Arial" w:hint="default"/>
                <w:sz w:val="18"/>
                <w:szCs w:val="18"/>
              </w:rPr>
            </w:pPr>
            <w:r>
              <w:rPr>
                <w:rFonts w:ascii="Arial"/>
                <w:sz w:val="18"/>
              </w:rPr>
              <w:t>22%</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
              <w:jc w:val="center"/>
              <w:rPr>
                <w:rFonts w:ascii="Arial" w:hAnsi="Arial" w:cs="Arial" w:eastAsia="Arial" w:hint="default"/>
                <w:sz w:val="18"/>
                <w:szCs w:val="18"/>
              </w:rPr>
            </w:pPr>
            <w:r>
              <w:rPr>
                <w:rFonts w:ascii="Arial"/>
                <w:sz w:val="18"/>
              </w:rPr>
              <w:t>24%</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5" w:lineRule="exact"/>
              <w:ind w:left="85"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318" w:hRule="exact"/>
        </w:trPr>
        <w:tc>
          <w:tcPr>
            <w:tcW w:w="11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西藏分公司</w:t>
            </w:r>
          </w:p>
        </w:tc>
        <w:tc>
          <w:tcPr>
            <w:tcW w:w="3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7" w:right="0"/>
              <w:jc w:val="left"/>
              <w:rPr>
                <w:rFonts w:ascii="Arial" w:hAnsi="Arial" w:cs="Arial" w:eastAsia="Arial" w:hint="default"/>
                <w:sz w:val="18"/>
                <w:szCs w:val="18"/>
              </w:rPr>
            </w:pPr>
            <w:r>
              <w:rPr>
                <w:rFonts w:ascii="Arial"/>
                <w:sz w:val="18"/>
              </w:rPr>
              <w:t>15%</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
              <w:jc w:val="center"/>
              <w:rPr>
                <w:rFonts w:ascii="Arial" w:hAnsi="Arial" w:cs="Arial" w:eastAsia="Arial" w:hint="default"/>
                <w:sz w:val="18"/>
                <w:szCs w:val="18"/>
              </w:rPr>
            </w:pPr>
            <w:r>
              <w:rPr>
                <w:rFonts w:ascii="Arial"/>
                <w:sz w:val="18"/>
              </w:rPr>
              <w:t>15%</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6" w:lineRule="exact"/>
              <w:ind w:left="85" w:right="0"/>
              <w:jc w:val="left"/>
              <w:rPr>
                <w:rFonts w:ascii="宋体" w:hAnsi="宋体" w:cs="宋体" w:eastAsia="宋体" w:hint="default"/>
                <w:sz w:val="18"/>
                <w:szCs w:val="18"/>
              </w:rPr>
            </w:pPr>
            <w:r>
              <w:rPr>
                <w:rFonts w:ascii="宋体" w:hAnsi="宋体" w:cs="宋体" w:eastAsia="宋体" w:hint="default"/>
                <w:sz w:val="18"/>
                <w:szCs w:val="18"/>
              </w:rPr>
              <w:t>西藏自治区人民政府</w:t>
            </w:r>
          </w:p>
        </w:tc>
        <w:tc>
          <w:tcPr>
            <w:tcW w:w="24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藏政发</w:t>
            </w:r>
            <w:r>
              <w:rPr>
                <w:rFonts w:ascii="Arial" w:hAnsi="Arial" w:cs="Arial" w:eastAsia="Arial" w:hint="default"/>
                <w:sz w:val="18"/>
                <w:szCs w:val="18"/>
              </w:rPr>
              <w:t>[2008]78</w:t>
            </w:r>
            <w:r>
              <w:rPr>
                <w:rFonts w:ascii="Arial" w:hAnsi="Arial" w:cs="Arial" w:eastAsia="Arial" w:hint="default"/>
                <w:spacing w:val="-14"/>
                <w:sz w:val="18"/>
                <w:szCs w:val="18"/>
              </w:rPr>
              <w:t> </w:t>
            </w:r>
            <w:r>
              <w:rPr>
                <w:rFonts w:ascii="宋体" w:hAnsi="宋体" w:cs="宋体" w:eastAsia="宋体" w:hint="default"/>
                <w:sz w:val="18"/>
                <w:szCs w:val="18"/>
              </w:rPr>
              <w:t>号，无限期</w:t>
            </w:r>
          </w:p>
        </w:tc>
      </w:tr>
    </w:tbl>
    <w:p>
      <w:pPr>
        <w:spacing w:line="240" w:lineRule="auto" w:before="12"/>
        <w:rPr>
          <w:rFonts w:ascii="宋体" w:hAnsi="宋体" w:cs="宋体" w:eastAsia="宋体" w:hint="default"/>
          <w:sz w:val="6"/>
          <w:szCs w:val="6"/>
        </w:rPr>
      </w:pPr>
    </w:p>
    <w:p>
      <w:pPr>
        <w:pStyle w:val="BodyText"/>
        <w:spacing w:line="287" w:lineRule="exact" w:before="31"/>
        <w:ind w:left="570" w:right="97"/>
        <w:jc w:val="left"/>
      </w:pPr>
      <w:r>
        <w:rPr>
          <w:spacing w:val="8"/>
        </w:rPr>
        <w:t>联通运营公司除上表列示的部分所属分公司享受所列的优惠税率外，其他各分公司均适用</w:t>
      </w:r>
    </w:p>
    <w:p>
      <w:pPr>
        <w:pStyle w:val="BodyText"/>
        <w:spacing w:line="302" w:lineRule="exact"/>
        <w:ind w:left="570" w:right="97"/>
        <w:jc w:val="left"/>
      </w:pPr>
      <w:r>
        <w:rPr>
          <w:rFonts w:ascii="Arial" w:hAnsi="Arial" w:cs="Arial" w:eastAsia="Arial" w:hint="default"/>
        </w:rPr>
        <w:t>25%</w:t>
      </w:r>
      <w:r>
        <w:rPr/>
        <w:t>的企业所得税税率。</w:t>
      </w:r>
    </w:p>
    <w:p>
      <w:pPr>
        <w:spacing w:line="240" w:lineRule="auto" w:before="3"/>
        <w:rPr>
          <w:rFonts w:ascii="宋体" w:hAnsi="宋体" w:cs="宋体" w:eastAsia="宋体" w:hint="default"/>
          <w:sz w:val="20"/>
          <w:szCs w:val="20"/>
        </w:rPr>
      </w:pPr>
    </w:p>
    <w:p>
      <w:pPr>
        <w:pStyle w:val="BodyText"/>
        <w:spacing w:line="284" w:lineRule="exact"/>
        <w:ind w:left="569" w:right="258"/>
        <w:jc w:val="left"/>
      </w:pPr>
      <w:r>
        <w:rPr/>
        <w:t>根据国发</w:t>
      </w:r>
      <w:r>
        <w:rPr>
          <w:rFonts w:ascii="Arial" w:hAnsi="Arial" w:cs="Arial" w:eastAsia="Arial" w:hint="default"/>
        </w:rPr>
        <w:t>[2007]39</w:t>
      </w:r>
      <w:r>
        <w:rPr>
          <w:rFonts w:ascii="Arial" w:hAnsi="Arial" w:cs="Arial" w:eastAsia="Arial" w:hint="default"/>
          <w:spacing w:val="-6"/>
        </w:rPr>
        <w:t> </w:t>
      </w:r>
      <w:r>
        <w:rPr>
          <w:spacing w:val="-14"/>
        </w:rPr>
        <w:t>号文，自</w:t>
      </w:r>
      <w:r>
        <w:rPr>
          <w:spacing w:val="-55"/>
        </w:rPr>
        <w:t> </w:t>
      </w:r>
      <w:r>
        <w:rPr>
          <w:rFonts w:ascii="Arial" w:hAnsi="Arial" w:cs="Arial" w:eastAsia="Arial" w:hint="default"/>
        </w:rPr>
        <w:t>2008</w:t>
      </w:r>
      <w:r>
        <w:rPr>
          <w:rFonts w:ascii="Arial" w:hAnsi="Arial" w:cs="Arial" w:eastAsia="Arial" w:hint="default"/>
          <w:spacing w:val="-6"/>
        </w:rPr>
        <w:t> </w:t>
      </w:r>
      <w:r>
        <w:rPr/>
        <w:t>年</w:t>
      </w:r>
      <w:r>
        <w:rPr>
          <w:spacing w:val="-55"/>
        </w:rPr>
        <w:t> </w:t>
      </w:r>
      <w:r>
        <w:rPr>
          <w:rFonts w:ascii="Arial" w:hAnsi="Arial" w:cs="Arial" w:eastAsia="Arial" w:hint="default"/>
        </w:rPr>
        <w:t>1</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spacing w:val="-4"/>
        </w:rPr>
        <w:t>日起，联通运营公司所属的深圳等</w:t>
      </w:r>
      <w:r>
        <w:rPr>
          <w:spacing w:val="-55"/>
        </w:rPr>
        <w:t> </w:t>
      </w:r>
      <w:r>
        <w:rPr>
          <w:rFonts w:ascii="Arial" w:hAnsi="Arial" w:cs="Arial" w:eastAsia="Arial" w:hint="default"/>
        </w:rPr>
        <w:t>5</w:t>
      </w:r>
      <w:r>
        <w:rPr>
          <w:rFonts w:ascii="Arial" w:hAnsi="Arial" w:cs="Arial" w:eastAsia="Arial" w:hint="default"/>
          <w:spacing w:val="-6"/>
        </w:rPr>
        <w:t> </w:t>
      </w:r>
      <w:r>
        <w:rPr/>
        <w:t>家分公司在所</w:t>
      </w:r>
      <w:r>
        <w:rPr>
          <w:w w:val="99"/>
        </w:rPr>
        <w:t> </w:t>
      </w:r>
      <w:r>
        <w:rPr/>
        <w:t>得税法实施后</w:t>
      </w:r>
      <w:r>
        <w:rPr>
          <w:spacing w:val="-57"/>
        </w:rPr>
        <w:t> </w:t>
      </w:r>
      <w:r>
        <w:rPr>
          <w:rFonts w:ascii="Arial" w:hAnsi="Arial" w:cs="Arial" w:eastAsia="Arial" w:hint="default"/>
        </w:rPr>
        <w:t>5</w:t>
      </w:r>
      <w:r>
        <w:rPr>
          <w:rFonts w:ascii="Arial" w:hAnsi="Arial" w:cs="Arial" w:eastAsia="Arial" w:hint="default"/>
          <w:spacing w:val="-8"/>
        </w:rPr>
        <w:t> </w:t>
      </w:r>
      <w:r>
        <w:rPr/>
        <w:t>年内逐步过渡到</w:t>
      </w:r>
      <w:r>
        <w:rPr>
          <w:spacing w:val="-57"/>
        </w:rPr>
        <w:t> </w:t>
      </w:r>
      <w:r>
        <w:rPr>
          <w:rFonts w:ascii="Arial" w:hAnsi="Arial" w:cs="Arial" w:eastAsia="Arial" w:hint="default"/>
        </w:rPr>
        <w:t>25%</w:t>
      </w:r>
      <w:r>
        <w:rPr/>
        <w:t>的法定企业所得税率。</w:t>
      </w:r>
    </w:p>
    <w:p>
      <w:pPr>
        <w:spacing w:line="240" w:lineRule="auto" w:before="5"/>
        <w:rPr>
          <w:rFonts w:ascii="宋体" w:hAnsi="宋体" w:cs="宋体" w:eastAsia="宋体" w:hint="default"/>
          <w:sz w:val="19"/>
          <w:szCs w:val="19"/>
        </w:rPr>
      </w:pPr>
    </w:p>
    <w:p>
      <w:pPr>
        <w:pStyle w:val="BodyText"/>
        <w:spacing w:line="286" w:lineRule="exact"/>
        <w:ind w:left="569" w:right="255"/>
        <w:jc w:val="left"/>
      </w:pPr>
      <w:r>
        <w:rPr/>
        <w:t>根据藏政发</w:t>
      </w:r>
      <w:r>
        <w:rPr>
          <w:rFonts w:ascii="Arial" w:hAnsi="Arial" w:cs="Arial" w:eastAsia="Arial" w:hint="default"/>
        </w:rPr>
        <w:t>[2008]78</w:t>
      </w:r>
      <w:r>
        <w:rPr>
          <w:rFonts w:ascii="Arial" w:hAnsi="Arial" w:cs="Arial" w:eastAsia="Arial" w:hint="default"/>
          <w:spacing w:val="29"/>
        </w:rPr>
        <w:t> </w:t>
      </w:r>
      <w:r>
        <w:rPr/>
        <w:t>号文，上表所列原适用优惠税率的西藏分公司在所得税法实施后，</w:t>
      </w:r>
      <w:r>
        <w:rPr>
          <w:rFonts w:ascii="Arial" w:hAnsi="Arial" w:cs="Arial" w:eastAsia="Arial" w:hint="default"/>
        </w:rPr>
        <w:t>2010</w:t>
      </w:r>
      <w:r>
        <w:rPr>
          <w:rFonts w:ascii="Arial" w:hAnsi="Arial" w:cs="Arial" w:eastAsia="Arial" w:hint="default"/>
          <w:spacing w:val="-1"/>
          <w:w w:val="99"/>
        </w:rPr>
        <w:t> </w:t>
      </w:r>
      <w:r>
        <w:rPr/>
        <w:t>年和</w:t>
      </w:r>
      <w:r>
        <w:rPr>
          <w:spacing w:val="-57"/>
        </w:rPr>
        <w:t> </w:t>
      </w:r>
      <w:r>
        <w:rPr>
          <w:rFonts w:ascii="Arial" w:hAnsi="Arial" w:cs="Arial" w:eastAsia="Arial" w:hint="default"/>
        </w:rPr>
        <w:t>2011</w:t>
      </w:r>
      <w:r>
        <w:rPr>
          <w:rFonts w:ascii="Arial" w:hAnsi="Arial" w:cs="Arial" w:eastAsia="Arial" w:hint="default"/>
          <w:spacing w:val="-8"/>
        </w:rPr>
        <w:t> </w:t>
      </w:r>
      <w:r>
        <w:rPr/>
        <w:t>年均执行</w:t>
      </w:r>
      <w:r>
        <w:rPr>
          <w:spacing w:val="-57"/>
        </w:rPr>
        <w:t> </w:t>
      </w:r>
      <w:r>
        <w:rPr>
          <w:rFonts w:ascii="Arial" w:hAnsi="Arial" w:cs="Arial" w:eastAsia="Arial" w:hint="default"/>
        </w:rPr>
        <w:t>15%</w:t>
      </w:r>
      <w:r>
        <w:rPr/>
        <w:t>的优惠税率。</w:t>
      </w:r>
    </w:p>
    <w:p>
      <w:pPr>
        <w:spacing w:line="240" w:lineRule="auto" w:before="1"/>
        <w:rPr>
          <w:rFonts w:ascii="宋体" w:hAnsi="宋体" w:cs="宋体" w:eastAsia="宋体" w:hint="default"/>
          <w:sz w:val="17"/>
          <w:szCs w:val="17"/>
        </w:rPr>
      </w:pPr>
    </w:p>
    <w:p>
      <w:pPr>
        <w:pStyle w:val="BodyText"/>
        <w:spacing w:line="424" w:lineRule="auto"/>
        <w:ind w:left="569" w:right="3011" w:hanging="470"/>
        <w:jc w:val="left"/>
      </w:pPr>
      <w:r>
        <w:rPr>
          <w:rFonts w:ascii="Arial" w:hAnsi="Arial" w:cs="Arial" w:eastAsia="Arial" w:hint="default"/>
        </w:rPr>
        <w:t>(c)</w:t>
      </w:r>
      <w:r>
        <w:rPr>
          <w:rFonts w:ascii="Arial" w:hAnsi="Arial" w:cs="Arial" w:eastAsia="Arial" w:hint="default"/>
          <w:spacing w:val="9"/>
        </w:rPr>
        <w:t> </w:t>
      </w:r>
      <w:r>
        <w:rPr/>
        <w:t>联通运营公司所属子公司之企业所得税</w:t>
      </w:r>
      <w:r>
        <w:rPr>
          <w:w w:val="99"/>
        </w:rPr>
        <w:t> </w:t>
      </w:r>
      <w:r>
        <w:rPr/>
        <w:t>联通运营公司的部分获得高新技术企业认证的子公司列示如下：</w:t>
      </w:r>
    </w:p>
    <w:p>
      <w:pPr>
        <w:tabs>
          <w:tab w:pos="1948" w:val="left" w:leader="none"/>
          <w:tab w:pos="3059" w:val="left" w:leader="none"/>
          <w:tab w:pos="4238" w:val="left" w:leader="none"/>
          <w:tab w:pos="6455" w:val="left" w:leader="none"/>
        </w:tabs>
        <w:spacing w:line="296" w:lineRule="exact" w:before="98"/>
        <w:ind w:left="0" w:right="432" w:firstLine="0"/>
        <w:jc w:val="right"/>
        <w:rPr>
          <w:rFonts w:ascii="宋体" w:hAnsi="宋体" w:cs="宋体" w:eastAsia="宋体" w:hint="default"/>
          <w:sz w:val="18"/>
          <w:szCs w:val="18"/>
        </w:rPr>
      </w:pPr>
      <w:r>
        <w:rPr>
          <w:rFonts w:ascii="宋体" w:hAnsi="宋体" w:cs="宋体" w:eastAsia="宋体" w:hint="default"/>
          <w:sz w:val="18"/>
          <w:szCs w:val="18"/>
        </w:rPr>
        <w:t>子公司名称</w:t>
        <w:tab/>
        <w:t>注释</w:t>
        <w:tab/>
        <w:t>税率</w:t>
        <w:tab/>
        <w:t>高新技术企业证书编号</w:t>
        <w:tab/>
      </w:r>
      <w:r>
        <w:rPr>
          <w:rFonts w:ascii="宋体" w:hAnsi="宋体" w:cs="宋体" w:eastAsia="宋体" w:hint="default"/>
          <w:position w:val="12"/>
          <w:sz w:val="18"/>
          <w:szCs w:val="18"/>
        </w:rPr>
        <w:t>高新技术企业证书</w:t>
      </w:r>
      <w:r>
        <w:rPr>
          <w:rFonts w:ascii="宋体" w:hAnsi="宋体" w:cs="宋体" w:eastAsia="宋体" w:hint="default"/>
          <w:sz w:val="18"/>
          <w:szCs w:val="18"/>
        </w:rPr>
      </w:r>
    </w:p>
    <w:p>
      <w:pPr>
        <w:spacing w:line="176" w:lineRule="exact" w:before="0"/>
        <w:ind w:left="0" w:right="432" w:firstLine="0"/>
        <w:jc w:val="right"/>
        <w:rPr>
          <w:rFonts w:ascii="宋体" w:hAnsi="宋体" w:cs="宋体" w:eastAsia="宋体" w:hint="default"/>
          <w:sz w:val="18"/>
          <w:szCs w:val="18"/>
        </w:rPr>
      </w:pPr>
      <w:r>
        <w:rPr>
          <w:rFonts w:ascii="宋体" w:hAnsi="宋体" w:cs="宋体" w:eastAsia="宋体" w:hint="default"/>
          <w:sz w:val="18"/>
          <w:szCs w:val="18"/>
        </w:rPr>
        <w:t>起始年度及有效期</w:t>
      </w:r>
    </w:p>
    <w:p>
      <w:pPr>
        <w:spacing w:line="240" w:lineRule="auto" w:before="4"/>
        <w:rPr>
          <w:rFonts w:ascii="宋体" w:hAnsi="宋体" w:cs="宋体" w:eastAsia="宋体" w:hint="default"/>
          <w:sz w:val="3"/>
          <w:szCs w:val="3"/>
        </w:rPr>
      </w:pPr>
    </w:p>
    <w:p>
      <w:pPr>
        <w:spacing w:line="20" w:lineRule="exact"/>
        <w:ind w:left="553" w:right="0" w:firstLine="0"/>
        <w:rPr>
          <w:rFonts w:ascii="宋体" w:hAnsi="宋体" w:cs="宋体" w:eastAsia="宋体" w:hint="default"/>
          <w:sz w:val="2"/>
          <w:szCs w:val="2"/>
        </w:rPr>
      </w:pPr>
      <w:r>
        <w:rPr>
          <w:rFonts w:ascii="宋体"/>
          <w:sz w:val="2"/>
        </w:rPr>
        <w:pict>
          <v:group style="width:132.6pt;height:.75pt;mso-position-horizontal-relative:char;mso-position-vertical-relative:line" coordorigin="0,0" coordsize="2652,15">
            <v:group style="position:absolute;left:7;top:7;width:2638;height:2" coordorigin="7,7" coordsize="2638,2">
              <v:shape style="position:absolute;left:7;top:7;width:2638;height:2" coordorigin="7,7" coordsize="2638,0" path="m7,7l2645,7e" filled="false" stroked="true" strokeweight=".72pt" strokecolor="#000000">
                <v:path arrowok="t"/>
              </v:shape>
            </v:group>
          </v:group>
        </w:pict>
      </w:r>
      <w:r>
        <w:rPr>
          <w:rFonts w:ascii="宋体"/>
          <w:sz w:val="2"/>
        </w:rPr>
      </w:r>
      <w:r>
        <w:rPr>
          <w:rFonts w:ascii="Times New Roman"/>
          <w:spacing w:val="68"/>
          <w:sz w:val="2"/>
        </w:rPr>
        <w:t> </w:t>
      </w:r>
      <w:r>
        <w:rPr>
          <w:rFonts w:ascii="宋体"/>
          <w:spacing w:val="68"/>
          <w:sz w:val="2"/>
        </w:rPr>
        <w:pict>
          <v:group style="width:27.75pt;height:.75pt;mso-position-horizontal-relative:char;mso-position-vertical-relative:line" coordorigin="0,0" coordsize="555,15">
            <v:group style="position:absolute;left:7;top:7;width:540;height:2" coordorigin="7,7" coordsize="540,2">
              <v:shape style="position:absolute;left:7;top:7;width:540;height:2" coordorigin="7,7" coordsize="540,0" path="m7,7l547,7e" filled="false" stroked="true" strokeweight=".72pt" strokecolor="#000000">
                <v:path arrowok="t"/>
              </v:shape>
            </v:group>
          </v:group>
        </w:pict>
      </w:r>
      <w:r>
        <w:rPr>
          <w:rFonts w:ascii="宋体"/>
          <w:spacing w:val="68"/>
          <w:sz w:val="2"/>
        </w:rPr>
      </w:r>
      <w:r>
        <w:rPr>
          <w:rFonts w:ascii="Times New Roman"/>
          <w:spacing w:val="67"/>
          <w:sz w:val="2"/>
        </w:rPr>
        <w:t> </w:t>
      </w:r>
      <w:r>
        <w:rPr>
          <w:rFonts w:ascii="宋体"/>
          <w:spacing w:val="67"/>
          <w:sz w:val="2"/>
        </w:rPr>
        <w:pict>
          <v:group style="width:81.25pt;height:.75pt;mso-position-horizontal-relative:char;mso-position-vertical-relative:line" coordorigin="0,0" coordsize="1625,15">
            <v:group style="position:absolute;left:7;top:7;width:1611;height:2" coordorigin="7,7" coordsize="1611,2">
              <v:shape style="position:absolute;left:7;top:7;width:1611;height:2" coordorigin="7,7" coordsize="1611,0" path="m7,7l1618,7e" filled="false" stroked="true" strokeweight=".72pt" strokecolor="#000000">
                <v:path arrowok="t"/>
              </v:shape>
            </v:group>
          </v:group>
        </w:pict>
      </w:r>
      <w:r>
        <w:rPr>
          <w:rFonts w:ascii="宋体"/>
          <w:spacing w:val="67"/>
          <w:sz w:val="2"/>
        </w:rPr>
      </w:r>
      <w:r>
        <w:rPr>
          <w:rFonts w:ascii="Times New Roman"/>
          <w:spacing w:val="70"/>
          <w:sz w:val="2"/>
        </w:rPr>
        <w:t> </w:t>
      </w:r>
      <w:r>
        <w:rPr>
          <w:rFonts w:ascii="宋体"/>
          <w:spacing w:val="70"/>
          <w:sz w:val="2"/>
        </w:rPr>
        <w:pict>
          <v:group style="width:201.3pt;height:.75pt;mso-position-horizontal-relative:char;mso-position-vertical-relative:line" coordorigin="0,0" coordsize="4026,15">
            <v:group style="position:absolute;left:7;top:7;width:1898;height:2" coordorigin="7,7" coordsize="1898,2">
              <v:shape style="position:absolute;left:7;top:7;width:1898;height:2" coordorigin="7,7" coordsize="1898,0" path="m7,7l1904,7e" filled="false" stroked="true" strokeweight=".72pt" strokecolor="#000000">
                <v:path arrowok="t"/>
              </v:shape>
            </v:group>
            <v:group style="position:absolute;left:1967;top:7;width:2052;height:2" coordorigin="1967,7" coordsize="2052,2">
              <v:shape style="position:absolute;left:1967;top:7;width:2052;height:2" coordorigin="1967,7" coordsize="2052,0" path="m1967,7l4019,7e" filled="false" stroked="true" strokeweight=".72pt" strokecolor="#000000">
                <v:path arrowok="t"/>
              </v:shape>
            </v:group>
          </v:group>
        </w:pict>
      </w:r>
      <w:r>
        <w:rPr>
          <w:rFonts w:ascii="宋体"/>
          <w:spacing w:val="70"/>
          <w:sz w:val="2"/>
        </w:rPr>
      </w:r>
    </w:p>
    <w:p>
      <w:pPr>
        <w:tabs>
          <w:tab w:pos="841" w:val="left" w:leader="none"/>
        </w:tabs>
        <w:spacing w:before="3"/>
        <w:ind w:left="0" w:right="365" w:firstLine="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tab/>
      </w: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p>
      <w:pPr>
        <w:spacing w:line="20" w:lineRule="exact"/>
        <w:ind w:left="3910" w:right="0" w:firstLine="0"/>
        <w:rPr>
          <w:rFonts w:ascii="宋体" w:hAnsi="宋体" w:cs="宋体" w:eastAsia="宋体" w:hint="default"/>
          <w:sz w:val="2"/>
          <w:szCs w:val="2"/>
        </w:rPr>
      </w:pPr>
      <w:r>
        <w:rPr>
          <w:rFonts w:ascii="宋体" w:hAnsi="宋体" w:cs="宋体" w:eastAsia="宋体" w:hint="default"/>
          <w:sz w:val="2"/>
          <w:szCs w:val="2"/>
        </w:rPr>
        <w:pict>
          <v:group style="width:81.25pt;height:.75pt;mso-position-horizontal-relative:char;mso-position-vertical-relative:line" coordorigin="0,0" coordsize="1625,15">
            <v:group style="position:absolute;left:7;top:7;width:756;height:2" coordorigin="7,7" coordsize="756,2">
              <v:shape style="position:absolute;left:7;top:7;width:756;height:2" coordorigin="7,7" coordsize="756,0" path="m7,7l763,7e" filled="false" stroked="true" strokeweight=".72pt" strokecolor="#000000">
                <v:path arrowok="t"/>
              </v:shape>
            </v:group>
            <v:group style="position:absolute;left:835;top:7;width:783;height:2" coordorigin="835,7" coordsize="783,2">
              <v:shape style="position:absolute;left:835;top:7;width:783;height:2" coordorigin="835,7" coordsize="783,0" path="m835,7l1618,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spacing w:before="44"/>
        <w:ind w:left="605" w:right="97" w:firstLine="0"/>
        <w:jc w:val="left"/>
        <w:rPr>
          <w:rFonts w:ascii="宋体" w:hAnsi="宋体" w:cs="宋体" w:eastAsia="宋体" w:hint="default"/>
          <w:sz w:val="18"/>
          <w:szCs w:val="18"/>
        </w:rPr>
      </w:pPr>
      <w:r>
        <w:rPr>
          <w:rFonts w:ascii="宋体" w:hAnsi="宋体" w:cs="宋体" w:eastAsia="宋体" w:hint="default"/>
          <w:sz w:val="18"/>
          <w:szCs w:val="18"/>
        </w:rPr>
        <w:t>系统集成公司</w:t>
      </w:r>
    </w:p>
    <w:p>
      <w:pPr>
        <w:spacing w:line="240" w:lineRule="auto" w:before="1"/>
        <w:rPr>
          <w:rFonts w:ascii="宋体" w:hAnsi="宋体" w:cs="宋体" w:eastAsia="宋体" w:hint="default"/>
          <w:sz w:val="3"/>
          <w:szCs w:val="3"/>
        </w:rPr>
      </w:pPr>
    </w:p>
    <w:tbl>
      <w:tblPr>
        <w:tblW w:w="0" w:type="auto"/>
        <w:jc w:val="left"/>
        <w:tblInd w:w="570" w:type="dxa"/>
        <w:tblLayout w:type="fixed"/>
        <w:tblCellMar>
          <w:top w:w="0" w:type="dxa"/>
          <w:left w:w="0" w:type="dxa"/>
          <w:bottom w:w="0" w:type="dxa"/>
          <w:right w:w="0" w:type="dxa"/>
        </w:tblCellMar>
        <w:tblLook w:val="01E0"/>
      </w:tblPr>
      <w:tblGrid>
        <w:gridCol w:w="2617"/>
        <w:gridCol w:w="694"/>
        <w:gridCol w:w="836"/>
        <w:gridCol w:w="874"/>
        <w:gridCol w:w="1946"/>
        <w:gridCol w:w="1954"/>
      </w:tblGrid>
      <w:tr>
        <w:trPr>
          <w:trHeight w:val="313"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5" w:right="0"/>
              <w:jc w:val="left"/>
              <w:rPr>
                <w:rFonts w:ascii="宋体" w:hAnsi="宋体" w:cs="宋体" w:eastAsia="宋体" w:hint="default"/>
                <w:sz w:val="18"/>
                <w:szCs w:val="18"/>
              </w:rPr>
            </w:pPr>
            <w:r>
              <w:rPr>
                <w:rFonts w:ascii="宋体" w:hAnsi="宋体" w:cs="宋体" w:eastAsia="宋体" w:hint="default"/>
                <w:sz w:val="18"/>
                <w:szCs w:val="18"/>
              </w:rPr>
              <w:t>系统集成公司总部</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 w:right="0"/>
              <w:jc w:val="center"/>
              <w:rPr>
                <w:rFonts w:ascii="Arial" w:hAnsi="Arial" w:cs="Arial" w:eastAsia="Arial" w:hint="default"/>
                <w:sz w:val="18"/>
                <w:szCs w:val="18"/>
              </w:rPr>
            </w:pPr>
            <w:r>
              <w:rPr>
                <w:rFonts w:ascii="Arial"/>
                <w:sz w:val="18"/>
              </w:rPr>
              <w:t>(1)</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 w:right="0"/>
              <w:jc w:val="center"/>
              <w:rPr>
                <w:rFonts w:ascii="Arial" w:hAnsi="Arial" w:cs="Arial" w:eastAsia="Arial" w:hint="default"/>
                <w:sz w:val="18"/>
                <w:szCs w:val="18"/>
              </w:rPr>
            </w:pPr>
            <w:r>
              <w:rPr>
                <w:rFonts w:ascii="Arial"/>
                <w:sz w:val="18"/>
              </w:rPr>
              <w:t>7.5%</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6"/>
              <w:jc w:val="center"/>
              <w:rPr>
                <w:rFonts w:ascii="Arial" w:hAnsi="Arial" w:cs="Arial" w:eastAsia="Arial" w:hint="default"/>
                <w:sz w:val="18"/>
                <w:szCs w:val="18"/>
              </w:rPr>
            </w:pPr>
            <w:r>
              <w:rPr>
                <w:rFonts w:ascii="Arial"/>
                <w:sz w:val="18"/>
              </w:rPr>
              <w:t>7.5%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2"/>
              <w:jc w:val="right"/>
              <w:rPr>
                <w:rFonts w:ascii="Arial" w:hAnsi="Arial" w:cs="Arial" w:eastAsia="Arial" w:hint="default"/>
                <w:sz w:val="18"/>
                <w:szCs w:val="18"/>
              </w:rPr>
            </w:pPr>
            <w:r>
              <w:rPr>
                <w:rFonts w:ascii="Arial"/>
                <w:spacing w:val="-1"/>
                <w:sz w:val="18"/>
              </w:rPr>
              <w:t>GF201111002003</w:t>
            </w:r>
            <w:r>
              <w:rPr>
                <w:rFonts w:ascii="Arial"/>
                <w:sz w:val="18"/>
              </w:rPr>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年，有效期三年</w:t>
            </w:r>
          </w:p>
        </w:tc>
      </w:tr>
      <w:tr>
        <w:trPr>
          <w:trHeight w:val="288"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23" w:lineRule="exact"/>
              <w:ind w:left="205" w:right="0"/>
              <w:jc w:val="left"/>
              <w:rPr>
                <w:rFonts w:ascii="宋体" w:hAnsi="宋体" w:cs="宋体" w:eastAsia="宋体" w:hint="default"/>
                <w:sz w:val="18"/>
                <w:szCs w:val="18"/>
              </w:rPr>
            </w:pPr>
            <w:r>
              <w:rPr>
                <w:rFonts w:ascii="宋体" w:hAnsi="宋体" w:cs="宋体" w:eastAsia="宋体" w:hint="default"/>
                <w:sz w:val="18"/>
                <w:szCs w:val="18"/>
              </w:rPr>
              <w:t>系统集成公司所属各分公司</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center"/>
              <w:rPr>
                <w:rFonts w:ascii="Arial" w:hAnsi="Arial" w:cs="Arial" w:eastAsia="Arial" w:hint="default"/>
                <w:sz w:val="18"/>
                <w:szCs w:val="18"/>
              </w:rPr>
            </w:pPr>
            <w:r>
              <w:rPr>
                <w:rFonts w:ascii="Arial"/>
                <w:sz w:val="18"/>
              </w:rPr>
              <w:t>(2)</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 w:right="0"/>
              <w:jc w:val="center"/>
              <w:rPr>
                <w:rFonts w:ascii="Arial" w:hAnsi="Arial" w:cs="Arial" w:eastAsia="Arial" w:hint="default"/>
                <w:sz w:val="18"/>
                <w:szCs w:val="18"/>
              </w:rPr>
            </w:pPr>
            <w:r>
              <w:rPr>
                <w:rFonts w:ascii="Arial"/>
                <w:sz w:val="18"/>
              </w:rPr>
              <w:t>25%</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center"/>
              <w:rPr>
                <w:rFonts w:ascii="Arial" w:hAnsi="Arial" w:cs="Arial" w:eastAsia="Arial" w:hint="default"/>
                <w:sz w:val="18"/>
                <w:szCs w:val="18"/>
              </w:rPr>
            </w:pPr>
            <w:r>
              <w:rPr>
                <w:rFonts w:ascii="Arial"/>
                <w:sz w:val="18"/>
              </w:rPr>
              <w:t>15%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2"/>
              <w:jc w:val="right"/>
              <w:rPr>
                <w:rFonts w:ascii="Arial" w:hAnsi="Arial" w:cs="Arial" w:eastAsia="Arial" w:hint="default"/>
                <w:sz w:val="18"/>
                <w:szCs w:val="18"/>
              </w:rPr>
            </w:pPr>
            <w:r>
              <w:rPr>
                <w:rFonts w:ascii="Arial"/>
                <w:spacing w:val="-1"/>
                <w:sz w:val="18"/>
              </w:rPr>
              <w:t>GF201111002003</w:t>
            </w:r>
            <w:r>
              <w:rPr>
                <w:rFonts w:ascii="Arial"/>
                <w:sz w:val="18"/>
              </w:rPr>
            </w:r>
          </w:p>
        </w:tc>
        <w:tc>
          <w:tcPr>
            <w:tcW w:w="1954" w:type="dxa"/>
            <w:tcBorders>
              <w:top w:val="nil" w:sz="6" w:space="0" w:color="auto"/>
              <w:left w:val="nil" w:sz="6" w:space="0" w:color="auto"/>
              <w:bottom w:val="nil" w:sz="6" w:space="0" w:color="auto"/>
              <w:right w:val="nil" w:sz="6" w:space="0" w:color="auto"/>
            </w:tcBorders>
          </w:tcPr>
          <w:p>
            <w:pPr>
              <w:pStyle w:val="TableParagraph"/>
              <w:spacing w:line="236" w:lineRule="exact"/>
              <w:ind w:right="33"/>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年，有效期三年</w:t>
            </w:r>
          </w:p>
        </w:tc>
      </w:tr>
      <w:tr>
        <w:trPr>
          <w:trHeight w:val="288"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宽带在线</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center"/>
              <w:rPr>
                <w:rFonts w:ascii="Arial" w:hAnsi="Arial" w:cs="Arial" w:eastAsia="Arial" w:hint="default"/>
                <w:sz w:val="18"/>
                <w:szCs w:val="18"/>
              </w:rPr>
            </w:pPr>
            <w:r>
              <w:rPr>
                <w:rFonts w:ascii="Arial"/>
                <w:sz w:val="18"/>
              </w:rPr>
              <w:t>(1)</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 w:right="0"/>
              <w:jc w:val="center"/>
              <w:rPr>
                <w:rFonts w:ascii="Arial" w:hAnsi="Arial" w:cs="Arial" w:eastAsia="Arial" w:hint="default"/>
                <w:sz w:val="18"/>
                <w:szCs w:val="18"/>
              </w:rPr>
            </w:pPr>
            <w:r>
              <w:rPr>
                <w:rFonts w:ascii="Arial"/>
                <w:sz w:val="18"/>
              </w:rPr>
              <w:t>7.5%</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6"/>
              <w:jc w:val="center"/>
              <w:rPr>
                <w:rFonts w:ascii="Arial" w:hAnsi="Arial" w:cs="Arial" w:eastAsia="Arial" w:hint="default"/>
                <w:sz w:val="18"/>
                <w:szCs w:val="18"/>
              </w:rPr>
            </w:pPr>
            <w:r>
              <w:rPr>
                <w:rFonts w:ascii="Arial"/>
                <w:sz w:val="18"/>
              </w:rPr>
              <w:t>7.5%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2"/>
              <w:jc w:val="right"/>
              <w:rPr>
                <w:rFonts w:ascii="Arial" w:hAnsi="Arial" w:cs="Arial" w:eastAsia="Arial" w:hint="default"/>
                <w:sz w:val="18"/>
                <w:szCs w:val="18"/>
              </w:rPr>
            </w:pPr>
            <w:r>
              <w:rPr>
                <w:rFonts w:ascii="Arial"/>
                <w:spacing w:val="-1"/>
                <w:sz w:val="18"/>
              </w:rPr>
              <w:t>GF201111001613</w:t>
            </w:r>
            <w:r>
              <w:rPr>
                <w:rFonts w:ascii="Arial"/>
                <w:sz w:val="18"/>
              </w:rPr>
            </w:r>
          </w:p>
        </w:tc>
        <w:tc>
          <w:tcPr>
            <w:tcW w:w="1954" w:type="dxa"/>
            <w:tcBorders>
              <w:top w:val="nil" w:sz="6" w:space="0" w:color="auto"/>
              <w:left w:val="nil" w:sz="6" w:space="0" w:color="auto"/>
              <w:bottom w:val="nil" w:sz="6" w:space="0" w:color="auto"/>
              <w:right w:val="nil" w:sz="6" w:space="0" w:color="auto"/>
            </w:tcBorders>
          </w:tcPr>
          <w:p>
            <w:pPr>
              <w:pStyle w:val="TableParagraph"/>
              <w:spacing w:line="236" w:lineRule="exact"/>
              <w:ind w:right="33"/>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年，有效期三年</w:t>
            </w:r>
          </w:p>
        </w:tc>
      </w:tr>
      <w:tr>
        <w:trPr>
          <w:trHeight w:val="288"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中讯设计院</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center"/>
              <w:rPr>
                <w:rFonts w:ascii="Arial" w:hAnsi="Arial" w:cs="Arial" w:eastAsia="Arial" w:hint="default"/>
                <w:sz w:val="18"/>
                <w:szCs w:val="18"/>
              </w:rPr>
            </w:pPr>
            <w:r>
              <w:rPr>
                <w:rFonts w:ascii="Arial"/>
                <w:sz w:val="18"/>
              </w:rPr>
              <w:t>(2)</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 w:right="0"/>
              <w:jc w:val="center"/>
              <w:rPr>
                <w:rFonts w:ascii="Arial" w:hAnsi="Arial" w:cs="Arial" w:eastAsia="Arial" w:hint="default"/>
                <w:sz w:val="18"/>
                <w:szCs w:val="18"/>
              </w:rPr>
            </w:pPr>
            <w:r>
              <w:rPr>
                <w:rFonts w:ascii="Arial"/>
                <w:sz w:val="18"/>
              </w:rPr>
              <w:t>15%</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center"/>
              <w:rPr>
                <w:rFonts w:ascii="Arial" w:hAnsi="Arial" w:cs="Arial" w:eastAsia="Arial" w:hint="default"/>
                <w:sz w:val="18"/>
                <w:szCs w:val="18"/>
              </w:rPr>
            </w:pPr>
            <w:r>
              <w:rPr>
                <w:rFonts w:ascii="Arial"/>
                <w:sz w:val="18"/>
              </w:rPr>
              <w:t>15%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11"/>
              <w:jc w:val="right"/>
              <w:rPr>
                <w:rFonts w:ascii="Arial" w:hAnsi="Arial" w:cs="Arial" w:eastAsia="Arial" w:hint="default"/>
                <w:sz w:val="18"/>
                <w:szCs w:val="18"/>
              </w:rPr>
            </w:pPr>
            <w:r>
              <w:rPr>
                <w:rFonts w:ascii="Arial"/>
                <w:spacing w:val="-1"/>
                <w:sz w:val="18"/>
              </w:rPr>
              <w:t>GR200911000227</w:t>
            </w:r>
            <w:r>
              <w:rPr>
                <w:rFonts w:ascii="Arial"/>
                <w:sz w:val="18"/>
              </w:rPr>
            </w:r>
          </w:p>
        </w:tc>
        <w:tc>
          <w:tcPr>
            <w:tcW w:w="1954" w:type="dxa"/>
            <w:tcBorders>
              <w:top w:val="nil" w:sz="6" w:space="0" w:color="auto"/>
              <w:left w:val="nil" w:sz="6" w:space="0" w:color="auto"/>
              <w:bottom w:val="nil" w:sz="6" w:space="0" w:color="auto"/>
              <w:right w:val="nil" w:sz="6" w:space="0" w:color="auto"/>
            </w:tcBorders>
          </w:tcPr>
          <w:p>
            <w:pPr>
              <w:pStyle w:val="TableParagraph"/>
              <w:spacing w:line="236" w:lineRule="exact"/>
              <w:ind w:right="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年，有效期三年</w:t>
            </w:r>
          </w:p>
        </w:tc>
      </w:tr>
      <w:tr>
        <w:trPr>
          <w:trHeight w:val="288"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规划设计院</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center"/>
              <w:rPr>
                <w:rFonts w:ascii="Arial" w:hAnsi="Arial" w:cs="Arial" w:eastAsia="Arial" w:hint="default"/>
                <w:sz w:val="18"/>
                <w:szCs w:val="18"/>
              </w:rPr>
            </w:pPr>
            <w:r>
              <w:rPr>
                <w:rFonts w:ascii="Arial"/>
                <w:sz w:val="18"/>
              </w:rPr>
              <w:t>(2)</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 w:right="0"/>
              <w:jc w:val="center"/>
              <w:rPr>
                <w:rFonts w:ascii="Arial" w:hAnsi="Arial" w:cs="Arial" w:eastAsia="Arial" w:hint="default"/>
                <w:sz w:val="18"/>
                <w:szCs w:val="18"/>
              </w:rPr>
            </w:pPr>
            <w:r>
              <w:rPr>
                <w:rFonts w:ascii="Arial"/>
                <w:sz w:val="18"/>
              </w:rPr>
              <w:t>15%</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center"/>
              <w:rPr>
                <w:rFonts w:ascii="Arial" w:hAnsi="Arial" w:cs="Arial" w:eastAsia="Arial" w:hint="default"/>
                <w:sz w:val="18"/>
                <w:szCs w:val="18"/>
              </w:rPr>
            </w:pPr>
            <w:r>
              <w:rPr>
                <w:rFonts w:ascii="Arial"/>
                <w:sz w:val="18"/>
              </w:rPr>
              <w:t>15%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11"/>
              <w:jc w:val="right"/>
              <w:rPr>
                <w:rFonts w:ascii="Arial" w:hAnsi="Arial" w:cs="Arial" w:eastAsia="Arial" w:hint="default"/>
                <w:sz w:val="18"/>
                <w:szCs w:val="18"/>
              </w:rPr>
            </w:pPr>
            <w:r>
              <w:rPr>
                <w:rFonts w:ascii="Arial"/>
                <w:spacing w:val="-1"/>
                <w:sz w:val="18"/>
              </w:rPr>
              <w:t>GR200911000912</w:t>
            </w:r>
            <w:r>
              <w:rPr>
                <w:rFonts w:ascii="Arial"/>
                <w:sz w:val="18"/>
              </w:rPr>
            </w:r>
          </w:p>
        </w:tc>
        <w:tc>
          <w:tcPr>
            <w:tcW w:w="1954" w:type="dxa"/>
            <w:tcBorders>
              <w:top w:val="nil" w:sz="6" w:space="0" w:color="auto"/>
              <w:left w:val="nil" w:sz="6" w:space="0" w:color="auto"/>
              <w:bottom w:val="nil" w:sz="6" w:space="0" w:color="auto"/>
              <w:right w:val="nil" w:sz="6" w:space="0" w:color="auto"/>
            </w:tcBorders>
          </w:tcPr>
          <w:p>
            <w:pPr>
              <w:pStyle w:val="TableParagraph"/>
              <w:spacing w:line="236" w:lineRule="exact"/>
              <w:ind w:right="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年，有效期三年</w:t>
            </w:r>
          </w:p>
        </w:tc>
      </w:tr>
      <w:tr>
        <w:trPr>
          <w:trHeight w:val="288"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联通兴业</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center"/>
              <w:rPr>
                <w:rFonts w:ascii="Arial" w:hAnsi="Arial" w:cs="Arial" w:eastAsia="Arial" w:hint="default"/>
                <w:sz w:val="18"/>
                <w:szCs w:val="18"/>
              </w:rPr>
            </w:pPr>
            <w:r>
              <w:rPr>
                <w:rFonts w:ascii="Arial"/>
                <w:sz w:val="18"/>
              </w:rPr>
              <w:t>(2)</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 w:right="0"/>
              <w:jc w:val="center"/>
              <w:rPr>
                <w:rFonts w:ascii="Arial" w:hAnsi="Arial" w:cs="Arial" w:eastAsia="Arial" w:hint="default"/>
                <w:sz w:val="18"/>
                <w:szCs w:val="18"/>
              </w:rPr>
            </w:pPr>
            <w:r>
              <w:rPr>
                <w:rFonts w:ascii="Arial"/>
                <w:sz w:val="18"/>
              </w:rPr>
              <w:t>15%</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center"/>
              <w:rPr>
                <w:rFonts w:ascii="Arial" w:hAnsi="Arial" w:cs="Arial" w:eastAsia="Arial" w:hint="default"/>
                <w:sz w:val="18"/>
                <w:szCs w:val="18"/>
              </w:rPr>
            </w:pPr>
            <w:r>
              <w:rPr>
                <w:rFonts w:ascii="Arial"/>
                <w:sz w:val="18"/>
              </w:rPr>
              <w:t>15%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2"/>
              <w:jc w:val="right"/>
              <w:rPr>
                <w:rFonts w:ascii="Arial" w:hAnsi="Arial" w:cs="Arial" w:eastAsia="Arial" w:hint="default"/>
                <w:sz w:val="18"/>
                <w:szCs w:val="18"/>
              </w:rPr>
            </w:pPr>
            <w:r>
              <w:rPr>
                <w:rFonts w:ascii="Arial"/>
                <w:spacing w:val="-1"/>
                <w:sz w:val="18"/>
              </w:rPr>
              <w:t>GF201111001194</w:t>
            </w:r>
            <w:r>
              <w:rPr>
                <w:rFonts w:ascii="Arial"/>
                <w:sz w:val="18"/>
              </w:rPr>
            </w:r>
          </w:p>
        </w:tc>
        <w:tc>
          <w:tcPr>
            <w:tcW w:w="1954" w:type="dxa"/>
            <w:tcBorders>
              <w:top w:val="nil" w:sz="6" w:space="0" w:color="auto"/>
              <w:left w:val="nil" w:sz="6" w:space="0" w:color="auto"/>
              <w:bottom w:val="nil" w:sz="6" w:space="0" w:color="auto"/>
              <w:right w:val="nil" w:sz="6" w:space="0" w:color="auto"/>
            </w:tcBorders>
          </w:tcPr>
          <w:p>
            <w:pPr>
              <w:pStyle w:val="TableParagraph"/>
              <w:spacing w:line="236" w:lineRule="exact"/>
              <w:ind w:right="33"/>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年，有效期三年</w:t>
            </w:r>
          </w:p>
        </w:tc>
      </w:tr>
      <w:tr>
        <w:trPr>
          <w:trHeight w:val="345"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联通新时讯</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center"/>
              <w:rPr>
                <w:rFonts w:ascii="Arial" w:hAnsi="Arial" w:cs="Arial" w:eastAsia="Arial" w:hint="default"/>
                <w:sz w:val="18"/>
                <w:szCs w:val="18"/>
              </w:rPr>
            </w:pPr>
            <w:r>
              <w:rPr>
                <w:rFonts w:ascii="Arial"/>
                <w:sz w:val="18"/>
              </w:rPr>
              <w:t>(2)</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 w:right="0"/>
              <w:jc w:val="center"/>
              <w:rPr>
                <w:rFonts w:ascii="Arial" w:hAnsi="Arial" w:cs="Arial" w:eastAsia="Arial" w:hint="default"/>
                <w:sz w:val="18"/>
                <w:szCs w:val="18"/>
              </w:rPr>
            </w:pPr>
            <w:r>
              <w:rPr>
                <w:rFonts w:ascii="Arial"/>
                <w:sz w:val="18"/>
              </w:rPr>
              <w:t>15%</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center"/>
              <w:rPr>
                <w:rFonts w:ascii="Arial" w:hAnsi="Arial" w:cs="Arial" w:eastAsia="Arial" w:hint="default"/>
                <w:sz w:val="18"/>
                <w:szCs w:val="18"/>
              </w:rPr>
            </w:pPr>
            <w:r>
              <w:rPr>
                <w:rFonts w:ascii="Arial"/>
                <w:sz w:val="18"/>
              </w:rPr>
              <w:t>15%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11"/>
              <w:jc w:val="right"/>
              <w:rPr>
                <w:rFonts w:ascii="Arial" w:hAnsi="Arial" w:cs="Arial" w:eastAsia="Arial" w:hint="default"/>
                <w:sz w:val="18"/>
                <w:szCs w:val="18"/>
              </w:rPr>
            </w:pPr>
            <w:r>
              <w:rPr>
                <w:rFonts w:ascii="Arial"/>
                <w:spacing w:val="-1"/>
                <w:sz w:val="18"/>
              </w:rPr>
              <w:t>GR200911001817</w:t>
            </w:r>
            <w:r>
              <w:rPr>
                <w:rFonts w:ascii="Arial"/>
                <w:sz w:val="18"/>
              </w:rPr>
            </w:r>
          </w:p>
        </w:tc>
        <w:tc>
          <w:tcPr>
            <w:tcW w:w="1954" w:type="dxa"/>
            <w:tcBorders>
              <w:top w:val="nil" w:sz="6" w:space="0" w:color="auto"/>
              <w:left w:val="nil" w:sz="6" w:space="0" w:color="auto"/>
              <w:bottom w:val="nil" w:sz="6" w:space="0" w:color="auto"/>
              <w:right w:val="nil" w:sz="6" w:space="0" w:color="auto"/>
            </w:tcBorders>
          </w:tcPr>
          <w:p>
            <w:pPr>
              <w:pStyle w:val="TableParagraph"/>
              <w:spacing w:line="236" w:lineRule="exact"/>
              <w:ind w:right="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年，有效期三年</w:t>
            </w:r>
          </w:p>
        </w:tc>
      </w:tr>
    </w:tbl>
    <w:p>
      <w:pPr>
        <w:spacing w:after="0" w:line="236" w:lineRule="exact"/>
        <w:jc w:val="right"/>
        <w:rPr>
          <w:rFonts w:ascii="宋体" w:hAnsi="宋体" w:cs="宋体" w:eastAsia="宋体" w:hint="default"/>
          <w:sz w:val="18"/>
          <w:szCs w:val="18"/>
        </w:rPr>
        <w:sectPr>
          <w:headerReference w:type="default" r:id="rId70"/>
          <w:pgSz w:w="11900" w:h="16840"/>
          <w:pgMar w:header="914" w:footer="600" w:top="3300" w:bottom="780" w:left="1380" w:right="760"/>
        </w:sectPr>
      </w:pPr>
    </w:p>
    <w:p>
      <w:pPr>
        <w:pStyle w:val="BodyText"/>
        <w:spacing w:line="424" w:lineRule="auto" w:before="131"/>
        <w:ind w:left="529" w:right="2311" w:hanging="388"/>
        <w:jc w:val="left"/>
      </w:pPr>
      <w:r>
        <w:rPr>
          <w:rFonts w:ascii="Arial" w:hAnsi="Arial" w:cs="Arial" w:eastAsia="Arial" w:hint="default"/>
        </w:rPr>
        <w:t>(c)</w:t>
      </w:r>
      <w:r>
        <w:rPr>
          <w:rFonts w:ascii="Arial" w:hAnsi="Arial" w:cs="Arial" w:eastAsia="Arial" w:hint="default"/>
          <w:spacing w:val="7"/>
        </w:rPr>
        <w:t> </w:t>
      </w:r>
      <w:r>
        <w:rPr/>
        <w:t>联通运营公司所属子公司之企业所得税（续）</w:t>
      </w:r>
      <w:r>
        <w:rPr>
          <w:w w:val="99"/>
        </w:rPr>
        <w:t> </w:t>
      </w:r>
      <w:r>
        <w:rPr/>
        <w:t>联通运营公司的部分获得高新技术企业认证的子公司列示如下（续）：</w:t>
      </w:r>
    </w:p>
    <w:p>
      <w:pPr>
        <w:pStyle w:val="BodyText"/>
        <w:spacing w:line="294" w:lineRule="exact" w:before="81"/>
        <w:ind w:left="529" w:right="0"/>
        <w:jc w:val="both"/>
        <w:rPr>
          <w:rFonts w:ascii="Arial" w:hAnsi="Arial" w:cs="Arial" w:eastAsia="Arial" w:hint="default"/>
        </w:rPr>
      </w:pPr>
      <w:r>
        <w:rPr/>
        <w:t>注</w:t>
      </w:r>
      <w:r>
        <w:rPr>
          <w:spacing w:val="-61"/>
        </w:rPr>
        <w:t> </w:t>
      </w:r>
      <w:r>
        <w:rPr>
          <w:rFonts w:ascii="Arial" w:hAnsi="Arial" w:cs="Arial" w:eastAsia="Arial" w:hint="default"/>
          <w:spacing w:val="-4"/>
        </w:rPr>
        <w:t>1</w:t>
      </w:r>
      <w:r>
        <w:rPr>
          <w:spacing w:val="-4"/>
        </w:rPr>
        <w:t>：经与主管税务机关确认，系统集成公司北京总部（不含其他分公司）和宽带在线于</w:t>
      </w:r>
      <w:r>
        <w:rPr>
          <w:spacing w:val="-61"/>
        </w:rPr>
        <w:t> </w:t>
      </w:r>
      <w:r>
        <w:rPr>
          <w:rFonts w:ascii="Arial" w:hAnsi="Arial" w:cs="Arial" w:eastAsia="Arial" w:hint="default"/>
        </w:rPr>
        <w:t>2010</w:t>
      </w:r>
    </w:p>
    <w:p>
      <w:pPr>
        <w:pStyle w:val="BodyText"/>
        <w:spacing w:line="286" w:lineRule="exact" w:before="18"/>
        <w:ind w:left="1114" w:right="97"/>
        <w:jc w:val="left"/>
      </w:pPr>
      <w:r>
        <w:rPr/>
        <w:t>年度和</w:t>
      </w:r>
      <w:r>
        <w:rPr>
          <w:spacing w:val="-90"/>
        </w:rPr>
        <w:t> </w:t>
      </w:r>
      <w:r>
        <w:rPr>
          <w:rFonts w:ascii="Arial" w:hAnsi="Arial" w:cs="Arial" w:eastAsia="Arial" w:hint="default"/>
        </w:rPr>
        <w:t>2011</w:t>
      </w:r>
      <w:r>
        <w:rPr>
          <w:rFonts w:ascii="Arial" w:hAnsi="Arial" w:cs="Arial" w:eastAsia="Arial" w:hint="default"/>
          <w:spacing w:val="-42"/>
        </w:rPr>
        <w:t> </w:t>
      </w:r>
      <w:r>
        <w:rPr/>
        <w:t>年度均继续享受其分别于以前年度获批的“三免三减半”的税收优惠政策，</w:t>
      </w:r>
      <w:r>
        <w:rPr>
          <w:w w:val="99"/>
        </w:rPr>
        <w:t> </w:t>
      </w:r>
      <w:r>
        <w:rPr/>
        <w:t>故适用税率</w:t>
      </w:r>
      <w:r>
        <w:rPr>
          <w:spacing w:val="-58"/>
        </w:rPr>
        <w:t> </w:t>
      </w:r>
      <w:r>
        <w:rPr>
          <w:rFonts w:ascii="Arial" w:hAnsi="Arial" w:cs="Arial" w:eastAsia="Arial" w:hint="default"/>
        </w:rPr>
        <w:t>15%</w:t>
      </w:r>
      <w:r>
        <w:rPr/>
        <w:t>减半后</w:t>
      </w:r>
      <w:r>
        <w:rPr>
          <w:spacing w:val="-58"/>
        </w:rPr>
        <w:t> </w:t>
      </w:r>
      <w:r>
        <w:rPr>
          <w:rFonts w:ascii="Arial" w:hAnsi="Arial" w:cs="Arial" w:eastAsia="Arial" w:hint="default"/>
        </w:rPr>
        <w:t>7.5%</w:t>
      </w:r>
      <w:r>
        <w:rPr/>
        <w:t>的优惠税率计算缴纳企业所得税。</w:t>
      </w:r>
    </w:p>
    <w:p>
      <w:pPr>
        <w:spacing w:line="240" w:lineRule="auto" w:before="5"/>
        <w:rPr>
          <w:rFonts w:ascii="宋体" w:hAnsi="宋体" w:cs="宋体" w:eastAsia="宋体" w:hint="default"/>
          <w:sz w:val="18"/>
          <w:szCs w:val="18"/>
        </w:rPr>
      </w:pPr>
    </w:p>
    <w:p>
      <w:pPr>
        <w:pStyle w:val="BodyText"/>
        <w:spacing w:line="225" w:lineRule="auto"/>
        <w:ind w:left="1114" w:right="223" w:hanging="585"/>
        <w:jc w:val="both"/>
      </w:pPr>
      <w:r>
        <w:rPr/>
        <w:t>注</w:t>
      </w:r>
      <w:r>
        <w:rPr>
          <w:spacing w:val="-47"/>
        </w:rPr>
        <w:t> </w:t>
      </w:r>
      <w:r>
        <w:rPr>
          <w:rFonts w:ascii="Arial" w:hAnsi="Arial" w:cs="Arial" w:eastAsia="Arial" w:hint="default"/>
          <w:spacing w:val="-7"/>
        </w:rPr>
        <w:t>2</w:t>
      </w:r>
      <w:r>
        <w:rPr>
          <w:spacing w:val="-7"/>
        </w:rPr>
        <w:t>：经与主管税务机关确认，中讯设计院、规划设计院、联通兴业和联通新时讯均已获得“高</w:t>
      </w:r>
      <w:r>
        <w:rPr>
          <w:w w:val="99"/>
        </w:rPr>
        <w:t> </w:t>
      </w:r>
      <w:r>
        <w:rPr/>
        <w:t>新技术企业”认证，故于</w:t>
      </w:r>
      <w:r>
        <w:rPr>
          <w:spacing w:val="-48"/>
        </w:rPr>
        <w:t> </w:t>
      </w:r>
      <w:r>
        <w:rPr>
          <w:rFonts w:ascii="Arial" w:hAnsi="Arial" w:cs="Arial" w:eastAsia="Arial" w:hint="default"/>
        </w:rPr>
        <w:t>2010</w:t>
      </w:r>
      <w:r>
        <w:rPr>
          <w:rFonts w:ascii="Arial" w:hAnsi="Arial" w:cs="Arial" w:eastAsia="Arial" w:hint="default"/>
          <w:spacing w:val="1"/>
        </w:rPr>
        <w:t> </w:t>
      </w:r>
      <w:r>
        <w:rPr/>
        <w:t>年度及</w:t>
      </w:r>
      <w:r>
        <w:rPr>
          <w:spacing w:val="-48"/>
        </w:rPr>
        <w:t> </w:t>
      </w:r>
      <w:r>
        <w:rPr>
          <w:rFonts w:ascii="Arial" w:hAnsi="Arial" w:cs="Arial" w:eastAsia="Arial" w:hint="default"/>
        </w:rPr>
        <w:t>2011</w:t>
      </w:r>
      <w:r>
        <w:rPr>
          <w:rFonts w:ascii="Arial" w:hAnsi="Arial" w:cs="Arial" w:eastAsia="Arial" w:hint="default"/>
          <w:spacing w:val="3"/>
        </w:rPr>
        <w:t> </w:t>
      </w:r>
      <w:r>
        <w:rPr/>
        <w:t>年度适用</w:t>
      </w:r>
      <w:r>
        <w:rPr>
          <w:spacing w:val="-48"/>
        </w:rPr>
        <w:t> </w:t>
      </w:r>
      <w:r>
        <w:rPr>
          <w:rFonts w:ascii="Arial" w:hAnsi="Arial" w:cs="Arial" w:eastAsia="Arial" w:hint="default"/>
        </w:rPr>
        <w:t>15%</w:t>
      </w:r>
      <w:r>
        <w:rPr/>
        <w:t>的优惠税率计算缴纳企业所</w:t>
      </w:r>
      <w:r>
        <w:rPr>
          <w:w w:val="99"/>
        </w:rPr>
        <w:t> </w:t>
      </w:r>
      <w:r>
        <w:rPr/>
        <w:t>得税。系统集成公司所属各分公司于</w:t>
      </w:r>
      <w:r>
        <w:rPr>
          <w:spacing w:val="-62"/>
        </w:rPr>
        <w:t> </w:t>
      </w:r>
      <w:r>
        <w:rPr>
          <w:rFonts w:ascii="Arial" w:hAnsi="Arial" w:cs="Arial" w:eastAsia="Arial" w:hint="default"/>
        </w:rPr>
        <w:t>2010</w:t>
      </w:r>
      <w:r>
        <w:rPr>
          <w:rFonts w:ascii="Arial" w:hAnsi="Arial" w:cs="Arial" w:eastAsia="Arial" w:hint="default"/>
          <w:spacing w:val="-13"/>
        </w:rPr>
        <w:t> </w:t>
      </w:r>
      <w:r>
        <w:rPr/>
        <w:t>年度适用</w:t>
      </w:r>
      <w:r>
        <w:rPr>
          <w:spacing w:val="-62"/>
        </w:rPr>
        <w:t> </w:t>
      </w:r>
      <w:r>
        <w:rPr>
          <w:rFonts w:ascii="Arial" w:hAnsi="Arial" w:cs="Arial" w:eastAsia="Arial" w:hint="default"/>
        </w:rPr>
        <w:t>25%</w:t>
      </w:r>
      <w:r>
        <w:rPr/>
        <w:t>税率计算缴纳企业所得税，于</w:t>
      </w:r>
      <w:r>
        <w:rPr>
          <w:w w:val="99"/>
        </w:rPr>
        <w:t> </w:t>
      </w:r>
      <w:r>
        <w:rPr>
          <w:rFonts w:ascii="Arial" w:hAnsi="Arial" w:cs="Arial" w:eastAsia="Arial" w:hint="default"/>
        </w:rPr>
        <w:t>2011 </w:t>
      </w:r>
      <w:r>
        <w:rPr/>
        <w:t>年度该等分公司首次获得“高新技术企业”认证，故于 </w:t>
      </w:r>
      <w:r>
        <w:rPr>
          <w:rFonts w:ascii="Arial" w:hAnsi="Arial" w:cs="Arial" w:eastAsia="Arial" w:hint="default"/>
        </w:rPr>
        <w:t>2011 </w:t>
      </w:r>
      <w:r>
        <w:rPr/>
        <w:t>年度适用</w:t>
      </w:r>
      <w:r>
        <w:rPr>
          <w:spacing w:val="-32"/>
        </w:rPr>
        <w:t> </w:t>
      </w:r>
      <w:r>
        <w:rPr>
          <w:rFonts w:ascii="Arial" w:hAnsi="Arial" w:cs="Arial" w:eastAsia="Arial" w:hint="default"/>
        </w:rPr>
        <w:t>15%</w:t>
      </w:r>
      <w:r>
        <w:rPr/>
        <w:t>的优</w:t>
      </w:r>
      <w:r>
        <w:rPr>
          <w:spacing w:val="-2"/>
          <w:w w:val="99"/>
        </w:rPr>
        <w:t> </w:t>
      </w:r>
      <w:r>
        <w:rPr/>
        <w:t>惠税率计算缴纳企业所得税。</w:t>
      </w:r>
    </w:p>
    <w:p>
      <w:pPr>
        <w:spacing w:line="240" w:lineRule="auto" w:before="5"/>
        <w:rPr>
          <w:rFonts w:ascii="宋体" w:hAnsi="宋体" w:cs="宋体" w:eastAsia="宋体" w:hint="default"/>
          <w:sz w:val="21"/>
          <w:szCs w:val="21"/>
        </w:rPr>
      </w:pPr>
    </w:p>
    <w:p>
      <w:pPr>
        <w:pStyle w:val="BodyText"/>
        <w:spacing w:line="286" w:lineRule="exact"/>
        <w:ind w:left="574" w:right="223"/>
        <w:jc w:val="both"/>
      </w:pPr>
      <w:r>
        <w:rPr/>
        <w:t>联通运营公司所属子公司联通华盛为联通运营公司于 </w:t>
      </w:r>
      <w:r>
        <w:rPr>
          <w:rFonts w:ascii="Arial" w:hAnsi="Arial" w:cs="Arial" w:eastAsia="Arial" w:hint="default"/>
        </w:rPr>
        <w:t>2008</w:t>
      </w:r>
      <w:r>
        <w:rPr>
          <w:rFonts w:ascii="Arial" w:hAnsi="Arial" w:cs="Arial" w:eastAsia="Arial" w:hint="default"/>
          <w:spacing w:val="7"/>
        </w:rPr>
        <w:t> </w:t>
      </w:r>
      <w:r>
        <w:rPr/>
        <w:t>年设立的境内企业，根据所得税</w:t>
      </w:r>
      <w:r>
        <w:rPr>
          <w:spacing w:val="1"/>
          <w:w w:val="99"/>
        </w:rPr>
        <w:t> </w:t>
      </w:r>
      <w:r>
        <w:rPr/>
        <w:t>法，适用</w:t>
      </w:r>
      <w:r>
        <w:rPr>
          <w:spacing w:val="-59"/>
        </w:rPr>
        <w:t> </w:t>
      </w:r>
      <w:r>
        <w:rPr>
          <w:rFonts w:ascii="Arial" w:hAnsi="Arial" w:cs="Arial" w:eastAsia="Arial" w:hint="default"/>
        </w:rPr>
        <w:t>25%</w:t>
      </w:r>
      <w:r>
        <w:rPr/>
        <w:t>的企业所得税税率。</w:t>
      </w:r>
    </w:p>
    <w:p>
      <w:pPr>
        <w:spacing w:line="240" w:lineRule="auto" w:before="2"/>
        <w:rPr>
          <w:rFonts w:ascii="宋体" w:hAnsi="宋体" w:cs="宋体" w:eastAsia="宋体" w:hint="default"/>
          <w:sz w:val="17"/>
          <w:szCs w:val="17"/>
        </w:rPr>
      </w:pPr>
    </w:p>
    <w:p>
      <w:pPr>
        <w:pStyle w:val="BodyText"/>
        <w:spacing w:line="424" w:lineRule="auto"/>
        <w:ind w:left="106" w:right="2433" w:firstLine="468"/>
        <w:jc w:val="left"/>
      </w:pPr>
      <w:r>
        <w:rPr/>
        <w:t>联通信息导航和中融信息根据所得税法均适用</w:t>
      </w:r>
      <w:r>
        <w:rPr>
          <w:spacing w:val="-58"/>
        </w:rPr>
        <w:t> </w:t>
      </w:r>
      <w:r>
        <w:rPr>
          <w:rFonts w:ascii="Arial" w:hAnsi="Arial" w:cs="Arial" w:eastAsia="Arial" w:hint="default"/>
        </w:rPr>
        <w:t>25%</w:t>
      </w:r>
      <w:r>
        <w:rPr/>
        <w:t>的企业所得税率。</w:t>
      </w:r>
      <w:r>
        <w:rPr>
          <w:w w:val="99"/>
        </w:rPr>
        <w:t> </w:t>
      </w:r>
      <w:r>
        <w:rPr>
          <w:rFonts w:ascii="Arial" w:hAnsi="Arial" w:cs="Arial" w:eastAsia="Arial" w:hint="default"/>
        </w:rPr>
        <w:t>(d)  </w:t>
      </w:r>
      <w:r>
        <w:rPr>
          <w:rFonts w:ascii="Arial" w:hAnsi="Arial" w:cs="Arial" w:eastAsia="Arial" w:hint="default"/>
          <w:spacing w:val="14"/>
        </w:rPr>
        <w:t> </w:t>
      </w:r>
      <w:r>
        <w:rPr/>
        <w:t>本集团所属境外子公司所得税</w:t>
      </w:r>
    </w:p>
    <w:p>
      <w:pPr>
        <w:pStyle w:val="BodyText"/>
        <w:spacing w:line="230" w:lineRule="auto" w:before="56"/>
        <w:ind w:left="574" w:right="223"/>
        <w:jc w:val="both"/>
      </w:pPr>
      <w:r>
        <w:rPr/>
        <w:t>除联通红筹公司及联通 </w:t>
      </w:r>
      <w:r>
        <w:rPr>
          <w:rFonts w:ascii="Arial" w:hAnsi="Arial" w:cs="Arial" w:eastAsia="Arial" w:hint="default"/>
        </w:rPr>
        <w:t>BVI</w:t>
      </w:r>
      <w:r>
        <w:rPr>
          <w:rFonts w:ascii="Arial" w:hAnsi="Arial" w:cs="Arial" w:eastAsia="Arial" w:hint="default"/>
          <w:spacing w:val="-13"/>
        </w:rPr>
        <w:t> </w:t>
      </w:r>
      <w:r>
        <w:rPr/>
        <w:t>公司外的本集团所属境外子公司，如中国联通（香港）运营有限</w:t>
      </w:r>
      <w:r>
        <w:rPr>
          <w:w w:val="99"/>
        </w:rPr>
        <w:t> </w:t>
      </w:r>
      <w:r>
        <w:rPr/>
        <w:t>公司等（请参见附注四），其企业所得税按其在有关期间的应纳税所得额以及各公司所在国</w:t>
      </w:r>
      <w:r>
        <w:rPr>
          <w:spacing w:val="-47"/>
        </w:rPr>
        <w:t> </w:t>
      </w:r>
      <w:r>
        <w:rPr>
          <w:spacing w:val="-47"/>
        </w:rPr>
      </w:r>
      <w:r>
        <w:rPr/>
        <w:t>家或地区的企业所得税率计算，企业所得税率一般在</w:t>
      </w:r>
      <w:r>
        <w:rPr>
          <w:spacing w:val="-58"/>
        </w:rPr>
        <w:t> </w:t>
      </w:r>
      <w:r>
        <w:rPr>
          <w:rFonts w:ascii="Arial" w:hAnsi="Arial" w:cs="Arial" w:eastAsia="Arial" w:hint="default"/>
        </w:rPr>
        <w:t>16.5%</w:t>
      </w:r>
      <w:r>
        <w:rPr/>
        <w:t>至</w:t>
      </w:r>
      <w:r>
        <w:rPr>
          <w:spacing w:val="-58"/>
        </w:rPr>
        <w:t> </w:t>
      </w:r>
      <w:r>
        <w:rPr>
          <w:rFonts w:ascii="Arial" w:hAnsi="Arial" w:cs="Arial" w:eastAsia="Arial" w:hint="default"/>
        </w:rPr>
        <w:t>34.00%</w:t>
      </w:r>
      <w:r>
        <w:rPr/>
        <w:t>之间。</w:t>
      </w:r>
    </w:p>
    <w:p>
      <w:pPr>
        <w:spacing w:line="240" w:lineRule="auto" w:before="1"/>
        <w:rPr>
          <w:rFonts w:ascii="宋体" w:hAnsi="宋体" w:cs="宋体" w:eastAsia="宋体" w:hint="default"/>
          <w:sz w:val="19"/>
          <w:szCs w:val="19"/>
        </w:rPr>
      </w:pPr>
    </w:p>
    <w:p>
      <w:pPr>
        <w:pStyle w:val="BodyText"/>
        <w:spacing w:line="228" w:lineRule="auto"/>
        <w:ind w:left="574" w:right="107" w:hanging="468"/>
        <w:jc w:val="left"/>
      </w:pPr>
      <w:r>
        <w:rPr>
          <w:rFonts w:ascii="Arial" w:hAnsi="Arial" w:cs="Arial" w:eastAsia="Arial" w:hint="default"/>
        </w:rPr>
        <w:t>(e)</w:t>
      </w:r>
      <w:r>
        <w:rPr>
          <w:rFonts w:ascii="Arial" w:hAnsi="Arial" w:cs="Arial" w:eastAsia="Arial" w:hint="default"/>
          <w:spacing w:val="41"/>
        </w:rPr>
        <w:t> </w:t>
      </w:r>
      <w:r>
        <w:rPr/>
        <w:t>根据国务院为所得税法发布的《中华人民共和国企业所得税法实施条例》（“实施条例”）、</w:t>
      </w:r>
      <w:r>
        <w:rPr>
          <w:w w:val="99"/>
        </w:rPr>
        <w:t> </w:t>
      </w:r>
      <w:r>
        <w:rPr>
          <w:spacing w:val="-4"/>
          <w:w w:val="99"/>
        </w:rPr>
        <w:t>财政部及国家税务总局共同发布的《关于企业所得税若干优惠政策的通知》（财税</w:t>
      </w:r>
      <w:r>
        <w:rPr>
          <w:rFonts w:ascii="Arial" w:hAnsi="Arial" w:cs="Arial" w:eastAsia="Arial" w:hint="default"/>
          <w:spacing w:val="-4"/>
          <w:w w:val="99"/>
        </w:rPr>
        <w:t>[2008]1</w:t>
      </w:r>
      <w:r>
        <w:rPr>
          <w:rFonts w:ascii="Arial" w:hAnsi="Arial" w:cs="Arial" w:eastAsia="Arial" w:hint="default"/>
          <w:spacing w:val="12"/>
          <w:w w:val="99"/>
        </w:rPr>
        <w:t> </w:t>
      </w:r>
      <w:r>
        <w:rPr>
          <w:w w:val="99"/>
        </w:rPr>
        <w:t>号） </w:t>
      </w:r>
      <w:r>
        <w:rPr/>
        <w:t>以及根据国家税务总局</w:t>
      </w:r>
      <w:r>
        <w:rPr>
          <w:spacing w:val="-56"/>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4</w:t>
      </w:r>
      <w:r>
        <w:rPr>
          <w:rFonts w:ascii="Arial" w:hAnsi="Arial" w:cs="Arial" w:eastAsia="Arial" w:hint="default"/>
          <w:spacing w:val="-8"/>
        </w:rPr>
        <w:t> </w:t>
      </w:r>
      <w:r>
        <w:rPr/>
        <w:t>月</w:t>
      </w:r>
      <w:r>
        <w:rPr>
          <w:spacing w:val="-57"/>
        </w:rPr>
        <w:t> </w:t>
      </w:r>
      <w:r>
        <w:rPr>
          <w:rFonts w:ascii="Arial" w:hAnsi="Arial" w:cs="Arial" w:eastAsia="Arial" w:hint="default"/>
        </w:rPr>
        <w:t>22</w:t>
      </w:r>
      <w:r>
        <w:rPr>
          <w:rFonts w:ascii="Arial" w:hAnsi="Arial" w:cs="Arial" w:eastAsia="Arial" w:hint="default"/>
          <w:spacing w:val="-8"/>
        </w:rPr>
        <w:t> </w:t>
      </w:r>
      <w:r>
        <w:rPr/>
        <w:t>日发布的《关于境外注册中资控股企业依据实际管理</w:t>
      </w:r>
      <w:r>
        <w:rPr>
          <w:w w:val="99"/>
        </w:rPr>
        <w:t> </w:t>
      </w:r>
      <w:r>
        <w:rPr/>
        <w:t>机构标准认定为居民企业有关问题的通知》等，经主管税务机关批准，本集团的联通红筹公</w:t>
      </w:r>
      <w:r>
        <w:rPr>
          <w:spacing w:val="2"/>
          <w:w w:val="99"/>
        </w:rPr>
        <w:t> </w:t>
      </w:r>
      <w:r>
        <w:rPr/>
        <w:t>司及联通</w:t>
      </w:r>
      <w:r>
        <w:rPr>
          <w:spacing w:val="-60"/>
        </w:rPr>
        <w:t> </w:t>
      </w:r>
      <w:r>
        <w:rPr>
          <w:rFonts w:ascii="Arial" w:hAnsi="Arial" w:cs="Arial" w:eastAsia="Arial" w:hint="default"/>
        </w:rPr>
        <w:t>BVI</w:t>
      </w:r>
      <w:r>
        <w:rPr>
          <w:rFonts w:ascii="Arial" w:hAnsi="Arial" w:cs="Arial" w:eastAsia="Arial" w:hint="default"/>
          <w:spacing w:val="-11"/>
        </w:rPr>
        <w:t> </w:t>
      </w:r>
      <w:r>
        <w:rPr/>
        <w:t>公司从</w:t>
      </w:r>
      <w:r>
        <w:rPr>
          <w:spacing w:val="-60"/>
        </w:rPr>
        <w:t> </w:t>
      </w:r>
      <w:r>
        <w:rPr>
          <w:rFonts w:ascii="Arial" w:hAnsi="Arial" w:cs="Arial" w:eastAsia="Arial" w:hint="default"/>
        </w:rPr>
        <w:t>2008</w:t>
      </w:r>
      <w:r>
        <w:rPr>
          <w:rFonts w:ascii="Arial" w:hAnsi="Arial" w:cs="Arial" w:eastAsia="Arial" w:hint="default"/>
          <w:spacing w:val="-11"/>
        </w:rPr>
        <w:t> </w:t>
      </w:r>
      <w:r>
        <w:rPr/>
        <w:t>年</w:t>
      </w:r>
      <w:r>
        <w:rPr>
          <w:spacing w:val="-59"/>
        </w:rPr>
        <w:t> </w:t>
      </w:r>
      <w:r>
        <w:rPr>
          <w:rFonts w:ascii="Arial" w:hAnsi="Arial" w:cs="Arial" w:eastAsia="Arial" w:hint="default"/>
        </w:rPr>
        <w:t>1</w:t>
      </w:r>
      <w:r>
        <w:rPr>
          <w:rFonts w:ascii="Arial" w:hAnsi="Arial" w:cs="Arial" w:eastAsia="Arial" w:hint="default"/>
          <w:spacing w:val="-11"/>
        </w:rPr>
        <w:t> </w:t>
      </w:r>
      <w:r>
        <w:rPr/>
        <w:t>月</w:t>
      </w:r>
      <w:r>
        <w:rPr>
          <w:spacing w:val="-59"/>
        </w:rPr>
        <w:t> </w:t>
      </w:r>
      <w:r>
        <w:rPr>
          <w:rFonts w:ascii="Arial" w:hAnsi="Arial" w:cs="Arial" w:eastAsia="Arial" w:hint="default"/>
        </w:rPr>
        <w:t>1</w:t>
      </w:r>
      <w:r>
        <w:rPr>
          <w:rFonts w:ascii="Arial" w:hAnsi="Arial" w:cs="Arial" w:eastAsia="Arial" w:hint="default"/>
          <w:spacing w:val="-10"/>
        </w:rPr>
        <w:t> </w:t>
      </w:r>
      <w:r>
        <w:rPr/>
        <w:t>日起被认定为中国居民企业并适用所得税法的相关规定。</w:t>
      </w:r>
    </w:p>
    <w:p>
      <w:pPr>
        <w:spacing w:after="0" w:line="228" w:lineRule="auto"/>
        <w:jc w:val="left"/>
        <w:sectPr>
          <w:headerReference w:type="default" r:id="rId71"/>
          <w:pgSz w:w="11900" w:h="16840"/>
          <w:pgMar w:header="914" w:footer="600" w:top="3300" w:bottom="780" w:left="1420" w:right="800"/>
        </w:sectPr>
      </w:pPr>
    </w:p>
    <w:p>
      <w:pPr>
        <w:spacing w:line="240" w:lineRule="auto" w:before="10"/>
        <w:rPr>
          <w:rFonts w:ascii="宋体" w:hAnsi="宋体" w:cs="宋体" w:eastAsia="宋体" w:hint="default"/>
          <w:sz w:val="16"/>
          <w:szCs w:val="16"/>
        </w:rPr>
      </w:pPr>
    </w:p>
    <w:p>
      <w:pPr>
        <w:pStyle w:val="BodyText"/>
        <w:spacing w:line="240" w:lineRule="auto" w:before="31"/>
        <w:ind w:left="107"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7"/>
        </w:rPr>
        <w:t> </w:t>
      </w:r>
      <w:r>
        <w:rPr>
          <w:rFonts w:ascii="黑体" w:hAnsi="黑体" w:cs="黑体" w:eastAsia="黑体" w:hint="default"/>
        </w:rPr>
        <w:t>企业合并及合并财务报表</w:t>
      </w:r>
    </w:p>
    <w:p>
      <w:pPr>
        <w:pStyle w:val="BodyText"/>
        <w:spacing w:line="240" w:lineRule="auto" w:before="181"/>
        <w:ind w:left="135" w:right="0"/>
        <w:jc w:val="left"/>
      </w:pPr>
      <w:r>
        <w:rPr>
          <w:rFonts w:ascii="Arial" w:hAnsi="Arial" w:cs="Arial" w:eastAsia="Arial" w:hint="default"/>
        </w:rPr>
        <w:t>1</w:t>
      </w:r>
      <w:r>
        <w:rPr/>
        <w:t>、</w:t>
      </w:r>
      <w:r>
        <w:rPr>
          <w:spacing w:val="-64"/>
        </w:rPr>
        <w:t> </w:t>
      </w:r>
      <w:r>
        <w:rPr/>
        <w:t>重要子公司情况</w:t>
      </w:r>
    </w:p>
    <w:p>
      <w:pPr>
        <w:pStyle w:val="BodyText"/>
        <w:spacing w:line="240" w:lineRule="auto" w:before="165"/>
        <w:ind w:left="107" w:right="0"/>
        <w:jc w:val="left"/>
      </w:pPr>
      <w:r>
        <w:rPr>
          <w:rFonts w:ascii="Arial" w:hAnsi="Arial" w:cs="Arial" w:eastAsia="Arial" w:hint="default"/>
        </w:rPr>
        <w:t>(a) </w:t>
      </w:r>
      <w:r>
        <w:rPr>
          <w:rFonts w:ascii="Arial" w:hAnsi="Arial" w:cs="Arial" w:eastAsia="Arial" w:hint="default"/>
          <w:spacing w:val="25"/>
        </w:rPr>
        <w:t> </w:t>
      </w:r>
      <w:r>
        <w:rPr/>
        <w:t>通过设立或投资等方式取得的子公司</w:t>
      </w:r>
    </w:p>
    <w:p>
      <w:pPr>
        <w:spacing w:line="240" w:lineRule="auto" w:before="6"/>
        <w:rPr>
          <w:rFonts w:ascii="宋体" w:hAnsi="宋体" w:cs="宋体" w:eastAsia="宋体" w:hint="default"/>
          <w:sz w:val="9"/>
          <w:szCs w:val="9"/>
        </w:rPr>
      </w:pPr>
    </w:p>
    <w:tbl>
      <w:tblPr>
        <w:tblW w:w="0" w:type="auto"/>
        <w:jc w:val="left"/>
        <w:tblInd w:w="467" w:type="dxa"/>
        <w:tblLayout w:type="fixed"/>
        <w:tblCellMar>
          <w:top w:w="0" w:type="dxa"/>
          <w:left w:w="0" w:type="dxa"/>
          <w:bottom w:w="0" w:type="dxa"/>
          <w:right w:w="0" w:type="dxa"/>
        </w:tblCellMar>
        <w:tblLook w:val="01E0"/>
      </w:tblPr>
      <w:tblGrid>
        <w:gridCol w:w="1900"/>
        <w:gridCol w:w="456"/>
        <w:gridCol w:w="585"/>
        <w:gridCol w:w="1500"/>
        <w:gridCol w:w="816"/>
        <w:gridCol w:w="1117"/>
        <w:gridCol w:w="851"/>
        <w:gridCol w:w="823"/>
        <w:gridCol w:w="645"/>
        <w:gridCol w:w="1063"/>
        <w:gridCol w:w="1131"/>
        <w:gridCol w:w="1008"/>
        <w:gridCol w:w="539"/>
        <w:gridCol w:w="599"/>
        <w:gridCol w:w="517"/>
        <w:gridCol w:w="877"/>
        <w:gridCol w:w="477"/>
      </w:tblGrid>
      <w:tr>
        <w:trPr>
          <w:trHeight w:val="711" w:hRule="exact"/>
        </w:trPr>
        <w:tc>
          <w:tcPr>
            <w:tcW w:w="9756" w:type="dxa"/>
            <w:gridSpan w:val="10"/>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16"/>
                <w:szCs w:val="16"/>
              </w:rPr>
            </w:pPr>
            <w:r>
              <w:rPr>
                <w:rFonts w:ascii="宋体" w:hAnsi="宋体" w:cs="宋体" w:eastAsia="宋体" w:hint="default"/>
                <w:sz w:val="16"/>
                <w:szCs w:val="16"/>
              </w:rPr>
              <w:t>年末实际</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5" w:right="91"/>
              <w:jc w:val="left"/>
              <w:rPr>
                <w:rFonts w:ascii="宋体" w:hAnsi="宋体" w:cs="宋体" w:eastAsia="宋体" w:hint="default"/>
                <w:sz w:val="16"/>
                <w:szCs w:val="16"/>
              </w:rPr>
            </w:pPr>
            <w:r>
              <w:rPr>
                <w:rFonts w:ascii="宋体" w:hAnsi="宋体" w:cs="宋体" w:eastAsia="宋体" w:hint="default"/>
                <w:sz w:val="16"/>
                <w:szCs w:val="16"/>
              </w:rPr>
              <w:t>实质上构成</w:t>
            </w:r>
            <w:r>
              <w:rPr>
                <w:rFonts w:ascii="宋体" w:hAnsi="宋体" w:cs="宋体" w:eastAsia="宋体" w:hint="default"/>
                <w:w w:val="99"/>
                <w:sz w:val="16"/>
                <w:szCs w:val="16"/>
              </w:rPr>
              <w:t> </w:t>
            </w:r>
            <w:r>
              <w:rPr>
                <w:rFonts w:ascii="宋体" w:hAnsi="宋体" w:cs="宋体" w:eastAsia="宋体" w:hint="default"/>
                <w:sz w:val="16"/>
                <w:szCs w:val="16"/>
              </w:rPr>
              <w:t>对子公司净</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center"/>
              <w:rPr>
                <w:rFonts w:ascii="宋体" w:hAnsi="宋体" w:cs="宋体" w:eastAsia="宋体" w:hint="default"/>
                <w:sz w:val="16"/>
                <w:szCs w:val="16"/>
              </w:rPr>
            </w:pPr>
            <w:r>
              <w:rPr>
                <w:rFonts w:ascii="宋体" w:hAnsi="宋体" w:cs="宋体" w:eastAsia="宋体" w:hint="default"/>
                <w:sz w:val="16"/>
                <w:szCs w:val="16"/>
              </w:rPr>
              <w:t>持股</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6"/>
              <w:jc w:val="center"/>
              <w:rPr>
                <w:rFonts w:ascii="宋体" w:hAnsi="宋体" w:cs="宋体" w:eastAsia="宋体" w:hint="default"/>
                <w:sz w:val="16"/>
                <w:szCs w:val="16"/>
              </w:rPr>
            </w:pPr>
            <w:r>
              <w:rPr>
                <w:rFonts w:ascii="宋体" w:hAnsi="宋体" w:cs="宋体" w:eastAsia="宋体" w:hint="default"/>
                <w:sz w:val="16"/>
                <w:szCs w:val="16"/>
              </w:rPr>
              <w:t>表决权</w:t>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1"/>
              <w:jc w:val="center"/>
              <w:rPr>
                <w:rFonts w:ascii="宋体" w:hAnsi="宋体" w:cs="宋体" w:eastAsia="宋体" w:hint="default"/>
                <w:sz w:val="16"/>
                <w:szCs w:val="16"/>
              </w:rPr>
            </w:pPr>
            <w:r>
              <w:rPr>
                <w:rFonts w:ascii="宋体" w:hAnsi="宋体" w:cs="宋体" w:eastAsia="宋体" w:hint="default"/>
                <w:sz w:val="16"/>
                <w:szCs w:val="16"/>
              </w:rPr>
              <w:t>是否</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10"/>
              <w:jc w:val="right"/>
              <w:rPr>
                <w:rFonts w:ascii="宋体" w:hAnsi="宋体" w:cs="宋体" w:eastAsia="宋体" w:hint="default"/>
                <w:sz w:val="16"/>
                <w:szCs w:val="16"/>
              </w:rPr>
            </w:pPr>
            <w:r>
              <w:rPr>
                <w:rFonts w:ascii="宋体" w:hAnsi="宋体" w:cs="宋体" w:eastAsia="宋体" w:hint="default"/>
                <w:w w:val="95"/>
                <w:sz w:val="16"/>
                <w:szCs w:val="16"/>
              </w:rPr>
              <w:t>少数股东</w:t>
            </w:r>
            <w:r>
              <w:rPr>
                <w:rFonts w:ascii="宋体" w:hAnsi="宋体" w:cs="宋体" w:eastAsia="宋体" w:hint="default"/>
                <w:sz w:val="16"/>
                <w:szCs w:val="16"/>
              </w:rPr>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2" w:right="43"/>
              <w:jc w:val="both"/>
              <w:rPr>
                <w:rFonts w:ascii="宋体" w:hAnsi="宋体" w:cs="宋体" w:eastAsia="宋体" w:hint="default"/>
                <w:sz w:val="16"/>
                <w:szCs w:val="16"/>
              </w:rPr>
            </w:pPr>
            <w:r>
              <w:rPr>
                <w:rFonts w:ascii="宋体" w:hAnsi="宋体" w:cs="宋体" w:eastAsia="宋体" w:hint="default"/>
                <w:sz w:val="16"/>
                <w:szCs w:val="16"/>
              </w:rPr>
              <w:t>少数</w:t>
            </w:r>
            <w:r>
              <w:rPr>
                <w:rFonts w:ascii="宋体" w:hAnsi="宋体" w:cs="宋体" w:eastAsia="宋体" w:hint="default"/>
                <w:w w:val="99"/>
                <w:sz w:val="16"/>
                <w:szCs w:val="16"/>
              </w:rPr>
              <w:t> </w:t>
            </w:r>
            <w:r>
              <w:rPr>
                <w:rFonts w:ascii="宋体" w:hAnsi="宋体" w:cs="宋体" w:eastAsia="宋体" w:hint="default"/>
                <w:sz w:val="16"/>
                <w:szCs w:val="16"/>
              </w:rPr>
              <w:t>股东</w:t>
            </w:r>
            <w:r>
              <w:rPr>
                <w:rFonts w:ascii="宋体" w:hAnsi="宋体" w:cs="宋体" w:eastAsia="宋体" w:hint="default"/>
                <w:w w:val="99"/>
                <w:sz w:val="16"/>
                <w:szCs w:val="16"/>
              </w:rPr>
              <w:t> </w:t>
            </w:r>
            <w:r>
              <w:rPr>
                <w:rFonts w:ascii="宋体" w:hAnsi="宋体" w:cs="宋体" w:eastAsia="宋体" w:hint="default"/>
                <w:sz w:val="16"/>
                <w:szCs w:val="16"/>
              </w:rPr>
              <w:t>权益</w:t>
            </w:r>
          </w:p>
        </w:tc>
      </w:tr>
      <w:tr>
        <w:trPr>
          <w:trHeight w:val="207" w:hRule="exact"/>
        </w:trPr>
        <w:tc>
          <w:tcPr>
            <w:tcW w:w="1900"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Style w:val="TableParagraph"/>
              <w:spacing w:line="172" w:lineRule="exact"/>
              <w:ind w:left="37" w:right="0"/>
              <w:jc w:val="center"/>
              <w:rPr>
                <w:rFonts w:ascii="宋体" w:hAnsi="宋体" w:cs="宋体" w:eastAsia="宋体" w:hint="default"/>
                <w:sz w:val="16"/>
                <w:szCs w:val="16"/>
              </w:rPr>
            </w:pPr>
            <w:r>
              <w:rPr>
                <w:rFonts w:ascii="宋体" w:hAnsi="宋体" w:cs="宋体" w:eastAsia="宋体" w:hint="default"/>
                <w:sz w:val="16"/>
                <w:szCs w:val="16"/>
              </w:rPr>
              <w:t>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172" w:lineRule="exact"/>
              <w:ind w:left="152" w:right="0"/>
              <w:jc w:val="center"/>
              <w:rPr>
                <w:rFonts w:ascii="宋体" w:hAnsi="宋体" w:cs="宋体" w:eastAsia="宋体" w:hint="default"/>
                <w:sz w:val="16"/>
                <w:szCs w:val="16"/>
              </w:rPr>
            </w:pPr>
            <w:r>
              <w:rPr>
                <w:rFonts w:ascii="宋体" w:hAnsi="宋体" w:cs="宋体" w:eastAsia="宋体" w:hint="default"/>
                <w:sz w:val="16"/>
                <w:szCs w:val="16"/>
              </w:rPr>
              <w:t>注册地及</w:t>
            </w:r>
          </w:p>
        </w:tc>
        <w:tc>
          <w:tcPr>
            <w:tcW w:w="816" w:type="dxa"/>
            <w:tcBorders>
              <w:top w:val="nil" w:sz="6" w:space="0" w:color="auto"/>
              <w:left w:val="nil" w:sz="6" w:space="0" w:color="auto"/>
              <w:bottom w:val="nil" w:sz="6" w:space="0" w:color="auto"/>
              <w:right w:val="nil" w:sz="6" w:space="0" w:color="auto"/>
            </w:tcBorders>
          </w:tcPr>
          <w:p>
            <w:pPr>
              <w:pStyle w:val="TableParagraph"/>
              <w:spacing w:line="172" w:lineRule="exact"/>
              <w:ind w:left="34"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117" w:type="dxa"/>
            <w:tcBorders>
              <w:top w:val="nil" w:sz="6" w:space="0" w:color="auto"/>
              <w:left w:val="nil" w:sz="6" w:space="0" w:color="auto"/>
              <w:bottom w:val="nil" w:sz="6" w:space="0" w:color="auto"/>
              <w:right w:val="nil" w:sz="6" w:space="0" w:color="auto"/>
            </w:tcBorders>
          </w:tcPr>
          <w:p>
            <w:pPr>
              <w:pStyle w:val="TableParagraph"/>
              <w:spacing w:line="172" w:lineRule="exact"/>
              <w:ind w:left="240" w:right="0"/>
              <w:jc w:val="left"/>
              <w:rPr>
                <w:rFonts w:ascii="宋体" w:hAnsi="宋体" w:cs="宋体" w:eastAsia="宋体" w:hint="default"/>
                <w:sz w:val="16"/>
                <w:szCs w:val="16"/>
              </w:rPr>
            </w:pPr>
            <w:r>
              <w:rPr>
                <w:rFonts w:ascii="宋体" w:hAnsi="宋体" w:cs="宋体" w:eastAsia="宋体" w:hint="default"/>
                <w:sz w:val="16"/>
                <w:szCs w:val="16"/>
              </w:rPr>
              <w:t>注册资本</w:t>
            </w:r>
          </w:p>
        </w:tc>
        <w:tc>
          <w:tcPr>
            <w:tcW w:w="85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Style w:val="TableParagraph"/>
              <w:spacing w:line="172" w:lineRule="exact"/>
              <w:ind w:right="97"/>
              <w:jc w:val="right"/>
              <w:rPr>
                <w:rFonts w:ascii="宋体" w:hAnsi="宋体" w:cs="宋体" w:eastAsia="宋体" w:hint="default"/>
                <w:sz w:val="16"/>
                <w:szCs w:val="16"/>
              </w:rPr>
            </w:pPr>
            <w:r>
              <w:rPr>
                <w:rFonts w:ascii="宋体" w:hAnsi="宋体" w:cs="宋体" w:eastAsia="宋体" w:hint="default"/>
                <w:w w:val="95"/>
                <w:sz w:val="16"/>
                <w:szCs w:val="16"/>
              </w:rPr>
              <w:t>法人</w:t>
            </w:r>
            <w:r>
              <w:rPr>
                <w:rFonts w:ascii="宋体" w:hAnsi="宋体" w:cs="宋体" w:eastAsia="宋体" w:hint="default"/>
                <w:sz w:val="16"/>
                <w:szCs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72" w:lineRule="exact"/>
              <w:ind w:right="46"/>
              <w:jc w:val="center"/>
              <w:rPr>
                <w:rFonts w:ascii="宋体" w:hAnsi="宋体" w:cs="宋体" w:eastAsia="宋体" w:hint="default"/>
                <w:sz w:val="16"/>
                <w:szCs w:val="16"/>
              </w:rPr>
            </w:pPr>
            <w:r>
              <w:rPr>
                <w:rFonts w:ascii="宋体" w:hAnsi="宋体" w:cs="宋体" w:eastAsia="宋体" w:hint="default"/>
                <w:sz w:val="16"/>
                <w:szCs w:val="16"/>
              </w:rPr>
              <w:t>组织机构</w:t>
            </w:r>
          </w:p>
        </w:tc>
        <w:tc>
          <w:tcPr>
            <w:tcW w:w="1131" w:type="dxa"/>
            <w:tcBorders>
              <w:top w:val="nil" w:sz="6" w:space="0" w:color="auto"/>
              <w:left w:val="nil" w:sz="6" w:space="0" w:color="auto"/>
              <w:bottom w:val="nil" w:sz="6" w:space="0" w:color="auto"/>
              <w:right w:val="nil" w:sz="6" w:space="0" w:color="auto"/>
            </w:tcBorders>
          </w:tcPr>
          <w:p>
            <w:pPr>
              <w:pStyle w:val="TableParagraph"/>
              <w:spacing w:line="172" w:lineRule="exact"/>
              <w:ind w:left="212" w:right="0"/>
              <w:jc w:val="left"/>
              <w:rPr>
                <w:rFonts w:ascii="宋体" w:hAnsi="宋体" w:cs="宋体" w:eastAsia="宋体" w:hint="default"/>
                <w:sz w:val="16"/>
                <w:szCs w:val="16"/>
              </w:rPr>
            </w:pPr>
            <w:r>
              <w:rPr>
                <w:rFonts w:ascii="宋体" w:hAnsi="宋体" w:cs="宋体" w:eastAsia="宋体" w:hint="default"/>
                <w:sz w:val="16"/>
                <w:szCs w:val="16"/>
              </w:rPr>
              <w:t>出资额</w:t>
            </w:r>
          </w:p>
        </w:tc>
        <w:tc>
          <w:tcPr>
            <w:tcW w:w="1008" w:type="dxa"/>
            <w:tcBorders>
              <w:top w:val="nil" w:sz="6" w:space="0" w:color="auto"/>
              <w:left w:val="nil" w:sz="6" w:space="0" w:color="auto"/>
              <w:bottom w:val="nil" w:sz="6" w:space="0" w:color="auto"/>
              <w:right w:val="nil" w:sz="6" w:space="0" w:color="auto"/>
            </w:tcBorders>
          </w:tcPr>
          <w:p>
            <w:pPr>
              <w:pStyle w:val="TableParagraph"/>
              <w:spacing w:line="172" w:lineRule="exact"/>
              <w:ind w:left="21" w:right="0"/>
              <w:jc w:val="center"/>
              <w:rPr>
                <w:rFonts w:ascii="宋体" w:hAnsi="宋体" w:cs="宋体" w:eastAsia="宋体" w:hint="default"/>
                <w:sz w:val="16"/>
                <w:szCs w:val="16"/>
              </w:rPr>
            </w:pPr>
            <w:r>
              <w:rPr>
                <w:rFonts w:ascii="宋体" w:hAnsi="宋体" w:cs="宋体" w:eastAsia="宋体" w:hint="default"/>
                <w:sz w:val="16"/>
                <w:szCs w:val="16"/>
              </w:rPr>
              <w:t>投资的其他</w:t>
            </w:r>
          </w:p>
        </w:tc>
        <w:tc>
          <w:tcPr>
            <w:tcW w:w="539" w:type="dxa"/>
            <w:tcBorders>
              <w:top w:val="nil" w:sz="6" w:space="0" w:color="auto"/>
              <w:left w:val="nil" w:sz="6" w:space="0" w:color="auto"/>
              <w:bottom w:val="nil" w:sz="6" w:space="0" w:color="auto"/>
              <w:right w:val="nil" w:sz="6" w:space="0" w:color="auto"/>
            </w:tcBorders>
          </w:tcPr>
          <w:p>
            <w:pPr>
              <w:pStyle w:val="TableParagraph"/>
              <w:spacing w:line="194" w:lineRule="exact"/>
              <w:ind w:left="24" w:right="0"/>
              <w:jc w:val="center"/>
              <w:rPr>
                <w:rFonts w:ascii="宋体" w:hAnsi="宋体" w:cs="宋体" w:eastAsia="宋体" w:hint="default"/>
                <w:sz w:val="16"/>
                <w:szCs w:val="16"/>
              </w:rPr>
            </w:pPr>
            <w:r>
              <w:rPr>
                <w:rFonts w:ascii="宋体" w:hAnsi="宋体" w:cs="宋体" w:eastAsia="宋体" w:hint="default"/>
                <w:sz w:val="16"/>
                <w:szCs w:val="16"/>
              </w:rPr>
              <w:t>比例</w:t>
            </w:r>
          </w:p>
        </w:tc>
        <w:tc>
          <w:tcPr>
            <w:tcW w:w="599" w:type="dxa"/>
            <w:tcBorders>
              <w:top w:val="nil" w:sz="6" w:space="0" w:color="auto"/>
              <w:left w:val="nil" w:sz="6" w:space="0" w:color="auto"/>
              <w:bottom w:val="nil" w:sz="6" w:space="0" w:color="auto"/>
              <w:right w:val="nil" w:sz="6" w:space="0" w:color="auto"/>
            </w:tcBorders>
          </w:tcPr>
          <w:p>
            <w:pPr>
              <w:pStyle w:val="TableParagraph"/>
              <w:spacing w:line="194" w:lineRule="exact"/>
              <w:ind w:right="26"/>
              <w:jc w:val="center"/>
              <w:rPr>
                <w:rFonts w:ascii="宋体" w:hAnsi="宋体" w:cs="宋体" w:eastAsia="宋体" w:hint="default"/>
                <w:sz w:val="16"/>
                <w:szCs w:val="16"/>
              </w:rPr>
            </w:pPr>
            <w:r>
              <w:rPr>
                <w:rFonts w:ascii="宋体" w:hAnsi="宋体" w:cs="宋体" w:eastAsia="宋体" w:hint="default"/>
                <w:sz w:val="16"/>
                <w:szCs w:val="16"/>
              </w:rPr>
              <w:t>比例</w:t>
            </w:r>
          </w:p>
        </w:tc>
        <w:tc>
          <w:tcPr>
            <w:tcW w:w="517" w:type="dxa"/>
            <w:tcBorders>
              <w:top w:val="nil" w:sz="6" w:space="0" w:color="auto"/>
              <w:left w:val="nil" w:sz="6" w:space="0" w:color="auto"/>
              <w:bottom w:val="nil" w:sz="6" w:space="0" w:color="auto"/>
              <w:right w:val="nil" w:sz="6" w:space="0" w:color="auto"/>
            </w:tcBorders>
          </w:tcPr>
          <w:p>
            <w:pPr>
              <w:pStyle w:val="TableParagraph"/>
              <w:spacing w:line="172" w:lineRule="exact"/>
              <w:ind w:right="51"/>
              <w:jc w:val="center"/>
              <w:rPr>
                <w:rFonts w:ascii="宋体" w:hAnsi="宋体" w:cs="宋体" w:eastAsia="宋体" w:hint="default"/>
                <w:sz w:val="16"/>
                <w:szCs w:val="16"/>
              </w:rPr>
            </w:pPr>
            <w:r>
              <w:rPr>
                <w:rFonts w:ascii="宋体" w:hAnsi="宋体" w:cs="宋体" w:eastAsia="宋体" w:hint="default"/>
                <w:sz w:val="16"/>
                <w:szCs w:val="16"/>
              </w:rPr>
              <w:t>合并</w:t>
            </w:r>
          </w:p>
        </w:tc>
        <w:tc>
          <w:tcPr>
            <w:tcW w:w="877" w:type="dxa"/>
            <w:tcBorders>
              <w:top w:val="nil" w:sz="6" w:space="0" w:color="auto"/>
              <w:left w:val="nil" w:sz="6" w:space="0" w:color="auto"/>
              <w:bottom w:val="nil" w:sz="6" w:space="0" w:color="auto"/>
              <w:right w:val="nil" w:sz="6" w:space="0" w:color="auto"/>
            </w:tcBorders>
          </w:tcPr>
          <w:p>
            <w:pPr>
              <w:pStyle w:val="TableParagraph"/>
              <w:spacing w:line="172" w:lineRule="exact"/>
              <w:ind w:left="285" w:right="0"/>
              <w:jc w:val="left"/>
              <w:rPr>
                <w:rFonts w:ascii="宋体" w:hAnsi="宋体" w:cs="宋体" w:eastAsia="宋体" w:hint="default"/>
                <w:sz w:val="16"/>
                <w:szCs w:val="16"/>
              </w:rPr>
            </w:pPr>
            <w:r>
              <w:rPr>
                <w:rFonts w:ascii="宋体" w:hAnsi="宋体" w:cs="宋体" w:eastAsia="宋体" w:hint="default"/>
                <w:sz w:val="16"/>
                <w:szCs w:val="16"/>
              </w:rPr>
              <w:t>权益</w:t>
            </w:r>
          </w:p>
        </w:tc>
        <w:tc>
          <w:tcPr>
            <w:tcW w:w="477" w:type="dxa"/>
            <w:tcBorders>
              <w:top w:val="nil" w:sz="6" w:space="0" w:color="auto"/>
              <w:left w:val="nil" w:sz="6" w:space="0" w:color="auto"/>
              <w:bottom w:val="nil" w:sz="6" w:space="0" w:color="auto"/>
              <w:right w:val="nil" w:sz="6" w:space="0" w:color="auto"/>
            </w:tcBorders>
          </w:tcPr>
          <w:p>
            <w:pPr>
              <w:pStyle w:val="TableParagraph"/>
              <w:spacing w:line="172" w:lineRule="exact"/>
              <w:ind w:left="66" w:right="0"/>
              <w:jc w:val="center"/>
              <w:rPr>
                <w:rFonts w:ascii="宋体" w:hAnsi="宋体" w:cs="宋体" w:eastAsia="宋体" w:hint="default"/>
                <w:sz w:val="16"/>
                <w:szCs w:val="16"/>
              </w:rPr>
            </w:pPr>
            <w:r>
              <w:rPr>
                <w:rFonts w:ascii="宋体" w:hAnsi="宋体" w:cs="宋体" w:eastAsia="宋体" w:hint="default"/>
                <w:sz w:val="16"/>
                <w:szCs w:val="16"/>
              </w:rPr>
              <w:t>项目</w:t>
            </w:r>
          </w:p>
        </w:tc>
      </w:tr>
      <w:tr>
        <w:trPr>
          <w:trHeight w:val="205" w:hRule="exact"/>
        </w:trPr>
        <w:tc>
          <w:tcPr>
            <w:tcW w:w="1900" w:type="dxa"/>
            <w:tcBorders>
              <w:top w:val="nil" w:sz="6" w:space="0" w:color="auto"/>
              <w:left w:val="nil" w:sz="6" w:space="0" w:color="auto"/>
              <w:bottom w:val="single" w:sz="6" w:space="0" w:color="000000"/>
              <w:right w:val="nil" w:sz="6" w:space="0" w:color="auto"/>
            </w:tcBorders>
          </w:tcPr>
          <w:p>
            <w:pPr>
              <w:pStyle w:val="TableParagraph"/>
              <w:spacing w:line="172" w:lineRule="exact"/>
              <w:ind w:left="76" w:right="0"/>
              <w:jc w:val="left"/>
              <w:rPr>
                <w:rFonts w:ascii="宋体" w:hAnsi="宋体" w:cs="宋体" w:eastAsia="宋体" w:hint="default"/>
                <w:sz w:val="16"/>
                <w:szCs w:val="16"/>
              </w:rPr>
            </w:pPr>
            <w:r>
              <w:rPr>
                <w:rFonts w:ascii="宋体" w:hAnsi="宋体" w:cs="宋体" w:eastAsia="宋体" w:hint="default"/>
                <w:sz w:val="16"/>
                <w:szCs w:val="16"/>
              </w:rPr>
              <w:t>名称</w:t>
            </w:r>
          </w:p>
        </w:tc>
        <w:tc>
          <w:tcPr>
            <w:tcW w:w="456" w:type="dxa"/>
            <w:tcBorders>
              <w:top w:val="nil" w:sz="6" w:space="0" w:color="auto"/>
              <w:left w:val="nil" w:sz="6" w:space="0" w:color="auto"/>
              <w:bottom w:val="single" w:sz="6" w:space="0" w:color="000000"/>
              <w:right w:val="nil" w:sz="6" w:space="0" w:color="auto"/>
            </w:tcBorders>
          </w:tcPr>
          <w:p>
            <w:pPr>
              <w:pStyle w:val="TableParagraph"/>
              <w:spacing w:line="172" w:lineRule="exact"/>
              <w:ind w:right="5"/>
              <w:jc w:val="center"/>
              <w:rPr>
                <w:rFonts w:ascii="宋体" w:hAnsi="宋体" w:cs="宋体" w:eastAsia="宋体" w:hint="default"/>
                <w:sz w:val="16"/>
                <w:szCs w:val="16"/>
              </w:rPr>
            </w:pPr>
            <w:r>
              <w:rPr>
                <w:rFonts w:ascii="宋体" w:hAnsi="宋体" w:cs="宋体" w:eastAsia="宋体" w:hint="default"/>
                <w:sz w:val="16"/>
                <w:szCs w:val="16"/>
              </w:rPr>
              <w:t>注释</w:t>
            </w:r>
          </w:p>
        </w:tc>
        <w:tc>
          <w:tcPr>
            <w:tcW w:w="585" w:type="dxa"/>
            <w:tcBorders>
              <w:top w:val="nil" w:sz="6" w:space="0" w:color="auto"/>
              <w:left w:val="nil" w:sz="6" w:space="0" w:color="auto"/>
              <w:bottom w:val="single" w:sz="6" w:space="0" w:color="000000"/>
              <w:right w:val="nil" w:sz="6" w:space="0" w:color="auto"/>
            </w:tcBorders>
          </w:tcPr>
          <w:p>
            <w:pPr>
              <w:pStyle w:val="TableParagraph"/>
              <w:spacing w:line="172" w:lineRule="exact"/>
              <w:ind w:left="39" w:right="0"/>
              <w:jc w:val="center"/>
              <w:rPr>
                <w:rFonts w:ascii="宋体" w:hAnsi="宋体" w:cs="宋体" w:eastAsia="宋体" w:hint="default"/>
                <w:sz w:val="16"/>
                <w:szCs w:val="16"/>
              </w:rPr>
            </w:pPr>
            <w:r>
              <w:rPr>
                <w:rFonts w:ascii="宋体" w:hAnsi="宋体" w:cs="宋体" w:eastAsia="宋体" w:hint="default"/>
                <w:sz w:val="16"/>
                <w:szCs w:val="16"/>
              </w:rPr>
              <w:t>类型</w:t>
            </w:r>
          </w:p>
        </w:tc>
        <w:tc>
          <w:tcPr>
            <w:tcW w:w="1500" w:type="dxa"/>
            <w:tcBorders>
              <w:top w:val="nil" w:sz="6" w:space="0" w:color="auto"/>
              <w:left w:val="nil" w:sz="6" w:space="0" w:color="auto"/>
              <w:bottom w:val="single" w:sz="6" w:space="0" w:color="000000"/>
              <w:right w:val="nil" w:sz="6" w:space="0" w:color="auto"/>
            </w:tcBorders>
          </w:tcPr>
          <w:p>
            <w:pPr>
              <w:pStyle w:val="TableParagraph"/>
              <w:spacing w:line="172" w:lineRule="exact"/>
              <w:ind w:left="152" w:right="0"/>
              <w:jc w:val="center"/>
              <w:rPr>
                <w:rFonts w:ascii="宋体" w:hAnsi="宋体" w:cs="宋体" w:eastAsia="宋体" w:hint="default"/>
                <w:sz w:val="16"/>
                <w:szCs w:val="16"/>
              </w:rPr>
            </w:pPr>
            <w:r>
              <w:rPr>
                <w:rFonts w:ascii="宋体" w:hAnsi="宋体" w:cs="宋体" w:eastAsia="宋体" w:hint="default"/>
                <w:sz w:val="16"/>
                <w:szCs w:val="16"/>
              </w:rPr>
              <w:t>设立日期</w:t>
            </w:r>
          </w:p>
        </w:tc>
        <w:tc>
          <w:tcPr>
            <w:tcW w:w="816" w:type="dxa"/>
            <w:tcBorders>
              <w:top w:val="nil" w:sz="6" w:space="0" w:color="auto"/>
              <w:left w:val="nil" w:sz="6" w:space="0" w:color="auto"/>
              <w:bottom w:val="single" w:sz="6" w:space="0" w:color="000000"/>
              <w:right w:val="nil" w:sz="6" w:space="0" w:color="auto"/>
            </w:tcBorders>
          </w:tcPr>
          <w:p>
            <w:pPr>
              <w:pStyle w:val="TableParagraph"/>
              <w:spacing w:line="172" w:lineRule="exact"/>
              <w:ind w:left="34" w:right="0"/>
              <w:jc w:val="center"/>
              <w:rPr>
                <w:rFonts w:ascii="宋体" w:hAnsi="宋体" w:cs="宋体" w:eastAsia="宋体" w:hint="default"/>
                <w:sz w:val="16"/>
                <w:szCs w:val="16"/>
              </w:rPr>
            </w:pPr>
            <w:r>
              <w:rPr>
                <w:rFonts w:ascii="宋体" w:hAnsi="宋体" w:cs="宋体" w:eastAsia="宋体" w:hint="default"/>
                <w:sz w:val="16"/>
                <w:szCs w:val="16"/>
              </w:rPr>
              <w:t>性质</w:t>
            </w:r>
          </w:p>
        </w:tc>
        <w:tc>
          <w:tcPr>
            <w:tcW w:w="1117" w:type="dxa"/>
            <w:tcBorders>
              <w:top w:val="nil" w:sz="6" w:space="0" w:color="auto"/>
              <w:left w:val="nil" w:sz="6" w:space="0" w:color="auto"/>
              <w:bottom w:val="single" w:sz="6" w:space="0" w:color="000000"/>
              <w:right w:val="nil" w:sz="6" w:space="0" w:color="auto"/>
            </w:tcBorders>
          </w:tcPr>
          <w:p>
            <w:pPr>
              <w:pStyle w:val="TableParagraph"/>
              <w:spacing w:line="172" w:lineRule="exact"/>
              <w:ind w:left="261"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851" w:type="dxa"/>
            <w:tcBorders>
              <w:top w:val="nil" w:sz="6" w:space="0" w:color="auto"/>
              <w:left w:val="nil" w:sz="6" w:space="0" w:color="auto"/>
              <w:bottom w:val="single" w:sz="6" w:space="0" w:color="000000"/>
              <w:right w:val="nil" w:sz="6" w:space="0" w:color="auto"/>
            </w:tcBorders>
          </w:tcPr>
          <w:p>
            <w:pPr>
              <w:pStyle w:val="TableParagraph"/>
              <w:spacing w:line="172" w:lineRule="exact"/>
              <w:ind w:left="124"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823" w:type="dxa"/>
            <w:tcBorders>
              <w:top w:val="nil" w:sz="6" w:space="0" w:color="auto"/>
              <w:left w:val="nil" w:sz="6" w:space="0" w:color="auto"/>
              <w:bottom w:val="single" w:sz="6" w:space="0" w:color="000000"/>
              <w:right w:val="nil" w:sz="6" w:space="0" w:color="auto"/>
            </w:tcBorders>
          </w:tcPr>
          <w:p>
            <w:pPr>
              <w:pStyle w:val="TableParagraph"/>
              <w:spacing w:line="172" w:lineRule="exact"/>
              <w:ind w:left="13" w:right="0"/>
              <w:jc w:val="center"/>
              <w:rPr>
                <w:rFonts w:ascii="宋体" w:hAnsi="宋体" w:cs="宋体" w:eastAsia="宋体" w:hint="default"/>
                <w:sz w:val="16"/>
                <w:szCs w:val="16"/>
              </w:rPr>
            </w:pPr>
            <w:r>
              <w:rPr>
                <w:rFonts w:ascii="宋体" w:hAnsi="宋体" w:cs="宋体" w:eastAsia="宋体" w:hint="default"/>
                <w:sz w:val="16"/>
                <w:szCs w:val="16"/>
              </w:rPr>
              <w:t>企业类型</w:t>
            </w:r>
          </w:p>
        </w:tc>
        <w:tc>
          <w:tcPr>
            <w:tcW w:w="645" w:type="dxa"/>
            <w:tcBorders>
              <w:top w:val="nil" w:sz="6" w:space="0" w:color="auto"/>
              <w:left w:val="nil" w:sz="6" w:space="0" w:color="auto"/>
              <w:bottom w:val="single" w:sz="6" w:space="0" w:color="000000"/>
              <w:right w:val="nil" w:sz="6" w:space="0" w:color="auto"/>
            </w:tcBorders>
          </w:tcPr>
          <w:p>
            <w:pPr>
              <w:pStyle w:val="TableParagraph"/>
              <w:spacing w:line="172" w:lineRule="exact"/>
              <w:ind w:right="97"/>
              <w:jc w:val="right"/>
              <w:rPr>
                <w:rFonts w:ascii="宋体" w:hAnsi="宋体" w:cs="宋体" w:eastAsia="宋体" w:hint="default"/>
                <w:sz w:val="16"/>
                <w:szCs w:val="16"/>
              </w:rPr>
            </w:pPr>
            <w:r>
              <w:rPr>
                <w:rFonts w:ascii="宋体" w:hAnsi="宋体" w:cs="宋体" w:eastAsia="宋体" w:hint="default"/>
                <w:w w:val="95"/>
                <w:sz w:val="16"/>
                <w:szCs w:val="16"/>
              </w:rPr>
              <w:t>代表</w:t>
            </w:r>
            <w:r>
              <w:rPr>
                <w:rFonts w:ascii="宋体" w:hAnsi="宋体" w:cs="宋体" w:eastAsia="宋体" w:hint="default"/>
                <w:sz w:val="16"/>
                <w:szCs w:val="16"/>
              </w:rPr>
            </w:r>
          </w:p>
        </w:tc>
        <w:tc>
          <w:tcPr>
            <w:tcW w:w="1063" w:type="dxa"/>
            <w:tcBorders>
              <w:top w:val="nil" w:sz="6" w:space="0" w:color="auto"/>
              <w:left w:val="nil" w:sz="6" w:space="0" w:color="auto"/>
              <w:bottom w:val="single" w:sz="6" w:space="0" w:color="000000"/>
              <w:right w:val="nil" w:sz="6" w:space="0" w:color="auto"/>
            </w:tcBorders>
          </w:tcPr>
          <w:p>
            <w:pPr>
              <w:pStyle w:val="TableParagraph"/>
              <w:spacing w:line="172" w:lineRule="exact"/>
              <w:ind w:right="46"/>
              <w:jc w:val="center"/>
              <w:rPr>
                <w:rFonts w:ascii="宋体" w:hAnsi="宋体" w:cs="宋体" w:eastAsia="宋体" w:hint="default"/>
                <w:sz w:val="16"/>
                <w:szCs w:val="16"/>
              </w:rPr>
            </w:pPr>
            <w:r>
              <w:rPr>
                <w:rFonts w:ascii="宋体" w:hAnsi="宋体" w:cs="宋体" w:eastAsia="宋体" w:hint="default"/>
                <w:sz w:val="16"/>
                <w:szCs w:val="16"/>
              </w:rPr>
              <w:t>代码</w:t>
            </w:r>
          </w:p>
        </w:tc>
        <w:tc>
          <w:tcPr>
            <w:tcW w:w="1131" w:type="dxa"/>
            <w:tcBorders>
              <w:top w:val="nil" w:sz="6" w:space="0" w:color="auto"/>
              <w:left w:val="nil" w:sz="6" w:space="0" w:color="auto"/>
              <w:bottom w:val="single" w:sz="6" w:space="0" w:color="000000"/>
              <w:right w:val="nil" w:sz="6" w:space="0" w:color="auto"/>
            </w:tcBorders>
          </w:tcPr>
          <w:p>
            <w:pPr>
              <w:pStyle w:val="TableParagraph"/>
              <w:spacing w:line="172" w:lineRule="exact"/>
              <w:ind w:left="131"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008" w:type="dxa"/>
            <w:tcBorders>
              <w:top w:val="nil" w:sz="6" w:space="0" w:color="auto"/>
              <w:left w:val="nil" w:sz="6" w:space="0" w:color="auto"/>
              <w:bottom w:val="single" w:sz="6" w:space="0" w:color="000000"/>
              <w:right w:val="nil" w:sz="6" w:space="0" w:color="auto"/>
            </w:tcBorders>
          </w:tcPr>
          <w:p>
            <w:pPr>
              <w:pStyle w:val="TableParagraph"/>
              <w:spacing w:line="172" w:lineRule="exact"/>
              <w:ind w:left="21" w:right="0"/>
              <w:jc w:val="center"/>
              <w:rPr>
                <w:rFonts w:ascii="宋体" w:hAnsi="宋体" w:cs="宋体" w:eastAsia="宋体" w:hint="default"/>
                <w:sz w:val="16"/>
                <w:szCs w:val="16"/>
              </w:rPr>
            </w:pPr>
            <w:r>
              <w:rPr>
                <w:rFonts w:ascii="宋体" w:hAnsi="宋体" w:cs="宋体" w:eastAsia="宋体" w:hint="default"/>
                <w:sz w:val="16"/>
                <w:szCs w:val="16"/>
              </w:rPr>
              <w:t>项目余额</w:t>
            </w:r>
          </w:p>
        </w:tc>
        <w:tc>
          <w:tcPr>
            <w:tcW w:w="539"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left="24" w:right="0"/>
              <w:jc w:val="center"/>
              <w:rPr>
                <w:rFonts w:ascii="Arial" w:hAnsi="Arial" w:cs="Arial" w:eastAsia="Arial" w:hint="default"/>
                <w:sz w:val="16"/>
                <w:szCs w:val="16"/>
              </w:rPr>
            </w:pPr>
            <w:r>
              <w:rPr>
                <w:rFonts w:ascii="Arial"/>
                <w:sz w:val="16"/>
              </w:rPr>
              <w:t>(%)</w:t>
            </w:r>
          </w:p>
        </w:tc>
        <w:tc>
          <w:tcPr>
            <w:tcW w:w="599"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25"/>
              <w:jc w:val="center"/>
              <w:rPr>
                <w:rFonts w:ascii="Arial" w:hAnsi="Arial" w:cs="Arial" w:eastAsia="Arial" w:hint="default"/>
                <w:sz w:val="16"/>
                <w:szCs w:val="16"/>
              </w:rPr>
            </w:pPr>
            <w:r>
              <w:rPr>
                <w:rFonts w:ascii="Arial"/>
                <w:sz w:val="16"/>
              </w:rPr>
              <w:t>(%)</w:t>
            </w:r>
          </w:p>
        </w:tc>
        <w:tc>
          <w:tcPr>
            <w:tcW w:w="517" w:type="dxa"/>
            <w:tcBorders>
              <w:top w:val="nil" w:sz="6" w:space="0" w:color="auto"/>
              <w:left w:val="nil" w:sz="6" w:space="0" w:color="auto"/>
              <w:bottom w:val="single" w:sz="6" w:space="0" w:color="000000"/>
              <w:right w:val="nil" w:sz="6" w:space="0" w:color="auto"/>
            </w:tcBorders>
          </w:tcPr>
          <w:p>
            <w:pPr>
              <w:pStyle w:val="TableParagraph"/>
              <w:spacing w:line="172" w:lineRule="exact"/>
              <w:ind w:right="51"/>
              <w:jc w:val="center"/>
              <w:rPr>
                <w:rFonts w:ascii="宋体" w:hAnsi="宋体" w:cs="宋体" w:eastAsia="宋体" w:hint="default"/>
                <w:sz w:val="16"/>
                <w:szCs w:val="16"/>
              </w:rPr>
            </w:pPr>
            <w:r>
              <w:rPr>
                <w:rFonts w:ascii="宋体" w:hAnsi="宋体" w:cs="宋体" w:eastAsia="宋体" w:hint="default"/>
                <w:sz w:val="16"/>
                <w:szCs w:val="16"/>
              </w:rPr>
              <w:t>报表</w:t>
            </w:r>
          </w:p>
        </w:tc>
        <w:tc>
          <w:tcPr>
            <w:tcW w:w="877" w:type="dxa"/>
            <w:tcBorders>
              <w:top w:val="nil" w:sz="6" w:space="0" w:color="auto"/>
              <w:left w:val="nil" w:sz="6" w:space="0" w:color="auto"/>
              <w:bottom w:val="single" w:sz="6" w:space="0" w:color="000000"/>
              <w:right w:val="nil" w:sz="6" w:space="0" w:color="auto"/>
            </w:tcBorders>
          </w:tcPr>
          <w:p>
            <w:pPr>
              <w:pStyle w:val="TableParagraph"/>
              <w:spacing w:line="172" w:lineRule="exact"/>
              <w:ind w:right="110"/>
              <w:jc w:val="right"/>
              <w:rPr>
                <w:rFonts w:ascii="宋体" w:hAnsi="宋体" w:cs="宋体" w:eastAsia="宋体" w:hint="default"/>
                <w:sz w:val="16"/>
                <w:szCs w:val="16"/>
              </w:rPr>
            </w:pPr>
            <w:r>
              <w:rPr>
                <w:rFonts w:ascii="宋体" w:hAnsi="宋体" w:cs="宋体" w:eastAsia="宋体" w:hint="default"/>
                <w:w w:val="95"/>
                <w:sz w:val="16"/>
                <w:szCs w:val="16"/>
              </w:rPr>
              <w:t>（亿元）</w:t>
            </w:r>
            <w:r>
              <w:rPr>
                <w:rFonts w:ascii="宋体" w:hAnsi="宋体" w:cs="宋体" w:eastAsia="宋体" w:hint="default"/>
                <w:sz w:val="16"/>
                <w:szCs w:val="16"/>
              </w:rPr>
            </w:r>
          </w:p>
        </w:tc>
        <w:tc>
          <w:tcPr>
            <w:tcW w:w="477" w:type="dxa"/>
            <w:tcBorders>
              <w:top w:val="nil" w:sz="6" w:space="0" w:color="auto"/>
              <w:left w:val="nil" w:sz="6" w:space="0" w:color="auto"/>
              <w:bottom w:val="single" w:sz="6" w:space="0" w:color="000000"/>
              <w:right w:val="nil" w:sz="6" w:space="0" w:color="auto"/>
            </w:tcBorders>
          </w:tcPr>
          <w:p>
            <w:pPr>
              <w:pStyle w:val="TableParagraph"/>
              <w:spacing w:line="184" w:lineRule="exact"/>
              <w:ind w:left="68" w:right="0"/>
              <w:jc w:val="center"/>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注</w:t>
            </w:r>
            <w:r>
              <w:rPr>
                <w:rFonts w:ascii="Arial" w:hAnsi="Arial" w:cs="Arial" w:eastAsia="Arial" w:hint="default"/>
                <w:sz w:val="16"/>
                <w:szCs w:val="16"/>
              </w:rPr>
              <w:t>)</w:t>
            </w:r>
          </w:p>
        </w:tc>
      </w:tr>
      <w:tr>
        <w:trPr>
          <w:trHeight w:val="213" w:hRule="exact"/>
        </w:trPr>
        <w:tc>
          <w:tcPr>
            <w:tcW w:w="1900" w:type="dxa"/>
            <w:tcBorders>
              <w:top w:val="single" w:sz="6" w:space="0" w:color="000000"/>
              <w:left w:val="nil" w:sz="6" w:space="0" w:color="auto"/>
              <w:bottom w:val="nil" w:sz="6" w:space="0" w:color="auto"/>
              <w:right w:val="nil" w:sz="6" w:space="0" w:color="auto"/>
            </w:tcBorders>
          </w:tcPr>
          <w:p>
            <w:pPr/>
          </w:p>
        </w:tc>
        <w:tc>
          <w:tcPr>
            <w:tcW w:w="456" w:type="dxa"/>
            <w:tcBorders>
              <w:top w:val="single" w:sz="6" w:space="0" w:color="000000"/>
              <w:left w:val="nil" w:sz="6" w:space="0" w:color="auto"/>
              <w:bottom w:val="nil" w:sz="6" w:space="0" w:color="auto"/>
              <w:right w:val="nil" w:sz="6" w:space="0" w:color="auto"/>
            </w:tcBorders>
          </w:tcPr>
          <w:p>
            <w:pPr/>
          </w:p>
        </w:tc>
        <w:tc>
          <w:tcPr>
            <w:tcW w:w="585" w:type="dxa"/>
            <w:tcBorders>
              <w:top w:val="single" w:sz="6" w:space="0" w:color="000000"/>
              <w:left w:val="nil" w:sz="6" w:space="0" w:color="auto"/>
              <w:bottom w:val="nil" w:sz="6" w:space="0" w:color="auto"/>
              <w:right w:val="nil" w:sz="6" w:space="0" w:color="auto"/>
            </w:tcBorders>
          </w:tcPr>
          <w:p>
            <w:pPr/>
          </w:p>
        </w:tc>
        <w:tc>
          <w:tcPr>
            <w:tcW w:w="1500" w:type="dxa"/>
            <w:tcBorders>
              <w:top w:val="single" w:sz="6" w:space="0" w:color="000000"/>
              <w:left w:val="nil" w:sz="6" w:space="0" w:color="auto"/>
              <w:bottom w:val="nil" w:sz="6" w:space="0" w:color="auto"/>
              <w:right w:val="nil" w:sz="6" w:space="0" w:color="auto"/>
            </w:tcBorders>
          </w:tcPr>
          <w:p>
            <w:pPr>
              <w:pStyle w:val="TableParagraph"/>
              <w:spacing w:line="182" w:lineRule="exact"/>
              <w:ind w:right="14"/>
              <w:jc w:val="center"/>
              <w:rPr>
                <w:rFonts w:ascii="宋体" w:hAnsi="宋体" w:cs="宋体" w:eastAsia="宋体" w:hint="default"/>
                <w:sz w:val="16"/>
                <w:szCs w:val="16"/>
              </w:rPr>
            </w:pPr>
            <w:r>
              <w:rPr>
                <w:rFonts w:ascii="宋体" w:hAnsi="宋体" w:cs="宋体" w:eastAsia="宋体" w:hint="default"/>
                <w:spacing w:val="-3"/>
                <w:sz w:val="16"/>
                <w:szCs w:val="16"/>
              </w:rPr>
              <w:t>（英属）维尔京群岛</w:t>
            </w:r>
          </w:p>
        </w:tc>
        <w:tc>
          <w:tcPr>
            <w:tcW w:w="816" w:type="dxa"/>
            <w:tcBorders>
              <w:top w:val="single" w:sz="6" w:space="0" w:color="000000"/>
              <w:left w:val="nil" w:sz="6" w:space="0" w:color="auto"/>
              <w:bottom w:val="nil" w:sz="6" w:space="0" w:color="auto"/>
              <w:right w:val="nil" w:sz="6" w:space="0" w:color="auto"/>
            </w:tcBorders>
          </w:tcPr>
          <w:p>
            <w:pPr/>
          </w:p>
        </w:tc>
        <w:tc>
          <w:tcPr>
            <w:tcW w:w="1117" w:type="dxa"/>
            <w:tcBorders>
              <w:top w:val="single" w:sz="6" w:space="0" w:color="000000"/>
              <w:left w:val="nil" w:sz="6" w:space="0" w:color="auto"/>
              <w:bottom w:val="nil" w:sz="6" w:space="0" w:color="auto"/>
              <w:right w:val="nil" w:sz="6" w:space="0" w:color="auto"/>
            </w:tcBorders>
          </w:tcPr>
          <w:p>
            <w:pPr/>
          </w:p>
        </w:tc>
        <w:tc>
          <w:tcPr>
            <w:tcW w:w="851" w:type="dxa"/>
            <w:tcBorders>
              <w:top w:val="single" w:sz="6" w:space="0" w:color="000000"/>
              <w:left w:val="nil" w:sz="6" w:space="0" w:color="auto"/>
              <w:bottom w:val="nil" w:sz="6" w:space="0" w:color="auto"/>
              <w:right w:val="nil" w:sz="6" w:space="0" w:color="auto"/>
            </w:tcBorders>
          </w:tcPr>
          <w:p>
            <w:pPr/>
          </w:p>
        </w:tc>
        <w:tc>
          <w:tcPr>
            <w:tcW w:w="823" w:type="dxa"/>
            <w:tcBorders>
              <w:top w:val="single" w:sz="6" w:space="0" w:color="000000"/>
              <w:left w:val="nil" w:sz="6" w:space="0" w:color="auto"/>
              <w:bottom w:val="nil" w:sz="6" w:space="0" w:color="auto"/>
              <w:right w:val="nil" w:sz="6" w:space="0" w:color="auto"/>
            </w:tcBorders>
          </w:tcPr>
          <w:p>
            <w:pPr/>
          </w:p>
        </w:tc>
        <w:tc>
          <w:tcPr>
            <w:tcW w:w="645" w:type="dxa"/>
            <w:tcBorders>
              <w:top w:val="single" w:sz="6" w:space="0" w:color="000000"/>
              <w:left w:val="nil" w:sz="6" w:space="0" w:color="auto"/>
              <w:bottom w:val="nil" w:sz="6" w:space="0" w:color="auto"/>
              <w:right w:val="nil" w:sz="6" w:space="0" w:color="auto"/>
            </w:tcBorders>
          </w:tcPr>
          <w:p>
            <w:pPr/>
          </w:p>
        </w:tc>
        <w:tc>
          <w:tcPr>
            <w:tcW w:w="1063" w:type="dxa"/>
            <w:tcBorders>
              <w:top w:val="single" w:sz="6" w:space="0" w:color="000000"/>
              <w:left w:val="nil" w:sz="6" w:space="0" w:color="auto"/>
              <w:bottom w:val="nil" w:sz="6" w:space="0" w:color="auto"/>
              <w:right w:val="nil" w:sz="6" w:space="0" w:color="auto"/>
            </w:tcBorders>
          </w:tcPr>
          <w:p>
            <w:pPr/>
          </w:p>
        </w:tc>
        <w:tc>
          <w:tcPr>
            <w:tcW w:w="1131" w:type="dxa"/>
            <w:tcBorders>
              <w:top w:val="single" w:sz="6" w:space="0" w:color="000000"/>
              <w:left w:val="nil" w:sz="6" w:space="0" w:color="auto"/>
              <w:bottom w:val="nil" w:sz="6" w:space="0" w:color="auto"/>
              <w:right w:val="nil" w:sz="6" w:space="0" w:color="auto"/>
            </w:tcBorders>
          </w:tcPr>
          <w:p>
            <w:pPr/>
          </w:p>
        </w:tc>
        <w:tc>
          <w:tcPr>
            <w:tcW w:w="1008" w:type="dxa"/>
            <w:tcBorders>
              <w:top w:val="single" w:sz="6" w:space="0" w:color="000000"/>
              <w:left w:val="nil" w:sz="6" w:space="0" w:color="auto"/>
              <w:bottom w:val="nil" w:sz="6" w:space="0" w:color="auto"/>
              <w:right w:val="nil" w:sz="6" w:space="0" w:color="auto"/>
            </w:tcBorders>
          </w:tcPr>
          <w:p>
            <w:pPr/>
          </w:p>
        </w:tc>
        <w:tc>
          <w:tcPr>
            <w:tcW w:w="539" w:type="dxa"/>
            <w:tcBorders>
              <w:top w:val="single" w:sz="6" w:space="0" w:color="000000"/>
              <w:left w:val="nil" w:sz="6" w:space="0" w:color="auto"/>
              <w:bottom w:val="nil" w:sz="6" w:space="0" w:color="auto"/>
              <w:right w:val="nil" w:sz="6" w:space="0" w:color="auto"/>
            </w:tcBorders>
          </w:tcPr>
          <w:p>
            <w:pPr/>
          </w:p>
        </w:tc>
        <w:tc>
          <w:tcPr>
            <w:tcW w:w="599" w:type="dxa"/>
            <w:tcBorders>
              <w:top w:val="single" w:sz="6" w:space="0" w:color="000000"/>
              <w:left w:val="nil" w:sz="6" w:space="0" w:color="auto"/>
              <w:bottom w:val="nil" w:sz="6" w:space="0" w:color="auto"/>
              <w:right w:val="nil" w:sz="6" w:space="0" w:color="auto"/>
            </w:tcBorders>
          </w:tcPr>
          <w:p>
            <w:pPr/>
          </w:p>
        </w:tc>
        <w:tc>
          <w:tcPr>
            <w:tcW w:w="517" w:type="dxa"/>
            <w:tcBorders>
              <w:top w:val="single" w:sz="6" w:space="0" w:color="000000"/>
              <w:left w:val="nil" w:sz="6" w:space="0" w:color="auto"/>
              <w:bottom w:val="nil" w:sz="6" w:space="0" w:color="auto"/>
              <w:right w:val="nil" w:sz="6" w:space="0" w:color="auto"/>
            </w:tcBorders>
          </w:tcPr>
          <w:p>
            <w:pPr/>
          </w:p>
        </w:tc>
        <w:tc>
          <w:tcPr>
            <w:tcW w:w="877" w:type="dxa"/>
            <w:tcBorders>
              <w:top w:val="single" w:sz="6" w:space="0" w:color="000000"/>
              <w:left w:val="nil" w:sz="6" w:space="0" w:color="auto"/>
              <w:bottom w:val="nil" w:sz="6" w:space="0" w:color="auto"/>
              <w:right w:val="nil" w:sz="6" w:space="0" w:color="auto"/>
            </w:tcBorders>
          </w:tcPr>
          <w:p>
            <w:pPr/>
          </w:p>
        </w:tc>
        <w:tc>
          <w:tcPr>
            <w:tcW w:w="477" w:type="dxa"/>
            <w:tcBorders>
              <w:top w:val="single" w:sz="6" w:space="0" w:color="000000"/>
              <w:left w:val="nil" w:sz="6" w:space="0" w:color="auto"/>
              <w:bottom w:val="nil" w:sz="6" w:space="0" w:color="auto"/>
              <w:right w:val="nil" w:sz="6" w:space="0" w:color="auto"/>
            </w:tcBorders>
          </w:tcPr>
          <w:p>
            <w:pPr/>
          </w:p>
        </w:tc>
      </w:tr>
      <w:tr>
        <w:trPr>
          <w:trHeight w:val="212"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95" w:lineRule="exact"/>
              <w:ind w:left="76" w:right="0"/>
              <w:jc w:val="left"/>
              <w:rPr>
                <w:rFonts w:ascii="宋体" w:hAnsi="宋体" w:cs="宋体" w:eastAsia="宋体" w:hint="default"/>
                <w:sz w:val="16"/>
                <w:szCs w:val="16"/>
              </w:rPr>
            </w:pPr>
            <w:r>
              <w:rPr>
                <w:rFonts w:ascii="宋体" w:hAnsi="宋体" w:cs="宋体" w:eastAsia="宋体" w:hint="default"/>
                <w:sz w:val="16"/>
                <w:szCs w:val="16"/>
              </w:rPr>
              <w:t>中国联通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有限公司</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Style w:val="TableParagraph"/>
              <w:spacing w:line="184" w:lineRule="exact"/>
              <w:ind w:left="38" w:right="0"/>
              <w:jc w:val="center"/>
              <w:rPr>
                <w:rFonts w:ascii="宋体" w:hAnsi="宋体" w:cs="宋体" w:eastAsia="宋体" w:hint="default"/>
                <w:sz w:val="16"/>
                <w:szCs w:val="16"/>
              </w:rPr>
            </w:pPr>
            <w:r>
              <w:rPr>
                <w:rFonts w:ascii="宋体" w:hAnsi="宋体" w:cs="宋体" w:eastAsia="宋体" w:hint="default"/>
                <w:sz w:val="16"/>
                <w:szCs w:val="16"/>
              </w:rPr>
              <w:t>直接</w:t>
            </w:r>
          </w:p>
        </w:tc>
        <w:tc>
          <w:tcPr>
            <w:tcW w:w="1500" w:type="dxa"/>
            <w:tcBorders>
              <w:top w:val="nil" w:sz="6" w:space="0" w:color="auto"/>
              <w:left w:val="nil" w:sz="6" w:space="0" w:color="auto"/>
              <w:bottom w:val="nil" w:sz="6" w:space="0" w:color="auto"/>
              <w:right w:val="nil" w:sz="6" w:space="0" w:color="auto"/>
            </w:tcBorders>
          </w:tcPr>
          <w:p>
            <w:pPr>
              <w:pStyle w:val="TableParagraph"/>
              <w:spacing w:line="195" w:lineRule="exact"/>
              <w:ind w:right="16"/>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816" w:type="dxa"/>
            <w:tcBorders>
              <w:top w:val="nil" w:sz="6" w:space="0" w:color="auto"/>
              <w:left w:val="nil" w:sz="6" w:space="0" w:color="auto"/>
              <w:bottom w:val="nil" w:sz="6" w:space="0" w:color="auto"/>
              <w:right w:val="nil" w:sz="6" w:space="0" w:color="auto"/>
            </w:tcBorders>
          </w:tcPr>
          <w:p>
            <w:pPr>
              <w:pStyle w:val="TableParagraph"/>
              <w:spacing w:line="184" w:lineRule="exact"/>
              <w:ind w:right="73"/>
              <w:jc w:val="center"/>
              <w:rPr>
                <w:rFonts w:ascii="宋体" w:hAnsi="宋体" w:cs="宋体" w:eastAsia="宋体" w:hint="default"/>
                <w:sz w:val="16"/>
                <w:szCs w:val="16"/>
              </w:rPr>
            </w:pPr>
            <w:r>
              <w:rPr>
                <w:rFonts w:ascii="宋体" w:hAnsi="宋体" w:cs="宋体" w:eastAsia="宋体" w:hint="default"/>
                <w:sz w:val="16"/>
                <w:szCs w:val="16"/>
              </w:rPr>
              <w:t>投资</w:t>
            </w: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184" w:lineRule="exact"/>
              <w:ind w:right="48"/>
              <w:jc w:val="center"/>
              <w:rPr>
                <w:rFonts w:ascii="宋体" w:hAnsi="宋体" w:cs="宋体" w:eastAsia="宋体" w:hint="default"/>
                <w:sz w:val="16"/>
                <w:szCs w:val="16"/>
              </w:rPr>
            </w:pPr>
            <w:r>
              <w:rPr>
                <w:rFonts w:ascii="宋体" w:hAnsi="宋体" w:cs="宋体" w:eastAsia="宋体" w:hint="default"/>
                <w:sz w:val="16"/>
                <w:szCs w:val="16"/>
              </w:rPr>
              <w:t>有限</w:t>
            </w: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305"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91"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公司”）</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Style w:val="TableParagraph"/>
              <w:spacing w:line="180" w:lineRule="exact"/>
              <w:ind w:left="38"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191" w:lineRule="exact"/>
              <w:ind w:right="16"/>
              <w:jc w:val="center"/>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6" w:type="dxa"/>
            <w:tcBorders>
              <w:top w:val="nil" w:sz="6" w:space="0" w:color="auto"/>
              <w:left w:val="nil" w:sz="6" w:space="0" w:color="auto"/>
              <w:bottom w:val="nil" w:sz="6" w:space="0" w:color="auto"/>
              <w:right w:val="nil" w:sz="6" w:space="0" w:color="auto"/>
            </w:tcBorders>
          </w:tcPr>
          <w:p>
            <w:pPr>
              <w:pStyle w:val="TableParagraph"/>
              <w:spacing w:line="180" w:lineRule="exact"/>
              <w:ind w:right="73"/>
              <w:jc w:val="center"/>
              <w:rPr>
                <w:rFonts w:ascii="宋体" w:hAnsi="宋体" w:cs="宋体" w:eastAsia="宋体" w:hint="default"/>
                <w:sz w:val="16"/>
                <w:szCs w:val="16"/>
              </w:rPr>
            </w:pPr>
            <w:r>
              <w:rPr>
                <w:rFonts w:ascii="宋体" w:hAnsi="宋体" w:cs="宋体" w:eastAsia="宋体" w:hint="default"/>
                <w:sz w:val="16"/>
                <w:szCs w:val="16"/>
              </w:rPr>
              <w:t>控股</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9"/>
              <w:jc w:val="right"/>
              <w:rPr>
                <w:rFonts w:ascii="Arial" w:hAnsi="Arial" w:cs="Arial" w:eastAsia="Arial" w:hint="default"/>
                <w:sz w:val="16"/>
                <w:szCs w:val="16"/>
              </w:rPr>
            </w:pPr>
            <w:r>
              <w:rPr>
                <w:rFonts w:ascii="Arial"/>
                <w:w w:val="95"/>
                <w:sz w:val="16"/>
              </w:rPr>
              <w:t>413</w:t>
            </w:r>
            <w:r>
              <w:rPr>
                <w:rFonts w:ascii="Arial"/>
                <w:sz w:val="16"/>
              </w:rPr>
            </w:r>
          </w:p>
        </w:tc>
        <w:tc>
          <w:tcPr>
            <w:tcW w:w="851" w:type="dxa"/>
            <w:tcBorders>
              <w:top w:val="nil" w:sz="6" w:space="0" w:color="auto"/>
              <w:left w:val="nil" w:sz="6" w:space="0" w:color="auto"/>
              <w:bottom w:val="nil" w:sz="6" w:space="0" w:color="auto"/>
              <w:right w:val="nil" w:sz="6" w:space="0" w:color="auto"/>
            </w:tcBorders>
          </w:tcPr>
          <w:p>
            <w:pPr>
              <w:pStyle w:val="TableParagraph"/>
              <w:spacing w:line="180" w:lineRule="exact"/>
              <w:ind w:left="144" w:right="0"/>
              <w:jc w:val="left"/>
              <w:rPr>
                <w:rFonts w:ascii="宋体" w:hAnsi="宋体" w:cs="宋体" w:eastAsia="宋体" w:hint="default"/>
                <w:sz w:val="16"/>
                <w:szCs w:val="16"/>
              </w:rPr>
            </w:pPr>
            <w:r>
              <w:rPr>
                <w:rFonts w:ascii="宋体" w:hAnsi="宋体" w:cs="宋体" w:eastAsia="宋体" w:hint="default"/>
                <w:sz w:val="16"/>
                <w:szCs w:val="16"/>
              </w:rPr>
              <w:t>投资控股</w:t>
            </w:r>
          </w:p>
        </w:tc>
        <w:tc>
          <w:tcPr>
            <w:tcW w:w="823"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center"/>
              <w:rPr>
                <w:rFonts w:ascii="宋体" w:hAnsi="宋体" w:cs="宋体" w:eastAsia="宋体" w:hint="default"/>
                <w:sz w:val="16"/>
                <w:szCs w:val="16"/>
              </w:rPr>
            </w:pP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180" w:lineRule="exact"/>
              <w:ind w:right="78"/>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3"/>
              <w:jc w:val="right"/>
              <w:rPr>
                <w:rFonts w:ascii="Arial" w:hAnsi="Arial" w:cs="Arial" w:eastAsia="Arial" w:hint="default"/>
                <w:sz w:val="16"/>
                <w:szCs w:val="16"/>
              </w:rPr>
            </w:pPr>
            <w:r>
              <w:rPr>
                <w:rFonts w:ascii="Arial"/>
                <w:w w:val="95"/>
                <w:sz w:val="16"/>
              </w:rPr>
              <w:t>38,538,134</w:t>
            </w:r>
            <w:r>
              <w:rPr>
                <w:rFonts w:ascii="Arial"/>
                <w:sz w:val="16"/>
              </w:rPr>
            </w:r>
          </w:p>
        </w:tc>
        <w:tc>
          <w:tcPr>
            <w:tcW w:w="1008" w:type="dxa"/>
            <w:tcBorders>
              <w:top w:val="nil" w:sz="6" w:space="0" w:color="auto"/>
              <w:left w:val="nil" w:sz="6" w:space="0" w:color="auto"/>
              <w:bottom w:val="nil" w:sz="6" w:space="0" w:color="auto"/>
              <w:right w:val="nil" w:sz="6" w:space="0" w:color="auto"/>
            </w:tcBorders>
          </w:tcPr>
          <w:p>
            <w:pPr>
              <w:pStyle w:val="TableParagraph"/>
              <w:spacing w:line="180" w:lineRule="exact"/>
              <w:ind w:left="37"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Arial" w:hAnsi="Arial" w:cs="Arial" w:eastAsia="Arial" w:hint="default"/>
                <w:sz w:val="16"/>
                <w:szCs w:val="16"/>
              </w:rPr>
            </w:pPr>
            <w:r>
              <w:rPr>
                <w:rFonts w:ascii="Arial"/>
                <w:sz w:val="16"/>
              </w:rPr>
              <w:t>82.10</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 w:right="0"/>
              <w:jc w:val="center"/>
              <w:rPr>
                <w:rFonts w:ascii="Arial" w:hAnsi="Arial" w:cs="Arial" w:eastAsia="Arial" w:hint="default"/>
                <w:sz w:val="16"/>
                <w:szCs w:val="16"/>
              </w:rPr>
            </w:pPr>
            <w:r>
              <w:rPr>
                <w:rFonts w:ascii="Arial"/>
                <w:sz w:val="16"/>
              </w:rPr>
              <w:t>82.10</w:t>
            </w:r>
          </w:p>
        </w:tc>
        <w:tc>
          <w:tcPr>
            <w:tcW w:w="517"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4"/>
              <w:jc w:val="right"/>
              <w:rPr>
                <w:rFonts w:ascii="Arial" w:hAnsi="Arial" w:cs="Arial" w:eastAsia="Arial" w:hint="default"/>
                <w:sz w:val="16"/>
                <w:szCs w:val="16"/>
              </w:rPr>
            </w:pPr>
            <w:r>
              <w:rPr>
                <w:rFonts w:ascii="Arial"/>
                <w:spacing w:val="-1"/>
                <w:w w:val="95"/>
                <w:sz w:val="16"/>
              </w:rPr>
              <w:t>154</w:t>
            </w:r>
            <w:r>
              <w:rPr>
                <w:rFonts w:ascii="Arial"/>
                <w:sz w:val="16"/>
              </w:rPr>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0" w:right="0"/>
              <w:jc w:val="center"/>
              <w:rPr>
                <w:rFonts w:ascii="Arial" w:hAnsi="Arial" w:cs="Arial" w:eastAsia="Arial" w:hint="default"/>
                <w:sz w:val="16"/>
                <w:szCs w:val="16"/>
              </w:rPr>
            </w:pPr>
            <w:r>
              <w:rPr>
                <w:rFonts w:ascii="Arial"/>
                <w:w w:val="99"/>
                <w:sz w:val="16"/>
              </w:rPr>
              <w:t>-</w:t>
            </w:r>
            <w:r>
              <w:rPr>
                <w:rFonts w:ascii="Arial"/>
                <w:sz w:val="16"/>
              </w:rPr>
            </w:r>
          </w:p>
        </w:tc>
      </w:tr>
      <w:tr>
        <w:trPr>
          <w:trHeight w:val="289"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6" w:right="0"/>
              <w:jc w:val="left"/>
              <w:rPr>
                <w:rFonts w:ascii="宋体" w:hAnsi="宋体" w:cs="宋体" w:eastAsia="宋体" w:hint="default"/>
                <w:sz w:val="16"/>
                <w:szCs w:val="16"/>
              </w:rPr>
            </w:pPr>
            <w:r>
              <w:rPr>
                <w:rFonts w:ascii="宋体" w:hAnsi="宋体" w:cs="宋体" w:eastAsia="宋体" w:hint="default"/>
                <w:sz w:val="16"/>
                <w:szCs w:val="16"/>
              </w:rPr>
              <w:t>中国联合网络通信</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81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212"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4" w:lineRule="exact"/>
              <w:ind w:left="76" w:right="0"/>
              <w:jc w:val="left"/>
              <w:rPr>
                <w:rFonts w:ascii="宋体" w:hAnsi="宋体" w:cs="宋体" w:eastAsia="宋体" w:hint="default"/>
                <w:sz w:val="16"/>
                <w:szCs w:val="16"/>
              </w:rPr>
            </w:pPr>
            <w:r>
              <w:rPr>
                <w:rFonts w:ascii="宋体" w:hAnsi="宋体" w:cs="宋体" w:eastAsia="宋体" w:hint="default"/>
                <w:sz w:val="16"/>
                <w:szCs w:val="16"/>
              </w:rPr>
              <w:t>（香港）股份有限公司</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Style w:val="TableParagraph"/>
              <w:spacing w:line="184" w:lineRule="exact"/>
              <w:ind w:left="39"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500" w:type="dxa"/>
            <w:tcBorders>
              <w:top w:val="nil" w:sz="6" w:space="0" w:color="auto"/>
              <w:left w:val="nil" w:sz="6" w:space="0" w:color="auto"/>
              <w:bottom w:val="nil" w:sz="6" w:space="0" w:color="auto"/>
              <w:right w:val="nil" w:sz="6" w:space="0" w:color="auto"/>
            </w:tcBorders>
          </w:tcPr>
          <w:p>
            <w:pPr>
              <w:pStyle w:val="TableParagraph"/>
              <w:spacing w:line="195" w:lineRule="exact"/>
              <w:ind w:left="51" w:right="0"/>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816" w:type="dxa"/>
            <w:tcBorders>
              <w:top w:val="nil" w:sz="6" w:space="0" w:color="auto"/>
              <w:left w:val="nil" w:sz="6" w:space="0" w:color="auto"/>
              <w:bottom w:val="nil" w:sz="6" w:space="0" w:color="auto"/>
              <w:right w:val="nil" w:sz="6" w:space="0" w:color="auto"/>
            </w:tcBorders>
          </w:tcPr>
          <w:p>
            <w:pPr>
              <w:pStyle w:val="TableParagraph"/>
              <w:spacing w:line="184" w:lineRule="exact"/>
              <w:ind w:right="73"/>
              <w:jc w:val="center"/>
              <w:rPr>
                <w:rFonts w:ascii="宋体" w:hAnsi="宋体" w:cs="宋体" w:eastAsia="宋体" w:hint="default"/>
                <w:sz w:val="16"/>
                <w:szCs w:val="16"/>
              </w:rPr>
            </w:pPr>
            <w:r>
              <w:rPr>
                <w:rFonts w:ascii="宋体" w:hAnsi="宋体" w:cs="宋体" w:eastAsia="宋体" w:hint="default"/>
                <w:sz w:val="16"/>
                <w:szCs w:val="16"/>
              </w:rPr>
              <w:t>投资</w:t>
            </w: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center"/>
              <w:rPr>
                <w:rFonts w:ascii="宋体" w:hAnsi="宋体" w:cs="宋体" w:eastAsia="宋体" w:hint="default"/>
                <w:sz w:val="16"/>
                <w:szCs w:val="16"/>
              </w:rPr>
            </w:pPr>
            <w:r>
              <w:rPr>
                <w:rFonts w:ascii="宋体" w:hAnsi="宋体" w:cs="宋体" w:eastAsia="宋体" w:hint="default"/>
                <w:sz w:val="16"/>
                <w:szCs w:val="16"/>
              </w:rPr>
              <w:t>有限</w:t>
            </w: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305"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（“联通红筹公司”）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
              <w:jc w:val="center"/>
              <w:rPr>
                <w:rFonts w:ascii="Arial" w:hAnsi="Arial" w:cs="Arial" w:eastAsia="Arial" w:hint="default"/>
                <w:sz w:val="16"/>
                <w:szCs w:val="16"/>
              </w:rPr>
            </w:pPr>
            <w:r>
              <w:rPr>
                <w:rFonts w:ascii="Arial"/>
                <w:sz w:val="16"/>
              </w:rPr>
              <w:t>(1)</w:t>
            </w:r>
          </w:p>
        </w:tc>
        <w:tc>
          <w:tcPr>
            <w:tcW w:w="585" w:type="dxa"/>
            <w:tcBorders>
              <w:top w:val="nil" w:sz="6" w:space="0" w:color="auto"/>
              <w:left w:val="nil" w:sz="6" w:space="0" w:color="auto"/>
              <w:bottom w:val="nil" w:sz="6" w:space="0" w:color="auto"/>
              <w:right w:val="nil" w:sz="6" w:space="0" w:color="auto"/>
            </w:tcBorders>
          </w:tcPr>
          <w:p>
            <w:pPr>
              <w:pStyle w:val="TableParagraph"/>
              <w:spacing w:line="180" w:lineRule="exact"/>
              <w:ind w:left="39"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191" w:lineRule="exact"/>
              <w:ind w:left="51" w:right="0"/>
              <w:jc w:val="center"/>
              <w:rPr>
                <w:rFonts w:ascii="宋体" w:hAnsi="宋体" w:cs="宋体" w:eastAsia="宋体" w:hint="default"/>
                <w:sz w:val="16"/>
                <w:szCs w:val="16"/>
              </w:rPr>
            </w:pPr>
            <w:r>
              <w:rPr>
                <w:rFonts w:ascii="Arial" w:hAnsi="Arial" w:cs="Arial" w:eastAsia="Arial" w:hint="default"/>
                <w:sz w:val="16"/>
                <w:szCs w:val="16"/>
              </w:rPr>
              <w:t>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8</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6" w:type="dxa"/>
            <w:tcBorders>
              <w:top w:val="nil" w:sz="6" w:space="0" w:color="auto"/>
              <w:left w:val="nil" w:sz="6" w:space="0" w:color="auto"/>
              <w:bottom w:val="nil" w:sz="6" w:space="0" w:color="auto"/>
              <w:right w:val="nil" w:sz="6" w:space="0" w:color="auto"/>
            </w:tcBorders>
          </w:tcPr>
          <w:p>
            <w:pPr>
              <w:pStyle w:val="TableParagraph"/>
              <w:spacing w:line="180" w:lineRule="exact"/>
              <w:ind w:right="73"/>
              <w:jc w:val="center"/>
              <w:rPr>
                <w:rFonts w:ascii="宋体" w:hAnsi="宋体" w:cs="宋体" w:eastAsia="宋体" w:hint="default"/>
                <w:sz w:val="16"/>
                <w:szCs w:val="16"/>
              </w:rPr>
            </w:pPr>
            <w:r>
              <w:rPr>
                <w:rFonts w:ascii="宋体" w:hAnsi="宋体" w:cs="宋体" w:eastAsia="宋体" w:hint="default"/>
                <w:sz w:val="16"/>
                <w:szCs w:val="16"/>
              </w:rPr>
              <w:t>控股</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Arial" w:hAnsi="Arial" w:cs="Arial" w:eastAsia="Arial" w:hint="default"/>
                <w:sz w:val="16"/>
                <w:szCs w:val="16"/>
              </w:rPr>
            </w:pPr>
            <w:r>
              <w:rPr>
                <w:rFonts w:ascii="Arial"/>
                <w:w w:val="95"/>
                <w:sz w:val="16"/>
              </w:rPr>
              <w:t>2,310,408</w:t>
            </w:r>
            <w:r>
              <w:rPr>
                <w:rFonts w:ascii="Arial"/>
                <w:sz w:val="16"/>
              </w:rPr>
            </w:r>
          </w:p>
        </w:tc>
        <w:tc>
          <w:tcPr>
            <w:tcW w:w="851" w:type="dxa"/>
            <w:tcBorders>
              <w:top w:val="nil" w:sz="6" w:space="0" w:color="auto"/>
              <w:left w:val="nil" w:sz="6" w:space="0" w:color="auto"/>
              <w:bottom w:val="nil" w:sz="6" w:space="0" w:color="auto"/>
              <w:right w:val="nil" w:sz="6" w:space="0" w:color="auto"/>
            </w:tcBorders>
          </w:tcPr>
          <w:p>
            <w:pPr>
              <w:pStyle w:val="TableParagraph"/>
              <w:spacing w:line="180" w:lineRule="exact"/>
              <w:ind w:left="101" w:right="0"/>
              <w:jc w:val="left"/>
              <w:rPr>
                <w:rFonts w:ascii="宋体" w:hAnsi="宋体" w:cs="宋体" w:eastAsia="宋体" w:hint="default"/>
                <w:sz w:val="16"/>
                <w:szCs w:val="16"/>
              </w:rPr>
            </w:pPr>
            <w:r>
              <w:rPr>
                <w:rFonts w:ascii="宋体" w:hAnsi="宋体" w:cs="宋体" w:eastAsia="宋体" w:hint="default"/>
                <w:sz w:val="16"/>
                <w:szCs w:val="16"/>
              </w:rPr>
              <w:t>投资控股</w:t>
            </w:r>
          </w:p>
        </w:tc>
        <w:tc>
          <w:tcPr>
            <w:tcW w:w="82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180" w:lineRule="exact"/>
              <w:ind w:right="78"/>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3"/>
              <w:jc w:val="right"/>
              <w:rPr>
                <w:rFonts w:ascii="Arial" w:hAnsi="Arial" w:cs="Arial" w:eastAsia="Arial" w:hint="default"/>
                <w:sz w:val="16"/>
                <w:szCs w:val="16"/>
              </w:rPr>
            </w:pPr>
            <w:r>
              <w:rPr>
                <w:rFonts w:ascii="Arial"/>
                <w:w w:val="95"/>
                <w:sz w:val="16"/>
              </w:rPr>
              <w:t>9,289,080</w:t>
            </w:r>
            <w:r>
              <w:rPr>
                <w:rFonts w:ascii="Arial"/>
                <w:sz w:val="16"/>
              </w:rPr>
            </w:r>
          </w:p>
        </w:tc>
        <w:tc>
          <w:tcPr>
            <w:tcW w:w="1008"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Arial" w:hAnsi="Arial" w:cs="Arial" w:eastAsia="Arial" w:hint="default"/>
                <w:sz w:val="16"/>
                <w:szCs w:val="16"/>
              </w:rPr>
            </w:pPr>
            <w:r>
              <w:rPr>
                <w:rFonts w:ascii="Arial"/>
                <w:sz w:val="16"/>
              </w:rPr>
              <w:t>33.88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 w:right="0"/>
              <w:jc w:val="center"/>
              <w:rPr>
                <w:rFonts w:ascii="Arial" w:hAnsi="Arial" w:cs="Arial" w:eastAsia="Arial" w:hint="default"/>
                <w:sz w:val="16"/>
                <w:szCs w:val="16"/>
              </w:rPr>
            </w:pPr>
            <w:r>
              <w:rPr>
                <w:rFonts w:ascii="Arial"/>
                <w:sz w:val="16"/>
              </w:rPr>
              <w:t>58.30</w:t>
            </w:r>
          </w:p>
        </w:tc>
        <w:tc>
          <w:tcPr>
            <w:tcW w:w="517"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6"/>
              <w:jc w:val="right"/>
              <w:rPr>
                <w:rFonts w:ascii="Arial" w:hAnsi="Arial" w:cs="Arial" w:eastAsia="Arial" w:hint="default"/>
                <w:sz w:val="16"/>
                <w:szCs w:val="16"/>
              </w:rPr>
            </w:pPr>
            <w:r>
              <w:rPr>
                <w:rFonts w:ascii="Arial"/>
                <w:spacing w:val="-1"/>
                <w:w w:val="95"/>
                <w:sz w:val="16"/>
              </w:rPr>
              <w:t>1,222</w:t>
            </w:r>
            <w:r>
              <w:rPr>
                <w:rFonts w:ascii="Arial"/>
                <w:sz w:val="16"/>
              </w:rPr>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0" w:right="0"/>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6" w:right="0"/>
              <w:jc w:val="left"/>
              <w:rPr>
                <w:rFonts w:ascii="宋体" w:hAnsi="宋体" w:cs="宋体" w:eastAsia="宋体" w:hint="default"/>
                <w:sz w:val="16"/>
                <w:szCs w:val="16"/>
              </w:rPr>
            </w:pPr>
            <w:r>
              <w:rPr>
                <w:rFonts w:ascii="宋体" w:hAnsi="宋体" w:cs="宋体" w:eastAsia="宋体" w:hint="default"/>
                <w:sz w:val="16"/>
                <w:szCs w:val="16"/>
              </w:rPr>
              <w:t>中国联合网络通信有限</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81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212"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4" w:lineRule="exact"/>
              <w:ind w:left="23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Style w:val="TableParagraph"/>
              <w:spacing w:line="184" w:lineRule="exact"/>
              <w:ind w:left="38"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500" w:type="dxa"/>
            <w:tcBorders>
              <w:top w:val="nil" w:sz="6" w:space="0" w:color="auto"/>
              <w:left w:val="nil" w:sz="6" w:space="0" w:color="auto"/>
              <w:bottom w:val="nil" w:sz="6" w:space="0" w:color="auto"/>
              <w:right w:val="nil" w:sz="6" w:space="0" w:color="auto"/>
            </w:tcBorders>
          </w:tcPr>
          <w:p>
            <w:pPr>
              <w:pStyle w:val="TableParagraph"/>
              <w:spacing w:line="195" w:lineRule="exact"/>
              <w:ind w:right="15"/>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816" w:type="dxa"/>
            <w:tcBorders>
              <w:top w:val="nil" w:sz="6" w:space="0" w:color="auto"/>
              <w:left w:val="nil" w:sz="6" w:space="0" w:color="auto"/>
              <w:bottom w:val="nil" w:sz="6" w:space="0" w:color="auto"/>
              <w:right w:val="nil" w:sz="6" w:space="0" w:color="auto"/>
            </w:tcBorders>
          </w:tcPr>
          <w:p>
            <w:pPr>
              <w:pStyle w:val="TableParagraph"/>
              <w:spacing w:line="184" w:lineRule="exact"/>
              <w:ind w:right="73"/>
              <w:jc w:val="center"/>
              <w:rPr>
                <w:rFonts w:ascii="宋体" w:hAnsi="宋体" w:cs="宋体" w:eastAsia="宋体" w:hint="default"/>
                <w:sz w:val="16"/>
                <w:szCs w:val="16"/>
              </w:rPr>
            </w:pPr>
            <w:r>
              <w:rPr>
                <w:rFonts w:ascii="宋体" w:hAnsi="宋体" w:cs="宋体" w:eastAsia="宋体" w:hint="default"/>
                <w:sz w:val="16"/>
                <w:szCs w:val="16"/>
              </w:rPr>
              <w:t>电信</w:t>
            </w: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305"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（“联通运营公司”）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
              <w:jc w:val="center"/>
              <w:rPr>
                <w:rFonts w:ascii="Arial" w:hAnsi="Arial" w:cs="Arial" w:eastAsia="Arial" w:hint="default"/>
                <w:sz w:val="16"/>
                <w:szCs w:val="16"/>
              </w:rPr>
            </w:pPr>
            <w:r>
              <w:rPr>
                <w:rFonts w:ascii="Arial"/>
                <w:sz w:val="16"/>
              </w:rPr>
              <w:t>(2)</w:t>
            </w:r>
          </w:p>
        </w:tc>
        <w:tc>
          <w:tcPr>
            <w:tcW w:w="585" w:type="dxa"/>
            <w:tcBorders>
              <w:top w:val="nil" w:sz="6" w:space="0" w:color="auto"/>
              <w:left w:val="nil" w:sz="6" w:space="0" w:color="auto"/>
              <w:bottom w:val="nil" w:sz="6" w:space="0" w:color="auto"/>
              <w:right w:val="nil" w:sz="6" w:space="0" w:color="auto"/>
            </w:tcBorders>
          </w:tcPr>
          <w:p>
            <w:pPr>
              <w:pStyle w:val="TableParagraph"/>
              <w:spacing w:line="180" w:lineRule="exact"/>
              <w:ind w:left="38"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191" w:lineRule="exact"/>
              <w:ind w:right="15"/>
              <w:jc w:val="center"/>
              <w:rPr>
                <w:rFonts w:ascii="宋体" w:hAnsi="宋体" w:cs="宋体" w:eastAsia="宋体" w:hint="default"/>
                <w:sz w:val="16"/>
                <w:szCs w:val="16"/>
              </w:rPr>
            </w:pPr>
            <w:r>
              <w:rPr>
                <w:rFonts w:ascii="Arial" w:hAnsi="Arial" w:cs="Arial" w:eastAsia="Arial" w:hint="default"/>
                <w:sz w:val="16"/>
                <w:szCs w:val="16"/>
              </w:rPr>
              <w:t>4</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6" w:type="dxa"/>
            <w:tcBorders>
              <w:top w:val="nil" w:sz="6" w:space="0" w:color="auto"/>
              <w:left w:val="nil" w:sz="6" w:space="0" w:color="auto"/>
              <w:bottom w:val="nil" w:sz="6" w:space="0" w:color="auto"/>
              <w:right w:val="nil" w:sz="6" w:space="0" w:color="auto"/>
            </w:tcBorders>
          </w:tcPr>
          <w:p>
            <w:pPr>
              <w:pStyle w:val="TableParagraph"/>
              <w:spacing w:line="180" w:lineRule="exact"/>
              <w:ind w:right="73"/>
              <w:jc w:val="center"/>
              <w:rPr>
                <w:rFonts w:ascii="宋体" w:hAnsi="宋体" w:cs="宋体" w:eastAsia="宋体" w:hint="default"/>
                <w:sz w:val="16"/>
                <w:szCs w:val="16"/>
              </w:rPr>
            </w:pPr>
            <w:r>
              <w:rPr>
                <w:rFonts w:ascii="宋体" w:hAnsi="宋体" w:cs="宋体" w:eastAsia="宋体" w:hint="default"/>
                <w:sz w:val="16"/>
                <w:szCs w:val="16"/>
              </w:rPr>
              <w:t>业务</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Arial" w:hAnsi="Arial" w:cs="Arial" w:eastAsia="Arial" w:hint="default"/>
                <w:sz w:val="16"/>
                <w:szCs w:val="16"/>
              </w:rPr>
            </w:pPr>
            <w:r>
              <w:rPr>
                <w:rFonts w:ascii="Arial"/>
                <w:w w:val="95"/>
                <w:sz w:val="16"/>
              </w:rPr>
              <w:t>138,091,678</w:t>
            </w:r>
            <w:r>
              <w:rPr>
                <w:rFonts w:ascii="Arial"/>
                <w:sz w:val="16"/>
              </w:rPr>
            </w:r>
          </w:p>
        </w:tc>
        <w:tc>
          <w:tcPr>
            <w:tcW w:w="851" w:type="dxa"/>
            <w:tcBorders>
              <w:top w:val="nil" w:sz="6" w:space="0" w:color="auto"/>
              <w:left w:val="nil" w:sz="6" w:space="0" w:color="auto"/>
              <w:bottom w:val="nil" w:sz="6" w:space="0" w:color="auto"/>
              <w:right w:val="nil" w:sz="6" w:space="0" w:color="auto"/>
            </w:tcBorders>
          </w:tcPr>
          <w:p>
            <w:pPr>
              <w:pStyle w:val="TableParagraph"/>
              <w:spacing w:line="180" w:lineRule="exact"/>
              <w:ind w:left="101"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82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180" w:lineRule="exact"/>
              <w:ind w:right="78"/>
              <w:jc w:val="right"/>
              <w:rPr>
                <w:rFonts w:ascii="宋体" w:hAnsi="宋体" w:cs="宋体" w:eastAsia="宋体" w:hint="default"/>
                <w:sz w:val="16"/>
                <w:szCs w:val="16"/>
              </w:rPr>
            </w:pPr>
            <w:r>
              <w:rPr>
                <w:rFonts w:ascii="宋体" w:hAnsi="宋体" w:cs="宋体" w:eastAsia="宋体" w:hint="default"/>
                <w:w w:val="95"/>
                <w:sz w:val="16"/>
                <w:szCs w:val="16"/>
              </w:rPr>
              <w:t>常小兵</w:t>
            </w:r>
            <w:r>
              <w:rPr>
                <w:rFonts w:ascii="宋体" w:hAnsi="宋体" w:cs="宋体" w:eastAsia="宋体" w:hint="default"/>
                <w:sz w:val="16"/>
                <w:szCs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center"/>
              <w:rPr>
                <w:rFonts w:ascii="Arial" w:hAnsi="Arial" w:cs="Arial" w:eastAsia="Arial" w:hint="default"/>
                <w:sz w:val="16"/>
                <w:szCs w:val="16"/>
              </w:rPr>
            </w:pPr>
            <w:r>
              <w:rPr>
                <w:rFonts w:ascii="Arial"/>
                <w:sz w:val="16"/>
              </w:rPr>
              <w:t>710939135</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7" w:right="0"/>
              <w:jc w:val="left"/>
              <w:rPr>
                <w:rFonts w:ascii="Arial" w:hAnsi="Arial" w:cs="Arial" w:eastAsia="Arial" w:hint="default"/>
                <w:sz w:val="16"/>
                <w:szCs w:val="16"/>
              </w:rPr>
            </w:pPr>
            <w:r>
              <w:rPr>
                <w:rFonts w:ascii="Arial"/>
                <w:sz w:val="16"/>
              </w:rPr>
              <w:t>139,797,368</w:t>
            </w:r>
          </w:p>
        </w:tc>
        <w:tc>
          <w:tcPr>
            <w:tcW w:w="1008"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Arial" w:hAnsi="Arial" w:cs="Arial" w:eastAsia="Arial" w:hint="default"/>
                <w:sz w:val="16"/>
                <w:szCs w:val="16"/>
              </w:rPr>
            </w:pPr>
            <w:r>
              <w:rPr>
                <w:rFonts w:ascii="Arial"/>
                <w:sz w:val="16"/>
              </w:rPr>
              <w:t>33.88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 w:right="0"/>
              <w:jc w:val="center"/>
              <w:rPr>
                <w:rFonts w:ascii="Arial" w:hAnsi="Arial" w:cs="Arial" w:eastAsia="Arial" w:hint="default"/>
                <w:sz w:val="16"/>
                <w:szCs w:val="16"/>
              </w:rPr>
            </w:pPr>
            <w:r>
              <w:rPr>
                <w:rFonts w:ascii="Arial"/>
                <w:sz w:val="16"/>
              </w:rPr>
              <w:t>58.30</w:t>
            </w:r>
          </w:p>
        </w:tc>
        <w:tc>
          <w:tcPr>
            <w:tcW w:w="517"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center"/>
              <w:rPr>
                <w:rFonts w:ascii="Arial" w:hAnsi="Arial" w:cs="Arial" w:eastAsia="Arial" w:hint="default"/>
                <w:sz w:val="16"/>
                <w:szCs w:val="16"/>
              </w:rPr>
            </w:pPr>
            <w:r>
              <w:rPr>
                <w:rFonts w:ascii="Arial"/>
                <w:w w:val="99"/>
                <w:sz w:val="16"/>
              </w:rPr>
              <w:t>-</w:t>
            </w:r>
            <w:r>
              <w:rPr>
                <w:rFonts w:ascii="Arial"/>
                <w:sz w:val="16"/>
              </w:rPr>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1" w:right="0"/>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900"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3"/>
              <w:jc w:val="center"/>
              <w:rPr>
                <w:rFonts w:ascii="宋体" w:hAnsi="宋体" w:cs="宋体" w:eastAsia="宋体" w:hint="default"/>
                <w:sz w:val="16"/>
                <w:szCs w:val="16"/>
              </w:rPr>
            </w:pPr>
            <w:r>
              <w:rPr>
                <w:rFonts w:ascii="宋体" w:hAnsi="宋体" w:cs="宋体" w:eastAsia="宋体" w:hint="default"/>
                <w:sz w:val="16"/>
                <w:szCs w:val="16"/>
              </w:rPr>
              <w:t>通信</w:t>
            </w: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212"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4"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联通华盛通信有限公司</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Style w:val="TableParagraph"/>
              <w:spacing w:line="184" w:lineRule="exact"/>
              <w:ind w:left="38"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500" w:type="dxa"/>
            <w:tcBorders>
              <w:top w:val="nil" w:sz="6" w:space="0" w:color="auto"/>
              <w:left w:val="nil" w:sz="6" w:space="0" w:color="auto"/>
              <w:bottom w:val="nil" w:sz="6" w:space="0" w:color="auto"/>
              <w:right w:val="nil" w:sz="6" w:space="0" w:color="auto"/>
            </w:tcBorders>
          </w:tcPr>
          <w:p>
            <w:pPr>
              <w:pStyle w:val="TableParagraph"/>
              <w:spacing w:line="195" w:lineRule="exact"/>
              <w:ind w:right="16"/>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816" w:type="dxa"/>
            <w:tcBorders>
              <w:top w:val="nil" w:sz="6" w:space="0" w:color="auto"/>
              <w:left w:val="nil" w:sz="6" w:space="0" w:color="auto"/>
              <w:bottom w:val="nil" w:sz="6" w:space="0" w:color="auto"/>
              <w:right w:val="nil" w:sz="6" w:space="0" w:color="auto"/>
            </w:tcBorders>
          </w:tcPr>
          <w:p>
            <w:pPr>
              <w:pStyle w:val="TableParagraph"/>
              <w:spacing w:line="184" w:lineRule="exact"/>
              <w:ind w:right="73"/>
              <w:jc w:val="center"/>
              <w:rPr>
                <w:rFonts w:ascii="宋体" w:hAnsi="宋体" w:cs="宋体" w:eastAsia="宋体" w:hint="default"/>
                <w:sz w:val="16"/>
                <w:szCs w:val="16"/>
              </w:rPr>
            </w:pPr>
            <w:r>
              <w:rPr>
                <w:rFonts w:ascii="宋体" w:hAnsi="宋体" w:cs="宋体" w:eastAsia="宋体" w:hint="default"/>
                <w:sz w:val="16"/>
                <w:szCs w:val="16"/>
              </w:rPr>
              <w:t>终端</w:t>
            </w: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184" w:lineRule="exact"/>
              <w:ind w:left="101" w:right="0"/>
              <w:jc w:val="left"/>
              <w:rPr>
                <w:rFonts w:ascii="宋体" w:hAnsi="宋体" w:cs="宋体" w:eastAsia="宋体" w:hint="default"/>
                <w:sz w:val="16"/>
                <w:szCs w:val="16"/>
              </w:rPr>
            </w:pPr>
            <w:r>
              <w:rPr>
                <w:rFonts w:ascii="宋体" w:hAnsi="宋体" w:cs="宋体" w:eastAsia="宋体" w:hint="default"/>
                <w:sz w:val="16"/>
                <w:szCs w:val="16"/>
              </w:rPr>
              <w:t>通信终端</w:t>
            </w:r>
          </w:p>
        </w:tc>
        <w:tc>
          <w:tcPr>
            <w:tcW w:w="823"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305"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（“联通华盛”）</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
              <w:jc w:val="center"/>
              <w:rPr>
                <w:rFonts w:ascii="Arial" w:hAnsi="Arial" w:cs="Arial" w:eastAsia="Arial" w:hint="default"/>
                <w:sz w:val="16"/>
                <w:szCs w:val="16"/>
              </w:rPr>
            </w:pPr>
            <w:r>
              <w:rPr>
                <w:rFonts w:ascii="Arial"/>
                <w:sz w:val="16"/>
              </w:rPr>
              <w:t>(2)</w:t>
            </w:r>
          </w:p>
        </w:tc>
        <w:tc>
          <w:tcPr>
            <w:tcW w:w="585" w:type="dxa"/>
            <w:tcBorders>
              <w:top w:val="nil" w:sz="6" w:space="0" w:color="auto"/>
              <w:left w:val="nil" w:sz="6" w:space="0" w:color="auto"/>
              <w:bottom w:val="nil" w:sz="6" w:space="0" w:color="auto"/>
              <w:right w:val="nil" w:sz="6" w:space="0" w:color="auto"/>
            </w:tcBorders>
          </w:tcPr>
          <w:p>
            <w:pPr>
              <w:pStyle w:val="TableParagraph"/>
              <w:spacing w:line="180" w:lineRule="exact"/>
              <w:ind w:left="38"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191" w:lineRule="exact"/>
              <w:ind w:right="15"/>
              <w:jc w:val="center"/>
              <w:rPr>
                <w:rFonts w:ascii="宋体" w:hAnsi="宋体" w:cs="宋体" w:eastAsia="宋体" w:hint="default"/>
                <w:sz w:val="16"/>
                <w:szCs w:val="16"/>
              </w:rPr>
            </w:pPr>
            <w:r>
              <w:rPr>
                <w:rFonts w:ascii="Arial" w:hAnsi="Arial" w:cs="Arial" w:eastAsia="Arial" w:hint="default"/>
                <w:sz w:val="16"/>
                <w:szCs w:val="16"/>
              </w:rPr>
              <w:t>8</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19</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6" w:type="dxa"/>
            <w:tcBorders>
              <w:top w:val="nil" w:sz="6" w:space="0" w:color="auto"/>
              <w:left w:val="nil" w:sz="6" w:space="0" w:color="auto"/>
              <w:bottom w:val="nil" w:sz="6" w:space="0" w:color="auto"/>
              <w:right w:val="nil" w:sz="6" w:space="0" w:color="auto"/>
            </w:tcBorders>
          </w:tcPr>
          <w:p>
            <w:pPr>
              <w:pStyle w:val="TableParagraph"/>
              <w:spacing w:line="180" w:lineRule="exact"/>
              <w:ind w:right="73"/>
              <w:jc w:val="center"/>
              <w:rPr>
                <w:rFonts w:ascii="宋体" w:hAnsi="宋体" w:cs="宋体" w:eastAsia="宋体" w:hint="default"/>
                <w:sz w:val="16"/>
                <w:szCs w:val="16"/>
              </w:rPr>
            </w:pPr>
            <w:r>
              <w:rPr>
                <w:rFonts w:ascii="宋体" w:hAnsi="宋体" w:cs="宋体" w:eastAsia="宋体" w:hint="default"/>
                <w:sz w:val="16"/>
                <w:szCs w:val="16"/>
              </w:rPr>
              <w:t>销售</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Arial" w:hAnsi="Arial" w:cs="Arial" w:eastAsia="Arial" w:hint="default"/>
                <w:sz w:val="16"/>
                <w:szCs w:val="16"/>
              </w:rPr>
            </w:pPr>
            <w:r>
              <w:rPr>
                <w:rFonts w:ascii="Arial"/>
                <w:w w:val="95"/>
                <w:sz w:val="16"/>
              </w:rPr>
              <w:t>500,000</w:t>
            </w:r>
            <w:r>
              <w:rPr>
                <w:rFonts w:ascii="Arial"/>
                <w:sz w:val="16"/>
              </w:rPr>
            </w:r>
          </w:p>
        </w:tc>
        <w:tc>
          <w:tcPr>
            <w:tcW w:w="851" w:type="dxa"/>
            <w:tcBorders>
              <w:top w:val="nil" w:sz="6" w:space="0" w:color="auto"/>
              <w:left w:val="nil" w:sz="6" w:space="0" w:color="auto"/>
              <w:bottom w:val="nil" w:sz="6" w:space="0" w:color="auto"/>
              <w:right w:val="nil" w:sz="6" w:space="0" w:color="auto"/>
            </w:tcBorders>
          </w:tcPr>
          <w:p>
            <w:pPr>
              <w:pStyle w:val="TableParagraph"/>
              <w:spacing w:line="180" w:lineRule="exact"/>
              <w:ind w:left="274" w:right="0"/>
              <w:jc w:val="left"/>
              <w:rPr>
                <w:rFonts w:ascii="宋体" w:hAnsi="宋体" w:cs="宋体" w:eastAsia="宋体" w:hint="default"/>
                <w:sz w:val="16"/>
                <w:szCs w:val="16"/>
              </w:rPr>
            </w:pPr>
            <w:r>
              <w:rPr>
                <w:rFonts w:ascii="宋体" w:hAnsi="宋体" w:cs="宋体" w:eastAsia="宋体" w:hint="default"/>
                <w:sz w:val="16"/>
                <w:szCs w:val="16"/>
              </w:rPr>
              <w:t>销售</w:t>
            </w:r>
          </w:p>
        </w:tc>
        <w:tc>
          <w:tcPr>
            <w:tcW w:w="82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180" w:lineRule="exact"/>
              <w:ind w:left="165" w:right="0"/>
              <w:jc w:val="left"/>
              <w:rPr>
                <w:rFonts w:ascii="宋体" w:hAnsi="宋体" w:cs="宋体" w:eastAsia="宋体" w:hint="default"/>
                <w:sz w:val="16"/>
                <w:szCs w:val="16"/>
              </w:rPr>
            </w:pPr>
            <w:r>
              <w:rPr>
                <w:rFonts w:ascii="宋体" w:hAnsi="宋体" w:cs="宋体" w:eastAsia="宋体" w:hint="default"/>
                <w:sz w:val="16"/>
                <w:szCs w:val="16"/>
              </w:rPr>
              <w:t>李刚</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center"/>
              <w:rPr>
                <w:rFonts w:ascii="Arial" w:hAnsi="Arial" w:cs="Arial" w:eastAsia="Arial" w:hint="default"/>
                <w:sz w:val="16"/>
                <w:szCs w:val="16"/>
              </w:rPr>
            </w:pPr>
            <w:r>
              <w:rPr>
                <w:rFonts w:ascii="Arial"/>
                <w:sz w:val="16"/>
              </w:rPr>
              <w:t>678751887</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3"/>
              <w:jc w:val="right"/>
              <w:rPr>
                <w:rFonts w:ascii="Arial" w:hAnsi="Arial" w:cs="Arial" w:eastAsia="Arial" w:hint="default"/>
                <w:sz w:val="16"/>
                <w:szCs w:val="16"/>
              </w:rPr>
            </w:pPr>
            <w:r>
              <w:rPr>
                <w:rFonts w:ascii="Arial"/>
                <w:w w:val="95"/>
                <w:sz w:val="16"/>
              </w:rPr>
              <w:t>500,000</w:t>
            </w:r>
            <w:r>
              <w:rPr>
                <w:rFonts w:ascii="Arial"/>
                <w:sz w:val="16"/>
              </w:rPr>
            </w:r>
          </w:p>
        </w:tc>
        <w:tc>
          <w:tcPr>
            <w:tcW w:w="1008"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Arial" w:hAnsi="Arial" w:cs="Arial" w:eastAsia="Arial" w:hint="default"/>
                <w:sz w:val="16"/>
                <w:szCs w:val="16"/>
              </w:rPr>
            </w:pPr>
            <w:r>
              <w:rPr>
                <w:rFonts w:ascii="Arial"/>
                <w:sz w:val="16"/>
              </w:rPr>
              <w:t>33.88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 w:right="0"/>
              <w:jc w:val="center"/>
              <w:rPr>
                <w:rFonts w:ascii="Arial" w:hAnsi="Arial" w:cs="Arial" w:eastAsia="Arial" w:hint="default"/>
                <w:sz w:val="16"/>
                <w:szCs w:val="16"/>
              </w:rPr>
            </w:pPr>
            <w:r>
              <w:rPr>
                <w:rFonts w:ascii="Arial"/>
                <w:sz w:val="16"/>
              </w:rPr>
              <w:t>58.30</w:t>
            </w:r>
          </w:p>
        </w:tc>
        <w:tc>
          <w:tcPr>
            <w:tcW w:w="517"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center"/>
              <w:rPr>
                <w:rFonts w:ascii="Arial" w:hAnsi="Arial" w:cs="Arial" w:eastAsia="Arial" w:hint="default"/>
                <w:sz w:val="16"/>
                <w:szCs w:val="16"/>
              </w:rPr>
            </w:pPr>
            <w:r>
              <w:rPr>
                <w:rFonts w:ascii="Arial"/>
                <w:w w:val="99"/>
                <w:sz w:val="16"/>
              </w:rPr>
              <w:t>-</w:t>
            </w:r>
            <w:r>
              <w:rPr>
                <w:rFonts w:ascii="Arial"/>
                <w:sz w:val="16"/>
              </w:rPr>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1" w:right="0"/>
              <w:jc w:val="center"/>
              <w:rPr>
                <w:rFonts w:ascii="Arial" w:hAnsi="Arial" w:cs="Arial" w:eastAsia="Arial" w:hint="default"/>
                <w:sz w:val="16"/>
                <w:szCs w:val="16"/>
              </w:rPr>
            </w:pPr>
            <w:r>
              <w:rPr>
                <w:rFonts w:ascii="Arial"/>
                <w:w w:val="99"/>
                <w:sz w:val="16"/>
              </w:rPr>
              <w:t>-</w:t>
            </w:r>
            <w:r>
              <w:rPr>
                <w:rFonts w:ascii="Arial"/>
                <w:sz w:val="16"/>
              </w:rPr>
            </w:r>
          </w:p>
        </w:tc>
      </w:tr>
      <w:tr>
        <w:trPr>
          <w:trHeight w:val="289" w:hRule="exact"/>
        </w:trPr>
        <w:tc>
          <w:tcPr>
            <w:tcW w:w="1900"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
              <w:jc w:val="center"/>
              <w:rPr>
                <w:rFonts w:ascii="宋体" w:hAnsi="宋体" w:cs="宋体" w:eastAsia="宋体" w:hint="default"/>
                <w:sz w:val="16"/>
                <w:szCs w:val="16"/>
              </w:rPr>
            </w:pPr>
            <w:r>
              <w:rPr>
                <w:rFonts w:ascii="宋体" w:hAnsi="宋体" w:cs="宋体" w:eastAsia="宋体" w:hint="default"/>
                <w:spacing w:val="-3"/>
                <w:sz w:val="16"/>
                <w:szCs w:val="16"/>
              </w:rPr>
              <w:t>（英属）维尔京群岛</w:t>
            </w:r>
          </w:p>
        </w:tc>
        <w:tc>
          <w:tcPr>
            <w:tcW w:w="81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212"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4" w:lineRule="exact"/>
              <w:ind w:left="76" w:right="0"/>
              <w:jc w:val="left"/>
              <w:rPr>
                <w:rFonts w:ascii="宋体" w:hAnsi="宋体" w:cs="宋体" w:eastAsia="宋体" w:hint="default"/>
                <w:sz w:val="16"/>
                <w:szCs w:val="16"/>
              </w:rPr>
            </w:pPr>
            <w:r>
              <w:rPr>
                <w:rFonts w:ascii="宋体" w:hAnsi="宋体" w:cs="宋体" w:eastAsia="宋体" w:hint="default"/>
                <w:sz w:val="16"/>
                <w:szCs w:val="16"/>
              </w:rPr>
              <w:t>亿迅投资有限公司</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Style w:val="TableParagraph"/>
              <w:spacing w:line="184" w:lineRule="exact"/>
              <w:ind w:left="38"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500" w:type="dxa"/>
            <w:tcBorders>
              <w:top w:val="nil" w:sz="6" w:space="0" w:color="auto"/>
              <w:left w:val="nil" w:sz="6" w:space="0" w:color="auto"/>
              <w:bottom w:val="nil" w:sz="6" w:space="0" w:color="auto"/>
              <w:right w:val="nil" w:sz="6" w:space="0" w:color="auto"/>
            </w:tcBorders>
          </w:tcPr>
          <w:p>
            <w:pPr>
              <w:pStyle w:val="TableParagraph"/>
              <w:spacing w:line="195" w:lineRule="exact"/>
              <w:ind w:right="15"/>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816" w:type="dxa"/>
            <w:tcBorders>
              <w:top w:val="nil" w:sz="6" w:space="0" w:color="auto"/>
              <w:left w:val="nil" w:sz="6" w:space="0" w:color="auto"/>
              <w:bottom w:val="nil" w:sz="6" w:space="0" w:color="auto"/>
              <w:right w:val="nil" w:sz="6" w:space="0" w:color="auto"/>
            </w:tcBorders>
          </w:tcPr>
          <w:p>
            <w:pPr>
              <w:pStyle w:val="TableParagraph"/>
              <w:spacing w:line="184" w:lineRule="exact"/>
              <w:ind w:right="74"/>
              <w:jc w:val="center"/>
              <w:rPr>
                <w:rFonts w:ascii="宋体" w:hAnsi="宋体" w:cs="宋体" w:eastAsia="宋体" w:hint="default"/>
                <w:sz w:val="16"/>
                <w:szCs w:val="16"/>
              </w:rPr>
            </w:pPr>
            <w:r>
              <w:rPr>
                <w:rFonts w:ascii="宋体" w:hAnsi="宋体" w:cs="宋体" w:eastAsia="宋体" w:hint="default"/>
                <w:sz w:val="16"/>
                <w:szCs w:val="16"/>
              </w:rPr>
              <w:t>投资及</w:t>
            </w: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184" w:lineRule="exact"/>
              <w:ind w:left="180" w:right="0"/>
              <w:jc w:val="left"/>
              <w:rPr>
                <w:rFonts w:ascii="宋体" w:hAnsi="宋体" w:cs="宋体" w:eastAsia="宋体" w:hint="default"/>
                <w:sz w:val="16"/>
                <w:szCs w:val="16"/>
              </w:rPr>
            </w:pPr>
            <w:r>
              <w:rPr>
                <w:rFonts w:ascii="宋体" w:hAnsi="宋体" w:cs="宋体" w:eastAsia="宋体" w:hint="default"/>
                <w:sz w:val="16"/>
                <w:szCs w:val="16"/>
              </w:rPr>
              <w:t>投资及</w:t>
            </w:r>
          </w:p>
        </w:tc>
        <w:tc>
          <w:tcPr>
            <w:tcW w:w="823"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center"/>
              <w:rPr>
                <w:rFonts w:ascii="宋体" w:hAnsi="宋体" w:cs="宋体" w:eastAsia="宋体" w:hint="default"/>
                <w:sz w:val="16"/>
                <w:szCs w:val="16"/>
              </w:rPr>
            </w:pPr>
            <w:r>
              <w:rPr>
                <w:rFonts w:ascii="宋体" w:hAnsi="宋体" w:cs="宋体" w:eastAsia="宋体" w:hint="default"/>
                <w:sz w:val="16"/>
                <w:szCs w:val="16"/>
              </w:rPr>
              <w:t>有限</w:t>
            </w: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306"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（“亿迅公司”）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
              <w:jc w:val="center"/>
              <w:rPr>
                <w:rFonts w:ascii="Arial" w:hAnsi="Arial" w:cs="Arial" w:eastAsia="Arial" w:hint="default"/>
                <w:sz w:val="16"/>
                <w:szCs w:val="16"/>
              </w:rPr>
            </w:pPr>
            <w:r>
              <w:rPr>
                <w:rFonts w:ascii="Arial"/>
                <w:sz w:val="16"/>
              </w:rPr>
              <w:t>(1)</w:t>
            </w:r>
          </w:p>
        </w:tc>
        <w:tc>
          <w:tcPr>
            <w:tcW w:w="585" w:type="dxa"/>
            <w:tcBorders>
              <w:top w:val="nil" w:sz="6" w:space="0" w:color="auto"/>
              <w:left w:val="nil" w:sz="6" w:space="0" w:color="auto"/>
              <w:bottom w:val="nil" w:sz="6" w:space="0" w:color="auto"/>
              <w:right w:val="nil" w:sz="6" w:space="0" w:color="auto"/>
            </w:tcBorders>
          </w:tcPr>
          <w:p>
            <w:pPr>
              <w:pStyle w:val="TableParagraph"/>
              <w:spacing w:line="180" w:lineRule="exact"/>
              <w:ind w:left="38"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191" w:lineRule="exact"/>
              <w:ind w:right="15"/>
              <w:jc w:val="center"/>
              <w:rPr>
                <w:rFonts w:ascii="宋体" w:hAnsi="宋体" w:cs="宋体" w:eastAsia="宋体" w:hint="default"/>
                <w:sz w:val="16"/>
                <w:szCs w:val="16"/>
              </w:rPr>
            </w:pPr>
            <w:r>
              <w:rPr>
                <w:rFonts w:ascii="Arial" w:hAnsi="Arial" w:cs="Arial" w:eastAsia="Arial" w:hint="default"/>
                <w:sz w:val="16"/>
                <w:szCs w:val="16"/>
              </w:rPr>
              <w:t>8</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6" w:type="dxa"/>
            <w:tcBorders>
              <w:top w:val="nil" w:sz="6" w:space="0" w:color="auto"/>
              <w:left w:val="nil" w:sz="6" w:space="0" w:color="auto"/>
              <w:bottom w:val="nil" w:sz="6" w:space="0" w:color="auto"/>
              <w:right w:val="nil" w:sz="6" w:space="0" w:color="auto"/>
            </w:tcBorders>
          </w:tcPr>
          <w:p>
            <w:pPr>
              <w:pStyle w:val="TableParagraph"/>
              <w:spacing w:line="180" w:lineRule="exact"/>
              <w:ind w:right="73"/>
              <w:jc w:val="center"/>
              <w:rPr>
                <w:rFonts w:ascii="宋体" w:hAnsi="宋体" w:cs="宋体" w:eastAsia="宋体" w:hint="default"/>
                <w:sz w:val="16"/>
                <w:szCs w:val="16"/>
              </w:rPr>
            </w:pPr>
            <w:r>
              <w:rPr>
                <w:rFonts w:ascii="宋体" w:hAnsi="宋体" w:cs="宋体" w:eastAsia="宋体" w:hint="default"/>
                <w:sz w:val="16"/>
                <w:szCs w:val="16"/>
              </w:rPr>
              <w:t>融资</w:t>
            </w:r>
          </w:p>
        </w:tc>
        <w:tc>
          <w:tcPr>
            <w:tcW w:w="1117" w:type="dxa"/>
            <w:tcBorders>
              <w:top w:val="nil" w:sz="6" w:space="0" w:color="auto"/>
              <w:left w:val="nil" w:sz="6" w:space="0" w:color="auto"/>
              <w:bottom w:val="nil" w:sz="6" w:space="0" w:color="auto"/>
              <w:right w:val="nil" w:sz="6" w:space="0" w:color="auto"/>
            </w:tcBorders>
          </w:tcPr>
          <w:p>
            <w:pPr>
              <w:pStyle w:val="TableParagraph"/>
              <w:spacing w:line="191" w:lineRule="exact"/>
              <w:ind w:right="100"/>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美元</w:t>
            </w:r>
          </w:p>
        </w:tc>
        <w:tc>
          <w:tcPr>
            <w:tcW w:w="851" w:type="dxa"/>
            <w:tcBorders>
              <w:top w:val="nil" w:sz="6" w:space="0" w:color="auto"/>
              <w:left w:val="nil" w:sz="6" w:space="0" w:color="auto"/>
              <w:bottom w:val="nil" w:sz="6" w:space="0" w:color="auto"/>
              <w:right w:val="nil" w:sz="6" w:space="0" w:color="auto"/>
            </w:tcBorders>
          </w:tcPr>
          <w:p>
            <w:pPr>
              <w:pStyle w:val="TableParagraph"/>
              <w:spacing w:line="180" w:lineRule="exact"/>
              <w:ind w:left="261" w:right="0"/>
              <w:jc w:val="left"/>
              <w:rPr>
                <w:rFonts w:ascii="宋体" w:hAnsi="宋体" w:cs="宋体" w:eastAsia="宋体" w:hint="default"/>
                <w:sz w:val="16"/>
                <w:szCs w:val="16"/>
              </w:rPr>
            </w:pPr>
            <w:r>
              <w:rPr>
                <w:rFonts w:ascii="宋体" w:hAnsi="宋体" w:cs="宋体" w:eastAsia="宋体" w:hint="default"/>
                <w:sz w:val="16"/>
                <w:szCs w:val="16"/>
              </w:rPr>
              <w:t>融资</w:t>
            </w:r>
          </w:p>
        </w:tc>
        <w:tc>
          <w:tcPr>
            <w:tcW w:w="82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180" w:lineRule="exact"/>
              <w:ind w:right="78"/>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31" w:type="dxa"/>
            <w:tcBorders>
              <w:top w:val="nil" w:sz="6" w:space="0" w:color="auto"/>
              <w:left w:val="nil" w:sz="6" w:space="0" w:color="auto"/>
              <w:bottom w:val="nil" w:sz="6" w:space="0" w:color="auto"/>
              <w:right w:val="nil" w:sz="6" w:space="0" w:color="auto"/>
            </w:tcBorders>
          </w:tcPr>
          <w:p>
            <w:pPr>
              <w:pStyle w:val="TableParagraph"/>
              <w:spacing w:line="191" w:lineRule="exact"/>
              <w:ind w:right="113"/>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美元</w:t>
            </w:r>
          </w:p>
        </w:tc>
        <w:tc>
          <w:tcPr>
            <w:tcW w:w="1008"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Arial" w:hAnsi="Arial" w:cs="Arial" w:eastAsia="Arial" w:hint="default"/>
                <w:sz w:val="16"/>
                <w:szCs w:val="16"/>
              </w:rPr>
            </w:pPr>
            <w:r>
              <w:rPr>
                <w:rFonts w:ascii="Arial"/>
                <w:sz w:val="16"/>
              </w:rPr>
              <w:t>33.88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 w:right="0"/>
              <w:jc w:val="center"/>
              <w:rPr>
                <w:rFonts w:ascii="Arial" w:hAnsi="Arial" w:cs="Arial" w:eastAsia="Arial" w:hint="default"/>
                <w:sz w:val="16"/>
                <w:szCs w:val="16"/>
              </w:rPr>
            </w:pPr>
            <w:r>
              <w:rPr>
                <w:rFonts w:ascii="Arial"/>
                <w:sz w:val="16"/>
              </w:rPr>
              <w:t>58.30</w:t>
            </w:r>
          </w:p>
        </w:tc>
        <w:tc>
          <w:tcPr>
            <w:tcW w:w="517"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center"/>
              <w:rPr>
                <w:rFonts w:ascii="Arial" w:hAnsi="Arial" w:cs="Arial" w:eastAsia="Arial" w:hint="default"/>
                <w:sz w:val="16"/>
                <w:szCs w:val="16"/>
              </w:rPr>
            </w:pPr>
            <w:r>
              <w:rPr>
                <w:rFonts w:ascii="Arial"/>
                <w:w w:val="99"/>
                <w:sz w:val="16"/>
              </w:rPr>
              <w:t>-</w:t>
            </w:r>
            <w:r>
              <w:rPr>
                <w:rFonts w:ascii="Arial"/>
                <w:sz w:val="16"/>
              </w:rPr>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1" w:right="0"/>
              <w:jc w:val="center"/>
              <w:rPr>
                <w:rFonts w:ascii="Arial" w:hAnsi="Arial" w:cs="Arial" w:eastAsia="Arial" w:hint="default"/>
                <w:sz w:val="16"/>
                <w:szCs w:val="16"/>
              </w:rPr>
            </w:pPr>
            <w:r>
              <w:rPr>
                <w:rFonts w:ascii="Arial"/>
                <w:w w:val="99"/>
                <w:sz w:val="16"/>
              </w:rPr>
              <w:t>-</w:t>
            </w:r>
            <w:r>
              <w:rPr>
                <w:rFonts w:ascii="Arial"/>
                <w:sz w:val="16"/>
              </w:rPr>
            </w:r>
          </w:p>
        </w:tc>
      </w:tr>
      <w:tr>
        <w:trPr>
          <w:trHeight w:val="289"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6" w:right="0"/>
              <w:jc w:val="left"/>
              <w:rPr>
                <w:rFonts w:ascii="宋体" w:hAnsi="宋体" w:cs="宋体" w:eastAsia="宋体" w:hint="default"/>
                <w:sz w:val="16"/>
                <w:szCs w:val="16"/>
              </w:rPr>
            </w:pPr>
            <w:r>
              <w:rPr>
                <w:rFonts w:ascii="宋体" w:hAnsi="宋体" w:cs="宋体" w:eastAsia="宋体" w:hint="default"/>
                <w:sz w:val="16"/>
                <w:szCs w:val="16"/>
              </w:rPr>
              <w:t>联通沃易付网络技术有限</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3"/>
              <w:jc w:val="center"/>
              <w:rPr>
                <w:rFonts w:ascii="宋体" w:hAnsi="宋体" w:cs="宋体" w:eastAsia="宋体" w:hint="default"/>
                <w:sz w:val="16"/>
                <w:szCs w:val="16"/>
              </w:rPr>
            </w:pPr>
            <w:r>
              <w:rPr>
                <w:rFonts w:ascii="宋体" w:hAnsi="宋体" w:cs="宋体" w:eastAsia="宋体" w:hint="default"/>
                <w:sz w:val="16"/>
                <w:szCs w:val="16"/>
              </w:rPr>
              <w:t>软件服务</w:t>
            </w: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1" w:right="0"/>
              <w:jc w:val="left"/>
              <w:rPr>
                <w:rFonts w:ascii="宋体" w:hAnsi="宋体" w:cs="宋体" w:eastAsia="宋体" w:hint="default"/>
                <w:sz w:val="16"/>
                <w:szCs w:val="16"/>
              </w:rPr>
            </w:pPr>
            <w:r>
              <w:rPr>
                <w:rFonts w:ascii="宋体" w:hAnsi="宋体" w:cs="宋体" w:eastAsia="宋体" w:hint="default"/>
                <w:sz w:val="16"/>
                <w:szCs w:val="16"/>
              </w:rPr>
              <w:t>信息咨询</w:t>
            </w:r>
          </w:p>
        </w:tc>
        <w:tc>
          <w:tcPr>
            <w:tcW w:w="823"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211"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3" w:lineRule="exact"/>
              <w:ind w:left="25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56"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Style w:val="TableParagraph"/>
              <w:spacing w:line="183" w:lineRule="exact"/>
              <w:ind w:left="38"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500" w:type="dxa"/>
            <w:tcBorders>
              <w:top w:val="nil" w:sz="6" w:space="0" w:color="auto"/>
              <w:left w:val="nil" w:sz="6" w:space="0" w:color="auto"/>
              <w:bottom w:val="nil" w:sz="6" w:space="0" w:color="auto"/>
              <w:right w:val="nil" w:sz="6" w:space="0" w:color="auto"/>
            </w:tcBorders>
          </w:tcPr>
          <w:p>
            <w:pPr>
              <w:pStyle w:val="TableParagraph"/>
              <w:spacing w:line="194" w:lineRule="exact"/>
              <w:ind w:right="16"/>
              <w:jc w:val="center"/>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816" w:type="dxa"/>
            <w:tcBorders>
              <w:top w:val="nil" w:sz="6" w:space="0" w:color="auto"/>
              <w:left w:val="nil" w:sz="6" w:space="0" w:color="auto"/>
              <w:bottom w:val="nil" w:sz="6" w:space="0" w:color="auto"/>
              <w:right w:val="nil" w:sz="6" w:space="0" w:color="auto"/>
            </w:tcBorders>
          </w:tcPr>
          <w:p>
            <w:pPr>
              <w:pStyle w:val="TableParagraph"/>
              <w:spacing w:line="183" w:lineRule="exact"/>
              <w:ind w:right="73"/>
              <w:jc w:val="center"/>
              <w:rPr>
                <w:rFonts w:ascii="宋体" w:hAnsi="宋体" w:cs="宋体" w:eastAsia="宋体" w:hint="default"/>
                <w:sz w:val="16"/>
                <w:szCs w:val="16"/>
              </w:rPr>
            </w:pPr>
            <w:r>
              <w:rPr>
                <w:rFonts w:ascii="宋体" w:hAnsi="宋体" w:cs="宋体" w:eastAsia="宋体" w:hint="default"/>
                <w:sz w:val="16"/>
                <w:szCs w:val="16"/>
              </w:rPr>
              <w:t>及技术开</w:t>
            </w:r>
          </w:p>
        </w:tc>
        <w:tc>
          <w:tcPr>
            <w:tcW w:w="111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183" w:lineRule="exact"/>
              <w:ind w:left="18" w:right="0"/>
              <w:jc w:val="center"/>
              <w:rPr>
                <w:rFonts w:ascii="宋体" w:hAnsi="宋体" w:cs="宋体" w:eastAsia="宋体" w:hint="default"/>
                <w:sz w:val="16"/>
                <w:szCs w:val="16"/>
              </w:rPr>
            </w:pPr>
            <w:r>
              <w:rPr>
                <w:rFonts w:ascii="宋体" w:hAnsi="宋体" w:cs="宋体" w:eastAsia="宋体" w:hint="default"/>
                <w:w w:val="99"/>
                <w:sz w:val="16"/>
                <w:szCs w:val="16"/>
              </w:rPr>
              <w:t>及</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r>
      <w:tr>
        <w:trPr>
          <w:trHeight w:val="300"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（“联通沃易付公司”）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
              <w:jc w:val="center"/>
              <w:rPr>
                <w:rFonts w:ascii="Arial" w:hAnsi="Arial" w:cs="Arial" w:eastAsia="Arial" w:hint="default"/>
                <w:sz w:val="16"/>
                <w:szCs w:val="16"/>
              </w:rPr>
            </w:pPr>
            <w:r>
              <w:rPr>
                <w:rFonts w:ascii="Arial"/>
                <w:sz w:val="16"/>
              </w:rPr>
              <w:t>(2)</w:t>
            </w:r>
          </w:p>
        </w:tc>
        <w:tc>
          <w:tcPr>
            <w:tcW w:w="585" w:type="dxa"/>
            <w:tcBorders>
              <w:top w:val="nil" w:sz="6" w:space="0" w:color="auto"/>
              <w:left w:val="nil" w:sz="6" w:space="0" w:color="auto"/>
              <w:bottom w:val="nil" w:sz="6" w:space="0" w:color="auto"/>
              <w:right w:val="nil" w:sz="6" w:space="0" w:color="auto"/>
            </w:tcBorders>
          </w:tcPr>
          <w:p>
            <w:pPr>
              <w:pStyle w:val="TableParagraph"/>
              <w:spacing w:line="180" w:lineRule="exact"/>
              <w:ind w:left="38"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191" w:lineRule="exact"/>
              <w:ind w:right="16"/>
              <w:jc w:val="center"/>
              <w:rPr>
                <w:rFonts w:ascii="宋体" w:hAnsi="宋体" w:cs="宋体" w:eastAsia="宋体" w:hint="default"/>
                <w:sz w:val="16"/>
                <w:szCs w:val="16"/>
              </w:rPr>
            </w:pPr>
            <w:r>
              <w:rPr>
                <w:rFonts w:ascii="Arial" w:hAnsi="Arial" w:cs="Arial" w:eastAsia="Arial" w:hint="default"/>
                <w:sz w:val="16"/>
                <w:szCs w:val="16"/>
              </w:rPr>
              <w:t>4</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6" w:type="dxa"/>
            <w:tcBorders>
              <w:top w:val="nil" w:sz="6" w:space="0" w:color="auto"/>
              <w:left w:val="nil" w:sz="6" w:space="0" w:color="auto"/>
              <w:bottom w:val="nil" w:sz="6" w:space="0" w:color="auto"/>
              <w:right w:val="nil" w:sz="6" w:space="0" w:color="auto"/>
            </w:tcBorders>
          </w:tcPr>
          <w:p>
            <w:pPr>
              <w:pStyle w:val="TableParagraph"/>
              <w:spacing w:line="180" w:lineRule="exact"/>
              <w:ind w:right="73"/>
              <w:jc w:val="center"/>
              <w:rPr>
                <w:rFonts w:ascii="宋体" w:hAnsi="宋体" w:cs="宋体" w:eastAsia="宋体" w:hint="default"/>
                <w:sz w:val="16"/>
                <w:szCs w:val="16"/>
              </w:rPr>
            </w:pPr>
            <w:r>
              <w:rPr>
                <w:rFonts w:ascii="宋体" w:hAnsi="宋体" w:cs="宋体" w:eastAsia="宋体" w:hint="default"/>
                <w:sz w:val="16"/>
                <w:szCs w:val="16"/>
              </w:rPr>
              <w:t>发与咨询</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Arial" w:hAnsi="Arial" w:cs="Arial" w:eastAsia="Arial" w:hint="default"/>
                <w:sz w:val="16"/>
                <w:szCs w:val="16"/>
              </w:rPr>
            </w:pPr>
            <w:r>
              <w:rPr>
                <w:rFonts w:ascii="Arial"/>
                <w:w w:val="95"/>
                <w:sz w:val="16"/>
              </w:rPr>
              <w:t>250,000</w:t>
            </w:r>
            <w:r>
              <w:rPr>
                <w:rFonts w:ascii="Arial"/>
                <w:sz w:val="16"/>
              </w:rPr>
            </w:r>
          </w:p>
        </w:tc>
        <w:tc>
          <w:tcPr>
            <w:tcW w:w="851" w:type="dxa"/>
            <w:tcBorders>
              <w:top w:val="nil" w:sz="6" w:space="0" w:color="auto"/>
              <w:left w:val="nil" w:sz="6" w:space="0" w:color="auto"/>
              <w:bottom w:val="nil" w:sz="6" w:space="0" w:color="auto"/>
              <w:right w:val="nil" w:sz="6" w:space="0" w:color="auto"/>
            </w:tcBorders>
          </w:tcPr>
          <w:p>
            <w:pPr>
              <w:pStyle w:val="TableParagraph"/>
              <w:spacing w:line="180" w:lineRule="exact"/>
              <w:ind w:left="101" w:right="0"/>
              <w:jc w:val="left"/>
              <w:rPr>
                <w:rFonts w:ascii="宋体" w:hAnsi="宋体" w:cs="宋体" w:eastAsia="宋体" w:hint="default"/>
                <w:sz w:val="16"/>
                <w:szCs w:val="16"/>
              </w:rPr>
            </w:pPr>
            <w:r>
              <w:rPr>
                <w:rFonts w:ascii="宋体" w:hAnsi="宋体" w:cs="宋体" w:eastAsia="宋体" w:hint="default"/>
                <w:sz w:val="16"/>
                <w:szCs w:val="16"/>
              </w:rPr>
              <w:t>软件服务</w:t>
            </w:r>
          </w:p>
        </w:tc>
        <w:tc>
          <w:tcPr>
            <w:tcW w:w="82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有限公司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180" w:lineRule="exact"/>
              <w:ind w:right="78"/>
              <w:jc w:val="right"/>
              <w:rPr>
                <w:rFonts w:ascii="宋体" w:hAnsi="宋体" w:cs="宋体" w:eastAsia="宋体" w:hint="default"/>
                <w:sz w:val="16"/>
                <w:szCs w:val="16"/>
              </w:rPr>
            </w:pPr>
            <w:r>
              <w:rPr>
                <w:rFonts w:ascii="宋体" w:hAnsi="宋体" w:cs="宋体" w:eastAsia="宋体" w:hint="default"/>
                <w:w w:val="95"/>
                <w:sz w:val="16"/>
                <w:szCs w:val="16"/>
              </w:rPr>
              <w:t>戴任飞</w:t>
            </w:r>
            <w:r>
              <w:rPr>
                <w:rFonts w:ascii="宋体" w:hAnsi="宋体" w:cs="宋体" w:eastAsia="宋体" w:hint="default"/>
                <w:sz w:val="16"/>
                <w:szCs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7"/>
              <w:jc w:val="center"/>
              <w:rPr>
                <w:rFonts w:ascii="Arial" w:hAnsi="Arial" w:cs="Arial" w:eastAsia="Arial" w:hint="default"/>
                <w:sz w:val="16"/>
                <w:szCs w:val="16"/>
              </w:rPr>
            </w:pPr>
            <w:r>
              <w:rPr>
                <w:rFonts w:ascii="Arial"/>
                <w:sz w:val="16"/>
              </w:rPr>
              <w:t>57322905-6</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3"/>
              <w:jc w:val="right"/>
              <w:rPr>
                <w:rFonts w:ascii="Arial" w:hAnsi="Arial" w:cs="Arial" w:eastAsia="Arial" w:hint="default"/>
                <w:sz w:val="16"/>
                <w:szCs w:val="16"/>
              </w:rPr>
            </w:pPr>
            <w:r>
              <w:rPr>
                <w:rFonts w:ascii="Arial"/>
                <w:w w:val="95"/>
                <w:sz w:val="16"/>
              </w:rPr>
              <w:t>250,000</w:t>
            </w:r>
            <w:r>
              <w:rPr>
                <w:rFonts w:ascii="Arial"/>
                <w:sz w:val="16"/>
              </w:rPr>
            </w:r>
          </w:p>
        </w:tc>
        <w:tc>
          <w:tcPr>
            <w:tcW w:w="1008"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Arial" w:hAnsi="Arial" w:cs="Arial" w:eastAsia="Arial" w:hint="default"/>
                <w:sz w:val="16"/>
                <w:szCs w:val="16"/>
              </w:rPr>
            </w:pPr>
            <w:r>
              <w:rPr>
                <w:rFonts w:ascii="Arial"/>
                <w:sz w:val="16"/>
              </w:rPr>
              <w:t>33.88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 w:right="0"/>
              <w:jc w:val="center"/>
              <w:rPr>
                <w:rFonts w:ascii="Arial" w:hAnsi="Arial" w:cs="Arial" w:eastAsia="Arial" w:hint="default"/>
                <w:sz w:val="16"/>
                <w:szCs w:val="16"/>
              </w:rPr>
            </w:pPr>
            <w:r>
              <w:rPr>
                <w:rFonts w:ascii="Arial"/>
                <w:sz w:val="16"/>
              </w:rPr>
              <w:t>58.30</w:t>
            </w:r>
          </w:p>
        </w:tc>
        <w:tc>
          <w:tcPr>
            <w:tcW w:w="517"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center"/>
              <w:rPr>
                <w:rFonts w:ascii="Arial" w:hAnsi="Arial" w:cs="Arial" w:eastAsia="Arial" w:hint="default"/>
                <w:sz w:val="16"/>
                <w:szCs w:val="16"/>
              </w:rPr>
            </w:pPr>
            <w:r>
              <w:rPr>
                <w:rFonts w:ascii="Arial"/>
                <w:w w:val="99"/>
                <w:sz w:val="16"/>
              </w:rPr>
              <w:t>-</w:t>
            </w:r>
            <w:r>
              <w:rPr>
                <w:rFonts w:ascii="Arial"/>
                <w:sz w:val="16"/>
              </w:rPr>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1" w:right="0"/>
              <w:jc w:val="center"/>
              <w:rPr>
                <w:rFonts w:ascii="Arial" w:hAnsi="Arial" w:cs="Arial" w:eastAsia="Arial" w:hint="default"/>
                <w:sz w:val="16"/>
                <w:szCs w:val="16"/>
              </w:rPr>
            </w:pPr>
            <w:r>
              <w:rPr>
                <w:rFonts w:ascii="Arial"/>
                <w:w w:val="99"/>
                <w:sz w:val="16"/>
              </w:rPr>
              <w:t>-</w:t>
            </w:r>
            <w:r>
              <w:rPr>
                <w:rFonts w:ascii="Arial"/>
                <w:sz w:val="16"/>
              </w:rPr>
            </w:r>
          </w:p>
        </w:tc>
      </w:tr>
    </w:tbl>
    <w:p>
      <w:pPr>
        <w:spacing w:before="108"/>
        <w:ind w:left="557" w:right="0" w:firstLine="0"/>
        <w:jc w:val="left"/>
        <w:rPr>
          <w:rFonts w:ascii="宋体" w:hAnsi="宋体" w:cs="宋体" w:eastAsia="宋体" w:hint="default"/>
          <w:sz w:val="16"/>
          <w:szCs w:val="16"/>
        </w:rPr>
      </w:pPr>
      <w:r>
        <w:rPr>
          <w:rFonts w:ascii="宋体" w:hAnsi="宋体" w:cs="宋体" w:eastAsia="宋体" w:hint="default"/>
          <w:sz w:val="16"/>
          <w:szCs w:val="16"/>
        </w:rPr>
        <w:t>注：少数股东权益项目指</w:t>
      </w:r>
      <w:r>
        <w:rPr>
          <w:rFonts w:ascii="Tahoma" w:hAnsi="Tahoma" w:cs="Tahoma" w:eastAsia="Tahoma" w:hint="default"/>
          <w:sz w:val="16"/>
          <w:szCs w:val="16"/>
        </w:rPr>
        <w:t>“</w:t>
      </w:r>
      <w:r>
        <w:rPr>
          <w:rFonts w:ascii="宋体" w:hAnsi="宋体" w:cs="宋体" w:eastAsia="宋体" w:hint="default"/>
          <w:sz w:val="16"/>
          <w:szCs w:val="16"/>
        </w:rPr>
        <w:t>少数股东权益中用于冲减少数股东损益的金额</w:t>
      </w:r>
      <w:r>
        <w:rPr>
          <w:rFonts w:ascii="Tahoma" w:hAnsi="Tahoma" w:cs="Tahoma" w:eastAsia="Tahoma" w:hint="default"/>
          <w:sz w:val="16"/>
          <w:szCs w:val="16"/>
        </w:rPr>
        <w:t>”</w:t>
      </w:r>
      <w:r>
        <w:rPr>
          <w:rFonts w:ascii="宋体" w:hAnsi="宋体" w:cs="宋体" w:eastAsia="宋体" w:hint="default"/>
          <w:sz w:val="16"/>
          <w:szCs w:val="16"/>
        </w:rPr>
        <w:t>。</w:t>
      </w:r>
    </w:p>
    <w:p>
      <w:pPr>
        <w:spacing w:after="0"/>
        <w:jc w:val="left"/>
        <w:rPr>
          <w:rFonts w:ascii="宋体" w:hAnsi="宋体" w:cs="宋体" w:eastAsia="宋体" w:hint="default"/>
          <w:sz w:val="16"/>
          <w:szCs w:val="16"/>
        </w:rPr>
        <w:sectPr>
          <w:headerReference w:type="default" r:id="rId72"/>
          <w:footerReference w:type="default" r:id="rId73"/>
          <w:pgSz w:w="16840" w:h="11900" w:orient="landscape"/>
          <w:pgMar w:header="1189" w:footer="585" w:top="2500" w:bottom="780" w:left="460" w:right="900"/>
          <w:pgNumType w:start="95"/>
        </w:sectPr>
      </w:pPr>
    </w:p>
    <w:p>
      <w:pPr>
        <w:spacing w:line="240" w:lineRule="auto" w:before="7"/>
        <w:rPr>
          <w:rFonts w:ascii="宋体" w:hAnsi="宋体" w:cs="宋体" w:eastAsia="宋体" w:hint="default"/>
          <w:sz w:val="18"/>
          <w:szCs w:val="18"/>
        </w:rPr>
      </w:pPr>
    </w:p>
    <w:p>
      <w:pPr>
        <w:pStyle w:val="BodyText"/>
        <w:spacing w:line="240" w:lineRule="auto" w:before="31"/>
        <w:ind w:left="107" w:right="0"/>
        <w:jc w:val="left"/>
      </w:pPr>
      <w:r>
        <w:rPr>
          <w:rFonts w:ascii="Arial" w:hAnsi="Arial" w:cs="Arial" w:eastAsia="Arial" w:hint="default"/>
        </w:rPr>
        <w:t>(b) </w:t>
      </w:r>
      <w:r>
        <w:rPr>
          <w:rFonts w:ascii="Arial" w:hAnsi="Arial" w:cs="Arial" w:eastAsia="Arial" w:hint="default"/>
          <w:spacing w:val="24"/>
        </w:rPr>
        <w:t> </w:t>
      </w:r>
      <w:r>
        <w:rPr/>
        <w:t>通过同一控制下的企业合并取得的子公司</w:t>
      </w:r>
    </w:p>
    <w:p>
      <w:pPr>
        <w:spacing w:line="240" w:lineRule="auto" w:before="11"/>
        <w:rPr>
          <w:rFonts w:ascii="宋体" w:hAnsi="宋体" w:cs="宋体" w:eastAsia="宋体" w:hint="default"/>
          <w:sz w:val="14"/>
          <w:szCs w:val="14"/>
        </w:rPr>
      </w:pPr>
    </w:p>
    <w:tbl>
      <w:tblPr>
        <w:tblW w:w="0" w:type="auto"/>
        <w:jc w:val="left"/>
        <w:tblInd w:w="467" w:type="dxa"/>
        <w:tblLayout w:type="fixed"/>
        <w:tblCellMar>
          <w:top w:w="0" w:type="dxa"/>
          <w:left w:w="0" w:type="dxa"/>
          <w:bottom w:w="0" w:type="dxa"/>
          <w:right w:w="0" w:type="dxa"/>
        </w:tblCellMar>
        <w:tblLook w:val="01E0"/>
      </w:tblPr>
      <w:tblGrid>
        <w:gridCol w:w="1681"/>
        <w:gridCol w:w="397"/>
        <w:gridCol w:w="616"/>
        <w:gridCol w:w="1138"/>
        <w:gridCol w:w="686"/>
        <w:gridCol w:w="1079"/>
        <w:gridCol w:w="853"/>
        <w:gridCol w:w="833"/>
        <w:gridCol w:w="685"/>
        <w:gridCol w:w="1128"/>
        <w:gridCol w:w="1140"/>
        <w:gridCol w:w="1063"/>
        <w:gridCol w:w="539"/>
        <w:gridCol w:w="580"/>
        <w:gridCol w:w="452"/>
        <w:gridCol w:w="811"/>
        <w:gridCol w:w="619"/>
      </w:tblGrid>
      <w:tr>
        <w:trPr>
          <w:trHeight w:val="502" w:hRule="exact"/>
        </w:trPr>
        <w:tc>
          <w:tcPr>
            <w:tcW w:w="9096" w:type="dxa"/>
            <w:gridSpan w:val="10"/>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7" w:right="0"/>
              <w:jc w:val="left"/>
              <w:rPr>
                <w:rFonts w:ascii="宋体" w:hAnsi="宋体" w:cs="宋体" w:eastAsia="宋体" w:hint="default"/>
                <w:sz w:val="16"/>
                <w:szCs w:val="16"/>
              </w:rPr>
            </w:pPr>
            <w:r>
              <w:rPr>
                <w:rFonts w:ascii="宋体" w:hAnsi="宋体" w:cs="宋体" w:eastAsia="宋体" w:hint="default"/>
                <w:sz w:val="16"/>
                <w:szCs w:val="16"/>
              </w:rPr>
              <w:t>年末实际</w:t>
            </w:r>
          </w:p>
        </w:tc>
        <w:tc>
          <w:tcPr>
            <w:tcW w:w="1063" w:type="dxa"/>
            <w:tcBorders>
              <w:top w:val="nil" w:sz="6" w:space="0" w:color="auto"/>
              <w:left w:val="nil" w:sz="6" w:space="0" w:color="auto"/>
              <w:bottom w:val="nil" w:sz="6" w:space="0" w:color="auto"/>
              <w:right w:val="nil" w:sz="6" w:space="0" w:color="auto"/>
            </w:tcBorders>
          </w:tcPr>
          <w:p>
            <w:pPr>
              <w:pStyle w:val="TableParagraph"/>
              <w:spacing w:line="206" w:lineRule="exact" w:before="72"/>
              <w:ind w:left="170" w:right="92"/>
              <w:jc w:val="left"/>
              <w:rPr>
                <w:rFonts w:ascii="宋体" w:hAnsi="宋体" w:cs="宋体" w:eastAsia="宋体" w:hint="default"/>
                <w:sz w:val="16"/>
                <w:szCs w:val="16"/>
              </w:rPr>
            </w:pPr>
            <w:r>
              <w:rPr>
                <w:rFonts w:ascii="宋体" w:hAnsi="宋体" w:cs="宋体" w:eastAsia="宋体" w:hint="default"/>
                <w:sz w:val="16"/>
                <w:szCs w:val="16"/>
              </w:rPr>
              <w:t>实质上构成</w:t>
            </w:r>
            <w:r>
              <w:rPr>
                <w:rFonts w:ascii="宋体" w:hAnsi="宋体" w:cs="宋体" w:eastAsia="宋体" w:hint="default"/>
                <w:w w:val="99"/>
                <w:sz w:val="16"/>
                <w:szCs w:val="16"/>
              </w:rPr>
              <w:t> </w:t>
            </w:r>
            <w:r>
              <w:rPr>
                <w:rFonts w:ascii="宋体" w:hAnsi="宋体" w:cs="宋体" w:eastAsia="宋体" w:hint="default"/>
                <w:sz w:val="16"/>
                <w:szCs w:val="16"/>
              </w:rPr>
              <w:t>对子公司净</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1" w:right="0"/>
              <w:jc w:val="left"/>
              <w:rPr>
                <w:rFonts w:ascii="宋体" w:hAnsi="宋体" w:cs="宋体" w:eastAsia="宋体" w:hint="default"/>
                <w:sz w:val="16"/>
                <w:szCs w:val="16"/>
              </w:rPr>
            </w:pPr>
            <w:r>
              <w:rPr>
                <w:rFonts w:ascii="宋体" w:hAnsi="宋体" w:cs="宋体" w:eastAsia="宋体" w:hint="default"/>
                <w:sz w:val="16"/>
                <w:szCs w:val="16"/>
              </w:rPr>
              <w:t>持股</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1"/>
              <w:jc w:val="right"/>
              <w:rPr>
                <w:rFonts w:ascii="宋体" w:hAnsi="宋体" w:cs="宋体" w:eastAsia="宋体" w:hint="default"/>
                <w:sz w:val="16"/>
                <w:szCs w:val="16"/>
              </w:rPr>
            </w:pPr>
            <w:r>
              <w:rPr>
                <w:rFonts w:ascii="宋体" w:hAnsi="宋体" w:cs="宋体" w:eastAsia="宋体" w:hint="default"/>
                <w:w w:val="95"/>
                <w:sz w:val="16"/>
                <w:szCs w:val="16"/>
              </w:rPr>
              <w:t>表决权</w:t>
            </w:r>
            <w:r>
              <w:rPr>
                <w:rFonts w:ascii="宋体" w:hAnsi="宋体" w:cs="宋体" w:eastAsia="宋体" w:hint="default"/>
                <w:sz w:val="16"/>
                <w:szCs w:val="16"/>
              </w:rPr>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center"/>
              <w:rPr>
                <w:rFonts w:ascii="宋体" w:hAnsi="宋体" w:cs="宋体" w:eastAsia="宋体" w:hint="default"/>
                <w:sz w:val="16"/>
                <w:szCs w:val="16"/>
              </w:rPr>
            </w:pPr>
            <w:r>
              <w:rPr>
                <w:rFonts w:ascii="宋体" w:hAnsi="宋体" w:cs="宋体" w:eastAsia="宋体" w:hint="default"/>
                <w:sz w:val="16"/>
                <w:szCs w:val="16"/>
              </w:rPr>
              <w:t>是否</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6"/>
                <w:szCs w:val="16"/>
              </w:rPr>
            </w:pPr>
            <w:r>
              <w:rPr>
                <w:rFonts w:ascii="宋体" w:hAnsi="宋体" w:cs="宋体" w:eastAsia="宋体" w:hint="default"/>
                <w:sz w:val="16"/>
                <w:szCs w:val="16"/>
              </w:rPr>
              <w:t>少数股东</w:t>
            </w:r>
          </w:p>
        </w:tc>
        <w:tc>
          <w:tcPr>
            <w:tcW w:w="619" w:type="dxa"/>
            <w:tcBorders>
              <w:top w:val="nil" w:sz="6" w:space="0" w:color="auto"/>
              <w:left w:val="nil" w:sz="6" w:space="0" w:color="auto"/>
              <w:bottom w:val="nil" w:sz="6" w:space="0" w:color="auto"/>
              <w:right w:val="nil" w:sz="6" w:space="0" w:color="auto"/>
            </w:tcBorders>
          </w:tcPr>
          <w:p>
            <w:pPr>
              <w:pStyle w:val="TableParagraph"/>
              <w:spacing w:line="206" w:lineRule="exact" w:before="72"/>
              <w:ind w:left="91" w:right="47"/>
              <w:jc w:val="left"/>
              <w:rPr>
                <w:rFonts w:ascii="宋体" w:hAnsi="宋体" w:cs="宋体" w:eastAsia="宋体" w:hint="default"/>
                <w:sz w:val="16"/>
                <w:szCs w:val="16"/>
              </w:rPr>
            </w:pPr>
            <w:r>
              <w:rPr>
                <w:rFonts w:ascii="宋体" w:hAnsi="宋体" w:cs="宋体" w:eastAsia="宋体" w:hint="default"/>
                <w:sz w:val="16"/>
                <w:szCs w:val="16"/>
              </w:rPr>
              <w:t>少数股</w:t>
            </w:r>
            <w:r>
              <w:rPr>
                <w:rFonts w:ascii="宋体" w:hAnsi="宋体" w:cs="宋体" w:eastAsia="宋体" w:hint="default"/>
                <w:w w:val="99"/>
                <w:sz w:val="16"/>
                <w:szCs w:val="16"/>
              </w:rPr>
              <w:t> </w:t>
            </w:r>
            <w:r>
              <w:rPr>
                <w:rFonts w:ascii="宋体" w:hAnsi="宋体" w:cs="宋体" w:eastAsia="宋体" w:hint="default"/>
                <w:sz w:val="16"/>
                <w:szCs w:val="16"/>
              </w:rPr>
              <w:t>东权益</w:t>
            </w:r>
          </w:p>
        </w:tc>
      </w:tr>
      <w:tr>
        <w:trPr>
          <w:trHeight w:val="208" w:hRule="exact"/>
        </w:trPr>
        <w:tc>
          <w:tcPr>
            <w:tcW w:w="1681" w:type="dxa"/>
            <w:tcBorders>
              <w:top w:val="nil" w:sz="6" w:space="0" w:color="auto"/>
              <w:left w:val="nil" w:sz="6" w:space="0" w:color="auto"/>
              <w:bottom w:val="nil" w:sz="6" w:space="0" w:color="auto"/>
              <w:right w:val="nil" w:sz="6" w:space="0" w:color="auto"/>
            </w:tcBorders>
          </w:tcPr>
          <w:p>
            <w:pP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72" w:lineRule="exact"/>
              <w:ind w:left="5" w:right="0"/>
              <w:jc w:val="center"/>
              <w:rPr>
                <w:rFonts w:ascii="宋体" w:hAnsi="宋体" w:cs="宋体" w:eastAsia="宋体" w:hint="default"/>
                <w:sz w:val="16"/>
                <w:szCs w:val="16"/>
              </w:rPr>
            </w:pPr>
            <w:r>
              <w:rPr>
                <w:rFonts w:ascii="宋体" w:hAnsi="宋体" w:cs="宋体" w:eastAsia="宋体" w:hint="default"/>
                <w:sz w:val="16"/>
                <w:szCs w:val="16"/>
              </w:rPr>
              <w:t>子公司</w:t>
            </w:r>
          </w:p>
        </w:tc>
        <w:tc>
          <w:tcPr>
            <w:tcW w:w="1138" w:type="dxa"/>
            <w:tcBorders>
              <w:top w:val="nil" w:sz="6" w:space="0" w:color="auto"/>
              <w:left w:val="nil" w:sz="6" w:space="0" w:color="auto"/>
              <w:bottom w:val="nil" w:sz="6" w:space="0" w:color="auto"/>
              <w:right w:val="nil" w:sz="6" w:space="0" w:color="auto"/>
            </w:tcBorders>
          </w:tcPr>
          <w:p>
            <w:pPr>
              <w:pStyle w:val="TableParagraph"/>
              <w:spacing w:line="172" w:lineRule="exact"/>
              <w:ind w:left="84" w:right="0"/>
              <w:jc w:val="center"/>
              <w:rPr>
                <w:rFonts w:ascii="宋体" w:hAnsi="宋体" w:cs="宋体" w:eastAsia="宋体" w:hint="default"/>
                <w:sz w:val="16"/>
                <w:szCs w:val="16"/>
              </w:rPr>
            </w:pPr>
            <w:r>
              <w:rPr>
                <w:rFonts w:ascii="宋体" w:hAnsi="宋体" w:cs="宋体" w:eastAsia="宋体" w:hint="default"/>
                <w:sz w:val="16"/>
                <w:szCs w:val="16"/>
              </w:rPr>
              <w:t>注册地及</w:t>
            </w:r>
          </w:p>
        </w:tc>
        <w:tc>
          <w:tcPr>
            <w:tcW w:w="686" w:type="dxa"/>
            <w:tcBorders>
              <w:top w:val="nil" w:sz="6" w:space="0" w:color="auto"/>
              <w:left w:val="nil" w:sz="6" w:space="0" w:color="auto"/>
              <w:bottom w:val="nil" w:sz="6" w:space="0" w:color="auto"/>
              <w:right w:val="nil" w:sz="6" w:space="0" w:color="auto"/>
            </w:tcBorders>
          </w:tcPr>
          <w:p>
            <w:pPr>
              <w:pStyle w:val="TableParagraph"/>
              <w:spacing w:line="172" w:lineRule="exact"/>
              <w:ind w:right="7"/>
              <w:jc w:val="center"/>
              <w:rPr>
                <w:rFonts w:ascii="宋体" w:hAnsi="宋体" w:cs="宋体" w:eastAsia="宋体" w:hint="default"/>
                <w:sz w:val="16"/>
                <w:szCs w:val="16"/>
              </w:rPr>
            </w:pPr>
            <w:r>
              <w:rPr>
                <w:rFonts w:ascii="宋体" w:hAnsi="宋体" w:cs="宋体" w:eastAsia="宋体" w:hint="default"/>
                <w:sz w:val="16"/>
                <w:szCs w:val="16"/>
              </w:rPr>
              <w:t>业务</w:t>
            </w:r>
          </w:p>
        </w:tc>
        <w:tc>
          <w:tcPr>
            <w:tcW w:w="1079" w:type="dxa"/>
            <w:tcBorders>
              <w:top w:val="nil" w:sz="6" w:space="0" w:color="auto"/>
              <w:left w:val="nil" w:sz="6" w:space="0" w:color="auto"/>
              <w:bottom w:val="nil" w:sz="6" w:space="0" w:color="auto"/>
              <w:right w:val="nil" w:sz="6" w:space="0" w:color="auto"/>
            </w:tcBorders>
          </w:tcPr>
          <w:p>
            <w:pPr>
              <w:pStyle w:val="TableParagraph"/>
              <w:spacing w:line="172" w:lineRule="exact"/>
              <w:ind w:right="214"/>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Style w:val="TableParagraph"/>
              <w:spacing w:line="172" w:lineRule="exact"/>
              <w:ind w:right="138"/>
              <w:jc w:val="right"/>
              <w:rPr>
                <w:rFonts w:ascii="宋体" w:hAnsi="宋体" w:cs="宋体" w:eastAsia="宋体" w:hint="default"/>
                <w:sz w:val="16"/>
                <w:szCs w:val="16"/>
              </w:rPr>
            </w:pPr>
            <w:r>
              <w:rPr>
                <w:rFonts w:ascii="宋体" w:hAnsi="宋体" w:cs="宋体" w:eastAsia="宋体" w:hint="default"/>
                <w:w w:val="95"/>
                <w:sz w:val="16"/>
                <w:szCs w:val="16"/>
              </w:rPr>
              <w:t>法人</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172" w:lineRule="exact"/>
              <w:ind w:right="163"/>
              <w:jc w:val="center"/>
              <w:rPr>
                <w:rFonts w:ascii="宋体" w:hAnsi="宋体" w:cs="宋体" w:eastAsia="宋体" w:hint="default"/>
                <w:sz w:val="16"/>
                <w:szCs w:val="16"/>
              </w:rPr>
            </w:pPr>
            <w:r>
              <w:rPr>
                <w:rFonts w:ascii="宋体" w:hAnsi="宋体" w:cs="宋体" w:eastAsia="宋体" w:hint="default"/>
                <w:sz w:val="16"/>
                <w:szCs w:val="16"/>
              </w:rPr>
              <w:t>组织机构</w:t>
            </w:r>
          </w:p>
        </w:tc>
        <w:tc>
          <w:tcPr>
            <w:tcW w:w="1140" w:type="dxa"/>
            <w:tcBorders>
              <w:top w:val="nil" w:sz="6" w:space="0" w:color="auto"/>
              <w:left w:val="nil" w:sz="6" w:space="0" w:color="auto"/>
              <w:bottom w:val="nil" w:sz="6" w:space="0" w:color="auto"/>
              <w:right w:val="nil" w:sz="6" w:space="0" w:color="auto"/>
            </w:tcBorders>
          </w:tcPr>
          <w:p>
            <w:pPr>
              <w:pStyle w:val="TableParagraph"/>
              <w:spacing w:line="172" w:lineRule="exact"/>
              <w:ind w:left="286" w:right="0"/>
              <w:jc w:val="left"/>
              <w:rPr>
                <w:rFonts w:ascii="宋体" w:hAnsi="宋体" w:cs="宋体" w:eastAsia="宋体" w:hint="default"/>
                <w:sz w:val="16"/>
                <w:szCs w:val="16"/>
              </w:rPr>
            </w:pPr>
            <w:r>
              <w:rPr>
                <w:rFonts w:ascii="宋体" w:hAnsi="宋体" w:cs="宋体" w:eastAsia="宋体" w:hint="default"/>
                <w:sz w:val="16"/>
                <w:szCs w:val="16"/>
              </w:rPr>
              <w:t>出资额</w:t>
            </w:r>
          </w:p>
        </w:tc>
        <w:tc>
          <w:tcPr>
            <w:tcW w:w="1063" w:type="dxa"/>
            <w:tcBorders>
              <w:top w:val="nil" w:sz="6" w:space="0" w:color="auto"/>
              <w:left w:val="nil" w:sz="6" w:space="0" w:color="auto"/>
              <w:bottom w:val="nil" w:sz="6" w:space="0" w:color="auto"/>
              <w:right w:val="nil" w:sz="6" w:space="0" w:color="auto"/>
            </w:tcBorders>
          </w:tcPr>
          <w:p>
            <w:pPr>
              <w:pStyle w:val="TableParagraph"/>
              <w:spacing w:line="172" w:lineRule="exact"/>
              <w:ind w:left="77" w:right="0"/>
              <w:jc w:val="center"/>
              <w:rPr>
                <w:rFonts w:ascii="宋体" w:hAnsi="宋体" w:cs="宋体" w:eastAsia="宋体" w:hint="default"/>
                <w:sz w:val="16"/>
                <w:szCs w:val="16"/>
              </w:rPr>
            </w:pPr>
            <w:r>
              <w:rPr>
                <w:rFonts w:ascii="宋体" w:hAnsi="宋体" w:cs="宋体" w:eastAsia="宋体" w:hint="default"/>
                <w:sz w:val="16"/>
                <w:szCs w:val="16"/>
              </w:rPr>
              <w:t>投资的其他</w:t>
            </w:r>
          </w:p>
        </w:tc>
        <w:tc>
          <w:tcPr>
            <w:tcW w:w="539" w:type="dxa"/>
            <w:tcBorders>
              <w:top w:val="nil" w:sz="6" w:space="0" w:color="auto"/>
              <w:left w:val="nil" w:sz="6" w:space="0" w:color="auto"/>
              <w:bottom w:val="nil" w:sz="6" w:space="0" w:color="auto"/>
              <w:right w:val="nil" w:sz="6" w:space="0" w:color="auto"/>
            </w:tcBorders>
          </w:tcPr>
          <w:p>
            <w:pPr>
              <w:pStyle w:val="TableParagraph"/>
              <w:spacing w:line="196" w:lineRule="exact"/>
              <w:ind w:left="121"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580" w:type="dxa"/>
            <w:tcBorders>
              <w:top w:val="nil" w:sz="6" w:space="0" w:color="auto"/>
              <w:left w:val="nil" w:sz="6" w:space="0" w:color="auto"/>
              <w:bottom w:val="nil" w:sz="6" w:space="0" w:color="auto"/>
              <w:right w:val="nil" w:sz="6" w:space="0" w:color="auto"/>
            </w:tcBorders>
          </w:tcPr>
          <w:p>
            <w:pPr>
              <w:pStyle w:val="TableParagraph"/>
              <w:spacing w:line="196" w:lineRule="exact"/>
              <w:ind w:left="127"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452" w:type="dxa"/>
            <w:tcBorders>
              <w:top w:val="nil" w:sz="6" w:space="0" w:color="auto"/>
              <w:left w:val="nil" w:sz="6" w:space="0" w:color="auto"/>
              <w:bottom w:val="nil" w:sz="6" w:space="0" w:color="auto"/>
              <w:right w:val="nil" w:sz="6" w:space="0" w:color="auto"/>
            </w:tcBorders>
          </w:tcPr>
          <w:p>
            <w:pPr>
              <w:pStyle w:val="TableParagraph"/>
              <w:spacing w:line="172" w:lineRule="exact"/>
              <w:ind w:right="27"/>
              <w:jc w:val="center"/>
              <w:rPr>
                <w:rFonts w:ascii="宋体" w:hAnsi="宋体" w:cs="宋体" w:eastAsia="宋体" w:hint="default"/>
                <w:sz w:val="16"/>
                <w:szCs w:val="16"/>
              </w:rPr>
            </w:pPr>
            <w:r>
              <w:rPr>
                <w:rFonts w:ascii="宋体" w:hAnsi="宋体" w:cs="宋体" w:eastAsia="宋体" w:hint="default"/>
                <w:sz w:val="16"/>
                <w:szCs w:val="16"/>
              </w:rPr>
              <w:t>合并</w:t>
            </w:r>
          </w:p>
        </w:tc>
        <w:tc>
          <w:tcPr>
            <w:tcW w:w="811" w:type="dxa"/>
            <w:tcBorders>
              <w:top w:val="nil" w:sz="6" w:space="0" w:color="auto"/>
              <w:left w:val="nil" w:sz="6" w:space="0" w:color="auto"/>
              <w:bottom w:val="nil" w:sz="6" w:space="0" w:color="auto"/>
              <w:right w:val="nil" w:sz="6" w:space="0" w:color="auto"/>
            </w:tcBorders>
          </w:tcPr>
          <w:p>
            <w:pPr>
              <w:pStyle w:val="TableParagraph"/>
              <w:spacing w:line="172" w:lineRule="exact"/>
              <w:ind w:right="7"/>
              <w:jc w:val="center"/>
              <w:rPr>
                <w:rFonts w:ascii="宋体" w:hAnsi="宋体" w:cs="宋体" w:eastAsia="宋体" w:hint="default"/>
                <w:sz w:val="16"/>
                <w:szCs w:val="16"/>
              </w:rPr>
            </w:pPr>
            <w:r>
              <w:rPr>
                <w:rFonts w:ascii="宋体" w:hAnsi="宋体" w:cs="宋体" w:eastAsia="宋体" w:hint="default"/>
                <w:sz w:val="16"/>
                <w:szCs w:val="16"/>
              </w:rPr>
              <w:t>权益</w:t>
            </w:r>
          </w:p>
        </w:tc>
        <w:tc>
          <w:tcPr>
            <w:tcW w:w="619" w:type="dxa"/>
            <w:tcBorders>
              <w:top w:val="nil" w:sz="6" w:space="0" w:color="auto"/>
              <w:left w:val="nil" w:sz="6" w:space="0" w:color="auto"/>
              <w:bottom w:val="nil" w:sz="6" w:space="0" w:color="auto"/>
              <w:right w:val="nil" w:sz="6" w:space="0" w:color="auto"/>
            </w:tcBorders>
          </w:tcPr>
          <w:p>
            <w:pPr>
              <w:pStyle w:val="TableParagraph"/>
              <w:spacing w:line="172" w:lineRule="exact"/>
              <w:ind w:left="40" w:right="0"/>
              <w:jc w:val="center"/>
              <w:rPr>
                <w:rFonts w:ascii="宋体" w:hAnsi="宋体" w:cs="宋体" w:eastAsia="宋体" w:hint="default"/>
                <w:sz w:val="16"/>
                <w:szCs w:val="16"/>
              </w:rPr>
            </w:pPr>
            <w:r>
              <w:rPr>
                <w:rFonts w:ascii="宋体" w:hAnsi="宋体" w:cs="宋体" w:eastAsia="宋体" w:hint="default"/>
                <w:sz w:val="16"/>
                <w:szCs w:val="16"/>
              </w:rPr>
              <w:t>项目</w:t>
            </w:r>
          </w:p>
        </w:tc>
      </w:tr>
      <w:tr>
        <w:trPr>
          <w:trHeight w:val="204" w:hRule="exact"/>
        </w:trPr>
        <w:tc>
          <w:tcPr>
            <w:tcW w:w="1681" w:type="dxa"/>
            <w:tcBorders>
              <w:top w:val="nil" w:sz="6" w:space="0" w:color="auto"/>
              <w:left w:val="nil" w:sz="6" w:space="0" w:color="auto"/>
              <w:bottom w:val="single" w:sz="6" w:space="0" w:color="000000"/>
              <w:right w:val="nil" w:sz="6" w:space="0" w:color="auto"/>
            </w:tcBorders>
          </w:tcPr>
          <w:p>
            <w:pPr>
              <w:pStyle w:val="TableParagraph"/>
              <w:spacing w:line="172" w:lineRule="exact"/>
              <w:ind w:left="76" w:right="0"/>
              <w:jc w:val="left"/>
              <w:rPr>
                <w:rFonts w:ascii="宋体" w:hAnsi="宋体" w:cs="宋体" w:eastAsia="宋体" w:hint="default"/>
                <w:sz w:val="16"/>
                <w:szCs w:val="16"/>
              </w:rPr>
            </w:pPr>
            <w:r>
              <w:rPr>
                <w:rFonts w:ascii="宋体" w:hAnsi="宋体" w:cs="宋体" w:eastAsia="宋体" w:hint="default"/>
                <w:sz w:val="16"/>
                <w:szCs w:val="16"/>
              </w:rPr>
              <w:t>名称</w:t>
            </w:r>
          </w:p>
        </w:tc>
        <w:tc>
          <w:tcPr>
            <w:tcW w:w="397" w:type="dxa"/>
            <w:tcBorders>
              <w:top w:val="nil" w:sz="6" w:space="0" w:color="auto"/>
              <w:left w:val="nil" w:sz="6" w:space="0" w:color="auto"/>
              <w:bottom w:val="single" w:sz="6" w:space="0" w:color="000000"/>
              <w:right w:val="nil" w:sz="6" w:space="0" w:color="auto"/>
            </w:tcBorders>
          </w:tcPr>
          <w:p>
            <w:pPr>
              <w:pStyle w:val="TableParagraph"/>
              <w:spacing w:line="172" w:lineRule="exact"/>
              <w:ind w:left="6" w:right="0"/>
              <w:jc w:val="left"/>
              <w:rPr>
                <w:rFonts w:ascii="宋体" w:hAnsi="宋体" w:cs="宋体" w:eastAsia="宋体" w:hint="default"/>
                <w:sz w:val="16"/>
                <w:szCs w:val="16"/>
              </w:rPr>
            </w:pPr>
            <w:r>
              <w:rPr>
                <w:rFonts w:ascii="宋体" w:hAnsi="宋体" w:cs="宋体" w:eastAsia="宋体" w:hint="default"/>
                <w:sz w:val="16"/>
                <w:szCs w:val="16"/>
              </w:rPr>
              <w:t>注释</w:t>
            </w:r>
          </w:p>
        </w:tc>
        <w:tc>
          <w:tcPr>
            <w:tcW w:w="616" w:type="dxa"/>
            <w:tcBorders>
              <w:top w:val="nil" w:sz="6" w:space="0" w:color="auto"/>
              <w:left w:val="nil" w:sz="6" w:space="0" w:color="auto"/>
              <w:bottom w:val="single" w:sz="6" w:space="0" w:color="000000"/>
              <w:right w:val="nil" w:sz="6" w:space="0" w:color="auto"/>
            </w:tcBorders>
          </w:tcPr>
          <w:p>
            <w:pPr>
              <w:pStyle w:val="TableParagraph"/>
              <w:spacing w:line="172" w:lineRule="exact"/>
              <w:ind w:left="6" w:right="0"/>
              <w:jc w:val="center"/>
              <w:rPr>
                <w:rFonts w:ascii="宋体" w:hAnsi="宋体" w:cs="宋体" w:eastAsia="宋体" w:hint="default"/>
                <w:sz w:val="16"/>
                <w:szCs w:val="16"/>
              </w:rPr>
            </w:pPr>
            <w:r>
              <w:rPr>
                <w:rFonts w:ascii="宋体" w:hAnsi="宋体" w:cs="宋体" w:eastAsia="宋体" w:hint="default"/>
                <w:sz w:val="16"/>
                <w:szCs w:val="16"/>
              </w:rPr>
              <w:t>类型</w:t>
            </w:r>
          </w:p>
        </w:tc>
        <w:tc>
          <w:tcPr>
            <w:tcW w:w="1138" w:type="dxa"/>
            <w:tcBorders>
              <w:top w:val="nil" w:sz="6" w:space="0" w:color="auto"/>
              <w:left w:val="nil" w:sz="6" w:space="0" w:color="auto"/>
              <w:bottom w:val="single" w:sz="6" w:space="0" w:color="000000"/>
              <w:right w:val="nil" w:sz="6" w:space="0" w:color="auto"/>
            </w:tcBorders>
          </w:tcPr>
          <w:p>
            <w:pPr>
              <w:pStyle w:val="TableParagraph"/>
              <w:spacing w:line="172" w:lineRule="exact"/>
              <w:ind w:left="84" w:right="0"/>
              <w:jc w:val="center"/>
              <w:rPr>
                <w:rFonts w:ascii="宋体" w:hAnsi="宋体" w:cs="宋体" w:eastAsia="宋体" w:hint="default"/>
                <w:sz w:val="16"/>
                <w:szCs w:val="16"/>
              </w:rPr>
            </w:pPr>
            <w:r>
              <w:rPr>
                <w:rFonts w:ascii="宋体" w:hAnsi="宋体" w:cs="宋体" w:eastAsia="宋体" w:hint="default"/>
                <w:sz w:val="16"/>
                <w:szCs w:val="16"/>
              </w:rPr>
              <w:t>设立日期</w:t>
            </w:r>
          </w:p>
        </w:tc>
        <w:tc>
          <w:tcPr>
            <w:tcW w:w="686" w:type="dxa"/>
            <w:tcBorders>
              <w:top w:val="nil" w:sz="6" w:space="0" w:color="auto"/>
              <w:left w:val="nil" w:sz="6" w:space="0" w:color="auto"/>
              <w:bottom w:val="single" w:sz="6" w:space="0" w:color="000000"/>
              <w:right w:val="nil" w:sz="6" w:space="0" w:color="auto"/>
            </w:tcBorders>
          </w:tcPr>
          <w:p>
            <w:pPr>
              <w:pStyle w:val="TableParagraph"/>
              <w:spacing w:line="172" w:lineRule="exact"/>
              <w:ind w:right="7"/>
              <w:jc w:val="center"/>
              <w:rPr>
                <w:rFonts w:ascii="宋体" w:hAnsi="宋体" w:cs="宋体" w:eastAsia="宋体" w:hint="default"/>
                <w:sz w:val="16"/>
                <w:szCs w:val="16"/>
              </w:rPr>
            </w:pPr>
            <w:r>
              <w:rPr>
                <w:rFonts w:ascii="宋体" w:hAnsi="宋体" w:cs="宋体" w:eastAsia="宋体" w:hint="default"/>
                <w:sz w:val="16"/>
                <w:szCs w:val="16"/>
              </w:rPr>
              <w:t>性质</w:t>
            </w:r>
          </w:p>
        </w:tc>
        <w:tc>
          <w:tcPr>
            <w:tcW w:w="1079" w:type="dxa"/>
            <w:tcBorders>
              <w:top w:val="nil" w:sz="6" w:space="0" w:color="auto"/>
              <w:left w:val="nil" w:sz="6" w:space="0" w:color="auto"/>
              <w:bottom w:val="single" w:sz="6" w:space="0" w:color="000000"/>
              <w:right w:val="nil" w:sz="6" w:space="0" w:color="auto"/>
            </w:tcBorders>
          </w:tcPr>
          <w:p>
            <w:pPr>
              <w:pStyle w:val="TableParagraph"/>
              <w:spacing w:line="172" w:lineRule="exact"/>
              <w:ind w:right="194"/>
              <w:jc w:val="right"/>
              <w:rPr>
                <w:rFonts w:ascii="宋体" w:hAnsi="宋体" w:cs="宋体" w:eastAsia="宋体" w:hint="default"/>
                <w:sz w:val="16"/>
                <w:szCs w:val="16"/>
              </w:rPr>
            </w:pPr>
            <w:r>
              <w:rPr>
                <w:rFonts w:ascii="宋体" w:hAnsi="宋体" w:cs="宋体" w:eastAsia="宋体" w:hint="default"/>
                <w:w w:val="95"/>
                <w:sz w:val="16"/>
                <w:szCs w:val="16"/>
              </w:rPr>
              <w:t>（千元）</w:t>
            </w:r>
            <w:r>
              <w:rPr>
                <w:rFonts w:ascii="宋体" w:hAnsi="宋体" w:cs="宋体" w:eastAsia="宋体" w:hint="default"/>
                <w:sz w:val="16"/>
                <w:szCs w:val="16"/>
              </w:rPr>
            </w:r>
          </w:p>
        </w:tc>
        <w:tc>
          <w:tcPr>
            <w:tcW w:w="853" w:type="dxa"/>
            <w:tcBorders>
              <w:top w:val="nil" w:sz="6" w:space="0" w:color="auto"/>
              <w:left w:val="nil" w:sz="6" w:space="0" w:color="auto"/>
              <w:bottom w:val="single" w:sz="6" w:space="0" w:color="000000"/>
              <w:right w:val="nil" w:sz="6" w:space="0" w:color="auto"/>
            </w:tcBorders>
          </w:tcPr>
          <w:p>
            <w:pPr>
              <w:pStyle w:val="TableParagraph"/>
              <w:spacing w:line="172" w:lineRule="exact"/>
              <w:ind w:left="58" w:right="0"/>
              <w:jc w:val="center"/>
              <w:rPr>
                <w:rFonts w:ascii="宋体" w:hAnsi="宋体" w:cs="宋体" w:eastAsia="宋体" w:hint="default"/>
                <w:sz w:val="16"/>
                <w:szCs w:val="16"/>
              </w:rPr>
            </w:pPr>
            <w:r>
              <w:rPr>
                <w:rFonts w:ascii="宋体" w:hAnsi="宋体" w:cs="宋体" w:eastAsia="宋体" w:hint="default"/>
                <w:sz w:val="16"/>
                <w:szCs w:val="16"/>
              </w:rPr>
              <w:t>经营范围</w:t>
            </w:r>
          </w:p>
        </w:tc>
        <w:tc>
          <w:tcPr>
            <w:tcW w:w="833" w:type="dxa"/>
            <w:tcBorders>
              <w:top w:val="nil" w:sz="6" w:space="0" w:color="auto"/>
              <w:left w:val="nil" w:sz="6" w:space="0" w:color="auto"/>
              <w:bottom w:val="single" w:sz="6" w:space="0" w:color="000000"/>
              <w:right w:val="nil" w:sz="6" w:space="0" w:color="auto"/>
            </w:tcBorders>
          </w:tcPr>
          <w:p>
            <w:pPr>
              <w:pStyle w:val="TableParagraph"/>
              <w:spacing w:line="172" w:lineRule="exact"/>
              <w:ind w:left="24" w:right="0"/>
              <w:jc w:val="center"/>
              <w:rPr>
                <w:rFonts w:ascii="宋体" w:hAnsi="宋体" w:cs="宋体" w:eastAsia="宋体" w:hint="default"/>
                <w:sz w:val="16"/>
                <w:szCs w:val="16"/>
              </w:rPr>
            </w:pPr>
            <w:r>
              <w:rPr>
                <w:rFonts w:ascii="宋体" w:hAnsi="宋体" w:cs="宋体" w:eastAsia="宋体" w:hint="default"/>
                <w:sz w:val="16"/>
                <w:szCs w:val="16"/>
              </w:rPr>
              <w:t>企业类型</w:t>
            </w:r>
          </w:p>
        </w:tc>
        <w:tc>
          <w:tcPr>
            <w:tcW w:w="685" w:type="dxa"/>
            <w:tcBorders>
              <w:top w:val="nil" w:sz="6" w:space="0" w:color="auto"/>
              <w:left w:val="nil" w:sz="6" w:space="0" w:color="auto"/>
              <w:bottom w:val="single" w:sz="6" w:space="0" w:color="000000"/>
              <w:right w:val="nil" w:sz="6" w:space="0" w:color="auto"/>
            </w:tcBorders>
          </w:tcPr>
          <w:p>
            <w:pPr>
              <w:pStyle w:val="TableParagraph"/>
              <w:spacing w:line="172" w:lineRule="exact"/>
              <w:ind w:right="138"/>
              <w:jc w:val="right"/>
              <w:rPr>
                <w:rFonts w:ascii="宋体" w:hAnsi="宋体" w:cs="宋体" w:eastAsia="宋体" w:hint="default"/>
                <w:sz w:val="16"/>
                <w:szCs w:val="16"/>
              </w:rPr>
            </w:pPr>
            <w:r>
              <w:rPr>
                <w:rFonts w:ascii="宋体" w:hAnsi="宋体" w:cs="宋体" w:eastAsia="宋体" w:hint="default"/>
                <w:w w:val="95"/>
                <w:sz w:val="16"/>
                <w:szCs w:val="16"/>
              </w:rPr>
              <w:t>代表</w:t>
            </w:r>
            <w:r>
              <w:rPr>
                <w:rFonts w:ascii="宋体" w:hAnsi="宋体" w:cs="宋体" w:eastAsia="宋体" w:hint="default"/>
                <w:sz w:val="16"/>
                <w:szCs w:val="16"/>
              </w:rPr>
            </w:r>
          </w:p>
        </w:tc>
        <w:tc>
          <w:tcPr>
            <w:tcW w:w="1128" w:type="dxa"/>
            <w:tcBorders>
              <w:top w:val="nil" w:sz="6" w:space="0" w:color="auto"/>
              <w:left w:val="nil" w:sz="6" w:space="0" w:color="auto"/>
              <w:bottom w:val="single" w:sz="6" w:space="0" w:color="000000"/>
              <w:right w:val="nil" w:sz="6" w:space="0" w:color="auto"/>
            </w:tcBorders>
          </w:tcPr>
          <w:p>
            <w:pPr>
              <w:pStyle w:val="TableParagraph"/>
              <w:spacing w:line="172" w:lineRule="exact"/>
              <w:ind w:right="163"/>
              <w:jc w:val="center"/>
              <w:rPr>
                <w:rFonts w:ascii="宋体" w:hAnsi="宋体" w:cs="宋体" w:eastAsia="宋体" w:hint="default"/>
                <w:sz w:val="16"/>
                <w:szCs w:val="16"/>
              </w:rPr>
            </w:pPr>
            <w:r>
              <w:rPr>
                <w:rFonts w:ascii="宋体" w:hAnsi="宋体" w:cs="宋体" w:eastAsia="宋体" w:hint="default"/>
                <w:sz w:val="16"/>
                <w:szCs w:val="16"/>
              </w:rPr>
              <w:t>代码</w:t>
            </w:r>
          </w:p>
        </w:tc>
        <w:tc>
          <w:tcPr>
            <w:tcW w:w="1140" w:type="dxa"/>
            <w:tcBorders>
              <w:top w:val="nil" w:sz="6" w:space="0" w:color="auto"/>
              <w:left w:val="nil" w:sz="6" w:space="0" w:color="auto"/>
              <w:bottom w:val="single" w:sz="6" w:space="0" w:color="000000"/>
              <w:right w:val="nil" w:sz="6" w:space="0" w:color="auto"/>
            </w:tcBorders>
          </w:tcPr>
          <w:p>
            <w:pPr>
              <w:pStyle w:val="TableParagraph"/>
              <w:spacing w:line="172" w:lineRule="exact"/>
              <w:ind w:left="207"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063" w:type="dxa"/>
            <w:tcBorders>
              <w:top w:val="nil" w:sz="6" w:space="0" w:color="auto"/>
              <w:left w:val="nil" w:sz="6" w:space="0" w:color="auto"/>
              <w:bottom w:val="single" w:sz="6" w:space="0" w:color="000000"/>
              <w:right w:val="nil" w:sz="6" w:space="0" w:color="auto"/>
            </w:tcBorders>
          </w:tcPr>
          <w:p>
            <w:pPr>
              <w:pStyle w:val="TableParagraph"/>
              <w:spacing w:line="172" w:lineRule="exact"/>
              <w:ind w:left="77" w:right="0"/>
              <w:jc w:val="center"/>
              <w:rPr>
                <w:rFonts w:ascii="宋体" w:hAnsi="宋体" w:cs="宋体" w:eastAsia="宋体" w:hint="default"/>
                <w:sz w:val="16"/>
                <w:szCs w:val="16"/>
              </w:rPr>
            </w:pPr>
            <w:r>
              <w:rPr>
                <w:rFonts w:ascii="宋体" w:hAnsi="宋体" w:cs="宋体" w:eastAsia="宋体" w:hint="default"/>
                <w:sz w:val="16"/>
                <w:szCs w:val="16"/>
              </w:rPr>
              <w:t>项目余额</w:t>
            </w:r>
          </w:p>
        </w:tc>
        <w:tc>
          <w:tcPr>
            <w:tcW w:w="53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57" w:right="0"/>
              <w:jc w:val="left"/>
              <w:rPr>
                <w:rFonts w:ascii="Arial" w:hAnsi="Arial" w:cs="Arial" w:eastAsia="Arial" w:hint="default"/>
                <w:sz w:val="16"/>
                <w:szCs w:val="16"/>
              </w:rPr>
            </w:pPr>
            <w:r>
              <w:rPr>
                <w:rFonts w:ascii="Arial"/>
                <w:sz w:val="16"/>
              </w:rPr>
              <w:t>(%)</w:t>
            </w:r>
          </w:p>
        </w:tc>
        <w:tc>
          <w:tcPr>
            <w:tcW w:w="580"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63" w:right="0"/>
              <w:jc w:val="left"/>
              <w:rPr>
                <w:rFonts w:ascii="Arial" w:hAnsi="Arial" w:cs="Arial" w:eastAsia="Arial" w:hint="default"/>
                <w:sz w:val="16"/>
                <w:szCs w:val="16"/>
              </w:rPr>
            </w:pPr>
            <w:r>
              <w:rPr>
                <w:rFonts w:ascii="Arial"/>
                <w:sz w:val="16"/>
              </w:rPr>
              <w:t>(%)</w:t>
            </w:r>
          </w:p>
        </w:tc>
        <w:tc>
          <w:tcPr>
            <w:tcW w:w="452" w:type="dxa"/>
            <w:tcBorders>
              <w:top w:val="nil" w:sz="6" w:space="0" w:color="auto"/>
              <w:left w:val="nil" w:sz="6" w:space="0" w:color="auto"/>
              <w:bottom w:val="single" w:sz="6" w:space="0" w:color="000000"/>
              <w:right w:val="nil" w:sz="6" w:space="0" w:color="auto"/>
            </w:tcBorders>
          </w:tcPr>
          <w:p>
            <w:pPr>
              <w:pStyle w:val="TableParagraph"/>
              <w:spacing w:line="172" w:lineRule="exact"/>
              <w:ind w:right="27"/>
              <w:jc w:val="center"/>
              <w:rPr>
                <w:rFonts w:ascii="宋体" w:hAnsi="宋体" w:cs="宋体" w:eastAsia="宋体" w:hint="default"/>
                <w:sz w:val="16"/>
                <w:szCs w:val="16"/>
              </w:rPr>
            </w:pPr>
            <w:r>
              <w:rPr>
                <w:rFonts w:ascii="宋体" w:hAnsi="宋体" w:cs="宋体" w:eastAsia="宋体" w:hint="default"/>
                <w:sz w:val="16"/>
                <w:szCs w:val="16"/>
              </w:rPr>
              <w:t>报表</w:t>
            </w:r>
          </w:p>
        </w:tc>
        <w:tc>
          <w:tcPr>
            <w:tcW w:w="811" w:type="dxa"/>
            <w:tcBorders>
              <w:top w:val="nil" w:sz="6" w:space="0" w:color="auto"/>
              <w:left w:val="nil" w:sz="6" w:space="0" w:color="auto"/>
              <w:bottom w:val="single" w:sz="6" w:space="0" w:color="000000"/>
              <w:right w:val="nil" w:sz="6" w:space="0" w:color="auto"/>
            </w:tcBorders>
          </w:tcPr>
          <w:p>
            <w:pPr>
              <w:pStyle w:val="TableParagraph"/>
              <w:spacing w:line="172" w:lineRule="exact"/>
              <w:ind w:right="7"/>
              <w:jc w:val="center"/>
              <w:rPr>
                <w:rFonts w:ascii="宋体" w:hAnsi="宋体" w:cs="宋体" w:eastAsia="宋体" w:hint="default"/>
                <w:sz w:val="16"/>
                <w:szCs w:val="16"/>
              </w:rPr>
            </w:pPr>
            <w:r>
              <w:rPr>
                <w:rFonts w:ascii="宋体" w:hAnsi="宋体" w:cs="宋体" w:eastAsia="宋体" w:hint="default"/>
                <w:sz w:val="16"/>
                <w:szCs w:val="16"/>
              </w:rPr>
              <w:t>（亿元）</w:t>
            </w:r>
          </w:p>
        </w:tc>
        <w:tc>
          <w:tcPr>
            <w:tcW w:w="619" w:type="dxa"/>
            <w:tcBorders>
              <w:top w:val="nil" w:sz="6" w:space="0" w:color="auto"/>
              <w:left w:val="nil" w:sz="6" w:space="0" w:color="auto"/>
              <w:bottom w:val="single" w:sz="6" w:space="0" w:color="000000"/>
              <w:right w:val="nil" w:sz="6" w:space="0" w:color="auto"/>
            </w:tcBorders>
          </w:tcPr>
          <w:p>
            <w:pPr>
              <w:pStyle w:val="TableParagraph"/>
              <w:spacing w:line="172" w:lineRule="exact"/>
              <w:ind w:left="41" w:right="0"/>
              <w:jc w:val="center"/>
              <w:rPr>
                <w:rFonts w:ascii="宋体" w:hAnsi="宋体" w:cs="宋体" w:eastAsia="宋体" w:hint="default"/>
                <w:sz w:val="16"/>
                <w:szCs w:val="16"/>
              </w:rPr>
            </w:pPr>
            <w:r>
              <w:rPr>
                <w:rFonts w:ascii="宋体" w:hAnsi="宋体" w:cs="宋体" w:eastAsia="宋体" w:hint="default"/>
                <w:sz w:val="16"/>
                <w:szCs w:val="16"/>
              </w:rPr>
              <w:t>（注）</w:t>
            </w:r>
          </w:p>
        </w:tc>
      </w:tr>
      <w:tr>
        <w:trPr>
          <w:trHeight w:val="214" w:hRule="exact"/>
        </w:trPr>
        <w:tc>
          <w:tcPr>
            <w:tcW w:w="1681" w:type="dxa"/>
            <w:tcBorders>
              <w:top w:val="single" w:sz="6" w:space="0" w:color="000000"/>
              <w:left w:val="nil" w:sz="6" w:space="0" w:color="auto"/>
              <w:bottom w:val="nil" w:sz="6" w:space="0" w:color="auto"/>
              <w:right w:val="nil" w:sz="6" w:space="0" w:color="auto"/>
            </w:tcBorders>
          </w:tcPr>
          <w:p>
            <w:pPr>
              <w:pStyle w:val="TableParagraph"/>
              <w:spacing w:line="183"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联通系统集成有限</w:t>
            </w:r>
          </w:p>
        </w:tc>
        <w:tc>
          <w:tcPr>
            <w:tcW w:w="397" w:type="dxa"/>
            <w:tcBorders>
              <w:top w:val="single" w:sz="6" w:space="0" w:color="000000"/>
              <w:left w:val="nil" w:sz="6" w:space="0" w:color="auto"/>
              <w:bottom w:val="nil" w:sz="6" w:space="0" w:color="auto"/>
              <w:right w:val="nil" w:sz="6" w:space="0" w:color="auto"/>
            </w:tcBorders>
          </w:tcPr>
          <w:p>
            <w:pPr/>
          </w:p>
        </w:tc>
        <w:tc>
          <w:tcPr>
            <w:tcW w:w="616" w:type="dxa"/>
            <w:tcBorders>
              <w:top w:val="single" w:sz="6" w:space="0" w:color="000000"/>
              <w:left w:val="nil" w:sz="6" w:space="0" w:color="auto"/>
              <w:bottom w:val="nil" w:sz="6" w:space="0" w:color="auto"/>
              <w:right w:val="nil" w:sz="6" w:space="0" w:color="auto"/>
            </w:tcBorders>
          </w:tcPr>
          <w:p>
            <w:pPr/>
          </w:p>
        </w:tc>
        <w:tc>
          <w:tcPr>
            <w:tcW w:w="1138" w:type="dxa"/>
            <w:tcBorders>
              <w:top w:val="single" w:sz="6" w:space="0" w:color="000000"/>
              <w:left w:val="nil" w:sz="6" w:space="0" w:color="auto"/>
              <w:bottom w:val="nil" w:sz="6" w:space="0" w:color="auto"/>
              <w:right w:val="nil" w:sz="6" w:space="0" w:color="auto"/>
            </w:tcBorders>
          </w:tcPr>
          <w:p>
            <w:pPr>
              <w:pStyle w:val="TableParagraph"/>
              <w:spacing w:line="183" w:lineRule="exact"/>
              <w:ind w:right="44"/>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86" w:type="dxa"/>
            <w:tcBorders>
              <w:top w:val="single" w:sz="6" w:space="0" w:color="000000"/>
              <w:left w:val="nil" w:sz="6" w:space="0" w:color="auto"/>
              <w:bottom w:val="nil" w:sz="6" w:space="0" w:color="auto"/>
              <w:right w:val="nil" w:sz="6" w:space="0" w:color="auto"/>
            </w:tcBorders>
          </w:tcPr>
          <w:p>
            <w:pPr>
              <w:pStyle w:val="TableParagraph"/>
              <w:spacing w:line="183" w:lineRule="exact"/>
              <w:ind w:left="17" w:right="0"/>
              <w:jc w:val="center"/>
              <w:rPr>
                <w:rFonts w:ascii="宋体" w:hAnsi="宋体" w:cs="宋体" w:eastAsia="宋体" w:hint="default"/>
                <w:sz w:val="16"/>
                <w:szCs w:val="16"/>
              </w:rPr>
            </w:pPr>
            <w:r>
              <w:rPr>
                <w:rFonts w:ascii="宋体" w:hAnsi="宋体" w:cs="宋体" w:eastAsia="宋体" w:hint="default"/>
                <w:sz w:val="16"/>
                <w:szCs w:val="16"/>
              </w:rPr>
              <w:t>信息及</w:t>
            </w:r>
          </w:p>
        </w:tc>
        <w:tc>
          <w:tcPr>
            <w:tcW w:w="1079" w:type="dxa"/>
            <w:tcBorders>
              <w:top w:val="single" w:sz="6" w:space="0" w:color="000000"/>
              <w:left w:val="nil" w:sz="6" w:space="0" w:color="auto"/>
              <w:bottom w:val="nil" w:sz="6" w:space="0" w:color="auto"/>
              <w:right w:val="nil" w:sz="6" w:space="0" w:color="auto"/>
            </w:tcBorders>
          </w:tcPr>
          <w:p>
            <w:pPr/>
          </w:p>
        </w:tc>
        <w:tc>
          <w:tcPr>
            <w:tcW w:w="853" w:type="dxa"/>
            <w:tcBorders>
              <w:top w:val="single" w:sz="6" w:space="0" w:color="000000"/>
              <w:left w:val="nil" w:sz="6" w:space="0" w:color="auto"/>
              <w:bottom w:val="nil" w:sz="6" w:space="0" w:color="auto"/>
              <w:right w:val="nil" w:sz="6" w:space="0" w:color="auto"/>
            </w:tcBorders>
          </w:tcPr>
          <w:p>
            <w:pPr>
              <w:pStyle w:val="TableParagraph"/>
              <w:spacing w:line="183" w:lineRule="exact"/>
              <w:ind w:left="58" w:right="0"/>
              <w:jc w:val="center"/>
              <w:rPr>
                <w:rFonts w:ascii="宋体" w:hAnsi="宋体" w:cs="宋体" w:eastAsia="宋体" w:hint="default"/>
                <w:sz w:val="16"/>
                <w:szCs w:val="16"/>
              </w:rPr>
            </w:pPr>
            <w:r>
              <w:rPr>
                <w:rFonts w:ascii="宋体" w:hAnsi="宋体" w:cs="宋体" w:eastAsia="宋体" w:hint="default"/>
                <w:sz w:val="16"/>
                <w:szCs w:val="16"/>
              </w:rPr>
              <w:t>信息及系</w:t>
            </w:r>
          </w:p>
        </w:tc>
        <w:tc>
          <w:tcPr>
            <w:tcW w:w="833" w:type="dxa"/>
            <w:tcBorders>
              <w:top w:val="single" w:sz="6" w:space="0" w:color="000000"/>
              <w:left w:val="nil" w:sz="6" w:space="0" w:color="auto"/>
              <w:bottom w:val="nil" w:sz="6" w:space="0" w:color="auto"/>
              <w:right w:val="nil" w:sz="6" w:space="0" w:color="auto"/>
            </w:tcBorders>
          </w:tcPr>
          <w:p>
            <w:pPr/>
          </w:p>
        </w:tc>
        <w:tc>
          <w:tcPr>
            <w:tcW w:w="685" w:type="dxa"/>
            <w:tcBorders>
              <w:top w:val="single" w:sz="6" w:space="0" w:color="000000"/>
              <w:left w:val="nil" w:sz="6" w:space="0" w:color="auto"/>
              <w:bottom w:val="nil" w:sz="6" w:space="0" w:color="auto"/>
              <w:right w:val="nil" w:sz="6" w:space="0" w:color="auto"/>
            </w:tcBorders>
          </w:tcPr>
          <w:p>
            <w:pPr/>
          </w:p>
        </w:tc>
        <w:tc>
          <w:tcPr>
            <w:tcW w:w="1128" w:type="dxa"/>
            <w:tcBorders>
              <w:top w:val="single" w:sz="6" w:space="0" w:color="000000"/>
              <w:left w:val="nil" w:sz="6" w:space="0" w:color="auto"/>
              <w:bottom w:val="nil" w:sz="6" w:space="0" w:color="auto"/>
              <w:right w:val="nil" w:sz="6" w:space="0" w:color="auto"/>
            </w:tcBorders>
          </w:tcPr>
          <w:p>
            <w:pPr/>
          </w:p>
        </w:tc>
        <w:tc>
          <w:tcPr>
            <w:tcW w:w="1140" w:type="dxa"/>
            <w:tcBorders>
              <w:top w:val="single" w:sz="6" w:space="0" w:color="000000"/>
              <w:left w:val="nil" w:sz="6" w:space="0" w:color="auto"/>
              <w:bottom w:val="nil" w:sz="6" w:space="0" w:color="auto"/>
              <w:right w:val="nil" w:sz="6" w:space="0" w:color="auto"/>
            </w:tcBorders>
          </w:tcPr>
          <w:p>
            <w:pPr/>
          </w:p>
        </w:tc>
        <w:tc>
          <w:tcPr>
            <w:tcW w:w="1063" w:type="dxa"/>
            <w:tcBorders>
              <w:top w:val="single" w:sz="6" w:space="0" w:color="000000"/>
              <w:left w:val="nil" w:sz="6" w:space="0" w:color="auto"/>
              <w:bottom w:val="nil" w:sz="6" w:space="0" w:color="auto"/>
              <w:right w:val="nil" w:sz="6" w:space="0" w:color="auto"/>
            </w:tcBorders>
          </w:tcPr>
          <w:p>
            <w:pPr/>
          </w:p>
        </w:tc>
        <w:tc>
          <w:tcPr>
            <w:tcW w:w="539" w:type="dxa"/>
            <w:tcBorders>
              <w:top w:val="single" w:sz="6" w:space="0" w:color="000000"/>
              <w:left w:val="nil" w:sz="6" w:space="0" w:color="auto"/>
              <w:bottom w:val="nil" w:sz="6" w:space="0" w:color="auto"/>
              <w:right w:val="nil" w:sz="6" w:space="0" w:color="auto"/>
            </w:tcBorders>
          </w:tcPr>
          <w:p>
            <w:pPr/>
          </w:p>
        </w:tc>
        <w:tc>
          <w:tcPr>
            <w:tcW w:w="580" w:type="dxa"/>
            <w:tcBorders>
              <w:top w:val="single" w:sz="6" w:space="0" w:color="000000"/>
              <w:left w:val="nil" w:sz="6" w:space="0" w:color="auto"/>
              <w:bottom w:val="nil" w:sz="6" w:space="0" w:color="auto"/>
              <w:right w:val="nil" w:sz="6" w:space="0" w:color="auto"/>
            </w:tcBorders>
          </w:tcPr>
          <w:p>
            <w:pPr/>
          </w:p>
        </w:tc>
        <w:tc>
          <w:tcPr>
            <w:tcW w:w="452" w:type="dxa"/>
            <w:tcBorders>
              <w:top w:val="single" w:sz="6" w:space="0" w:color="000000"/>
              <w:left w:val="nil" w:sz="6" w:space="0" w:color="auto"/>
              <w:bottom w:val="nil" w:sz="6" w:space="0" w:color="auto"/>
              <w:right w:val="nil" w:sz="6" w:space="0" w:color="auto"/>
            </w:tcBorders>
          </w:tcPr>
          <w:p>
            <w:pPr/>
          </w:p>
        </w:tc>
        <w:tc>
          <w:tcPr>
            <w:tcW w:w="811" w:type="dxa"/>
            <w:tcBorders>
              <w:top w:val="single" w:sz="6" w:space="0" w:color="000000"/>
              <w:left w:val="nil" w:sz="6" w:space="0" w:color="auto"/>
              <w:bottom w:val="nil" w:sz="6" w:space="0" w:color="auto"/>
              <w:right w:val="nil" w:sz="6" w:space="0" w:color="auto"/>
            </w:tcBorders>
          </w:tcPr>
          <w:p>
            <w:pPr/>
          </w:p>
        </w:tc>
        <w:tc>
          <w:tcPr>
            <w:tcW w:w="619" w:type="dxa"/>
            <w:tcBorders>
              <w:top w:val="single" w:sz="6" w:space="0" w:color="000000"/>
              <w:left w:val="nil" w:sz="6" w:space="0" w:color="auto"/>
              <w:bottom w:val="nil" w:sz="6" w:space="0" w:color="auto"/>
              <w:right w:val="nil" w:sz="6" w:space="0" w:color="auto"/>
            </w:tcBorders>
          </w:tcPr>
          <w:p>
            <w:pPr/>
          </w:p>
        </w:tc>
      </w:tr>
      <w:tr>
        <w:trPr>
          <w:trHeight w:val="212"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4" w:lineRule="exact"/>
              <w:ind w:left="242"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6"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3"/>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6" w:type="dxa"/>
            <w:tcBorders>
              <w:top w:val="nil" w:sz="6" w:space="0" w:color="auto"/>
              <w:left w:val="nil" w:sz="6" w:space="0" w:color="auto"/>
              <w:bottom w:val="nil" w:sz="6" w:space="0" w:color="auto"/>
              <w:right w:val="nil" w:sz="6" w:space="0" w:color="auto"/>
            </w:tcBorders>
          </w:tcPr>
          <w:p>
            <w:pPr>
              <w:pStyle w:val="TableParagraph"/>
              <w:spacing w:line="184" w:lineRule="exact"/>
              <w:ind w:left="17" w:right="0"/>
              <w:jc w:val="center"/>
              <w:rPr>
                <w:rFonts w:ascii="宋体" w:hAnsi="宋体" w:cs="宋体" w:eastAsia="宋体" w:hint="default"/>
                <w:sz w:val="16"/>
                <w:szCs w:val="16"/>
              </w:rPr>
            </w:pPr>
            <w:r>
              <w:rPr>
                <w:rFonts w:ascii="宋体" w:hAnsi="宋体" w:cs="宋体" w:eastAsia="宋体" w:hint="default"/>
                <w:sz w:val="16"/>
                <w:szCs w:val="16"/>
              </w:rPr>
              <w:t>系统集</w:t>
            </w: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184" w:lineRule="exact"/>
              <w:ind w:left="58" w:right="0"/>
              <w:jc w:val="center"/>
              <w:rPr>
                <w:rFonts w:ascii="宋体" w:hAnsi="宋体" w:cs="宋体" w:eastAsia="宋体" w:hint="default"/>
                <w:sz w:val="16"/>
                <w:szCs w:val="16"/>
              </w:rPr>
            </w:pPr>
            <w:r>
              <w:rPr>
                <w:rFonts w:ascii="宋体" w:hAnsi="宋体" w:cs="宋体" w:eastAsia="宋体" w:hint="default"/>
                <w:sz w:val="16"/>
                <w:szCs w:val="16"/>
              </w:rPr>
              <w:t>统集成业</w:t>
            </w: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6"/>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305"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w w:val="95"/>
                <w:sz w:val="16"/>
                <w:szCs w:val="16"/>
              </w:rPr>
              <w:t>（“系统集成公司”）</w:t>
            </w:r>
            <w:r>
              <w:rPr>
                <w:rFonts w:ascii="宋体" w:hAnsi="宋体" w:cs="宋体" w:eastAsia="宋体" w:hint="default"/>
                <w:sz w:val="16"/>
                <w:szCs w:val="16"/>
              </w:rPr>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8"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6"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3"/>
              <w:jc w:val="center"/>
              <w:rPr>
                <w:rFonts w:ascii="宋体" w:hAnsi="宋体" w:cs="宋体" w:eastAsia="宋体" w:hint="default"/>
                <w:sz w:val="16"/>
                <w:szCs w:val="16"/>
              </w:rPr>
            </w:pPr>
            <w:r>
              <w:rPr>
                <w:rFonts w:ascii="Arial" w:hAnsi="Arial" w:cs="Arial" w:eastAsia="Arial" w:hint="default"/>
                <w:sz w:val="16"/>
                <w:szCs w:val="16"/>
              </w:rPr>
              <w:t>4</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left="17" w:right="0"/>
              <w:jc w:val="center"/>
              <w:rPr>
                <w:rFonts w:ascii="宋体" w:hAnsi="宋体" w:cs="宋体" w:eastAsia="宋体" w:hint="default"/>
                <w:sz w:val="16"/>
                <w:szCs w:val="16"/>
              </w:rPr>
            </w:pPr>
            <w:r>
              <w:rPr>
                <w:rFonts w:ascii="宋体" w:hAnsi="宋体" w:cs="宋体" w:eastAsia="宋体" w:hint="default"/>
                <w:sz w:val="16"/>
                <w:szCs w:val="16"/>
              </w:rPr>
              <w:t>成业务</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16"/>
                <w:szCs w:val="16"/>
              </w:rPr>
            </w:pPr>
            <w:r>
              <w:rPr>
                <w:rFonts w:ascii="Arial"/>
                <w:w w:val="95"/>
                <w:sz w:val="16"/>
              </w:rPr>
              <w:t>550,000</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9"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center"/>
              <w:rPr>
                <w:rFonts w:ascii="宋体" w:hAnsi="宋体" w:cs="宋体" w:eastAsia="宋体" w:hint="default"/>
                <w:sz w:val="16"/>
                <w:szCs w:val="16"/>
              </w:rPr>
            </w:pPr>
            <w:r>
              <w:rPr>
                <w:rFonts w:ascii="宋体" w:hAnsi="宋体" w:cs="宋体" w:eastAsia="宋体" w:hint="default"/>
                <w:sz w:val="16"/>
                <w:szCs w:val="16"/>
              </w:rPr>
              <w:t>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180" w:lineRule="exact"/>
              <w:ind w:right="119"/>
              <w:jc w:val="right"/>
              <w:rPr>
                <w:rFonts w:ascii="宋体" w:hAnsi="宋体" w:cs="宋体" w:eastAsia="宋体" w:hint="default"/>
                <w:sz w:val="16"/>
                <w:szCs w:val="16"/>
              </w:rPr>
            </w:pPr>
            <w:r>
              <w:rPr>
                <w:rFonts w:ascii="宋体" w:hAnsi="宋体" w:cs="宋体" w:eastAsia="宋体" w:hint="default"/>
                <w:w w:val="95"/>
                <w:sz w:val="16"/>
                <w:szCs w:val="16"/>
              </w:rPr>
              <w:t>孙世臻</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center"/>
              <w:rPr>
                <w:rFonts w:ascii="Arial" w:hAnsi="Arial" w:cs="Arial" w:eastAsia="Arial" w:hint="default"/>
                <w:sz w:val="16"/>
                <w:szCs w:val="16"/>
              </w:rPr>
            </w:pPr>
            <w:r>
              <w:rPr>
                <w:rFonts w:ascii="Arial"/>
                <w:sz w:val="16"/>
              </w:rPr>
              <w:t>788601492</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16"/>
                <w:szCs w:val="16"/>
              </w:rPr>
            </w:pPr>
            <w:r>
              <w:rPr>
                <w:rFonts w:ascii="Arial"/>
                <w:w w:val="95"/>
                <w:sz w:val="16"/>
              </w:rPr>
              <w:t>550,000</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2" w:right="0"/>
              <w:jc w:val="left"/>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52"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center"/>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8"/>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681" w:type="dxa"/>
            <w:tcBorders>
              <w:top w:val="nil" w:sz="6" w:space="0" w:color="auto"/>
              <w:left w:val="nil" w:sz="6" w:space="0" w:color="auto"/>
              <w:bottom w:val="nil" w:sz="6" w:space="0" w:color="auto"/>
              <w:right w:val="nil" w:sz="6" w:space="0" w:color="auto"/>
            </w:tcBorders>
          </w:tcPr>
          <w:p>
            <w:pP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8" w:right="0"/>
              <w:jc w:val="center"/>
              <w:rPr>
                <w:rFonts w:ascii="宋体" w:hAnsi="宋体" w:cs="宋体" w:eastAsia="宋体" w:hint="default"/>
                <w:sz w:val="16"/>
                <w:szCs w:val="16"/>
              </w:rPr>
            </w:pPr>
            <w:r>
              <w:rPr>
                <w:rFonts w:ascii="宋体" w:hAnsi="宋体" w:cs="宋体" w:eastAsia="宋体" w:hint="default"/>
                <w:sz w:val="16"/>
                <w:szCs w:val="16"/>
              </w:rPr>
              <w:t>互联网</w:t>
            </w: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8" w:right="0"/>
              <w:jc w:val="center"/>
              <w:rPr>
                <w:rFonts w:ascii="宋体" w:hAnsi="宋体" w:cs="宋体" w:eastAsia="宋体" w:hint="default"/>
                <w:sz w:val="16"/>
                <w:szCs w:val="16"/>
              </w:rPr>
            </w:pPr>
            <w:r>
              <w:rPr>
                <w:rFonts w:ascii="宋体" w:hAnsi="宋体" w:cs="宋体" w:eastAsia="宋体" w:hint="default"/>
                <w:sz w:val="16"/>
                <w:szCs w:val="16"/>
              </w:rPr>
              <w:t>互联网、</w:t>
            </w:r>
          </w:p>
        </w:tc>
        <w:tc>
          <w:tcPr>
            <w:tcW w:w="833"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08"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4"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联通宽带在线有限</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184" w:lineRule="exact"/>
              <w:ind w:right="44"/>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86" w:type="dxa"/>
            <w:tcBorders>
              <w:top w:val="nil" w:sz="6" w:space="0" w:color="auto"/>
              <w:left w:val="nil" w:sz="6" w:space="0" w:color="auto"/>
              <w:bottom w:val="nil" w:sz="6" w:space="0" w:color="auto"/>
              <w:right w:val="nil" w:sz="6" w:space="0" w:color="auto"/>
            </w:tcBorders>
          </w:tcPr>
          <w:p>
            <w:pPr>
              <w:pStyle w:val="TableParagraph"/>
              <w:spacing w:line="184" w:lineRule="exact"/>
              <w:ind w:left="18" w:right="0"/>
              <w:jc w:val="center"/>
              <w:rPr>
                <w:rFonts w:ascii="宋体" w:hAnsi="宋体" w:cs="宋体" w:eastAsia="宋体" w:hint="default"/>
                <w:sz w:val="16"/>
                <w:szCs w:val="16"/>
              </w:rPr>
            </w:pPr>
            <w:r>
              <w:rPr>
                <w:rFonts w:ascii="宋体" w:hAnsi="宋体" w:cs="宋体" w:eastAsia="宋体" w:hint="default"/>
                <w:sz w:val="16"/>
                <w:szCs w:val="16"/>
              </w:rPr>
              <w:t>及电信</w:t>
            </w: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184" w:lineRule="exact"/>
              <w:ind w:left="58" w:right="0"/>
              <w:jc w:val="center"/>
              <w:rPr>
                <w:rFonts w:ascii="宋体" w:hAnsi="宋体" w:cs="宋体" w:eastAsia="宋体" w:hint="default"/>
                <w:sz w:val="16"/>
                <w:szCs w:val="16"/>
              </w:rPr>
            </w:pPr>
            <w:r>
              <w:rPr>
                <w:rFonts w:ascii="宋体" w:hAnsi="宋体" w:cs="宋体" w:eastAsia="宋体" w:hint="default"/>
                <w:sz w:val="16"/>
                <w:szCs w:val="16"/>
              </w:rPr>
              <w:t>互联网电</w:t>
            </w:r>
          </w:p>
        </w:tc>
        <w:tc>
          <w:tcPr>
            <w:tcW w:w="833"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11"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4" w:lineRule="exact"/>
              <w:ind w:left="242"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6"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3"/>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6" w:type="dxa"/>
            <w:tcBorders>
              <w:top w:val="nil" w:sz="6" w:space="0" w:color="auto"/>
              <w:left w:val="nil" w:sz="6" w:space="0" w:color="auto"/>
              <w:bottom w:val="nil" w:sz="6" w:space="0" w:color="auto"/>
              <w:right w:val="nil" w:sz="6" w:space="0" w:color="auto"/>
            </w:tcBorders>
          </w:tcPr>
          <w:p>
            <w:pPr>
              <w:pStyle w:val="TableParagraph"/>
              <w:spacing w:line="184" w:lineRule="exact"/>
              <w:ind w:left="18" w:right="0"/>
              <w:jc w:val="center"/>
              <w:rPr>
                <w:rFonts w:ascii="宋体" w:hAnsi="宋体" w:cs="宋体" w:eastAsia="宋体" w:hint="default"/>
                <w:sz w:val="16"/>
                <w:szCs w:val="16"/>
              </w:rPr>
            </w:pPr>
            <w:r>
              <w:rPr>
                <w:rFonts w:ascii="宋体" w:hAnsi="宋体" w:cs="宋体" w:eastAsia="宋体" w:hint="default"/>
                <w:sz w:val="16"/>
                <w:szCs w:val="16"/>
              </w:rPr>
              <w:t>增值业</w:t>
            </w: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184" w:lineRule="exact"/>
              <w:ind w:left="58" w:right="0"/>
              <w:jc w:val="center"/>
              <w:rPr>
                <w:rFonts w:ascii="宋体" w:hAnsi="宋体" w:cs="宋体" w:eastAsia="宋体" w:hint="default"/>
                <w:sz w:val="16"/>
                <w:szCs w:val="16"/>
              </w:rPr>
            </w:pPr>
            <w:r>
              <w:rPr>
                <w:rFonts w:ascii="宋体" w:hAnsi="宋体" w:cs="宋体" w:eastAsia="宋体" w:hint="default"/>
                <w:sz w:val="16"/>
                <w:szCs w:val="16"/>
              </w:rPr>
              <w:t>信增值业</w:t>
            </w: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6"/>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305"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（“宽带在线”）</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8"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6"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3"/>
              <w:jc w:val="center"/>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29</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left="20"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16"/>
                <w:szCs w:val="16"/>
              </w:rPr>
            </w:pPr>
            <w:r>
              <w:rPr>
                <w:rFonts w:ascii="Arial"/>
                <w:w w:val="95"/>
                <w:sz w:val="16"/>
              </w:rPr>
              <w:t>30,000</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9"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center"/>
              <w:rPr>
                <w:rFonts w:ascii="宋体" w:hAnsi="宋体" w:cs="宋体" w:eastAsia="宋体" w:hint="default"/>
                <w:sz w:val="16"/>
                <w:szCs w:val="16"/>
              </w:rPr>
            </w:pPr>
            <w:r>
              <w:rPr>
                <w:rFonts w:ascii="宋体" w:hAnsi="宋体" w:cs="宋体" w:eastAsia="宋体" w:hint="default"/>
                <w:sz w:val="16"/>
                <w:szCs w:val="16"/>
              </w:rPr>
              <w:t>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180" w:lineRule="exact"/>
              <w:ind w:right="199"/>
              <w:jc w:val="right"/>
              <w:rPr>
                <w:rFonts w:ascii="宋体" w:hAnsi="宋体" w:cs="宋体" w:eastAsia="宋体" w:hint="default"/>
                <w:sz w:val="16"/>
                <w:szCs w:val="16"/>
              </w:rPr>
            </w:pPr>
            <w:r>
              <w:rPr>
                <w:rFonts w:ascii="宋体" w:hAnsi="宋体" w:cs="宋体" w:eastAsia="宋体" w:hint="default"/>
                <w:w w:val="95"/>
                <w:sz w:val="16"/>
                <w:szCs w:val="16"/>
              </w:rPr>
              <w:t>左风</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center"/>
              <w:rPr>
                <w:rFonts w:ascii="Arial" w:hAnsi="Arial" w:cs="Arial" w:eastAsia="Arial" w:hint="default"/>
                <w:sz w:val="16"/>
                <w:szCs w:val="16"/>
              </w:rPr>
            </w:pPr>
            <w:r>
              <w:rPr>
                <w:rFonts w:ascii="Arial"/>
                <w:sz w:val="16"/>
              </w:rPr>
              <w:t>788601580</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16"/>
                <w:szCs w:val="16"/>
              </w:rPr>
            </w:pPr>
            <w:r>
              <w:rPr>
                <w:rFonts w:ascii="Arial"/>
                <w:w w:val="95"/>
                <w:sz w:val="16"/>
              </w:rPr>
              <w:t>30,000</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 w:right="0"/>
              <w:jc w:val="left"/>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52"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center"/>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8"/>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6" w:right="0"/>
              <w:jc w:val="left"/>
              <w:rPr>
                <w:rFonts w:ascii="宋体" w:hAnsi="宋体" w:cs="宋体" w:eastAsia="宋体" w:hint="default"/>
                <w:sz w:val="16"/>
                <w:szCs w:val="16"/>
              </w:rPr>
            </w:pPr>
            <w:r>
              <w:rPr>
                <w:rFonts w:ascii="宋体" w:hAnsi="宋体" w:cs="宋体" w:eastAsia="宋体" w:hint="default"/>
                <w:sz w:val="16"/>
                <w:szCs w:val="16"/>
              </w:rPr>
              <w:t>北京电信规划设计院</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4"/>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 w:right="0"/>
              <w:jc w:val="center"/>
              <w:rPr>
                <w:rFonts w:ascii="宋体" w:hAnsi="宋体" w:cs="宋体" w:eastAsia="宋体" w:hint="default"/>
                <w:sz w:val="16"/>
                <w:szCs w:val="16"/>
              </w:rPr>
            </w:pPr>
            <w:r>
              <w:rPr>
                <w:rFonts w:ascii="宋体" w:hAnsi="宋体" w:cs="宋体" w:eastAsia="宋体" w:hint="default"/>
                <w:sz w:val="16"/>
                <w:szCs w:val="16"/>
              </w:rPr>
              <w:t>勘察设</w:t>
            </w: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8" w:right="0"/>
              <w:jc w:val="center"/>
              <w:rPr>
                <w:rFonts w:ascii="宋体" w:hAnsi="宋体" w:cs="宋体" w:eastAsia="宋体" w:hint="default"/>
                <w:sz w:val="16"/>
                <w:szCs w:val="16"/>
              </w:rPr>
            </w:pPr>
            <w:r>
              <w:rPr>
                <w:rFonts w:ascii="宋体" w:hAnsi="宋体" w:cs="宋体" w:eastAsia="宋体" w:hint="default"/>
                <w:sz w:val="16"/>
                <w:szCs w:val="16"/>
              </w:rPr>
              <w:t>勘察设计</w:t>
            </w:r>
          </w:p>
        </w:tc>
        <w:tc>
          <w:tcPr>
            <w:tcW w:w="833"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12"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4" w:lineRule="exact"/>
              <w:ind w:left="242"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6"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3"/>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6" w:type="dxa"/>
            <w:tcBorders>
              <w:top w:val="nil" w:sz="6" w:space="0" w:color="auto"/>
              <w:left w:val="nil" w:sz="6" w:space="0" w:color="auto"/>
              <w:bottom w:val="nil" w:sz="6" w:space="0" w:color="auto"/>
              <w:right w:val="nil" w:sz="6" w:space="0" w:color="auto"/>
            </w:tcBorders>
          </w:tcPr>
          <w:p>
            <w:pPr>
              <w:pStyle w:val="TableParagraph"/>
              <w:spacing w:line="184" w:lineRule="exact"/>
              <w:ind w:left="17" w:right="0"/>
              <w:jc w:val="center"/>
              <w:rPr>
                <w:rFonts w:ascii="宋体" w:hAnsi="宋体" w:cs="宋体" w:eastAsia="宋体" w:hint="default"/>
                <w:sz w:val="16"/>
                <w:szCs w:val="16"/>
              </w:rPr>
            </w:pPr>
            <w:r>
              <w:rPr>
                <w:rFonts w:ascii="宋体" w:hAnsi="宋体" w:cs="宋体" w:eastAsia="宋体" w:hint="default"/>
                <w:sz w:val="16"/>
                <w:szCs w:val="16"/>
              </w:rPr>
              <w:t>计及咨</w:t>
            </w: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184" w:lineRule="exact"/>
              <w:ind w:left="58" w:right="0"/>
              <w:jc w:val="center"/>
              <w:rPr>
                <w:rFonts w:ascii="宋体" w:hAnsi="宋体" w:cs="宋体" w:eastAsia="宋体" w:hint="default"/>
                <w:sz w:val="16"/>
                <w:szCs w:val="16"/>
              </w:rPr>
            </w:pPr>
            <w:r>
              <w:rPr>
                <w:rFonts w:ascii="宋体" w:hAnsi="宋体" w:cs="宋体" w:eastAsia="宋体" w:hint="default"/>
                <w:sz w:val="16"/>
                <w:szCs w:val="16"/>
              </w:rPr>
              <w:t>及咨询服</w:t>
            </w: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6"/>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305"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（“规划设计院”）</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8"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6"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3"/>
              <w:jc w:val="center"/>
              <w:rPr>
                <w:rFonts w:ascii="宋体" w:hAnsi="宋体" w:cs="宋体" w:eastAsia="宋体" w:hint="default"/>
                <w:sz w:val="16"/>
                <w:szCs w:val="16"/>
              </w:rPr>
            </w:pPr>
            <w:r>
              <w:rPr>
                <w:rFonts w:ascii="Arial" w:hAnsi="Arial" w:cs="Arial" w:eastAsia="Arial" w:hint="default"/>
                <w:sz w:val="16"/>
                <w:szCs w:val="16"/>
              </w:rPr>
              <w:t>6</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left="17" w:right="0"/>
              <w:jc w:val="center"/>
              <w:rPr>
                <w:rFonts w:ascii="宋体" w:hAnsi="宋体" w:cs="宋体" w:eastAsia="宋体" w:hint="default"/>
                <w:sz w:val="16"/>
                <w:szCs w:val="16"/>
              </w:rPr>
            </w:pPr>
            <w:r>
              <w:rPr>
                <w:rFonts w:ascii="宋体" w:hAnsi="宋体" w:cs="宋体" w:eastAsia="宋体" w:hint="default"/>
                <w:sz w:val="16"/>
                <w:szCs w:val="16"/>
              </w:rPr>
              <w:t>询服务</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16"/>
                <w:szCs w:val="16"/>
              </w:rPr>
            </w:pPr>
            <w:r>
              <w:rPr>
                <w:rFonts w:ascii="Arial"/>
                <w:w w:val="95"/>
                <w:sz w:val="16"/>
              </w:rPr>
              <w:t>264,227</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9"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center"/>
              <w:rPr>
                <w:rFonts w:ascii="宋体" w:hAnsi="宋体" w:cs="宋体" w:eastAsia="宋体" w:hint="default"/>
                <w:sz w:val="16"/>
                <w:szCs w:val="16"/>
              </w:rPr>
            </w:pPr>
            <w:r>
              <w:rPr>
                <w:rFonts w:ascii="宋体" w:hAnsi="宋体" w:cs="宋体" w:eastAsia="宋体" w:hint="default"/>
                <w:sz w:val="16"/>
                <w:szCs w:val="16"/>
              </w:rPr>
              <w:t>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180" w:lineRule="exact"/>
              <w:ind w:right="199"/>
              <w:jc w:val="right"/>
              <w:rPr>
                <w:rFonts w:ascii="宋体" w:hAnsi="宋体" w:cs="宋体" w:eastAsia="宋体" w:hint="default"/>
                <w:sz w:val="16"/>
                <w:szCs w:val="16"/>
              </w:rPr>
            </w:pPr>
            <w:r>
              <w:rPr>
                <w:rFonts w:ascii="宋体" w:hAnsi="宋体" w:cs="宋体" w:eastAsia="宋体" w:hint="default"/>
                <w:w w:val="95"/>
                <w:sz w:val="16"/>
                <w:szCs w:val="16"/>
              </w:rPr>
              <w:t>陈峰</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center"/>
              <w:rPr>
                <w:rFonts w:ascii="Arial" w:hAnsi="Arial" w:cs="Arial" w:eastAsia="Arial" w:hint="default"/>
                <w:sz w:val="16"/>
                <w:szCs w:val="16"/>
              </w:rPr>
            </w:pPr>
            <w:r>
              <w:rPr>
                <w:rFonts w:ascii="Arial"/>
                <w:sz w:val="16"/>
              </w:rPr>
              <w:t>101940069</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16"/>
                <w:szCs w:val="16"/>
              </w:rPr>
            </w:pPr>
            <w:r>
              <w:rPr>
                <w:rFonts w:ascii="Arial"/>
                <w:w w:val="95"/>
                <w:sz w:val="16"/>
              </w:rPr>
              <w:t>264,227</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 w:right="0"/>
              <w:jc w:val="left"/>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52"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center"/>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8"/>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6" w:right="0"/>
              <w:jc w:val="left"/>
              <w:rPr>
                <w:rFonts w:ascii="宋体" w:hAnsi="宋体" w:cs="宋体" w:eastAsia="宋体" w:hint="default"/>
                <w:sz w:val="16"/>
                <w:szCs w:val="16"/>
              </w:rPr>
            </w:pPr>
            <w:r>
              <w:rPr>
                <w:rFonts w:ascii="宋体" w:hAnsi="宋体" w:cs="宋体" w:eastAsia="宋体" w:hint="default"/>
                <w:sz w:val="16"/>
                <w:szCs w:val="16"/>
              </w:rPr>
              <w:t>中融信息服务有限</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4"/>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86"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12"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4" w:lineRule="exact"/>
              <w:ind w:left="242"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6"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3"/>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6" w:type="dxa"/>
            <w:tcBorders>
              <w:top w:val="nil" w:sz="6" w:space="0" w:color="auto"/>
              <w:left w:val="nil" w:sz="6" w:space="0" w:color="auto"/>
              <w:bottom w:val="nil" w:sz="6" w:space="0" w:color="auto"/>
              <w:right w:val="nil" w:sz="6" w:space="0" w:color="auto"/>
            </w:tcBorders>
          </w:tcPr>
          <w:p>
            <w:pPr>
              <w:pStyle w:val="TableParagraph"/>
              <w:spacing w:line="184" w:lineRule="exact"/>
              <w:ind w:left="19" w:right="0"/>
              <w:jc w:val="center"/>
              <w:rPr>
                <w:rFonts w:ascii="宋体" w:hAnsi="宋体" w:cs="宋体" w:eastAsia="宋体" w:hint="default"/>
                <w:sz w:val="16"/>
                <w:szCs w:val="16"/>
              </w:rPr>
            </w:pPr>
            <w:r>
              <w:rPr>
                <w:rFonts w:ascii="宋体" w:hAnsi="宋体" w:cs="宋体" w:eastAsia="宋体" w:hint="default"/>
                <w:sz w:val="16"/>
                <w:szCs w:val="16"/>
              </w:rPr>
              <w:t>信息</w:t>
            </w: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6"/>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305"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（“中融信息”）</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8"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6"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3"/>
              <w:jc w:val="center"/>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left="19" w:right="0"/>
              <w:jc w:val="center"/>
              <w:rPr>
                <w:rFonts w:ascii="宋体" w:hAnsi="宋体" w:cs="宋体" w:eastAsia="宋体" w:hint="default"/>
                <w:sz w:val="16"/>
                <w:szCs w:val="16"/>
              </w:rPr>
            </w:pPr>
            <w:r>
              <w:rPr>
                <w:rFonts w:ascii="宋体" w:hAnsi="宋体" w:cs="宋体" w:eastAsia="宋体" w:hint="default"/>
                <w:sz w:val="16"/>
                <w:szCs w:val="16"/>
              </w:rPr>
              <w:t>咨询</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16"/>
                <w:szCs w:val="16"/>
              </w:rPr>
            </w:pPr>
            <w:r>
              <w:rPr>
                <w:rFonts w:ascii="Arial"/>
                <w:w w:val="95"/>
                <w:sz w:val="16"/>
              </w:rPr>
              <w:t>50,000</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8" w:right="0"/>
              <w:jc w:val="center"/>
              <w:rPr>
                <w:rFonts w:ascii="宋体" w:hAnsi="宋体" w:cs="宋体" w:eastAsia="宋体" w:hint="default"/>
                <w:sz w:val="16"/>
                <w:szCs w:val="16"/>
              </w:rPr>
            </w:pPr>
            <w:r>
              <w:rPr>
                <w:rFonts w:ascii="宋体" w:hAnsi="宋体" w:cs="宋体" w:eastAsia="宋体" w:hint="default"/>
                <w:sz w:val="16"/>
                <w:szCs w:val="16"/>
              </w:rPr>
              <w:t>信息咨询</w:t>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center"/>
              <w:rPr>
                <w:rFonts w:ascii="宋体" w:hAnsi="宋体" w:cs="宋体" w:eastAsia="宋体" w:hint="default"/>
                <w:sz w:val="16"/>
                <w:szCs w:val="16"/>
              </w:rPr>
            </w:pPr>
            <w:r>
              <w:rPr>
                <w:rFonts w:ascii="宋体" w:hAnsi="宋体" w:cs="宋体" w:eastAsia="宋体" w:hint="default"/>
                <w:sz w:val="16"/>
                <w:szCs w:val="16"/>
              </w:rPr>
              <w:t>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180" w:lineRule="exact"/>
              <w:ind w:right="119"/>
              <w:jc w:val="right"/>
              <w:rPr>
                <w:rFonts w:ascii="宋体" w:hAnsi="宋体" w:cs="宋体" w:eastAsia="宋体" w:hint="default"/>
                <w:sz w:val="16"/>
                <w:szCs w:val="16"/>
              </w:rPr>
            </w:pPr>
            <w:r>
              <w:rPr>
                <w:rFonts w:ascii="宋体" w:hAnsi="宋体" w:cs="宋体" w:eastAsia="宋体" w:hint="default"/>
                <w:w w:val="95"/>
                <w:sz w:val="16"/>
                <w:szCs w:val="16"/>
              </w:rPr>
              <w:t>牛俊岩</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center"/>
              <w:rPr>
                <w:rFonts w:ascii="Arial" w:hAnsi="Arial" w:cs="Arial" w:eastAsia="Arial" w:hint="default"/>
                <w:sz w:val="16"/>
                <w:szCs w:val="16"/>
              </w:rPr>
            </w:pPr>
            <w:r>
              <w:rPr>
                <w:rFonts w:ascii="Arial"/>
                <w:sz w:val="16"/>
              </w:rPr>
              <w:t>673804476</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16"/>
                <w:szCs w:val="16"/>
              </w:rPr>
            </w:pPr>
            <w:r>
              <w:rPr>
                <w:rFonts w:ascii="Arial"/>
                <w:w w:val="95"/>
                <w:sz w:val="16"/>
              </w:rPr>
              <w:t>50,000</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 w:right="0"/>
              <w:jc w:val="left"/>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52"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center"/>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8"/>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6" w:right="0"/>
              <w:jc w:val="left"/>
              <w:rPr>
                <w:rFonts w:ascii="宋体" w:hAnsi="宋体" w:cs="宋体" w:eastAsia="宋体" w:hint="default"/>
                <w:sz w:val="16"/>
                <w:szCs w:val="16"/>
              </w:rPr>
            </w:pPr>
            <w:r>
              <w:rPr>
                <w:rFonts w:ascii="宋体" w:hAnsi="宋体" w:cs="宋体" w:eastAsia="宋体" w:hint="default"/>
                <w:sz w:val="16"/>
                <w:szCs w:val="16"/>
              </w:rPr>
              <w:t>中国联通（香港）</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3"/>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686"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12"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4" w:lineRule="exact"/>
              <w:ind w:left="242" w:right="0"/>
              <w:jc w:val="left"/>
              <w:rPr>
                <w:rFonts w:ascii="宋体" w:hAnsi="宋体" w:cs="宋体" w:eastAsia="宋体" w:hint="default"/>
                <w:sz w:val="16"/>
                <w:szCs w:val="16"/>
              </w:rPr>
            </w:pPr>
            <w:r>
              <w:rPr>
                <w:rFonts w:ascii="宋体" w:hAnsi="宋体" w:cs="宋体" w:eastAsia="宋体" w:hint="default"/>
                <w:sz w:val="16"/>
                <w:szCs w:val="16"/>
              </w:rPr>
              <w:t>运营有限公司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6"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3"/>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6" w:type="dxa"/>
            <w:tcBorders>
              <w:top w:val="nil" w:sz="6" w:space="0" w:color="auto"/>
              <w:left w:val="nil" w:sz="6" w:space="0" w:color="auto"/>
              <w:bottom w:val="nil" w:sz="6" w:space="0" w:color="auto"/>
              <w:right w:val="nil" w:sz="6" w:space="0" w:color="auto"/>
            </w:tcBorders>
          </w:tcPr>
          <w:p>
            <w:pPr>
              <w:pStyle w:val="TableParagraph"/>
              <w:spacing w:line="184" w:lineRule="exact"/>
              <w:ind w:left="19" w:right="0"/>
              <w:jc w:val="center"/>
              <w:rPr>
                <w:rFonts w:ascii="宋体" w:hAnsi="宋体" w:cs="宋体" w:eastAsia="宋体" w:hint="default"/>
                <w:sz w:val="16"/>
                <w:szCs w:val="16"/>
              </w:rPr>
            </w:pPr>
            <w:r>
              <w:rPr>
                <w:rFonts w:ascii="宋体" w:hAnsi="宋体" w:cs="宋体" w:eastAsia="宋体" w:hint="default"/>
                <w:sz w:val="16"/>
                <w:szCs w:val="16"/>
              </w:rPr>
              <w:t>电信</w:t>
            </w: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6"/>
              <w:jc w:val="center"/>
              <w:rPr>
                <w:rFonts w:ascii="宋体" w:hAnsi="宋体" w:cs="宋体" w:eastAsia="宋体" w:hint="default"/>
                <w:sz w:val="16"/>
                <w:szCs w:val="16"/>
              </w:rPr>
            </w:pPr>
            <w:r>
              <w:rPr>
                <w:rFonts w:ascii="宋体" w:hAnsi="宋体" w:cs="宋体" w:eastAsia="宋体" w:hint="default"/>
                <w:sz w:val="16"/>
                <w:szCs w:val="16"/>
              </w:rPr>
              <w:t>有限</w:t>
            </w: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305"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w w:val="95"/>
                <w:sz w:val="16"/>
                <w:szCs w:val="16"/>
              </w:rPr>
              <w:t>（“联通香港运营”）</w:t>
            </w:r>
            <w:r>
              <w:rPr>
                <w:rFonts w:ascii="宋体" w:hAnsi="宋体" w:cs="宋体" w:eastAsia="宋体" w:hint="default"/>
                <w:sz w:val="16"/>
                <w:szCs w:val="16"/>
              </w:rPr>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8" w:right="0"/>
              <w:jc w:val="left"/>
              <w:rPr>
                <w:rFonts w:ascii="Arial" w:hAnsi="Arial" w:cs="Arial" w:eastAsia="Arial" w:hint="default"/>
                <w:sz w:val="16"/>
                <w:szCs w:val="16"/>
              </w:rPr>
            </w:pPr>
            <w:r>
              <w:rPr>
                <w:rFonts w:ascii="Arial"/>
                <w:sz w:val="16"/>
              </w:rPr>
              <w:t>(1)</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6"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3"/>
              <w:jc w:val="center"/>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24</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left="19"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079" w:type="dxa"/>
            <w:tcBorders>
              <w:top w:val="nil" w:sz="6" w:space="0" w:color="auto"/>
              <w:left w:val="nil" w:sz="6" w:space="0" w:color="auto"/>
              <w:bottom w:val="nil" w:sz="6" w:space="0" w:color="auto"/>
              <w:right w:val="nil" w:sz="6" w:space="0" w:color="auto"/>
            </w:tcBorders>
          </w:tcPr>
          <w:p>
            <w:pPr>
              <w:pStyle w:val="TableParagraph"/>
              <w:spacing w:line="191" w:lineRule="exact"/>
              <w:ind w:right="134"/>
              <w:jc w:val="right"/>
              <w:rPr>
                <w:rFonts w:ascii="Arial" w:hAnsi="Arial" w:cs="Arial" w:eastAsia="Arial" w:hint="default"/>
                <w:sz w:val="16"/>
                <w:szCs w:val="16"/>
              </w:rPr>
            </w:pPr>
            <w:r>
              <w:rPr>
                <w:rFonts w:ascii="宋体" w:hAnsi="宋体" w:cs="宋体" w:eastAsia="宋体" w:hint="default"/>
                <w:sz w:val="16"/>
                <w:szCs w:val="16"/>
              </w:rPr>
              <w:t>港币</w:t>
            </w:r>
            <w:r>
              <w:rPr>
                <w:rFonts w:ascii="宋体" w:hAnsi="宋体" w:cs="宋体" w:eastAsia="宋体" w:hint="default"/>
                <w:spacing w:val="-43"/>
                <w:sz w:val="16"/>
                <w:szCs w:val="16"/>
              </w:rPr>
              <w:t> </w:t>
            </w:r>
            <w:r>
              <w:rPr>
                <w:rFonts w:ascii="Arial" w:hAnsi="Arial" w:cs="Arial" w:eastAsia="Arial" w:hint="default"/>
                <w:sz w:val="16"/>
                <w:szCs w:val="16"/>
              </w:rPr>
              <w:t>60,100</w:t>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8"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center"/>
              <w:rPr>
                <w:rFonts w:ascii="宋体" w:hAnsi="宋体" w:cs="宋体" w:eastAsia="宋体" w:hint="default"/>
                <w:sz w:val="16"/>
                <w:szCs w:val="16"/>
              </w:rPr>
            </w:pPr>
            <w:r>
              <w:rPr>
                <w:rFonts w:ascii="宋体" w:hAnsi="宋体" w:cs="宋体" w:eastAsia="宋体" w:hint="default"/>
                <w:sz w:val="16"/>
                <w:szCs w:val="16"/>
              </w:rPr>
              <w:t>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180" w:lineRule="exact"/>
              <w:ind w:right="119"/>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180" w:lineRule="exact"/>
              <w:ind w:right="85"/>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16"/>
                <w:szCs w:val="16"/>
              </w:rPr>
            </w:pPr>
            <w:r>
              <w:rPr>
                <w:rFonts w:ascii="Arial"/>
                <w:w w:val="95"/>
                <w:sz w:val="16"/>
              </w:rPr>
              <w:t>106,579</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2" w:right="0"/>
              <w:jc w:val="left"/>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52"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center"/>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8"/>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6" w:right="0"/>
              <w:jc w:val="left"/>
              <w:rPr>
                <w:rFonts w:ascii="宋体" w:hAnsi="宋体" w:cs="宋体" w:eastAsia="宋体" w:hint="default"/>
                <w:sz w:val="16"/>
                <w:szCs w:val="16"/>
              </w:rPr>
            </w:pPr>
            <w:r>
              <w:rPr>
                <w:rFonts w:ascii="宋体" w:hAnsi="宋体" w:cs="宋体" w:eastAsia="宋体" w:hint="default"/>
                <w:sz w:val="16"/>
                <w:szCs w:val="16"/>
              </w:rPr>
              <w:t>中国联通（美洲）</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3"/>
              <w:jc w:val="center"/>
              <w:rPr>
                <w:rFonts w:ascii="宋体" w:hAnsi="宋体" w:cs="宋体" w:eastAsia="宋体" w:hint="default"/>
                <w:sz w:val="16"/>
                <w:szCs w:val="16"/>
              </w:rPr>
            </w:pPr>
            <w:r>
              <w:rPr>
                <w:rFonts w:ascii="宋体" w:hAnsi="宋体" w:cs="宋体" w:eastAsia="宋体" w:hint="default"/>
                <w:sz w:val="16"/>
                <w:szCs w:val="16"/>
              </w:rPr>
              <w:t>美国</w:t>
            </w:r>
          </w:p>
        </w:tc>
        <w:tc>
          <w:tcPr>
            <w:tcW w:w="686"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11"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4" w:lineRule="exact"/>
              <w:ind w:left="242" w:right="0"/>
              <w:jc w:val="left"/>
              <w:rPr>
                <w:rFonts w:ascii="宋体" w:hAnsi="宋体" w:cs="宋体" w:eastAsia="宋体" w:hint="default"/>
                <w:sz w:val="16"/>
                <w:szCs w:val="16"/>
              </w:rPr>
            </w:pPr>
            <w:r>
              <w:rPr>
                <w:rFonts w:ascii="宋体" w:hAnsi="宋体" w:cs="宋体" w:eastAsia="宋体" w:hint="default"/>
                <w:sz w:val="16"/>
                <w:szCs w:val="16"/>
              </w:rPr>
              <w:t>运营有限公司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6"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3"/>
              <w:jc w:val="center"/>
              <w:rPr>
                <w:rFonts w:ascii="宋体" w:hAnsi="宋体" w:cs="宋体" w:eastAsia="宋体" w:hint="default"/>
                <w:sz w:val="16"/>
                <w:szCs w:val="16"/>
              </w:rPr>
            </w:pPr>
            <w:r>
              <w:rPr>
                <w:rFonts w:ascii="Arial" w:hAnsi="Arial" w:cs="Arial" w:eastAsia="Arial" w:hint="default"/>
                <w:sz w:val="16"/>
                <w:szCs w:val="16"/>
              </w:rPr>
              <w:t>2002</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6" w:type="dxa"/>
            <w:tcBorders>
              <w:top w:val="nil" w:sz="6" w:space="0" w:color="auto"/>
              <w:left w:val="nil" w:sz="6" w:space="0" w:color="auto"/>
              <w:bottom w:val="nil" w:sz="6" w:space="0" w:color="auto"/>
              <w:right w:val="nil" w:sz="6" w:space="0" w:color="auto"/>
            </w:tcBorders>
          </w:tcPr>
          <w:p>
            <w:pPr>
              <w:pStyle w:val="TableParagraph"/>
              <w:spacing w:line="184" w:lineRule="exact"/>
              <w:ind w:left="18" w:right="0"/>
              <w:jc w:val="center"/>
              <w:rPr>
                <w:rFonts w:ascii="宋体" w:hAnsi="宋体" w:cs="宋体" w:eastAsia="宋体" w:hint="default"/>
                <w:sz w:val="16"/>
                <w:szCs w:val="16"/>
              </w:rPr>
            </w:pPr>
            <w:r>
              <w:rPr>
                <w:rFonts w:ascii="宋体" w:hAnsi="宋体" w:cs="宋体" w:eastAsia="宋体" w:hint="default"/>
                <w:sz w:val="16"/>
                <w:szCs w:val="16"/>
              </w:rPr>
              <w:t>电信</w:t>
            </w:r>
          </w:p>
        </w:tc>
        <w:tc>
          <w:tcPr>
            <w:tcW w:w="1079"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6"/>
              <w:jc w:val="center"/>
              <w:rPr>
                <w:rFonts w:ascii="宋体" w:hAnsi="宋体" w:cs="宋体" w:eastAsia="宋体" w:hint="default"/>
                <w:sz w:val="16"/>
                <w:szCs w:val="16"/>
              </w:rPr>
            </w:pPr>
            <w:r>
              <w:rPr>
                <w:rFonts w:ascii="宋体" w:hAnsi="宋体" w:cs="宋体" w:eastAsia="宋体" w:hint="default"/>
                <w:sz w:val="16"/>
                <w:szCs w:val="16"/>
              </w:rPr>
              <w:t>有限</w:t>
            </w:r>
          </w:p>
        </w:tc>
        <w:tc>
          <w:tcPr>
            <w:tcW w:w="68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98"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（“联通美洲运营”）</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8" w:right="0"/>
              <w:jc w:val="left"/>
              <w:rPr>
                <w:rFonts w:ascii="Arial" w:hAnsi="Arial" w:cs="Arial" w:eastAsia="Arial" w:hint="default"/>
                <w:sz w:val="16"/>
                <w:szCs w:val="16"/>
              </w:rPr>
            </w:pPr>
            <w:r>
              <w:rPr>
                <w:rFonts w:ascii="Arial"/>
                <w:sz w:val="16"/>
              </w:rPr>
              <w:t>(1)</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6"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3"/>
              <w:jc w:val="center"/>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24</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left="18"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079" w:type="dxa"/>
            <w:tcBorders>
              <w:top w:val="nil" w:sz="6" w:space="0" w:color="auto"/>
              <w:left w:val="nil" w:sz="6" w:space="0" w:color="auto"/>
              <w:bottom w:val="nil" w:sz="6" w:space="0" w:color="auto"/>
              <w:right w:val="nil" w:sz="6" w:space="0" w:color="auto"/>
            </w:tcBorders>
          </w:tcPr>
          <w:p>
            <w:pPr>
              <w:pStyle w:val="TableParagraph"/>
              <w:spacing w:line="191" w:lineRule="exact"/>
              <w:ind w:right="134"/>
              <w:jc w:val="right"/>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3"/>
                <w:sz w:val="16"/>
                <w:szCs w:val="16"/>
              </w:rPr>
              <w:t> </w:t>
            </w:r>
            <w:r>
              <w:rPr>
                <w:rFonts w:ascii="Arial" w:hAnsi="Arial" w:cs="Arial" w:eastAsia="Arial" w:hint="default"/>
                <w:sz w:val="16"/>
                <w:szCs w:val="16"/>
              </w:rPr>
              <w:t>500</w:t>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8"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center"/>
              <w:rPr>
                <w:rFonts w:ascii="宋体" w:hAnsi="宋体" w:cs="宋体" w:eastAsia="宋体" w:hint="default"/>
                <w:sz w:val="16"/>
                <w:szCs w:val="16"/>
              </w:rPr>
            </w:pPr>
            <w:r>
              <w:rPr>
                <w:rFonts w:ascii="宋体" w:hAnsi="宋体" w:cs="宋体" w:eastAsia="宋体" w:hint="default"/>
                <w:sz w:val="16"/>
                <w:szCs w:val="16"/>
              </w:rPr>
              <w:t>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180" w:lineRule="exact"/>
              <w:ind w:right="119"/>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180" w:lineRule="exact"/>
              <w:ind w:right="85"/>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16"/>
                <w:szCs w:val="16"/>
              </w:rPr>
            </w:pPr>
            <w:r>
              <w:rPr>
                <w:rFonts w:ascii="Arial"/>
                <w:w w:val="95"/>
                <w:sz w:val="16"/>
              </w:rPr>
              <w:t>109,218</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 w:right="0"/>
              <w:jc w:val="left"/>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52"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center"/>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center"/>
              <w:rPr>
                <w:rFonts w:ascii="Arial" w:hAnsi="Arial" w:cs="Arial" w:eastAsia="Arial" w:hint="default"/>
                <w:sz w:val="16"/>
                <w:szCs w:val="16"/>
              </w:rPr>
            </w:pPr>
            <w:r>
              <w:rPr>
                <w:rFonts w:ascii="Arial"/>
                <w:w w:val="99"/>
                <w:sz w:val="16"/>
              </w:rPr>
              <w:t>-</w:t>
            </w:r>
            <w:r>
              <w:rPr>
                <w:rFonts w:ascii="Arial"/>
                <w:sz w:val="16"/>
              </w:rPr>
            </w:r>
          </w:p>
        </w:tc>
      </w:tr>
    </w:tbl>
    <w:p>
      <w:pPr>
        <w:spacing w:line="240" w:lineRule="auto" w:before="4"/>
        <w:rPr>
          <w:rFonts w:ascii="宋体" w:hAnsi="宋体" w:cs="宋体" w:eastAsia="宋体" w:hint="default"/>
          <w:sz w:val="6"/>
          <w:szCs w:val="6"/>
        </w:rPr>
      </w:pPr>
    </w:p>
    <w:p>
      <w:pPr>
        <w:spacing w:before="50"/>
        <w:ind w:left="611" w:right="0" w:firstLine="0"/>
        <w:jc w:val="left"/>
        <w:rPr>
          <w:rFonts w:ascii="宋体" w:hAnsi="宋体" w:cs="宋体" w:eastAsia="宋体" w:hint="default"/>
          <w:sz w:val="16"/>
          <w:szCs w:val="16"/>
        </w:rPr>
      </w:pPr>
      <w:r>
        <w:rPr>
          <w:rFonts w:ascii="宋体" w:hAnsi="宋体" w:cs="宋体" w:eastAsia="宋体" w:hint="default"/>
          <w:sz w:val="16"/>
          <w:szCs w:val="16"/>
        </w:rPr>
        <w:t>注：少数股东权益项目指“少数股东权益中用于冲减少数股东损益的金额”。</w:t>
      </w:r>
    </w:p>
    <w:p>
      <w:pPr>
        <w:spacing w:after="0"/>
        <w:jc w:val="left"/>
        <w:rPr>
          <w:rFonts w:ascii="宋体" w:hAnsi="宋体" w:cs="宋体" w:eastAsia="宋体" w:hint="default"/>
          <w:sz w:val="16"/>
          <w:szCs w:val="16"/>
        </w:rPr>
        <w:sectPr>
          <w:headerReference w:type="default" r:id="rId74"/>
          <w:pgSz w:w="16840" w:h="11900" w:orient="landscape"/>
          <w:pgMar w:header="1189" w:footer="585" w:top="3560" w:bottom="780" w:left="460" w:right="1500"/>
        </w:sectPr>
      </w:pPr>
    </w:p>
    <w:p>
      <w:pPr>
        <w:spacing w:line="240" w:lineRule="auto" w:before="10"/>
        <w:rPr>
          <w:rFonts w:ascii="宋体" w:hAnsi="宋体" w:cs="宋体" w:eastAsia="宋体" w:hint="default"/>
          <w:sz w:val="9"/>
          <w:szCs w:val="9"/>
        </w:rPr>
      </w:pPr>
    </w:p>
    <w:p>
      <w:pPr>
        <w:pStyle w:val="BodyText"/>
        <w:spacing w:line="240" w:lineRule="auto" w:before="31"/>
        <w:ind w:left="135" w:right="0"/>
        <w:jc w:val="left"/>
      </w:pPr>
      <w:r>
        <w:rPr>
          <w:rFonts w:ascii="Arial" w:hAnsi="Arial" w:cs="Arial" w:eastAsia="Arial" w:hint="default"/>
        </w:rPr>
        <w:t>(b)</w:t>
      </w:r>
      <w:r>
        <w:rPr>
          <w:rFonts w:ascii="Arial" w:hAnsi="Arial" w:cs="Arial" w:eastAsia="Arial" w:hint="default"/>
          <w:spacing w:val="59"/>
        </w:rPr>
        <w:t> </w:t>
      </w:r>
      <w:r>
        <w:rPr/>
        <w:t>通过同一控制下的企业合并取得的子公司（续）</w:t>
      </w:r>
    </w:p>
    <w:p>
      <w:pPr>
        <w:spacing w:line="240" w:lineRule="auto" w:before="10"/>
        <w:rPr>
          <w:rFonts w:ascii="宋体" w:hAnsi="宋体" w:cs="宋体" w:eastAsia="宋体" w:hint="default"/>
          <w:sz w:val="7"/>
          <w:szCs w:val="7"/>
        </w:rPr>
      </w:pPr>
    </w:p>
    <w:tbl>
      <w:tblPr>
        <w:tblW w:w="0" w:type="auto"/>
        <w:jc w:val="left"/>
        <w:tblInd w:w="544" w:type="dxa"/>
        <w:tblLayout w:type="fixed"/>
        <w:tblCellMar>
          <w:top w:w="0" w:type="dxa"/>
          <w:left w:w="0" w:type="dxa"/>
          <w:bottom w:w="0" w:type="dxa"/>
          <w:right w:w="0" w:type="dxa"/>
        </w:tblCellMar>
        <w:tblLook w:val="01E0"/>
      </w:tblPr>
      <w:tblGrid>
        <w:gridCol w:w="1601"/>
        <w:gridCol w:w="400"/>
        <w:gridCol w:w="640"/>
        <w:gridCol w:w="1169"/>
        <w:gridCol w:w="653"/>
        <w:gridCol w:w="1108"/>
        <w:gridCol w:w="973"/>
        <w:gridCol w:w="796"/>
        <w:gridCol w:w="779"/>
        <w:gridCol w:w="1037"/>
        <w:gridCol w:w="1108"/>
        <w:gridCol w:w="1120"/>
        <w:gridCol w:w="586"/>
        <w:gridCol w:w="579"/>
        <w:gridCol w:w="463"/>
        <w:gridCol w:w="864"/>
        <w:gridCol w:w="696"/>
      </w:tblGrid>
      <w:tr>
        <w:trPr>
          <w:trHeight w:val="503" w:hRule="exact"/>
        </w:trPr>
        <w:tc>
          <w:tcPr>
            <w:tcW w:w="9156" w:type="dxa"/>
            <w:gridSpan w:val="10"/>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6"/>
                <w:szCs w:val="16"/>
              </w:rPr>
            </w:pPr>
            <w:r>
              <w:rPr>
                <w:rFonts w:ascii="宋体" w:hAnsi="宋体" w:cs="宋体" w:eastAsia="宋体" w:hint="default"/>
                <w:sz w:val="16"/>
                <w:szCs w:val="16"/>
              </w:rPr>
              <w:t>年末实际</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0" w:right="138"/>
              <w:jc w:val="left"/>
              <w:rPr>
                <w:rFonts w:ascii="宋体" w:hAnsi="宋体" w:cs="宋体" w:eastAsia="宋体" w:hint="default"/>
                <w:sz w:val="16"/>
                <w:szCs w:val="16"/>
              </w:rPr>
            </w:pPr>
            <w:r>
              <w:rPr>
                <w:rFonts w:ascii="宋体" w:hAnsi="宋体" w:cs="宋体" w:eastAsia="宋体" w:hint="default"/>
                <w:sz w:val="16"/>
                <w:szCs w:val="16"/>
              </w:rPr>
              <w:t>实质上构成</w:t>
            </w:r>
            <w:r>
              <w:rPr>
                <w:rFonts w:ascii="宋体" w:hAnsi="宋体" w:cs="宋体" w:eastAsia="宋体" w:hint="default"/>
                <w:w w:val="99"/>
                <w:sz w:val="16"/>
                <w:szCs w:val="16"/>
              </w:rPr>
              <w:t> </w:t>
            </w:r>
            <w:r>
              <w:rPr>
                <w:rFonts w:ascii="宋体" w:hAnsi="宋体" w:cs="宋体" w:eastAsia="宋体" w:hint="default"/>
                <w:sz w:val="16"/>
                <w:szCs w:val="16"/>
              </w:rPr>
              <w:t>对子公司净</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6"/>
                <w:szCs w:val="16"/>
              </w:rPr>
            </w:pPr>
            <w:r>
              <w:rPr>
                <w:rFonts w:ascii="宋体" w:hAnsi="宋体" w:cs="宋体" w:eastAsia="宋体" w:hint="default"/>
                <w:sz w:val="16"/>
                <w:szCs w:val="16"/>
              </w:rPr>
              <w:t>持股</w:t>
            </w:r>
          </w:p>
        </w:tc>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1"/>
              <w:jc w:val="right"/>
              <w:rPr>
                <w:rFonts w:ascii="宋体" w:hAnsi="宋体" w:cs="宋体" w:eastAsia="宋体" w:hint="default"/>
                <w:sz w:val="16"/>
                <w:szCs w:val="16"/>
              </w:rPr>
            </w:pPr>
            <w:r>
              <w:rPr>
                <w:rFonts w:ascii="宋体" w:hAnsi="宋体" w:cs="宋体" w:eastAsia="宋体" w:hint="default"/>
                <w:w w:val="95"/>
                <w:sz w:val="16"/>
                <w:szCs w:val="16"/>
              </w:rPr>
              <w:t>表决权</w:t>
            </w:r>
            <w:r>
              <w:rPr>
                <w:rFonts w:ascii="宋体" w:hAnsi="宋体" w:cs="宋体" w:eastAsia="宋体" w:hint="default"/>
                <w:sz w:val="16"/>
                <w:szCs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8"/>
              <w:jc w:val="center"/>
              <w:rPr>
                <w:rFonts w:ascii="宋体" w:hAnsi="宋体" w:cs="宋体" w:eastAsia="宋体" w:hint="default"/>
                <w:sz w:val="16"/>
                <w:szCs w:val="16"/>
              </w:rPr>
            </w:pPr>
            <w:r>
              <w:rPr>
                <w:rFonts w:ascii="宋体" w:hAnsi="宋体" w:cs="宋体" w:eastAsia="宋体" w:hint="default"/>
                <w:sz w:val="16"/>
                <w:szCs w:val="16"/>
              </w:rPr>
              <w:t>是否</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30"/>
              <w:jc w:val="right"/>
              <w:rPr>
                <w:rFonts w:ascii="宋体" w:hAnsi="宋体" w:cs="宋体" w:eastAsia="宋体" w:hint="default"/>
                <w:sz w:val="16"/>
                <w:szCs w:val="16"/>
              </w:rPr>
            </w:pPr>
            <w:r>
              <w:rPr>
                <w:rFonts w:ascii="宋体" w:hAnsi="宋体" w:cs="宋体" w:eastAsia="宋体" w:hint="default"/>
                <w:w w:val="95"/>
                <w:sz w:val="16"/>
                <w:szCs w:val="16"/>
              </w:rPr>
              <w:t>少数股东</w:t>
            </w:r>
            <w:r>
              <w:rPr>
                <w:rFonts w:ascii="宋体" w:hAnsi="宋体" w:cs="宋体" w:eastAsia="宋体" w:hint="default"/>
                <w:sz w:val="16"/>
                <w:szCs w:val="16"/>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9" w:right="96"/>
              <w:jc w:val="left"/>
              <w:rPr>
                <w:rFonts w:ascii="宋体" w:hAnsi="宋体" w:cs="宋体" w:eastAsia="宋体" w:hint="default"/>
                <w:sz w:val="16"/>
                <w:szCs w:val="16"/>
              </w:rPr>
            </w:pPr>
            <w:r>
              <w:rPr>
                <w:rFonts w:ascii="宋体" w:hAnsi="宋体" w:cs="宋体" w:eastAsia="宋体" w:hint="default"/>
                <w:sz w:val="16"/>
                <w:szCs w:val="16"/>
              </w:rPr>
              <w:t>少数股</w:t>
            </w:r>
            <w:r>
              <w:rPr>
                <w:rFonts w:ascii="宋体" w:hAnsi="宋体" w:cs="宋体" w:eastAsia="宋体" w:hint="default"/>
                <w:w w:val="99"/>
                <w:sz w:val="16"/>
                <w:szCs w:val="16"/>
              </w:rPr>
              <w:t> </w:t>
            </w:r>
            <w:r>
              <w:rPr>
                <w:rFonts w:ascii="宋体" w:hAnsi="宋体" w:cs="宋体" w:eastAsia="宋体" w:hint="default"/>
                <w:sz w:val="16"/>
                <w:szCs w:val="16"/>
              </w:rPr>
              <w:t>东权益</w:t>
            </w:r>
          </w:p>
        </w:tc>
      </w:tr>
      <w:tr>
        <w:trPr>
          <w:trHeight w:val="208" w:hRule="exact"/>
        </w:trPr>
        <w:tc>
          <w:tcPr>
            <w:tcW w:w="1601" w:type="dxa"/>
            <w:tcBorders>
              <w:top w:val="nil" w:sz="6" w:space="0" w:color="auto"/>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Style w:val="TableParagraph"/>
              <w:spacing w:line="172" w:lineRule="exact"/>
              <w:ind w:right="16"/>
              <w:jc w:val="center"/>
              <w:rPr>
                <w:rFonts w:ascii="宋体" w:hAnsi="宋体" w:cs="宋体" w:eastAsia="宋体" w:hint="default"/>
                <w:sz w:val="16"/>
                <w:szCs w:val="16"/>
              </w:rPr>
            </w:pPr>
            <w:r>
              <w:rPr>
                <w:rFonts w:ascii="宋体" w:hAnsi="宋体" w:cs="宋体" w:eastAsia="宋体" w:hint="default"/>
                <w:sz w:val="16"/>
                <w:szCs w:val="16"/>
              </w:rPr>
              <w:t>子公司</w:t>
            </w:r>
          </w:p>
        </w:tc>
        <w:tc>
          <w:tcPr>
            <w:tcW w:w="1169" w:type="dxa"/>
            <w:tcBorders>
              <w:top w:val="nil" w:sz="6" w:space="0" w:color="auto"/>
              <w:left w:val="nil" w:sz="6" w:space="0" w:color="auto"/>
              <w:bottom w:val="nil" w:sz="6" w:space="0" w:color="auto"/>
              <w:right w:val="nil" w:sz="6" w:space="0" w:color="auto"/>
            </w:tcBorders>
          </w:tcPr>
          <w:p>
            <w:pPr>
              <w:pStyle w:val="TableParagraph"/>
              <w:spacing w:line="172" w:lineRule="exact"/>
              <w:ind w:left="67" w:right="0"/>
              <w:jc w:val="center"/>
              <w:rPr>
                <w:rFonts w:ascii="宋体" w:hAnsi="宋体" w:cs="宋体" w:eastAsia="宋体" w:hint="default"/>
                <w:sz w:val="16"/>
                <w:szCs w:val="16"/>
              </w:rPr>
            </w:pPr>
            <w:r>
              <w:rPr>
                <w:rFonts w:ascii="宋体" w:hAnsi="宋体" w:cs="宋体" w:eastAsia="宋体" w:hint="default"/>
                <w:sz w:val="16"/>
                <w:szCs w:val="16"/>
              </w:rPr>
              <w:t>注册地及</w:t>
            </w:r>
          </w:p>
        </w:tc>
        <w:tc>
          <w:tcPr>
            <w:tcW w:w="653" w:type="dxa"/>
            <w:tcBorders>
              <w:top w:val="nil" w:sz="6" w:space="0" w:color="auto"/>
              <w:left w:val="nil" w:sz="6" w:space="0" w:color="auto"/>
              <w:bottom w:val="nil" w:sz="6" w:space="0" w:color="auto"/>
              <w:right w:val="nil" w:sz="6" w:space="0" w:color="auto"/>
            </w:tcBorders>
          </w:tcPr>
          <w:p>
            <w:pPr>
              <w:pStyle w:val="TableParagraph"/>
              <w:spacing w:line="172" w:lineRule="exact"/>
              <w:ind w:left="37"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108" w:type="dxa"/>
            <w:tcBorders>
              <w:top w:val="nil" w:sz="6" w:space="0" w:color="auto"/>
              <w:left w:val="nil" w:sz="6" w:space="0" w:color="auto"/>
              <w:bottom w:val="nil" w:sz="6" w:space="0" w:color="auto"/>
              <w:right w:val="nil" w:sz="6" w:space="0" w:color="auto"/>
            </w:tcBorders>
          </w:tcPr>
          <w:p>
            <w:pPr>
              <w:pStyle w:val="TableParagraph"/>
              <w:spacing w:line="172" w:lineRule="exact"/>
              <w:ind w:left="271" w:right="0"/>
              <w:jc w:val="left"/>
              <w:rPr>
                <w:rFonts w:ascii="宋体" w:hAnsi="宋体" w:cs="宋体" w:eastAsia="宋体" w:hint="default"/>
                <w:sz w:val="16"/>
                <w:szCs w:val="16"/>
              </w:rPr>
            </w:pPr>
            <w:r>
              <w:rPr>
                <w:rFonts w:ascii="宋体" w:hAnsi="宋体" w:cs="宋体" w:eastAsia="宋体" w:hint="default"/>
                <w:sz w:val="16"/>
                <w:szCs w:val="16"/>
              </w:rPr>
              <w:t>注册资本</w:t>
            </w:r>
          </w:p>
        </w:tc>
        <w:tc>
          <w:tcPr>
            <w:tcW w:w="973"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Style w:val="TableParagraph"/>
              <w:spacing w:line="172" w:lineRule="exact"/>
              <w:ind w:left="55" w:right="0"/>
              <w:jc w:val="center"/>
              <w:rPr>
                <w:rFonts w:ascii="宋体" w:hAnsi="宋体" w:cs="宋体" w:eastAsia="宋体" w:hint="default"/>
                <w:sz w:val="16"/>
                <w:szCs w:val="16"/>
              </w:rPr>
            </w:pPr>
            <w:r>
              <w:rPr>
                <w:rFonts w:ascii="宋体" w:hAnsi="宋体" w:cs="宋体" w:eastAsia="宋体" w:hint="default"/>
                <w:sz w:val="16"/>
                <w:szCs w:val="16"/>
              </w:rPr>
              <w:t>法人</w:t>
            </w:r>
          </w:p>
        </w:tc>
        <w:tc>
          <w:tcPr>
            <w:tcW w:w="1037" w:type="dxa"/>
            <w:tcBorders>
              <w:top w:val="nil" w:sz="6" w:space="0" w:color="auto"/>
              <w:left w:val="nil" w:sz="6" w:space="0" w:color="auto"/>
              <w:bottom w:val="nil" w:sz="6" w:space="0" w:color="auto"/>
              <w:right w:val="nil" w:sz="6" w:space="0" w:color="auto"/>
            </w:tcBorders>
          </w:tcPr>
          <w:p>
            <w:pPr>
              <w:pStyle w:val="TableParagraph"/>
              <w:spacing w:line="172" w:lineRule="exact"/>
              <w:ind w:right="116"/>
              <w:jc w:val="center"/>
              <w:rPr>
                <w:rFonts w:ascii="宋体" w:hAnsi="宋体" w:cs="宋体" w:eastAsia="宋体" w:hint="default"/>
                <w:sz w:val="16"/>
                <w:szCs w:val="16"/>
              </w:rPr>
            </w:pPr>
            <w:r>
              <w:rPr>
                <w:rFonts w:ascii="宋体" w:hAnsi="宋体" w:cs="宋体" w:eastAsia="宋体" w:hint="default"/>
                <w:sz w:val="16"/>
                <w:szCs w:val="16"/>
              </w:rPr>
              <w:t>组织机构</w:t>
            </w:r>
          </w:p>
        </w:tc>
        <w:tc>
          <w:tcPr>
            <w:tcW w:w="1108" w:type="dxa"/>
            <w:tcBorders>
              <w:top w:val="nil" w:sz="6" w:space="0" w:color="auto"/>
              <w:left w:val="nil" w:sz="6" w:space="0" w:color="auto"/>
              <w:bottom w:val="nil" w:sz="6" w:space="0" w:color="auto"/>
              <w:right w:val="nil" w:sz="6" w:space="0" w:color="auto"/>
            </w:tcBorders>
          </w:tcPr>
          <w:p>
            <w:pPr>
              <w:pStyle w:val="TableParagraph"/>
              <w:spacing w:line="172" w:lineRule="exact"/>
              <w:ind w:left="245" w:right="0"/>
              <w:jc w:val="left"/>
              <w:rPr>
                <w:rFonts w:ascii="宋体" w:hAnsi="宋体" w:cs="宋体" w:eastAsia="宋体" w:hint="default"/>
                <w:sz w:val="16"/>
                <w:szCs w:val="16"/>
              </w:rPr>
            </w:pPr>
            <w:r>
              <w:rPr>
                <w:rFonts w:ascii="宋体" w:hAnsi="宋体" w:cs="宋体" w:eastAsia="宋体" w:hint="default"/>
                <w:sz w:val="16"/>
                <w:szCs w:val="16"/>
              </w:rPr>
              <w:t>出资额</w:t>
            </w:r>
          </w:p>
        </w:tc>
        <w:tc>
          <w:tcPr>
            <w:tcW w:w="1120" w:type="dxa"/>
            <w:tcBorders>
              <w:top w:val="nil" w:sz="6" w:space="0" w:color="auto"/>
              <w:left w:val="nil" w:sz="6" w:space="0" w:color="auto"/>
              <w:bottom w:val="nil" w:sz="6" w:space="0" w:color="auto"/>
              <w:right w:val="nil" w:sz="6" w:space="0" w:color="auto"/>
            </w:tcBorders>
          </w:tcPr>
          <w:p>
            <w:pPr>
              <w:pStyle w:val="TableParagraph"/>
              <w:spacing w:line="172" w:lineRule="exact"/>
              <w:ind w:left="40" w:right="0"/>
              <w:jc w:val="center"/>
              <w:rPr>
                <w:rFonts w:ascii="宋体" w:hAnsi="宋体" w:cs="宋体" w:eastAsia="宋体" w:hint="default"/>
                <w:sz w:val="16"/>
                <w:szCs w:val="16"/>
              </w:rPr>
            </w:pPr>
            <w:r>
              <w:rPr>
                <w:rFonts w:ascii="宋体" w:hAnsi="宋体" w:cs="宋体" w:eastAsia="宋体" w:hint="default"/>
                <w:sz w:val="16"/>
                <w:szCs w:val="16"/>
              </w:rPr>
              <w:t>投资的其他</w:t>
            </w:r>
          </w:p>
        </w:tc>
        <w:tc>
          <w:tcPr>
            <w:tcW w:w="586" w:type="dxa"/>
            <w:tcBorders>
              <w:top w:val="nil" w:sz="6" w:space="0" w:color="auto"/>
              <w:left w:val="nil" w:sz="6" w:space="0" w:color="auto"/>
              <w:bottom w:val="nil" w:sz="6" w:space="0" w:color="auto"/>
              <w:right w:val="nil" w:sz="6" w:space="0" w:color="auto"/>
            </w:tcBorders>
          </w:tcPr>
          <w:p>
            <w:pPr>
              <w:pStyle w:val="TableParagraph"/>
              <w:spacing w:line="196" w:lineRule="exact"/>
              <w:ind w:left="169"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579" w:type="dxa"/>
            <w:tcBorders>
              <w:top w:val="nil" w:sz="6" w:space="0" w:color="auto"/>
              <w:left w:val="nil" w:sz="6" w:space="0" w:color="auto"/>
              <w:bottom w:val="nil" w:sz="6" w:space="0" w:color="auto"/>
              <w:right w:val="nil" w:sz="6" w:space="0" w:color="auto"/>
            </w:tcBorders>
          </w:tcPr>
          <w:p>
            <w:pPr>
              <w:pStyle w:val="TableParagraph"/>
              <w:spacing w:line="196" w:lineRule="exact"/>
              <w:ind w:left="126"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463" w:type="dxa"/>
            <w:tcBorders>
              <w:top w:val="nil" w:sz="6" w:space="0" w:color="auto"/>
              <w:left w:val="nil" w:sz="6" w:space="0" w:color="auto"/>
              <w:bottom w:val="nil" w:sz="6" w:space="0" w:color="auto"/>
              <w:right w:val="nil" w:sz="6" w:space="0" w:color="auto"/>
            </w:tcBorders>
          </w:tcPr>
          <w:p>
            <w:pPr>
              <w:pStyle w:val="TableParagraph"/>
              <w:spacing w:line="172" w:lineRule="exact"/>
              <w:ind w:right="38"/>
              <w:jc w:val="center"/>
              <w:rPr>
                <w:rFonts w:ascii="宋体" w:hAnsi="宋体" w:cs="宋体" w:eastAsia="宋体" w:hint="default"/>
                <w:sz w:val="16"/>
                <w:szCs w:val="16"/>
              </w:rPr>
            </w:pPr>
            <w:r>
              <w:rPr>
                <w:rFonts w:ascii="宋体" w:hAnsi="宋体" w:cs="宋体" w:eastAsia="宋体" w:hint="default"/>
                <w:sz w:val="16"/>
                <w:szCs w:val="16"/>
              </w:rPr>
              <w:t>合并</w:t>
            </w:r>
          </w:p>
        </w:tc>
        <w:tc>
          <w:tcPr>
            <w:tcW w:w="864" w:type="dxa"/>
            <w:tcBorders>
              <w:top w:val="nil" w:sz="6" w:space="0" w:color="auto"/>
              <w:left w:val="nil" w:sz="6" w:space="0" w:color="auto"/>
              <w:bottom w:val="nil" w:sz="6" w:space="0" w:color="auto"/>
              <w:right w:val="nil" w:sz="6" w:space="0" w:color="auto"/>
            </w:tcBorders>
          </w:tcPr>
          <w:p>
            <w:pPr>
              <w:pStyle w:val="TableParagraph"/>
              <w:spacing w:line="172" w:lineRule="exact"/>
              <w:ind w:left="252" w:right="0"/>
              <w:jc w:val="left"/>
              <w:rPr>
                <w:rFonts w:ascii="宋体" w:hAnsi="宋体" w:cs="宋体" w:eastAsia="宋体" w:hint="default"/>
                <w:sz w:val="16"/>
                <w:szCs w:val="16"/>
              </w:rPr>
            </w:pPr>
            <w:r>
              <w:rPr>
                <w:rFonts w:ascii="宋体" w:hAnsi="宋体" w:cs="宋体" w:eastAsia="宋体" w:hint="default"/>
                <w:sz w:val="16"/>
                <w:szCs w:val="16"/>
              </w:rPr>
              <w:t>权益</w:t>
            </w:r>
          </w:p>
        </w:tc>
        <w:tc>
          <w:tcPr>
            <w:tcW w:w="696" w:type="dxa"/>
            <w:tcBorders>
              <w:top w:val="nil" w:sz="6" w:space="0" w:color="auto"/>
              <w:left w:val="nil" w:sz="6" w:space="0" w:color="auto"/>
              <w:bottom w:val="nil" w:sz="6" w:space="0" w:color="auto"/>
              <w:right w:val="nil" w:sz="6" w:space="0" w:color="auto"/>
            </w:tcBorders>
          </w:tcPr>
          <w:p>
            <w:pPr>
              <w:pStyle w:val="TableParagraph"/>
              <w:spacing w:line="172" w:lineRule="exact"/>
              <w:ind w:left="198" w:right="0"/>
              <w:jc w:val="left"/>
              <w:rPr>
                <w:rFonts w:ascii="宋体" w:hAnsi="宋体" w:cs="宋体" w:eastAsia="宋体" w:hint="default"/>
                <w:sz w:val="16"/>
                <w:szCs w:val="16"/>
              </w:rPr>
            </w:pPr>
            <w:r>
              <w:rPr>
                <w:rFonts w:ascii="宋体" w:hAnsi="宋体" w:cs="宋体" w:eastAsia="宋体" w:hint="default"/>
                <w:sz w:val="16"/>
                <w:szCs w:val="16"/>
              </w:rPr>
              <w:t>项目</w:t>
            </w:r>
          </w:p>
        </w:tc>
      </w:tr>
      <w:tr>
        <w:trPr>
          <w:trHeight w:val="204" w:hRule="exact"/>
        </w:trPr>
        <w:tc>
          <w:tcPr>
            <w:tcW w:w="1601" w:type="dxa"/>
            <w:tcBorders>
              <w:top w:val="nil" w:sz="6" w:space="0" w:color="auto"/>
              <w:left w:val="nil" w:sz="6" w:space="0" w:color="auto"/>
              <w:bottom w:val="single" w:sz="6" w:space="0" w:color="000000"/>
              <w:right w:val="nil" w:sz="6" w:space="0" w:color="auto"/>
            </w:tcBorders>
          </w:tcPr>
          <w:p>
            <w:pPr>
              <w:pStyle w:val="TableParagraph"/>
              <w:spacing w:line="172" w:lineRule="exact"/>
              <w:ind w:left="76" w:right="0"/>
              <w:jc w:val="left"/>
              <w:rPr>
                <w:rFonts w:ascii="宋体" w:hAnsi="宋体" w:cs="宋体" w:eastAsia="宋体" w:hint="default"/>
                <w:sz w:val="16"/>
                <w:szCs w:val="16"/>
              </w:rPr>
            </w:pPr>
            <w:r>
              <w:rPr>
                <w:rFonts w:ascii="宋体" w:hAnsi="宋体" w:cs="宋体" w:eastAsia="宋体" w:hint="default"/>
                <w:sz w:val="16"/>
                <w:szCs w:val="16"/>
              </w:rPr>
              <w:t>名称</w:t>
            </w:r>
          </w:p>
        </w:tc>
        <w:tc>
          <w:tcPr>
            <w:tcW w:w="400" w:type="dxa"/>
            <w:tcBorders>
              <w:top w:val="nil" w:sz="6" w:space="0" w:color="auto"/>
              <w:left w:val="nil" w:sz="6" w:space="0" w:color="auto"/>
              <w:bottom w:val="single" w:sz="6" w:space="0" w:color="000000"/>
              <w:right w:val="nil" w:sz="6" w:space="0" w:color="auto"/>
            </w:tcBorders>
          </w:tcPr>
          <w:p>
            <w:pPr>
              <w:pStyle w:val="TableParagraph"/>
              <w:spacing w:line="172" w:lineRule="exact"/>
              <w:ind w:left="9" w:right="0"/>
              <w:jc w:val="left"/>
              <w:rPr>
                <w:rFonts w:ascii="宋体" w:hAnsi="宋体" w:cs="宋体" w:eastAsia="宋体" w:hint="default"/>
                <w:sz w:val="16"/>
                <w:szCs w:val="16"/>
              </w:rPr>
            </w:pPr>
            <w:r>
              <w:rPr>
                <w:rFonts w:ascii="宋体" w:hAnsi="宋体" w:cs="宋体" w:eastAsia="宋体" w:hint="default"/>
                <w:sz w:val="16"/>
                <w:szCs w:val="16"/>
              </w:rPr>
              <w:t>注释</w:t>
            </w:r>
          </w:p>
        </w:tc>
        <w:tc>
          <w:tcPr>
            <w:tcW w:w="640" w:type="dxa"/>
            <w:tcBorders>
              <w:top w:val="nil" w:sz="6" w:space="0" w:color="auto"/>
              <w:left w:val="nil" w:sz="6" w:space="0" w:color="auto"/>
              <w:bottom w:val="single" w:sz="6" w:space="0" w:color="000000"/>
              <w:right w:val="nil" w:sz="6" w:space="0" w:color="auto"/>
            </w:tcBorders>
          </w:tcPr>
          <w:p>
            <w:pPr>
              <w:pStyle w:val="TableParagraph"/>
              <w:spacing w:line="172" w:lineRule="exact"/>
              <w:ind w:right="15"/>
              <w:jc w:val="center"/>
              <w:rPr>
                <w:rFonts w:ascii="宋体" w:hAnsi="宋体" w:cs="宋体" w:eastAsia="宋体" w:hint="default"/>
                <w:sz w:val="16"/>
                <w:szCs w:val="16"/>
              </w:rPr>
            </w:pPr>
            <w:r>
              <w:rPr>
                <w:rFonts w:ascii="宋体" w:hAnsi="宋体" w:cs="宋体" w:eastAsia="宋体" w:hint="default"/>
                <w:sz w:val="16"/>
                <w:szCs w:val="16"/>
              </w:rPr>
              <w:t>类型</w:t>
            </w:r>
          </w:p>
        </w:tc>
        <w:tc>
          <w:tcPr>
            <w:tcW w:w="1169" w:type="dxa"/>
            <w:tcBorders>
              <w:top w:val="nil" w:sz="6" w:space="0" w:color="auto"/>
              <w:left w:val="nil" w:sz="6" w:space="0" w:color="auto"/>
              <w:bottom w:val="single" w:sz="6" w:space="0" w:color="000000"/>
              <w:right w:val="nil" w:sz="6" w:space="0" w:color="auto"/>
            </w:tcBorders>
          </w:tcPr>
          <w:p>
            <w:pPr>
              <w:pStyle w:val="TableParagraph"/>
              <w:spacing w:line="172" w:lineRule="exact"/>
              <w:ind w:left="67" w:right="0"/>
              <w:jc w:val="center"/>
              <w:rPr>
                <w:rFonts w:ascii="宋体" w:hAnsi="宋体" w:cs="宋体" w:eastAsia="宋体" w:hint="default"/>
                <w:sz w:val="16"/>
                <w:szCs w:val="16"/>
              </w:rPr>
            </w:pPr>
            <w:r>
              <w:rPr>
                <w:rFonts w:ascii="宋体" w:hAnsi="宋体" w:cs="宋体" w:eastAsia="宋体" w:hint="default"/>
                <w:sz w:val="16"/>
                <w:szCs w:val="16"/>
              </w:rPr>
              <w:t>设立日期</w:t>
            </w:r>
          </w:p>
        </w:tc>
        <w:tc>
          <w:tcPr>
            <w:tcW w:w="653" w:type="dxa"/>
            <w:tcBorders>
              <w:top w:val="nil" w:sz="6" w:space="0" w:color="auto"/>
              <w:left w:val="nil" w:sz="6" w:space="0" w:color="auto"/>
              <w:bottom w:val="single" w:sz="6" w:space="0" w:color="000000"/>
              <w:right w:val="nil" w:sz="6" w:space="0" w:color="auto"/>
            </w:tcBorders>
          </w:tcPr>
          <w:p>
            <w:pPr>
              <w:pStyle w:val="TableParagraph"/>
              <w:spacing w:line="172" w:lineRule="exact"/>
              <w:ind w:left="37" w:right="0"/>
              <w:jc w:val="center"/>
              <w:rPr>
                <w:rFonts w:ascii="宋体" w:hAnsi="宋体" w:cs="宋体" w:eastAsia="宋体" w:hint="default"/>
                <w:sz w:val="16"/>
                <w:szCs w:val="16"/>
              </w:rPr>
            </w:pPr>
            <w:r>
              <w:rPr>
                <w:rFonts w:ascii="宋体" w:hAnsi="宋体" w:cs="宋体" w:eastAsia="宋体" w:hint="default"/>
                <w:sz w:val="16"/>
                <w:szCs w:val="16"/>
              </w:rPr>
              <w:t>性质</w:t>
            </w:r>
          </w:p>
        </w:tc>
        <w:tc>
          <w:tcPr>
            <w:tcW w:w="1108" w:type="dxa"/>
            <w:tcBorders>
              <w:top w:val="nil" w:sz="6" w:space="0" w:color="auto"/>
              <w:left w:val="nil" w:sz="6" w:space="0" w:color="auto"/>
              <w:bottom w:val="single" w:sz="6" w:space="0" w:color="000000"/>
              <w:right w:val="nil" w:sz="6" w:space="0" w:color="auto"/>
            </w:tcBorders>
          </w:tcPr>
          <w:p>
            <w:pPr>
              <w:pStyle w:val="TableParagraph"/>
              <w:spacing w:line="172" w:lineRule="exact"/>
              <w:ind w:left="293"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973" w:type="dxa"/>
            <w:tcBorders>
              <w:top w:val="nil" w:sz="6" w:space="0" w:color="auto"/>
              <w:left w:val="nil" w:sz="6" w:space="0" w:color="auto"/>
              <w:bottom w:val="single" w:sz="6" w:space="0" w:color="000000"/>
              <w:right w:val="nil" w:sz="6" w:space="0" w:color="auto"/>
            </w:tcBorders>
          </w:tcPr>
          <w:p>
            <w:pPr>
              <w:pStyle w:val="TableParagraph"/>
              <w:spacing w:line="172" w:lineRule="exact"/>
              <w:ind w:right="104"/>
              <w:jc w:val="right"/>
              <w:rPr>
                <w:rFonts w:ascii="宋体" w:hAnsi="宋体" w:cs="宋体" w:eastAsia="宋体" w:hint="default"/>
                <w:sz w:val="16"/>
                <w:szCs w:val="16"/>
              </w:rPr>
            </w:pPr>
            <w:r>
              <w:rPr>
                <w:rFonts w:ascii="宋体" w:hAnsi="宋体" w:cs="宋体" w:eastAsia="宋体" w:hint="default"/>
                <w:w w:val="95"/>
                <w:sz w:val="16"/>
                <w:szCs w:val="16"/>
              </w:rPr>
              <w:t>经营范围</w:t>
            </w:r>
            <w:r>
              <w:rPr>
                <w:rFonts w:ascii="宋体" w:hAnsi="宋体" w:cs="宋体" w:eastAsia="宋体" w:hint="default"/>
                <w:sz w:val="16"/>
                <w:szCs w:val="16"/>
              </w:rPr>
            </w:r>
          </w:p>
        </w:tc>
        <w:tc>
          <w:tcPr>
            <w:tcW w:w="796" w:type="dxa"/>
            <w:tcBorders>
              <w:top w:val="nil" w:sz="6" w:space="0" w:color="auto"/>
              <w:left w:val="nil" w:sz="6" w:space="0" w:color="auto"/>
              <w:bottom w:val="single" w:sz="6" w:space="0" w:color="000000"/>
              <w:right w:val="nil" w:sz="6" w:space="0" w:color="auto"/>
            </w:tcBorders>
          </w:tcPr>
          <w:p>
            <w:pPr>
              <w:pStyle w:val="TableParagraph"/>
              <w:spacing w:line="172" w:lineRule="exact"/>
              <w:ind w:left="22" w:right="0"/>
              <w:jc w:val="center"/>
              <w:rPr>
                <w:rFonts w:ascii="宋体" w:hAnsi="宋体" w:cs="宋体" w:eastAsia="宋体" w:hint="default"/>
                <w:sz w:val="16"/>
                <w:szCs w:val="16"/>
              </w:rPr>
            </w:pPr>
            <w:r>
              <w:rPr>
                <w:rFonts w:ascii="宋体" w:hAnsi="宋体" w:cs="宋体" w:eastAsia="宋体" w:hint="default"/>
                <w:sz w:val="16"/>
                <w:szCs w:val="16"/>
              </w:rPr>
              <w:t>企业类型</w:t>
            </w:r>
          </w:p>
        </w:tc>
        <w:tc>
          <w:tcPr>
            <w:tcW w:w="779" w:type="dxa"/>
            <w:tcBorders>
              <w:top w:val="nil" w:sz="6" w:space="0" w:color="auto"/>
              <w:left w:val="nil" w:sz="6" w:space="0" w:color="auto"/>
              <w:bottom w:val="single" w:sz="6" w:space="0" w:color="000000"/>
              <w:right w:val="nil" w:sz="6" w:space="0" w:color="auto"/>
            </w:tcBorders>
          </w:tcPr>
          <w:p>
            <w:pPr>
              <w:pStyle w:val="TableParagraph"/>
              <w:spacing w:line="172" w:lineRule="exact"/>
              <w:ind w:left="55" w:right="0"/>
              <w:jc w:val="center"/>
              <w:rPr>
                <w:rFonts w:ascii="宋体" w:hAnsi="宋体" w:cs="宋体" w:eastAsia="宋体" w:hint="default"/>
                <w:sz w:val="16"/>
                <w:szCs w:val="16"/>
              </w:rPr>
            </w:pPr>
            <w:r>
              <w:rPr>
                <w:rFonts w:ascii="宋体" w:hAnsi="宋体" w:cs="宋体" w:eastAsia="宋体" w:hint="default"/>
                <w:sz w:val="16"/>
                <w:szCs w:val="16"/>
              </w:rPr>
              <w:t>代表</w:t>
            </w:r>
          </w:p>
        </w:tc>
        <w:tc>
          <w:tcPr>
            <w:tcW w:w="1037" w:type="dxa"/>
            <w:tcBorders>
              <w:top w:val="nil" w:sz="6" w:space="0" w:color="auto"/>
              <w:left w:val="nil" w:sz="6" w:space="0" w:color="auto"/>
              <w:bottom w:val="single" w:sz="6" w:space="0" w:color="000000"/>
              <w:right w:val="nil" w:sz="6" w:space="0" w:color="auto"/>
            </w:tcBorders>
          </w:tcPr>
          <w:p>
            <w:pPr>
              <w:pStyle w:val="TableParagraph"/>
              <w:spacing w:line="172" w:lineRule="exact"/>
              <w:ind w:right="116"/>
              <w:jc w:val="center"/>
              <w:rPr>
                <w:rFonts w:ascii="宋体" w:hAnsi="宋体" w:cs="宋体" w:eastAsia="宋体" w:hint="default"/>
                <w:sz w:val="16"/>
                <w:szCs w:val="16"/>
              </w:rPr>
            </w:pPr>
            <w:r>
              <w:rPr>
                <w:rFonts w:ascii="宋体" w:hAnsi="宋体" w:cs="宋体" w:eastAsia="宋体" w:hint="default"/>
                <w:sz w:val="16"/>
                <w:szCs w:val="16"/>
              </w:rPr>
              <w:t>代码</w:t>
            </w:r>
          </w:p>
        </w:tc>
        <w:tc>
          <w:tcPr>
            <w:tcW w:w="1108" w:type="dxa"/>
            <w:tcBorders>
              <w:top w:val="nil" w:sz="6" w:space="0" w:color="auto"/>
              <w:left w:val="nil" w:sz="6" w:space="0" w:color="auto"/>
              <w:bottom w:val="single" w:sz="6" w:space="0" w:color="000000"/>
              <w:right w:val="nil" w:sz="6" w:space="0" w:color="auto"/>
            </w:tcBorders>
          </w:tcPr>
          <w:p>
            <w:pPr>
              <w:pStyle w:val="TableParagraph"/>
              <w:spacing w:line="172" w:lineRule="exact"/>
              <w:ind w:left="165"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120" w:type="dxa"/>
            <w:tcBorders>
              <w:top w:val="nil" w:sz="6" w:space="0" w:color="auto"/>
              <w:left w:val="nil" w:sz="6" w:space="0" w:color="auto"/>
              <w:bottom w:val="single" w:sz="6" w:space="0" w:color="000000"/>
              <w:right w:val="nil" w:sz="6" w:space="0" w:color="auto"/>
            </w:tcBorders>
          </w:tcPr>
          <w:p>
            <w:pPr>
              <w:pStyle w:val="TableParagraph"/>
              <w:spacing w:line="172" w:lineRule="exact"/>
              <w:ind w:left="40" w:right="0"/>
              <w:jc w:val="center"/>
              <w:rPr>
                <w:rFonts w:ascii="宋体" w:hAnsi="宋体" w:cs="宋体" w:eastAsia="宋体" w:hint="default"/>
                <w:sz w:val="16"/>
                <w:szCs w:val="16"/>
              </w:rPr>
            </w:pPr>
            <w:r>
              <w:rPr>
                <w:rFonts w:ascii="宋体" w:hAnsi="宋体" w:cs="宋体" w:eastAsia="宋体" w:hint="default"/>
                <w:sz w:val="16"/>
                <w:szCs w:val="16"/>
              </w:rPr>
              <w:t>项目余额</w:t>
            </w:r>
          </w:p>
        </w:tc>
        <w:tc>
          <w:tcPr>
            <w:tcW w:w="586"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left="205" w:right="0"/>
              <w:jc w:val="left"/>
              <w:rPr>
                <w:rFonts w:ascii="Arial" w:hAnsi="Arial" w:cs="Arial" w:eastAsia="Arial" w:hint="default"/>
                <w:sz w:val="16"/>
                <w:szCs w:val="16"/>
              </w:rPr>
            </w:pPr>
            <w:r>
              <w:rPr>
                <w:rFonts w:ascii="Arial"/>
                <w:sz w:val="16"/>
              </w:rPr>
              <w:t>(%)</w:t>
            </w:r>
          </w:p>
        </w:tc>
        <w:tc>
          <w:tcPr>
            <w:tcW w:w="579"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left="162" w:right="0"/>
              <w:jc w:val="left"/>
              <w:rPr>
                <w:rFonts w:ascii="Arial" w:hAnsi="Arial" w:cs="Arial" w:eastAsia="Arial" w:hint="default"/>
                <w:sz w:val="16"/>
                <w:szCs w:val="16"/>
              </w:rPr>
            </w:pPr>
            <w:r>
              <w:rPr>
                <w:rFonts w:ascii="Arial"/>
                <w:sz w:val="16"/>
              </w:rPr>
              <w:t>(%)</w:t>
            </w:r>
          </w:p>
        </w:tc>
        <w:tc>
          <w:tcPr>
            <w:tcW w:w="463" w:type="dxa"/>
            <w:tcBorders>
              <w:top w:val="nil" w:sz="6" w:space="0" w:color="auto"/>
              <w:left w:val="nil" w:sz="6" w:space="0" w:color="auto"/>
              <w:bottom w:val="single" w:sz="6" w:space="0" w:color="000000"/>
              <w:right w:val="nil" w:sz="6" w:space="0" w:color="auto"/>
            </w:tcBorders>
          </w:tcPr>
          <w:p>
            <w:pPr>
              <w:pStyle w:val="TableParagraph"/>
              <w:spacing w:line="172" w:lineRule="exact"/>
              <w:ind w:right="38"/>
              <w:jc w:val="center"/>
              <w:rPr>
                <w:rFonts w:ascii="宋体" w:hAnsi="宋体" w:cs="宋体" w:eastAsia="宋体" w:hint="default"/>
                <w:sz w:val="16"/>
                <w:szCs w:val="16"/>
              </w:rPr>
            </w:pPr>
            <w:r>
              <w:rPr>
                <w:rFonts w:ascii="宋体" w:hAnsi="宋体" w:cs="宋体" w:eastAsia="宋体" w:hint="default"/>
                <w:sz w:val="16"/>
                <w:szCs w:val="16"/>
              </w:rPr>
              <w:t>报表</w:t>
            </w:r>
          </w:p>
        </w:tc>
        <w:tc>
          <w:tcPr>
            <w:tcW w:w="864" w:type="dxa"/>
            <w:tcBorders>
              <w:top w:val="nil" w:sz="6" w:space="0" w:color="auto"/>
              <w:left w:val="nil" w:sz="6" w:space="0" w:color="auto"/>
              <w:bottom w:val="single" w:sz="6" w:space="0" w:color="000000"/>
              <w:right w:val="nil" w:sz="6" w:space="0" w:color="auto"/>
            </w:tcBorders>
          </w:tcPr>
          <w:p>
            <w:pPr>
              <w:pStyle w:val="TableParagraph"/>
              <w:spacing w:line="172" w:lineRule="exact"/>
              <w:ind w:right="130"/>
              <w:jc w:val="right"/>
              <w:rPr>
                <w:rFonts w:ascii="宋体" w:hAnsi="宋体" w:cs="宋体" w:eastAsia="宋体" w:hint="default"/>
                <w:sz w:val="16"/>
                <w:szCs w:val="16"/>
              </w:rPr>
            </w:pPr>
            <w:r>
              <w:rPr>
                <w:rFonts w:ascii="宋体" w:hAnsi="宋体" w:cs="宋体" w:eastAsia="宋体" w:hint="default"/>
                <w:w w:val="95"/>
                <w:sz w:val="16"/>
                <w:szCs w:val="16"/>
              </w:rPr>
              <w:t>（亿元）</w:t>
            </w:r>
            <w:r>
              <w:rPr>
                <w:rFonts w:ascii="宋体" w:hAnsi="宋体" w:cs="宋体" w:eastAsia="宋体" w:hint="default"/>
                <w:sz w:val="16"/>
                <w:szCs w:val="16"/>
              </w:rPr>
            </w:r>
          </w:p>
        </w:tc>
        <w:tc>
          <w:tcPr>
            <w:tcW w:w="696" w:type="dxa"/>
            <w:tcBorders>
              <w:top w:val="nil" w:sz="6" w:space="0" w:color="auto"/>
              <w:left w:val="nil" w:sz="6" w:space="0" w:color="auto"/>
              <w:bottom w:val="single" w:sz="6" w:space="0" w:color="000000"/>
              <w:right w:val="nil" w:sz="6" w:space="0" w:color="auto"/>
            </w:tcBorders>
          </w:tcPr>
          <w:p>
            <w:pPr>
              <w:pStyle w:val="TableParagraph"/>
              <w:spacing w:line="183" w:lineRule="exact"/>
              <w:ind w:left="161" w:right="0"/>
              <w:jc w:val="left"/>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注</w:t>
            </w:r>
            <w:r>
              <w:rPr>
                <w:rFonts w:ascii="宋体" w:hAnsi="宋体" w:cs="宋体" w:eastAsia="宋体" w:hint="default"/>
                <w:spacing w:val="-41"/>
                <w:sz w:val="16"/>
                <w:szCs w:val="16"/>
              </w:rPr>
              <w:t> </w:t>
            </w:r>
            <w:r>
              <w:rPr>
                <w:rFonts w:ascii="Arial" w:hAnsi="Arial" w:cs="Arial" w:eastAsia="Arial" w:hint="default"/>
                <w:sz w:val="16"/>
                <w:szCs w:val="16"/>
              </w:rPr>
              <w:t>1)</w:t>
            </w:r>
          </w:p>
        </w:tc>
      </w:tr>
      <w:tr>
        <w:trPr>
          <w:trHeight w:val="213" w:hRule="exact"/>
        </w:trPr>
        <w:tc>
          <w:tcPr>
            <w:tcW w:w="1601" w:type="dxa"/>
            <w:tcBorders>
              <w:top w:val="single" w:sz="6" w:space="0" w:color="000000"/>
              <w:left w:val="nil" w:sz="6" w:space="0" w:color="auto"/>
              <w:bottom w:val="nil" w:sz="6" w:space="0" w:color="auto"/>
              <w:right w:val="nil" w:sz="6" w:space="0" w:color="auto"/>
            </w:tcBorders>
          </w:tcPr>
          <w:p>
            <w:pPr>
              <w:pStyle w:val="TableParagraph"/>
              <w:spacing w:line="182" w:lineRule="exact"/>
              <w:ind w:left="76" w:right="0"/>
              <w:jc w:val="left"/>
              <w:rPr>
                <w:rFonts w:ascii="宋体" w:hAnsi="宋体" w:cs="宋体" w:eastAsia="宋体" w:hint="default"/>
                <w:sz w:val="16"/>
                <w:szCs w:val="16"/>
              </w:rPr>
            </w:pPr>
            <w:r>
              <w:rPr>
                <w:rFonts w:ascii="宋体" w:hAnsi="宋体" w:cs="宋体" w:eastAsia="宋体" w:hint="default"/>
                <w:sz w:val="16"/>
                <w:szCs w:val="16"/>
              </w:rPr>
              <w:t>中国联通（欧洲）</w:t>
            </w:r>
          </w:p>
        </w:tc>
        <w:tc>
          <w:tcPr>
            <w:tcW w:w="400" w:type="dxa"/>
            <w:tcBorders>
              <w:top w:val="single" w:sz="6" w:space="0" w:color="000000"/>
              <w:left w:val="nil" w:sz="6" w:space="0" w:color="auto"/>
              <w:bottom w:val="nil" w:sz="6" w:space="0" w:color="auto"/>
              <w:right w:val="nil" w:sz="6" w:space="0" w:color="auto"/>
            </w:tcBorders>
          </w:tcPr>
          <w:p>
            <w:pPr/>
          </w:p>
        </w:tc>
        <w:tc>
          <w:tcPr>
            <w:tcW w:w="640" w:type="dxa"/>
            <w:tcBorders>
              <w:top w:val="single" w:sz="6" w:space="0" w:color="000000"/>
              <w:left w:val="nil" w:sz="6" w:space="0" w:color="auto"/>
              <w:bottom w:val="nil" w:sz="6" w:space="0" w:color="auto"/>
              <w:right w:val="nil" w:sz="6" w:space="0" w:color="auto"/>
            </w:tcBorders>
          </w:tcPr>
          <w:p>
            <w:pPr/>
          </w:p>
        </w:tc>
        <w:tc>
          <w:tcPr>
            <w:tcW w:w="1169" w:type="dxa"/>
            <w:tcBorders>
              <w:top w:val="single" w:sz="6" w:space="0" w:color="000000"/>
              <w:left w:val="nil" w:sz="6" w:space="0" w:color="auto"/>
              <w:bottom w:val="nil" w:sz="6" w:space="0" w:color="auto"/>
              <w:right w:val="nil" w:sz="6" w:space="0" w:color="auto"/>
            </w:tcBorders>
          </w:tcPr>
          <w:p>
            <w:pPr>
              <w:pStyle w:val="TableParagraph"/>
              <w:spacing w:line="182" w:lineRule="exact"/>
              <w:ind w:right="29"/>
              <w:jc w:val="center"/>
              <w:rPr>
                <w:rFonts w:ascii="宋体" w:hAnsi="宋体" w:cs="宋体" w:eastAsia="宋体" w:hint="default"/>
                <w:sz w:val="16"/>
                <w:szCs w:val="16"/>
              </w:rPr>
            </w:pPr>
            <w:r>
              <w:rPr>
                <w:rFonts w:ascii="宋体" w:hAnsi="宋体" w:cs="宋体" w:eastAsia="宋体" w:hint="default"/>
                <w:sz w:val="16"/>
                <w:szCs w:val="16"/>
              </w:rPr>
              <w:t>英国</w:t>
            </w:r>
          </w:p>
        </w:tc>
        <w:tc>
          <w:tcPr>
            <w:tcW w:w="653" w:type="dxa"/>
            <w:tcBorders>
              <w:top w:val="single" w:sz="6" w:space="0" w:color="000000"/>
              <w:left w:val="nil" w:sz="6" w:space="0" w:color="auto"/>
              <w:bottom w:val="nil" w:sz="6" w:space="0" w:color="auto"/>
              <w:right w:val="nil" w:sz="6" w:space="0" w:color="auto"/>
            </w:tcBorders>
          </w:tcPr>
          <w:p>
            <w:pPr/>
          </w:p>
        </w:tc>
        <w:tc>
          <w:tcPr>
            <w:tcW w:w="1108" w:type="dxa"/>
            <w:tcBorders>
              <w:top w:val="single" w:sz="6" w:space="0" w:color="000000"/>
              <w:left w:val="nil" w:sz="6" w:space="0" w:color="auto"/>
              <w:bottom w:val="nil" w:sz="6" w:space="0" w:color="auto"/>
              <w:right w:val="nil" w:sz="6" w:space="0" w:color="auto"/>
            </w:tcBorders>
          </w:tcPr>
          <w:p>
            <w:pPr/>
          </w:p>
        </w:tc>
        <w:tc>
          <w:tcPr>
            <w:tcW w:w="973" w:type="dxa"/>
            <w:tcBorders>
              <w:top w:val="single" w:sz="6" w:space="0" w:color="000000"/>
              <w:left w:val="nil" w:sz="6" w:space="0" w:color="auto"/>
              <w:bottom w:val="nil" w:sz="6" w:space="0" w:color="auto"/>
              <w:right w:val="nil" w:sz="6" w:space="0" w:color="auto"/>
            </w:tcBorders>
          </w:tcPr>
          <w:p>
            <w:pPr/>
          </w:p>
        </w:tc>
        <w:tc>
          <w:tcPr>
            <w:tcW w:w="796" w:type="dxa"/>
            <w:tcBorders>
              <w:top w:val="single" w:sz="6" w:space="0" w:color="000000"/>
              <w:left w:val="nil" w:sz="6" w:space="0" w:color="auto"/>
              <w:bottom w:val="nil" w:sz="6" w:space="0" w:color="auto"/>
              <w:right w:val="nil" w:sz="6" w:space="0" w:color="auto"/>
            </w:tcBorders>
          </w:tcPr>
          <w:p>
            <w:pPr/>
          </w:p>
        </w:tc>
        <w:tc>
          <w:tcPr>
            <w:tcW w:w="779" w:type="dxa"/>
            <w:tcBorders>
              <w:top w:val="single" w:sz="6" w:space="0" w:color="000000"/>
              <w:left w:val="nil" w:sz="6" w:space="0" w:color="auto"/>
              <w:bottom w:val="nil" w:sz="6" w:space="0" w:color="auto"/>
              <w:right w:val="nil" w:sz="6" w:space="0" w:color="auto"/>
            </w:tcBorders>
          </w:tcPr>
          <w:p>
            <w:pPr/>
          </w:p>
        </w:tc>
        <w:tc>
          <w:tcPr>
            <w:tcW w:w="1037" w:type="dxa"/>
            <w:tcBorders>
              <w:top w:val="single" w:sz="6" w:space="0" w:color="000000"/>
              <w:left w:val="nil" w:sz="6" w:space="0" w:color="auto"/>
              <w:bottom w:val="nil" w:sz="6" w:space="0" w:color="auto"/>
              <w:right w:val="nil" w:sz="6" w:space="0" w:color="auto"/>
            </w:tcBorders>
          </w:tcPr>
          <w:p>
            <w:pPr/>
          </w:p>
        </w:tc>
        <w:tc>
          <w:tcPr>
            <w:tcW w:w="1108" w:type="dxa"/>
            <w:tcBorders>
              <w:top w:val="single" w:sz="6" w:space="0" w:color="000000"/>
              <w:left w:val="nil" w:sz="6" w:space="0" w:color="auto"/>
              <w:bottom w:val="nil" w:sz="6" w:space="0" w:color="auto"/>
              <w:right w:val="nil" w:sz="6" w:space="0" w:color="auto"/>
            </w:tcBorders>
          </w:tcPr>
          <w:p>
            <w:pPr/>
          </w:p>
        </w:tc>
        <w:tc>
          <w:tcPr>
            <w:tcW w:w="1120" w:type="dxa"/>
            <w:tcBorders>
              <w:top w:val="single" w:sz="6" w:space="0" w:color="000000"/>
              <w:left w:val="nil" w:sz="6" w:space="0" w:color="auto"/>
              <w:bottom w:val="nil" w:sz="6" w:space="0" w:color="auto"/>
              <w:right w:val="nil" w:sz="6" w:space="0" w:color="auto"/>
            </w:tcBorders>
          </w:tcPr>
          <w:p>
            <w:pPr/>
          </w:p>
        </w:tc>
        <w:tc>
          <w:tcPr>
            <w:tcW w:w="586" w:type="dxa"/>
            <w:tcBorders>
              <w:top w:val="single" w:sz="6" w:space="0" w:color="000000"/>
              <w:left w:val="nil" w:sz="6" w:space="0" w:color="auto"/>
              <w:bottom w:val="nil" w:sz="6" w:space="0" w:color="auto"/>
              <w:right w:val="nil" w:sz="6" w:space="0" w:color="auto"/>
            </w:tcBorders>
          </w:tcPr>
          <w:p>
            <w:pPr/>
          </w:p>
        </w:tc>
        <w:tc>
          <w:tcPr>
            <w:tcW w:w="579" w:type="dxa"/>
            <w:tcBorders>
              <w:top w:val="single" w:sz="6" w:space="0" w:color="000000"/>
              <w:left w:val="nil" w:sz="6" w:space="0" w:color="auto"/>
              <w:bottom w:val="nil" w:sz="6" w:space="0" w:color="auto"/>
              <w:right w:val="nil" w:sz="6" w:space="0" w:color="auto"/>
            </w:tcBorders>
          </w:tcPr>
          <w:p>
            <w:pPr/>
          </w:p>
        </w:tc>
        <w:tc>
          <w:tcPr>
            <w:tcW w:w="463" w:type="dxa"/>
            <w:tcBorders>
              <w:top w:val="single" w:sz="6" w:space="0" w:color="000000"/>
              <w:left w:val="nil" w:sz="6" w:space="0" w:color="auto"/>
              <w:bottom w:val="nil" w:sz="6" w:space="0" w:color="auto"/>
              <w:right w:val="nil" w:sz="6" w:space="0" w:color="auto"/>
            </w:tcBorders>
          </w:tcPr>
          <w:p>
            <w:pPr/>
          </w:p>
        </w:tc>
        <w:tc>
          <w:tcPr>
            <w:tcW w:w="864" w:type="dxa"/>
            <w:tcBorders>
              <w:top w:val="single" w:sz="6" w:space="0" w:color="000000"/>
              <w:left w:val="nil" w:sz="6" w:space="0" w:color="auto"/>
              <w:bottom w:val="nil" w:sz="6" w:space="0" w:color="auto"/>
              <w:right w:val="nil" w:sz="6" w:space="0" w:color="auto"/>
            </w:tcBorders>
          </w:tcPr>
          <w:p>
            <w:pPr/>
          </w:p>
        </w:tc>
        <w:tc>
          <w:tcPr>
            <w:tcW w:w="696" w:type="dxa"/>
            <w:tcBorders>
              <w:top w:val="single" w:sz="6" w:space="0" w:color="000000"/>
              <w:left w:val="nil" w:sz="6" w:space="0" w:color="auto"/>
              <w:bottom w:val="nil" w:sz="6" w:space="0" w:color="auto"/>
              <w:right w:val="nil" w:sz="6" w:space="0" w:color="auto"/>
            </w:tcBorders>
          </w:tcPr>
          <w:p>
            <w:pPr/>
          </w:p>
        </w:tc>
      </w:tr>
      <w:tr>
        <w:trPr>
          <w:trHeight w:val="212"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4" w:lineRule="exact"/>
              <w:ind w:left="255" w:right="0"/>
              <w:jc w:val="left"/>
              <w:rPr>
                <w:rFonts w:ascii="宋体" w:hAnsi="宋体" w:cs="宋体" w:eastAsia="宋体" w:hint="default"/>
                <w:sz w:val="16"/>
                <w:szCs w:val="16"/>
              </w:rPr>
            </w:pPr>
            <w:r>
              <w:rPr>
                <w:rFonts w:ascii="宋体" w:hAnsi="宋体" w:cs="宋体" w:eastAsia="宋体" w:hint="default"/>
                <w:sz w:val="16"/>
                <w:szCs w:val="16"/>
              </w:rPr>
              <w:t>运营有限公司</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Style w:val="TableParagraph"/>
              <w:spacing w:line="184" w:lineRule="exact"/>
              <w:ind w:right="15"/>
              <w:jc w:val="center"/>
              <w:rPr>
                <w:rFonts w:ascii="宋体" w:hAnsi="宋体" w:cs="宋体" w:eastAsia="宋体" w:hint="default"/>
                <w:sz w:val="16"/>
                <w:szCs w:val="16"/>
              </w:rPr>
            </w:pPr>
            <w:r>
              <w:rPr>
                <w:rFonts w:ascii="宋体" w:hAnsi="宋体" w:cs="宋体" w:eastAsia="宋体" w:hint="default"/>
                <w:sz w:val="16"/>
                <w:szCs w:val="16"/>
              </w:rPr>
              <w:t>间接</w:t>
            </w:r>
          </w:p>
        </w:tc>
        <w:tc>
          <w:tcPr>
            <w:tcW w:w="1169" w:type="dxa"/>
            <w:tcBorders>
              <w:top w:val="nil" w:sz="6" w:space="0" w:color="auto"/>
              <w:left w:val="nil" w:sz="6" w:space="0" w:color="auto"/>
              <w:bottom w:val="nil" w:sz="6" w:space="0" w:color="auto"/>
              <w:right w:val="nil" w:sz="6" w:space="0" w:color="auto"/>
            </w:tcBorders>
          </w:tcPr>
          <w:p>
            <w:pPr>
              <w:pStyle w:val="TableParagraph"/>
              <w:spacing w:line="195" w:lineRule="exact"/>
              <w:ind w:right="29"/>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53" w:type="dxa"/>
            <w:tcBorders>
              <w:top w:val="nil" w:sz="6" w:space="0" w:color="auto"/>
              <w:left w:val="nil" w:sz="6" w:space="0" w:color="auto"/>
              <w:bottom w:val="nil" w:sz="6" w:space="0" w:color="auto"/>
              <w:right w:val="nil" w:sz="6" w:space="0" w:color="auto"/>
            </w:tcBorders>
          </w:tcPr>
          <w:p>
            <w:pPr>
              <w:pStyle w:val="TableParagraph"/>
              <w:spacing w:line="184" w:lineRule="exact"/>
              <w:ind w:left="66" w:right="0"/>
              <w:jc w:val="center"/>
              <w:rPr>
                <w:rFonts w:ascii="宋体" w:hAnsi="宋体" w:cs="宋体" w:eastAsia="宋体" w:hint="default"/>
                <w:sz w:val="16"/>
                <w:szCs w:val="16"/>
              </w:rPr>
            </w:pPr>
            <w:r>
              <w:rPr>
                <w:rFonts w:ascii="宋体" w:hAnsi="宋体" w:cs="宋体" w:eastAsia="宋体" w:hint="default"/>
                <w:sz w:val="16"/>
                <w:szCs w:val="16"/>
              </w:rPr>
              <w:t>电信</w:t>
            </w: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Style w:val="TableParagraph"/>
              <w:spacing w:line="184" w:lineRule="exact"/>
              <w:ind w:right="40"/>
              <w:jc w:val="center"/>
              <w:rPr>
                <w:rFonts w:ascii="宋体" w:hAnsi="宋体" w:cs="宋体" w:eastAsia="宋体" w:hint="default"/>
                <w:sz w:val="16"/>
                <w:szCs w:val="16"/>
              </w:rPr>
            </w:pPr>
            <w:r>
              <w:rPr>
                <w:rFonts w:ascii="宋体" w:hAnsi="宋体" w:cs="宋体" w:eastAsia="宋体" w:hint="default"/>
                <w:sz w:val="16"/>
                <w:szCs w:val="16"/>
              </w:rPr>
              <w:t>有限</w:t>
            </w: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71"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pacing w:val="-12"/>
                <w:sz w:val="16"/>
                <w:szCs w:val="16"/>
              </w:rPr>
              <w:t>（“联通欧洲运营”）</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2" w:right="0"/>
              <w:jc w:val="left"/>
              <w:rPr>
                <w:rFonts w:ascii="Arial" w:hAnsi="Arial" w:cs="Arial" w:eastAsia="Arial" w:hint="default"/>
                <w:sz w:val="16"/>
                <w:szCs w:val="16"/>
              </w:rPr>
            </w:pPr>
            <w:r>
              <w:rPr>
                <w:rFonts w:ascii="Arial"/>
                <w:sz w:val="16"/>
              </w:rPr>
              <w:t>(1)</w:t>
            </w:r>
          </w:p>
        </w:tc>
        <w:tc>
          <w:tcPr>
            <w:tcW w:w="640" w:type="dxa"/>
            <w:tcBorders>
              <w:top w:val="nil" w:sz="6" w:space="0" w:color="auto"/>
              <w:left w:val="nil" w:sz="6" w:space="0" w:color="auto"/>
              <w:bottom w:val="nil" w:sz="6" w:space="0" w:color="auto"/>
              <w:right w:val="nil" w:sz="6" w:space="0" w:color="auto"/>
            </w:tcBorders>
          </w:tcPr>
          <w:p>
            <w:pPr>
              <w:pStyle w:val="TableParagraph"/>
              <w:spacing w:line="180" w:lineRule="exact"/>
              <w:ind w:right="15"/>
              <w:jc w:val="center"/>
              <w:rPr>
                <w:rFonts w:ascii="宋体" w:hAnsi="宋体" w:cs="宋体" w:eastAsia="宋体" w:hint="default"/>
                <w:sz w:val="16"/>
                <w:szCs w:val="16"/>
              </w:rPr>
            </w:pPr>
            <w:r>
              <w:rPr>
                <w:rFonts w:ascii="宋体" w:hAnsi="宋体" w:cs="宋体" w:eastAsia="宋体" w:hint="default"/>
                <w:sz w:val="16"/>
                <w:szCs w:val="16"/>
              </w:rPr>
              <w:t>控股</w:t>
            </w:r>
          </w:p>
        </w:tc>
        <w:tc>
          <w:tcPr>
            <w:tcW w:w="1169" w:type="dxa"/>
            <w:tcBorders>
              <w:top w:val="nil" w:sz="6" w:space="0" w:color="auto"/>
              <w:left w:val="nil" w:sz="6" w:space="0" w:color="auto"/>
              <w:bottom w:val="nil" w:sz="6" w:space="0" w:color="auto"/>
              <w:right w:val="nil" w:sz="6" w:space="0" w:color="auto"/>
            </w:tcBorders>
          </w:tcPr>
          <w:p>
            <w:pPr>
              <w:pStyle w:val="TableParagraph"/>
              <w:spacing w:line="191" w:lineRule="exact"/>
              <w:ind w:right="29"/>
              <w:jc w:val="center"/>
              <w:rPr>
                <w:rFonts w:ascii="宋体" w:hAnsi="宋体" w:cs="宋体" w:eastAsia="宋体" w:hint="default"/>
                <w:sz w:val="16"/>
                <w:szCs w:val="16"/>
              </w:rPr>
            </w:pPr>
            <w:r>
              <w:rPr>
                <w:rFonts w:ascii="Arial" w:hAnsi="Arial" w:cs="Arial" w:eastAsia="Arial" w:hint="default"/>
                <w:sz w:val="16"/>
                <w:szCs w:val="16"/>
              </w:rPr>
              <w:t>11</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8</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53" w:type="dxa"/>
            <w:tcBorders>
              <w:top w:val="nil" w:sz="6" w:space="0" w:color="auto"/>
              <w:left w:val="nil" w:sz="6" w:space="0" w:color="auto"/>
              <w:bottom w:val="nil" w:sz="6" w:space="0" w:color="auto"/>
              <w:right w:val="nil" w:sz="6" w:space="0" w:color="auto"/>
            </w:tcBorders>
          </w:tcPr>
          <w:p>
            <w:pPr>
              <w:pStyle w:val="TableParagraph"/>
              <w:spacing w:line="180" w:lineRule="exact"/>
              <w:ind w:left="66"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108" w:type="dxa"/>
            <w:tcBorders>
              <w:top w:val="nil" w:sz="6" w:space="0" w:color="auto"/>
              <w:left w:val="nil" w:sz="6" w:space="0" w:color="auto"/>
              <w:bottom w:val="nil" w:sz="6" w:space="0" w:color="auto"/>
              <w:right w:val="nil" w:sz="6" w:space="0" w:color="auto"/>
            </w:tcBorders>
          </w:tcPr>
          <w:p>
            <w:pPr>
              <w:pStyle w:val="TableParagraph"/>
              <w:spacing w:line="191" w:lineRule="exact"/>
              <w:ind w:right="114"/>
              <w:jc w:val="right"/>
              <w:rPr>
                <w:rFonts w:ascii="Arial" w:hAnsi="Arial" w:cs="Arial" w:eastAsia="Arial" w:hint="default"/>
                <w:sz w:val="16"/>
                <w:szCs w:val="16"/>
              </w:rPr>
            </w:pPr>
            <w:r>
              <w:rPr>
                <w:rFonts w:ascii="宋体" w:hAnsi="宋体" w:cs="宋体" w:eastAsia="宋体" w:hint="default"/>
                <w:sz w:val="16"/>
                <w:szCs w:val="16"/>
              </w:rPr>
              <w:t>英镑</w:t>
            </w:r>
            <w:r>
              <w:rPr>
                <w:rFonts w:ascii="宋体" w:hAnsi="宋体" w:cs="宋体" w:eastAsia="宋体" w:hint="default"/>
                <w:spacing w:val="-42"/>
                <w:sz w:val="16"/>
                <w:szCs w:val="16"/>
              </w:rPr>
              <w:t> </w:t>
            </w:r>
            <w:r>
              <w:rPr>
                <w:rFonts w:ascii="Arial" w:hAnsi="Arial" w:cs="Arial" w:eastAsia="Arial" w:hint="default"/>
                <w:sz w:val="16"/>
                <w:szCs w:val="16"/>
              </w:rPr>
              <w:t>4,861</w:t>
            </w:r>
          </w:p>
        </w:tc>
        <w:tc>
          <w:tcPr>
            <w:tcW w:w="973" w:type="dxa"/>
            <w:tcBorders>
              <w:top w:val="nil" w:sz="6" w:space="0" w:color="auto"/>
              <w:left w:val="nil" w:sz="6" w:space="0" w:color="auto"/>
              <w:bottom w:val="nil" w:sz="6" w:space="0" w:color="auto"/>
              <w:right w:val="nil" w:sz="6" w:space="0" w:color="auto"/>
            </w:tcBorders>
          </w:tcPr>
          <w:p>
            <w:pPr>
              <w:pStyle w:val="TableParagraph"/>
              <w:spacing w:line="180" w:lineRule="exact"/>
              <w:ind w:right="136"/>
              <w:jc w:val="right"/>
              <w:rPr>
                <w:rFonts w:ascii="宋体" w:hAnsi="宋体" w:cs="宋体" w:eastAsia="宋体" w:hint="default"/>
                <w:sz w:val="16"/>
                <w:szCs w:val="16"/>
              </w:rPr>
            </w:pPr>
            <w:r>
              <w:rPr>
                <w:rFonts w:ascii="宋体" w:hAnsi="宋体" w:cs="宋体" w:eastAsia="宋体" w:hint="default"/>
                <w:w w:val="95"/>
                <w:sz w:val="16"/>
                <w:szCs w:val="16"/>
              </w:rPr>
              <w:t>电信业务</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80" w:lineRule="exact"/>
              <w:ind w:right="40"/>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037" w:type="dxa"/>
            <w:tcBorders>
              <w:top w:val="nil" w:sz="6" w:space="0" w:color="auto"/>
              <w:left w:val="nil" w:sz="6" w:space="0" w:color="auto"/>
              <w:bottom w:val="nil" w:sz="6" w:space="0" w:color="auto"/>
              <w:right w:val="nil" w:sz="6" w:space="0" w:color="auto"/>
            </w:tcBorders>
          </w:tcPr>
          <w:p>
            <w:pPr>
              <w:pStyle w:val="TableParagraph"/>
              <w:spacing w:line="180" w:lineRule="exact"/>
              <w:ind w:right="115"/>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83" w:right="0"/>
              <w:jc w:val="left"/>
              <w:rPr>
                <w:rFonts w:ascii="Arial" w:hAnsi="Arial" w:cs="Arial" w:eastAsia="Arial" w:hint="default"/>
                <w:sz w:val="16"/>
                <w:szCs w:val="16"/>
              </w:rPr>
            </w:pPr>
            <w:r>
              <w:rPr>
                <w:rFonts w:ascii="Arial"/>
                <w:sz w:val="16"/>
              </w:rPr>
              <w:t>65,737</w:t>
            </w:r>
          </w:p>
        </w:tc>
        <w:tc>
          <w:tcPr>
            <w:tcW w:w="1120" w:type="dxa"/>
            <w:tcBorders>
              <w:top w:val="nil" w:sz="6" w:space="0" w:color="auto"/>
              <w:left w:val="nil" w:sz="6" w:space="0" w:color="auto"/>
              <w:bottom w:val="nil" w:sz="6" w:space="0" w:color="auto"/>
              <w:right w:val="nil" w:sz="6" w:space="0" w:color="auto"/>
            </w:tcBorders>
          </w:tcPr>
          <w:p>
            <w:pPr>
              <w:pStyle w:val="TableParagraph"/>
              <w:spacing w:line="180" w:lineRule="exact"/>
              <w:ind w:left="41"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0" w:right="0"/>
              <w:jc w:val="left"/>
              <w:rPr>
                <w:rFonts w:ascii="Arial" w:hAnsi="Arial" w:cs="Arial" w:eastAsia="Arial" w:hint="default"/>
                <w:sz w:val="16"/>
                <w:szCs w:val="16"/>
              </w:rPr>
            </w:pPr>
            <w:r>
              <w:rPr>
                <w:rFonts w:ascii="Arial"/>
                <w:sz w:val="16"/>
              </w:rPr>
              <w:t>33.88</w:t>
            </w:r>
          </w:p>
        </w:tc>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80" w:lineRule="exact"/>
              <w:ind w:right="37"/>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7"/>
              <w:jc w:val="right"/>
              <w:rPr>
                <w:rFonts w:ascii="Arial" w:hAnsi="Arial" w:cs="Arial" w:eastAsia="Arial" w:hint="default"/>
                <w:sz w:val="16"/>
                <w:szCs w:val="16"/>
              </w:rPr>
            </w:pPr>
            <w:r>
              <w:rPr>
                <w:rFonts w:ascii="Arial"/>
                <w:w w:val="99"/>
                <w:sz w:val="16"/>
              </w:rPr>
              <w:t>-</w:t>
            </w:r>
            <w:r>
              <w:rPr>
                <w:rFonts w:ascii="Arial"/>
                <w:sz w:val="16"/>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3"/>
              <w:jc w:val="right"/>
              <w:rPr>
                <w:rFonts w:ascii="Arial" w:hAnsi="Arial" w:cs="Arial" w:eastAsia="Arial" w:hint="default"/>
                <w:sz w:val="16"/>
                <w:szCs w:val="16"/>
              </w:rPr>
            </w:pPr>
            <w:r>
              <w:rPr>
                <w:rFonts w:ascii="Arial"/>
                <w:w w:val="99"/>
                <w:sz w:val="16"/>
              </w:rPr>
              <w:t>-</w:t>
            </w:r>
            <w:r>
              <w:rPr>
                <w:rFonts w:ascii="Arial"/>
                <w:sz w:val="16"/>
              </w:rPr>
            </w:r>
          </w:p>
        </w:tc>
      </w:tr>
      <w:tr>
        <w:trPr>
          <w:trHeight w:val="255"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6" w:right="0"/>
              <w:jc w:val="left"/>
              <w:rPr>
                <w:rFonts w:ascii="宋体" w:hAnsi="宋体" w:cs="宋体" w:eastAsia="宋体" w:hint="default"/>
                <w:sz w:val="16"/>
                <w:szCs w:val="16"/>
              </w:rPr>
            </w:pPr>
            <w:r>
              <w:rPr>
                <w:rFonts w:ascii="宋体" w:hAnsi="宋体" w:cs="宋体" w:eastAsia="宋体" w:hint="default"/>
                <w:sz w:val="16"/>
                <w:szCs w:val="16"/>
              </w:rPr>
              <w:t>中国联通（日本）</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center"/>
              <w:rPr>
                <w:rFonts w:ascii="宋体" w:hAnsi="宋体" w:cs="宋体" w:eastAsia="宋体" w:hint="default"/>
                <w:sz w:val="16"/>
                <w:szCs w:val="16"/>
              </w:rPr>
            </w:pPr>
            <w:r>
              <w:rPr>
                <w:rFonts w:ascii="宋体" w:hAnsi="宋体" w:cs="宋体" w:eastAsia="宋体" w:hint="default"/>
                <w:sz w:val="16"/>
                <w:szCs w:val="16"/>
              </w:rPr>
              <w:t>日本</w:t>
            </w:r>
          </w:p>
        </w:tc>
        <w:tc>
          <w:tcPr>
            <w:tcW w:w="653"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12"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4" w:lineRule="exact"/>
              <w:ind w:left="255" w:right="0"/>
              <w:jc w:val="left"/>
              <w:rPr>
                <w:rFonts w:ascii="宋体" w:hAnsi="宋体" w:cs="宋体" w:eastAsia="宋体" w:hint="default"/>
                <w:sz w:val="16"/>
                <w:szCs w:val="16"/>
              </w:rPr>
            </w:pPr>
            <w:r>
              <w:rPr>
                <w:rFonts w:ascii="宋体" w:hAnsi="宋体" w:cs="宋体" w:eastAsia="宋体" w:hint="default"/>
                <w:sz w:val="16"/>
                <w:szCs w:val="16"/>
              </w:rPr>
              <w:t>运营有限公司</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Style w:val="TableParagraph"/>
              <w:spacing w:line="184" w:lineRule="exact"/>
              <w:ind w:right="15"/>
              <w:jc w:val="center"/>
              <w:rPr>
                <w:rFonts w:ascii="宋体" w:hAnsi="宋体" w:cs="宋体" w:eastAsia="宋体" w:hint="default"/>
                <w:sz w:val="16"/>
                <w:szCs w:val="16"/>
              </w:rPr>
            </w:pPr>
            <w:r>
              <w:rPr>
                <w:rFonts w:ascii="宋体" w:hAnsi="宋体" w:cs="宋体" w:eastAsia="宋体" w:hint="default"/>
                <w:sz w:val="16"/>
                <w:szCs w:val="16"/>
              </w:rPr>
              <w:t>间接</w:t>
            </w:r>
          </w:p>
        </w:tc>
        <w:tc>
          <w:tcPr>
            <w:tcW w:w="1169" w:type="dxa"/>
            <w:tcBorders>
              <w:top w:val="nil" w:sz="6" w:space="0" w:color="auto"/>
              <w:left w:val="nil" w:sz="6" w:space="0" w:color="auto"/>
              <w:bottom w:val="nil" w:sz="6" w:space="0" w:color="auto"/>
              <w:right w:val="nil" w:sz="6" w:space="0" w:color="auto"/>
            </w:tcBorders>
          </w:tcPr>
          <w:p>
            <w:pPr>
              <w:pStyle w:val="TableParagraph"/>
              <w:spacing w:line="195" w:lineRule="exact"/>
              <w:ind w:right="29"/>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53" w:type="dxa"/>
            <w:tcBorders>
              <w:top w:val="nil" w:sz="6" w:space="0" w:color="auto"/>
              <w:left w:val="nil" w:sz="6" w:space="0" w:color="auto"/>
              <w:bottom w:val="nil" w:sz="6" w:space="0" w:color="auto"/>
              <w:right w:val="nil" w:sz="6" w:space="0" w:color="auto"/>
            </w:tcBorders>
          </w:tcPr>
          <w:p>
            <w:pPr>
              <w:pStyle w:val="TableParagraph"/>
              <w:spacing w:line="184" w:lineRule="exact"/>
              <w:ind w:left="66" w:right="0"/>
              <w:jc w:val="center"/>
              <w:rPr>
                <w:rFonts w:ascii="宋体" w:hAnsi="宋体" w:cs="宋体" w:eastAsia="宋体" w:hint="default"/>
                <w:sz w:val="16"/>
                <w:szCs w:val="16"/>
              </w:rPr>
            </w:pPr>
            <w:r>
              <w:rPr>
                <w:rFonts w:ascii="宋体" w:hAnsi="宋体" w:cs="宋体" w:eastAsia="宋体" w:hint="default"/>
                <w:sz w:val="16"/>
                <w:szCs w:val="16"/>
              </w:rPr>
              <w:t>电信</w:t>
            </w: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Style w:val="TableParagraph"/>
              <w:spacing w:line="184" w:lineRule="exact"/>
              <w:ind w:right="40"/>
              <w:jc w:val="center"/>
              <w:rPr>
                <w:rFonts w:ascii="宋体" w:hAnsi="宋体" w:cs="宋体" w:eastAsia="宋体" w:hint="default"/>
                <w:sz w:val="16"/>
                <w:szCs w:val="16"/>
              </w:rPr>
            </w:pPr>
            <w:r>
              <w:rPr>
                <w:rFonts w:ascii="宋体" w:hAnsi="宋体" w:cs="宋体" w:eastAsia="宋体" w:hint="default"/>
                <w:sz w:val="16"/>
                <w:szCs w:val="16"/>
              </w:rPr>
              <w:t>有限</w:t>
            </w: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93"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pacing w:val="-12"/>
                <w:sz w:val="16"/>
                <w:szCs w:val="16"/>
              </w:rPr>
              <w:t>（“联通日本运营”）</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 w:right="0"/>
              <w:jc w:val="left"/>
              <w:rPr>
                <w:rFonts w:ascii="Arial" w:hAnsi="Arial" w:cs="Arial" w:eastAsia="Arial" w:hint="default"/>
                <w:sz w:val="16"/>
                <w:szCs w:val="16"/>
              </w:rPr>
            </w:pPr>
            <w:r>
              <w:rPr>
                <w:rFonts w:ascii="Arial"/>
                <w:sz w:val="16"/>
              </w:rPr>
              <w:t>(1)</w:t>
            </w:r>
          </w:p>
        </w:tc>
        <w:tc>
          <w:tcPr>
            <w:tcW w:w="640" w:type="dxa"/>
            <w:tcBorders>
              <w:top w:val="nil" w:sz="6" w:space="0" w:color="auto"/>
              <w:left w:val="nil" w:sz="6" w:space="0" w:color="auto"/>
              <w:bottom w:val="nil" w:sz="6" w:space="0" w:color="auto"/>
              <w:right w:val="nil" w:sz="6" w:space="0" w:color="auto"/>
            </w:tcBorders>
          </w:tcPr>
          <w:p>
            <w:pPr>
              <w:pStyle w:val="TableParagraph"/>
              <w:spacing w:line="180" w:lineRule="exact"/>
              <w:ind w:right="15"/>
              <w:jc w:val="center"/>
              <w:rPr>
                <w:rFonts w:ascii="宋体" w:hAnsi="宋体" w:cs="宋体" w:eastAsia="宋体" w:hint="default"/>
                <w:sz w:val="16"/>
                <w:szCs w:val="16"/>
              </w:rPr>
            </w:pPr>
            <w:r>
              <w:rPr>
                <w:rFonts w:ascii="宋体" w:hAnsi="宋体" w:cs="宋体" w:eastAsia="宋体" w:hint="default"/>
                <w:sz w:val="16"/>
                <w:szCs w:val="16"/>
              </w:rPr>
              <w:t>控股</w:t>
            </w:r>
          </w:p>
        </w:tc>
        <w:tc>
          <w:tcPr>
            <w:tcW w:w="1169" w:type="dxa"/>
            <w:tcBorders>
              <w:top w:val="nil" w:sz="6" w:space="0" w:color="auto"/>
              <w:left w:val="nil" w:sz="6" w:space="0" w:color="auto"/>
              <w:bottom w:val="nil" w:sz="6" w:space="0" w:color="auto"/>
              <w:right w:val="nil" w:sz="6" w:space="0" w:color="auto"/>
            </w:tcBorders>
          </w:tcPr>
          <w:p>
            <w:pPr>
              <w:pStyle w:val="TableParagraph"/>
              <w:spacing w:line="191" w:lineRule="exact"/>
              <w:ind w:right="29"/>
              <w:jc w:val="center"/>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25</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53" w:type="dxa"/>
            <w:tcBorders>
              <w:top w:val="nil" w:sz="6" w:space="0" w:color="auto"/>
              <w:left w:val="nil" w:sz="6" w:space="0" w:color="auto"/>
              <w:bottom w:val="nil" w:sz="6" w:space="0" w:color="auto"/>
              <w:right w:val="nil" w:sz="6" w:space="0" w:color="auto"/>
            </w:tcBorders>
          </w:tcPr>
          <w:p>
            <w:pPr>
              <w:pStyle w:val="TableParagraph"/>
              <w:spacing w:line="180" w:lineRule="exact"/>
              <w:ind w:left="66"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108" w:type="dxa"/>
            <w:tcBorders>
              <w:top w:val="nil" w:sz="6" w:space="0" w:color="auto"/>
              <w:left w:val="nil" w:sz="6" w:space="0" w:color="auto"/>
              <w:bottom w:val="nil" w:sz="6" w:space="0" w:color="auto"/>
              <w:right w:val="nil" w:sz="6" w:space="0" w:color="auto"/>
            </w:tcBorders>
          </w:tcPr>
          <w:p>
            <w:pPr>
              <w:pStyle w:val="TableParagraph"/>
              <w:spacing w:line="191" w:lineRule="exact"/>
              <w:ind w:right="114"/>
              <w:jc w:val="right"/>
              <w:rPr>
                <w:rFonts w:ascii="Arial" w:hAnsi="Arial" w:cs="Arial" w:eastAsia="Arial" w:hint="default"/>
                <w:sz w:val="16"/>
                <w:szCs w:val="16"/>
              </w:rPr>
            </w:pPr>
            <w:r>
              <w:rPr>
                <w:rFonts w:ascii="宋体" w:hAnsi="宋体" w:cs="宋体" w:eastAsia="宋体" w:hint="default"/>
                <w:sz w:val="16"/>
                <w:szCs w:val="16"/>
              </w:rPr>
              <w:t>日元</w:t>
            </w:r>
            <w:r>
              <w:rPr>
                <w:rFonts w:ascii="宋体" w:hAnsi="宋体" w:cs="宋体" w:eastAsia="宋体" w:hint="default"/>
                <w:spacing w:val="-43"/>
                <w:sz w:val="16"/>
                <w:szCs w:val="16"/>
              </w:rPr>
              <w:t> </w:t>
            </w:r>
            <w:r>
              <w:rPr>
                <w:rFonts w:ascii="Arial" w:hAnsi="Arial" w:cs="Arial" w:eastAsia="Arial" w:hint="default"/>
                <w:sz w:val="16"/>
                <w:szCs w:val="16"/>
              </w:rPr>
              <w:t>366,000</w:t>
            </w:r>
          </w:p>
        </w:tc>
        <w:tc>
          <w:tcPr>
            <w:tcW w:w="973" w:type="dxa"/>
            <w:tcBorders>
              <w:top w:val="nil" w:sz="6" w:space="0" w:color="auto"/>
              <w:left w:val="nil" w:sz="6" w:space="0" w:color="auto"/>
              <w:bottom w:val="nil" w:sz="6" w:space="0" w:color="auto"/>
              <w:right w:val="nil" w:sz="6" w:space="0" w:color="auto"/>
            </w:tcBorders>
          </w:tcPr>
          <w:p>
            <w:pPr>
              <w:pStyle w:val="TableParagraph"/>
              <w:spacing w:line="180" w:lineRule="exact"/>
              <w:ind w:right="136"/>
              <w:jc w:val="right"/>
              <w:rPr>
                <w:rFonts w:ascii="宋体" w:hAnsi="宋体" w:cs="宋体" w:eastAsia="宋体" w:hint="default"/>
                <w:sz w:val="16"/>
                <w:szCs w:val="16"/>
              </w:rPr>
            </w:pPr>
            <w:r>
              <w:rPr>
                <w:rFonts w:ascii="宋体" w:hAnsi="宋体" w:cs="宋体" w:eastAsia="宋体" w:hint="default"/>
                <w:w w:val="95"/>
                <w:sz w:val="16"/>
                <w:szCs w:val="16"/>
              </w:rPr>
              <w:t>电信业务</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80" w:lineRule="exact"/>
              <w:ind w:right="40"/>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2"/>
              <w:jc w:val="center"/>
              <w:rPr>
                <w:rFonts w:ascii="宋体" w:hAnsi="宋体" w:cs="宋体" w:eastAsia="宋体" w:hint="default"/>
                <w:sz w:val="16"/>
                <w:szCs w:val="16"/>
              </w:rPr>
            </w:pPr>
            <w:r>
              <w:rPr>
                <w:rFonts w:ascii="宋体" w:hAnsi="宋体" w:cs="宋体" w:eastAsia="宋体" w:hint="default"/>
                <w:sz w:val="16"/>
                <w:szCs w:val="16"/>
              </w:rPr>
              <w:t>高津昌广</w:t>
            </w:r>
          </w:p>
        </w:tc>
        <w:tc>
          <w:tcPr>
            <w:tcW w:w="1037" w:type="dxa"/>
            <w:tcBorders>
              <w:top w:val="nil" w:sz="6" w:space="0" w:color="auto"/>
              <w:left w:val="nil" w:sz="6" w:space="0" w:color="auto"/>
              <w:bottom w:val="nil" w:sz="6" w:space="0" w:color="auto"/>
              <w:right w:val="nil" w:sz="6" w:space="0" w:color="auto"/>
            </w:tcBorders>
          </w:tcPr>
          <w:p>
            <w:pPr>
              <w:pStyle w:val="TableParagraph"/>
              <w:spacing w:line="180" w:lineRule="exact"/>
              <w:ind w:right="115"/>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3" w:right="0"/>
              <w:jc w:val="left"/>
              <w:rPr>
                <w:rFonts w:ascii="Arial" w:hAnsi="Arial" w:cs="Arial" w:eastAsia="Arial" w:hint="default"/>
                <w:sz w:val="16"/>
                <w:szCs w:val="16"/>
              </w:rPr>
            </w:pPr>
            <w:r>
              <w:rPr>
                <w:rFonts w:ascii="Arial"/>
                <w:sz w:val="16"/>
              </w:rPr>
              <w:t>23,807</w:t>
            </w:r>
          </w:p>
        </w:tc>
        <w:tc>
          <w:tcPr>
            <w:tcW w:w="1120" w:type="dxa"/>
            <w:tcBorders>
              <w:top w:val="nil" w:sz="6" w:space="0" w:color="auto"/>
              <w:left w:val="nil" w:sz="6" w:space="0" w:color="auto"/>
              <w:bottom w:val="nil" w:sz="6" w:space="0" w:color="auto"/>
              <w:right w:val="nil" w:sz="6" w:space="0" w:color="auto"/>
            </w:tcBorders>
          </w:tcPr>
          <w:p>
            <w:pPr>
              <w:pStyle w:val="TableParagraph"/>
              <w:spacing w:line="180" w:lineRule="exact"/>
              <w:ind w:left="41"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0" w:right="0"/>
              <w:jc w:val="left"/>
              <w:rPr>
                <w:rFonts w:ascii="Arial" w:hAnsi="Arial" w:cs="Arial" w:eastAsia="Arial" w:hint="default"/>
                <w:sz w:val="16"/>
                <w:szCs w:val="16"/>
              </w:rPr>
            </w:pPr>
            <w:r>
              <w:rPr>
                <w:rFonts w:ascii="Arial"/>
                <w:sz w:val="16"/>
              </w:rPr>
              <w:t>33.88</w:t>
            </w:r>
          </w:p>
        </w:tc>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80" w:lineRule="exact"/>
              <w:ind w:right="37"/>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7"/>
              <w:jc w:val="right"/>
              <w:rPr>
                <w:rFonts w:ascii="Arial" w:hAnsi="Arial" w:cs="Arial" w:eastAsia="Arial" w:hint="default"/>
                <w:sz w:val="16"/>
                <w:szCs w:val="16"/>
              </w:rPr>
            </w:pPr>
            <w:r>
              <w:rPr>
                <w:rFonts w:ascii="Arial"/>
                <w:w w:val="99"/>
                <w:sz w:val="16"/>
              </w:rPr>
              <w:t>-</w:t>
            </w:r>
            <w:r>
              <w:rPr>
                <w:rFonts w:ascii="Arial"/>
                <w:sz w:val="16"/>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Arial" w:hAnsi="Arial" w:cs="Arial" w:eastAsia="Arial" w:hint="default"/>
                <w:sz w:val="16"/>
                <w:szCs w:val="16"/>
              </w:rPr>
            </w:pPr>
            <w:r>
              <w:rPr>
                <w:rFonts w:ascii="Arial"/>
                <w:w w:val="99"/>
                <w:sz w:val="16"/>
              </w:rPr>
              <w:t>-</w:t>
            </w:r>
            <w:r>
              <w:rPr>
                <w:rFonts w:ascii="Arial"/>
                <w:sz w:val="16"/>
              </w:rPr>
            </w:r>
          </w:p>
        </w:tc>
      </w:tr>
      <w:tr>
        <w:trPr>
          <w:trHeight w:val="279"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6" w:right="0"/>
              <w:jc w:val="left"/>
              <w:rPr>
                <w:rFonts w:ascii="宋体" w:hAnsi="宋体" w:cs="宋体" w:eastAsia="宋体" w:hint="default"/>
                <w:sz w:val="16"/>
                <w:szCs w:val="16"/>
              </w:rPr>
            </w:pPr>
            <w:r>
              <w:rPr>
                <w:rFonts w:ascii="宋体" w:hAnsi="宋体" w:cs="宋体" w:eastAsia="宋体" w:hint="default"/>
                <w:sz w:val="16"/>
                <w:szCs w:val="16"/>
              </w:rPr>
              <w:t>中讯邮电咨询设计院</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5" w:right="0"/>
              <w:jc w:val="center"/>
              <w:rPr>
                <w:rFonts w:ascii="宋体" w:hAnsi="宋体" w:cs="宋体" w:eastAsia="宋体" w:hint="default"/>
                <w:sz w:val="16"/>
                <w:szCs w:val="16"/>
              </w:rPr>
            </w:pPr>
            <w:r>
              <w:rPr>
                <w:rFonts w:ascii="宋体" w:hAnsi="宋体" w:cs="宋体" w:eastAsia="宋体" w:hint="default"/>
                <w:sz w:val="16"/>
                <w:szCs w:val="16"/>
              </w:rPr>
              <w:t>勘察设</w:t>
            </w: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12"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4" w:lineRule="exact"/>
              <w:ind w:left="255"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Style w:val="TableParagraph"/>
              <w:spacing w:line="184" w:lineRule="exact"/>
              <w:ind w:right="15"/>
              <w:jc w:val="center"/>
              <w:rPr>
                <w:rFonts w:ascii="宋体" w:hAnsi="宋体" w:cs="宋体" w:eastAsia="宋体" w:hint="default"/>
                <w:sz w:val="16"/>
                <w:szCs w:val="16"/>
              </w:rPr>
            </w:pPr>
            <w:r>
              <w:rPr>
                <w:rFonts w:ascii="宋体" w:hAnsi="宋体" w:cs="宋体" w:eastAsia="宋体" w:hint="default"/>
                <w:sz w:val="16"/>
                <w:szCs w:val="16"/>
              </w:rPr>
              <w:t>间接</w:t>
            </w:r>
          </w:p>
        </w:tc>
        <w:tc>
          <w:tcPr>
            <w:tcW w:w="1169" w:type="dxa"/>
            <w:tcBorders>
              <w:top w:val="nil" w:sz="6" w:space="0" w:color="auto"/>
              <w:left w:val="nil" w:sz="6" w:space="0" w:color="auto"/>
              <w:bottom w:val="nil" w:sz="6" w:space="0" w:color="auto"/>
              <w:right w:val="nil" w:sz="6" w:space="0" w:color="auto"/>
            </w:tcBorders>
          </w:tcPr>
          <w:p>
            <w:pPr>
              <w:pStyle w:val="TableParagraph"/>
              <w:spacing w:line="195" w:lineRule="exact"/>
              <w:ind w:right="29"/>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53" w:type="dxa"/>
            <w:tcBorders>
              <w:top w:val="nil" w:sz="6" w:space="0" w:color="auto"/>
              <w:left w:val="nil" w:sz="6" w:space="0" w:color="auto"/>
              <w:bottom w:val="nil" w:sz="6" w:space="0" w:color="auto"/>
              <w:right w:val="nil" w:sz="6" w:space="0" w:color="auto"/>
            </w:tcBorders>
          </w:tcPr>
          <w:p>
            <w:pPr>
              <w:pStyle w:val="TableParagraph"/>
              <w:spacing w:line="184" w:lineRule="exact"/>
              <w:ind w:left="65" w:right="0"/>
              <w:jc w:val="center"/>
              <w:rPr>
                <w:rFonts w:ascii="宋体" w:hAnsi="宋体" w:cs="宋体" w:eastAsia="宋体" w:hint="default"/>
                <w:sz w:val="16"/>
                <w:szCs w:val="16"/>
              </w:rPr>
            </w:pPr>
            <w:r>
              <w:rPr>
                <w:rFonts w:ascii="宋体" w:hAnsi="宋体" w:cs="宋体" w:eastAsia="宋体" w:hint="default"/>
                <w:sz w:val="16"/>
                <w:szCs w:val="16"/>
              </w:rPr>
              <w:t>计及咨</w:t>
            </w: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184" w:lineRule="exact"/>
              <w:ind w:right="55"/>
              <w:jc w:val="right"/>
              <w:rPr>
                <w:rFonts w:ascii="宋体" w:hAnsi="宋体" w:cs="宋体" w:eastAsia="宋体" w:hint="default"/>
                <w:sz w:val="16"/>
                <w:szCs w:val="16"/>
              </w:rPr>
            </w:pPr>
            <w:r>
              <w:rPr>
                <w:rFonts w:ascii="宋体" w:hAnsi="宋体" w:cs="宋体" w:eastAsia="宋体" w:hint="default"/>
                <w:w w:val="95"/>
                <w:sz w:val="16"/>
                <w:szCs w:val="16"/>
              </w:rPr>
              <w:t>勘察设计及</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84" w:lineRule="exact"/>
              <w:ind w:right="40"/>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93"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（“中讯设计院”）</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 w:right="0"/>
              <w:jc w:val="left"/>
              <w:rPr>
                <w:rFonts w:ascii="Arial" w:hAnsi="Arial" w:cs="Arial" w:eastAsia="Arial" w:hint="default"/>
                <w:sz w:val="16"/>
                <w:szCs w:val="16"/>
              </w:rPr>
            </w:pPr>
            <w:r>
              <w:rPr>
                <w:rFonts w:ascii="Arial"/>
                <w:sz w:val="16"/>
              </w:rPr>
              <w:t>(4)</w:t>
            </w:r>
          </w:p>
        </w:tc>
        <w:tc>
          <w:tcPr>
            <w:tcW w:w="640" w:type="dxa"/>
            <w:tcBorders>
              <w:top w:val="nil" w:sz="6" w:space="0" w:color="auto"/>
              <w:left w:val="nil" w:sz="6" w:space="0" w:color="auto"/>
              <w:bottom w:val="nil" w:sz="6" w:space="0" w:color="auto"/>
              <w:right w:val="nil" w:sz="6" w:space="0" w:color="auto"/>
            </w:tcBorders>
          </w:tcPr>
          <w:p>
            <w:pPr>
              <w:pStyle w:val="TableParagraph"/>
              <w:spacing w:line="180" w:lineRule="exact"/>
              <w:ind w:right="15"/>
              <w:jc w:val="center"/>
              <w:rPr>
                <w:rFonts w:ascii="宋体" w:hAnsi="宋体" w:cs="宋体" w:eastAsia="宋体" w:hint="default"/>
                <w:sz w:val="16"/>
                <w:szCs w:val="16"/>
              </w:rPr>
            </w:pPr>
            <w:r>
              <w:rPr>
                <w:rFonts w:ascii="宋体" w:hAnsi="宋体" w:cs="宋体" w:eastAsia="宋体" w:hint="default"/>
                <w:sz w:val="16"/>
                <w:szCs w:val="16"/>
              </w:rPr>
              <w:t>控股</w:t>
            </w:r>
          </w:p>
        </w:tc>
        <w:tc>
          <w:tcPr>
            <w:tcW w:w="1169" w:type="dxa"/>
            <w:tcBorders>
              <w:top w:val="nil" w:sz="6" w:space="0" w:color="auto"/>
              <w:left w:val="nil" w:sz="6" w:space="0" w:color="auto"/>
              <w:bottom w:val="nil" w:sz="6" w:space="0" w:color="auto"/>
              <w:right w:val="nil" w:sz="6" w:space="0" w:color="auto"/>
            </w:tcBorders>
          </w:tcPr>
          <w:p>
            <w:pPr>
              <w:pStyle w:val="TableParagraph"/>
              <w:spacing w:line="191" w:lineRule="exact"/>
              <w:ind w:right="29"/>
              <w:jc w:val="center"/>
              <w:rPr>
                <w:rFonts w:ascii="宋体" w:hAnsi="宋体" w:cs="宋体" w:eastAsia="宋体" w:hint="default"/>
                <w:sz w:val="16"/>
                <w:szCs w:val="16"/>
              </w:rPr>
            </w:pP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27</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53" w:type="dxa"/>
            <w:tcBorders>
              <w:top w:val="nil" w:sz="6" w:space="0" w:color="auto"/>
              <w:left w:val="nil" w:sz="6" w:space="0" w:color="auto"/>
              <w:bottom w:val="nil" w:sz="6" w:space="0" w:color="auto"/>
              <w:right w:val="nil" w:sz="6" w:space="0" w:color="auto"/>
            </w:tcBorders>
          </w:tcPr>
          <w:p>
            <w:pPr>
              <w:pStyle w:val="TableParagraph"/>
              <w:spacing w:line="180" w:lineRule="exact"/>
              <w:ind w:left="65" w:right="0"/>
              <w:jc w:val="center"/>
              <w:rPr>
                <w:rFonts w:ascii="宋体" w:hAnsi="宋体" w:cs="宋体" w:eastAsia="宋体" w:hint="default"/>
                <w:sz w:val="16"/>
                <w:szCs w:val="16"/>
              </w:rPr>
            </w:pPr>
            <w:r>
              <w:rPr>
                <w:rFonts w:ascii="宋体" w:hAnsi="宋体" w:cs="宋体" w:eastAsia="宋体" w:hint="default"/>
                <w:sz w:val="16"/>
                <w:szCs w:val="16"/>
              </w:rPr>
              <w:t>询服务</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4"/>
              <w:jc w:val="right"/>
              <w:rPr>
                <w:rFonts w:ascii="Arial" w:hAnsi="Arial" w:cs="Arial" w:eastAsia="Arial" w:hint="default"/>
                <w:sz w:val="16"/>
                <w:szCs w:val="16"/>
              </w:rPr>
            </w:pPr>
            <w:r>
              <w:rPr>
                <w:rFonts w:ascii="Arial"/>
                <w:w w:val="95"/>
                <w:sz w:val="16"/>
              </w:rPr>
              <w:t>430,000</w:t>
            </w:r>
            <w:r>
              <w:rPr>
                <w:rFonts w:ascii="Arial"/>
                <w:sz w:val="16"/>
              </w:rPr>
            </w:r>
          </w:p>
        </w:tc>
        <w:tc>
          <w:tcPr>
            <w:tcW w:w="973" w:type="dxa"/>
            <w:tcBorders>
              <w:top w:val="nil" w:sz="6" w:space="0" w:color="auto"/>
              <w:left w:val="nil" w:sz="6" w:space="0" w:color="auto"/>
              <w:bottom w:val="nil" w:sz="6" w:space="0" w:color="auto"/>
              <w:right w:val="nil" w:sz="6" w:space="0" w:color="auto"/>
            </w:tcBorders>
          </w:tcPr>
          <w:p>
            <w:pPr>
              <w:pStyle w:val="TableParagraph"/>
              <w:spacing w:line="180" w:lineRule="exact"/>
              <w:ind w:right="137"/>
              <w:jc w:val="right"/>
              <w:rPr>
                <w:rFonts w:ascii="宋体" w:hAnsi="宋体" w:cs="宋体" w:eastAsia="宋体" w:hint="default"/>
                <w:sz w:val="16"/>
                <w:szCs w:val="16"/>
              </w:rPr>
            </w:pPr>
            <w:r>
              <w:rPr>
                <w:rFonts w:ascii="宋体" w:hAnsi="宋体" w:cs="宋体" w:eastAsia="宋体" w:hint="default"/>
                <w:w w:val="95"/>
                <w:sz w:val="16"/>
                <w:szCs w:val="16"/>
              </w:rPr>
              <w:t>咨询服务</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80" w:lineRule="exact"/>
              <w:ind w:right="40"/>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宋体" w:hAnsi="宋体" w:cs="宋体" w:eastAsia="宋体" w:hint="default"/>
                <w:sz w:val="16"/>
                <w:szCs w:val="16"/>
              </w:rPr>
            </w:pPr>
            <w:r>
              <w:rPr>
                <w:rFonts w:ascii="宋体" w:hAnsi="宋体" w:cs="宋体" w:eastAsia="宋体" w:hint="default"/>
                <w:sz w:val="16"/>
                <w:szCs w:val="16"/>
              </w:rPr>
              <w:t>韩志刚</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0"/>
              <w:jc w:val="center"/>
              <w:rPr>
                <w:rFonts w:ascii="Arial" w:hAnsi="Arial" w:cs="Arial" w:eastAsia="Arial" w:hint="default"/>
                <w:sz w:val="16"/>
                <w:szCs w:val="16"/>
              </w:rPr>
            </w:pPr>
            <w:r>
              <w:rPr>
                <w:rFonts w:ascii="Arial"/>
                <w:sz w:val="16"/>
              </w:rPr>
              <w:t>170054458</w:t>
            </w:r>
          </w:p>
        </w:tc>
        <w:tc>
          <w:tcPr>
            <w:tcW w:w="1108" w:type="dxa"/>
            <w:tcBorders>
              <w:top w:val="nil" w:sz="6" w:space="0" w:color="auto"/>
              <w:left w:val="nil" w:sz="6" w:space="0" w:color="auto"/>
              <w:bottom w:val="nil" w:sz="6" w:space="0" w:color="auto"/>
              <w:right w:val="nil" w:sz="6" w:space="0" w:color="auto"/>
            </w:tcBorders>
          </w:tcPr>
          <w:p>
            <w:pPr>
              <w:pStyle w:val="TableParagraph"/>
              <w:spacing w:line="191" w:lineRule="exact"/>
              <w:ind w:right="178"/>
              <w:jc w:val="right"/>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注</w:t>
            </w:r>
            <w:r>
              <w:rPr>
                <w:rFonts w:ascii="宋体" w:hAnsi="宋体" w:cs="宋体" w:eastAsia="宋体" w:hint="default"/>
                <w:spacing w:val="-41"/>
                <w:sz w:val="16"/>
                <w:szCs w:val="16"/>
              </w:rPr>
              <w:t> </w:t>
            </w:r>
            <w:r>
              <w:rPr>
                <w:rFonts w:ascii="Arial" w:hAnsi="Arial" w:cs="Arial" w:eastAsia="Arial" w:hint="default"/>
                <w:sz w:val="16"/>
                <w:szCs w:val="16"/>
              </w:rPr>
              <w:t>2)</w:t>
            </w:r>
          </w:p>
        </w:tc>
        <w:tc>
          <w:tcPr>
            <w:tcW w:w="1120" w:type="dxa"/>
            <w:tcBorders>
              <w:top w:val="nil" w:sz="6" w:space="0" w:color="auto"/>
              <w:left w:val="nil" w:sz="6" w:space="0" w:color="auto"/>
              <w:bottom w:val="nil" w:sz="6" w:space="0" w:color="auto"/>
              <w:right w:val="nil" w:sz="6" w:space="0" w:color="auto"/>
            </w:tcBorders>
          </w:tcPr>
          <w:p>
            <w:pPr>
              <w:pStyle w:val="TableParagraph"/>
              <w:spacing w:line="180" w:lineRule="exact"/>
              <w:ind w:left="41"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0" w:right="0"/>
              <w:jc w:val="left"/>
              <w:rPr>
                <w:rFonts w:ascii="Arial" w:hAnsi="Arial" w:cs="Arial" w:eastAsia="Arial" w:hint="default"/>
                <w:sz w:val="16"/>
                <w:szCs w:val="16"/>
              </w:rPr>
            </w:pPr>
            <w:r>
              <w:rPr>
                <w:rFonts w:ascii="Arial"/>
                <w:sz w:val="16"/>
              </w:rPr>
              <w:t>33.88</w:t>
            </w:r>
          </w:p>
        </w:tc>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80" w:lineRule="exact"/>
              <w:ind w:right="37"/>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7"/>
              <w:jc w:val="right"/>
              <w:rPr>
                <w:rFonts w:ascii="Arial" w:hAnsi="Arial" w:cs="Arial" w:eastAsia="Arial" w:hint="default"/>
                <w:sz w:val="16"/>
                <w:szCs w:val="16"/>
              </w:rPr>
            </w:pPr>
            <w:r>
              <w:rPr>
                <w:rFonts w:ascii="Arial"/>
                <w:w w:val="99"/>
                <w:sz w:val="16"/>
              </w:rPr>
              <w:t>-</w:t>
            </w:r>
            <w:r>
              <w:rPr>
                <w:rFonts w:ascii="Arial"/>
                <w:sz w:val="16"/>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Arial" w:hAnsi="Arial" w:cs="Arial" w:eastAsia="Arial" w:hint="default"/>
                <w:sz w:val="16"/>
                <w:szCs w:val="16"/>
              </w:rPr>
            </w:pPr>
            <w:r>
              <w:rPr>
                <w:rFonts w:ascii="Arial"/>
                <w:w w:val="99"/>
                <w:sz w:val="16"/>
              </w:rPr>
              <w:t>-</w:t>
            </w:r>
            <w:r>
              <w:rPr>
                <w:rFonts w:ascii="Arial"/>
                <w:sz w:val="16"/>
              </w:rPr>
            </w:r>
          </w:p>
        </w:tc>
      </w:tr>
      <w:tr>
        <w:trPr>
          <w:trHeight w:val="279"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6" w:right="0"/>
              <w:jc w:val="left"/>
              <w:rPr>
                <w:rFonts w:ascii="宋体" w:hAnsi="宋体" w:cs="宋体" w:eastAsia="宋体" w:hint="default"/>
                <w:sz w:val="16"/>
                <w:szCs w:val="16"/>
              </w:rPr>
            </w:pPr>
            <w:r>
              <w:rPr>
                <w:rFonts w:ascii="宋体" w:hAnsi="宋体" w:cs="宋体" w:eastAsia="宋体" w:hint="default"/>
                <w:sz w:val="16"/>
                <w:szCs w:val="16"/>
              </w:rPr>
              <w:t>联通信息导航有限</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53"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11"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4" w:lineRule="exact"/>
              <w:ind w:left="23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Style w:val="TableParagraph"/>
              <w:spacing w:line="184" w:lineRule="exact"/>
              <w:ind w:right="15"/>
              <w:jc w:val="center"/>
              <w:rPr>
                <w:rFonts w:ascii="宋体" w:hAnsi="宋体" w:cs="宋体" w:eastAsia="宋体" w:hint="default"/>
                <w:sz w:val="16"/>
                <w:szCs w:val="16"/>
              </w:rPr>
            </w:pPr>
            <w:r>
              <w:rPr>
                <w:rFonts w:ascii="宋体" w:hAnsi="宋体" w:cs="宋体" w:eastAsia="宋体" w:hint="default"/>
                <w:sz w:val="16"/>
                <w:szCs w:val="16"/>
              </w:rPr>
              <w:t>间接</w:t>
            </w:r>
          </w:p>
        </w:tc>
        <w:tc>
          <w:tcPr>
            <w:tcW w:w="1169" w:type="dxa"/>
            <w:tcBorders>
              <w:top w:val="nil" w:sz="6" w:space="0" w:color="auto"/>
              <w:left w:val="nil" w:sz="6" w:space="0" w:color="auto"/>
              <w:bottom w:val="nil" w:sz="6" w:space="0" w:color="auto"/>
              <w:right w:val="nil" w:sz="6" w:space="0" w:color="auto"/>
            </w:tcBorders>
          </w:tcPr>
          <w:p>
            <w:pPr>
              <w:pStyle w:val="TableParagraph"/>
              <w:spacing w:line="195" w:lineRule="exact"/>
              <w:ind w:right="29"/>
              <w:jc w:val="center"/>
              <w:rPr>
                <w:rFonts w:ascii="宋体" w:hAnsi="宋体" w:cs="宋体" w:eastAsia="宋体" w:hint="default"/>
                <w:sz w:val="16"/>
                <w:szCs w:val="16"/>
              </w:rPr>
            </w:pPr>
            <w:r>
              <w:rPr>
                <w:rFonts w:ascii="Arial" w:hAnsi="Arial" w:cs="Arial" w:eastAsia="Arial" w:hint="default"/>
                <w:sz w:val="16"/>
                <w:szCs w:val="16"/>
              </w:rPr>
              <w:t>1998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53" w:type="dxa"/>
            <w:tcBorders>
              <w:top w:val="nil" w:sz="6" w:space="0" w:color="auto"/>
              <w:left w:val="nil" w:sz="6" w:space="0" w:color="auto"/>
              <w:bottom w:val="nil" w:sz="6" w:space="0" w:color="auto"/>
              <w:right w:val="nil" w:sz="6" w:space="0" w:color="auto"/>
            </w:tcBorders>
          </w:tcPr>
          <w:p>
            <w:pPr>
              <w:pStyle w:val="TableParagraph"/>
              <w:spacing w:line="184" w:lineRule="exact"/>
              <w:ind w:left="65" w:right="0"/>
              <w:jc w:val="center"/>
              <w:rPr>
                <w:rFonts w:ascii="宋体" w:hAnsi="宋体" w:cs="宋体" w:eastAsia="宋体" w:hint="default"/>
                <w:sz w:val="16"/>
                <w:szCs w:val="16"/>
              </w:rPr>
            </w:pPr>
            <w:r>
              <w:rPr>
                <w:rFonts w:ascii="宋体" w:hAnsi="宋体" w:cs="宋体" w:eastAsia="宋体" w:hint="default"/>
                <w:sz w:val="16"/>
                <w:szCs w:val="16"/>
              </w:rPr>
              <w:t>电信客</w:t>
            </w: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184" w:lineRule="exact"/>
              <w:ind w:right="55"/>
              <w:jc w:val="right"/>
              <w:rPr>
                <w:rFonts w:ascii="宋体" w:hAnsi="宋体" w:cs="宋体" w:eastAsia="宋体" w:hint="default"/>
                <w:sz w:val="16"/>
                <w:szCs w:val="16"/>
              </w:rPr>
            </w:pPr>
            <w:r>
              <w:rPr>
                <w:rFonts w:ascii="宋体" w:hAnsi="宋体" w:cs="宋体" w:eastAsia="宋体" w:hint="default"/>
                <w:w w:val="95"/>
                <w:sz w:val="16"/>
                <w:szCs w:val="16"/>
              </w:rPr>
              <w:t>电信客户服</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84" w:lineRule="exact"/>
              <w:ind w:right="40"/>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94"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79" w:lineRule="exact"/>
              <w:ind w:left="76" w:right="0"/>
              <w:jc w:val="left"/>
              <w:rPr>
                <w:rFonts w:ascii="宋体" w:hAnsi="宋体" w:cs="宋体" w:eastAsia="宋体" w:hint="default"/>
                <w:sz w:val="16"/>
                <w:szCs w:val="16"/>
              </w:rPr>
            </w:pPr>
            <w:r>
              <w:rPr>
                <w:rFonts w:ascii="宋体" w:hAnsi="宋体" w:cs="宋体" w:eastAsia="宋体" w:hint="default"/>
                <w:spacing w:val="-9"/>
                <w:sz w:val="16"/>
                <w:szCs w:val="16"/>
              </w:rPr>
              <w:t>（“联通信息导航”）</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 w:right="0"/>
              <w:jc w:val="left"/>
              <w:rPr>
                <w:rFonts w:ascii="Arial" w:hAnsi="Arial" w:cs="Arial" w:eastAsia="Arial" w:hint="default"/>
                <w:sz w:val="16"/>
                <w:szCs w:val="16"/>
              </w:rPr>
            </w:pPr>
            <w:r>
              <w:rPr>
                <w:rFonts w:ascii="Arial"/>
                <w:sz w:val="16"/>
              </w:rPr>
              <w:t>(4)</w:t>
            </w:r>
          </w:p>
        </w:tc>
        <w:tc>
          <w:tcPr>
            <w:tcW w:w="640" w:type="dxa"/>
            <w:tcBorders>
              <w:top w:val="nil" w:sz="6" w:space="0" w:color="auto"/>
              <w:left w:val="nil" w:sz="6" w:space="0" w:color="auto"/>
              <w:bottom w:val="nil" w:sz="6" w:space="0" w:color="auto"/>
              <w:right w:val="nil" w:sz="6" w:space="0" w:color="auto"/>
            </w:tcBorders>
          </w:tcPr>
          <w:p>
            <w:pPr>
              <w:pStyle w:val="TableParagraph"/>
              <w:spacing w:line="179" w:lineRule="exact"/>
              <w:ind w:right="15"/>
              <w:jc w:val="center"/>
              <w:rPr>
                <w:rFonts w:ascii="宋体" w:hAnsi="宋体" w:cs="宋体" w:eastAsia="宋体" w:hint="default"/>
                <w:sz w:val="16"/>
                <w:szCs w:val="16"/>
              </w:rPr>
            </w:pPr>
            <w:r>
              <w:rPr>
                <w:rFonts w:ascii="宋体" w:hAnsi="宋体" w:cs="宋体" w:eastAsia="宋体" w:hint="default"/>
                <w:sz w:val="16"/>
                <w:szCs w:val="16"/>
              </w:rPr>
              <w:t>控股</w:t>
            </w:r>
          </w:p>
        </w:tc>
        <w:tc>
          <w:tcPr>
            <w:tcW w:w="1169" w:type="dxa"/>
            <w:tcBorders>
              <w:top w:val="nil" w:sz="6" w:space="0" w:color="auto"/>
              <w:left w:val="nil" w:sz="6" w:space="0" w:color="auto"/>
              <w:bottom w:val="nil" w:sz="6" w:space="0" w:color="auto"/>
              <w:right w:val="nil" w:sz="6" w:space="0" w:color="auto"/>
            </w:tcBorders>
          </w:tcPr>
          <w:p>
            <w:pPr>
              <w:pStyle w:val="TableParagraph"/>
              <w:spacing w:line="191" w:lineRule="exact"/>
              <w:ind w:right="29"/>
              <w:jc w:val="center"/>
              <w:rPr>
                <w:rFonts w:ascii="宋体" w:hAnsi="宋体" w:cs="宋体" w:eastAsia="宋体" w:hint="default"/>
                <w:sz w:val="16"/>
                <w:szCs w:val="16"/>
              </w:rPr>
            </w:pP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17</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53" w:type="dxa"/>
            <w:tcBorders>
              <w:top w:val="nil" w:sz="6" w:space="0" w:color="auto"/>
              <w:left w:val="nil" w:sz="6" w:space="0" w:color="auto"/>
              <w:bottom w:val="nil" w:sz="6" w:space="0" w:color="auto"/>
              <w:right w:val="nil" w:sz="6" w:space="0" w:color="auto"/>
            </w:tcBorders>
          </w:tcPr>
          <w:p>
            <w:pPr>
              <w:pStyle w:val="TableParagraph"/>
              <w:spacing w:line="179" w:lineRule="exact"/>
              <w:ind w:left="65" w:right="0"/>
              <w:jc w:val="center"/>
              <w:rPr>
                <w:rFonts w:ascii="宋体" w:hAnsi="宋体" w:cs="宋体" w:eastAsia="宋体" w:hint="default"/>
                <w:sz w:val="16"/>
                <w:szCs w:val="16"/>
              </w:rPr>
            </w:pPr>
            <w:r>
              <w:rPr>
                <w:rFonts w:ascii="宋体" w:hAnsi="宋体" w:cs="宋体" w:eastAsia="宋体" w:hint="default"/>
                <w:sz w:val="16"/>
                <w:szCs w:val="16"/>
              </w:rPr>
              <w:t>户服务</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4"/>
              <w:jc w:val="right"/>
              <w:rPr>
                <w:rFonts w:ascii="Arial" w:hAnsi="Arial" w:cs="Arial" w:eastAsia="Arial" w:hint="default"/>
                <w:sz w:val="16"/>
                <w:szCs w:val="16"/>
              </w:rPr>
            </w:pPr>
            <w:r>
              <w:rPr>
                <w:rFonts w:ascii="Arial"/>
                <w:w w:val="95"/>
                <w:sz w:val="16"/>
              </w:rPr>
              <w:t>6,825,088</w:t>
            </w:r>
            <w:r>
              <w:rPr>
                <w:rFonts w:ascii="Arial"/>
                <w:sz w:val="16"/>
              </w:rPr>
            </w:r>
          </w:p>
        </w:tc>
        <w:tc>
          <w:tcPr>
            <w:tcW w:w="973" w:type="dxa"/>
            <w:tcBorders>
              <w:top w:val="nil" w:sz="6" w:space="0" w:color="auto"/>
              <w:left w:val="nil" w:sz="6" w:space="0" w:color="auto"/>
              <w:bottom w:val="nil" w:sz="6" w:space="0" w:color="auto"/>
              <w:right w:val="nil" w:sz="6" w:space="0" w:color="auto"/>
            </w:tcBorders>
          </w:tcPr>
          <w:p>
            <w:pPr>
              <w:pStyle w:val="TableParagraph"/>
              <w:spacing w:line="179" w:lineRule="exact"/>
              <w:ind w:left="60"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79" w:lineRule="exact"/>
              <w:ind w:right="40"/>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79" w:lineRule="exact"/>
              <w:ind w:right="2"/>
              <w:jc w:val="center"/>
              <w:rPr>
                <w:rFonts w:ascii="宋体" w:hAnsi="宋体" w:cs="宋体" w:eastAsia="宋体" w:hint="default"/>
                <w:sz w:val="16"/>
                <w:szCs w:val="16"/>
              </w:rPr>
            </w:pPr>
            <w:r>
              <w:rPr>
                <w:rFonts w:ascii="宋体" w:hAnsi="宋体" w:cs="宋体" w:eastAsia="宋体" w:hint="default"/>
                <w:sz w:val="16"/>
                <w:szCs w:val="16"/>
              </w:rPr>
              <w:t>李刚</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0"/>
              <w:jc w:val="center"/>
              <w:rPr>
                <w:rFonts w:ascii="Arial" w:hAnsi="Arial" w:cs="Arial" w:eastAsia="Arial" w:hint="default"/>
                <w:sz w:val="16"/>
                <w:szCs w:val="16"/>
              </w:rPr>
            </w:pPr>
            <w:r>
              <w:rPr>
                <w:rFonts w:ascii="Arial"/>
                <w:sz w:val="16"/>
              </w:rPr>
              <w:t>710923096</w:t>
            </w:r>
          </w:p>
        </w:tc>
        <w:tc>
          <w:tcPr>
            <w:tcW w:w="1108" w:type="dxa"/>
            <w:tcBorders>
              <w:top w:val="nil" w:sz="6" w:space="0" w:color="auto"/>
              <w:left w:val="nil" w:sz="6" w:space="0" w:color="auto"/>
              <w:bottom w:val="nil" w:sz="6" w:space="0" w:color="auto"/>
              <w:right w:val="nil" w:sz="6" w:space="0" w:color="auto"/>
            </w:tcBorders>
          </w:tcPr>
          <w:p>
            <w:pPr>
              <w:pStyle w:val="TableParagraph"/>
              <w:spacing w:line="191" w:lineRule="exact"/>
              <w:ind w:right="178"/>
              <w:jc w:val="right"/>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注</w:t>
            </w:r>
            <w:r>
              <w:rPr>
                <w:rFonts w:ascii="宋体" w:hAnsi="宋体" w:cs="宋体" w:eastAsia="宋体" w:hint="default"/>
                <w:spacing w:val="-41"/>
                <w:sz w:val="16"/>
                <w:szCs w:val="16"/>
              </w:rPr>
              <w:t> </w:t>
            </w:r>
            <w:r>
              <w:rPr>
                <w:rFonts w:ascii="Arial" w:hAnsi="Arial" w:cs="Arial" w:eastAsia="Arial" w:hint="default"/>
                <w:sz w:val="16"/>
                <w:szCs w:val="16"/>
              </w:rPr>
              <w:t>2)</w:t>
            </w:r>
          </w:p>
        </w:tc>
        <w:tc>
          <w:tcPr>
            <w:tcW w:w="1120" w:type="dxa"/>
            <w:tcBorders>
              <w:top w:val="nil" w:sz="6" w:space="0" w:color="auto"/>
              <w:left w:val="nil" w:sz="6" w:space="0" w:color="auto"/>
              <w:bottom w:val="nil" w:sz="6" w:space="0" w:color="auto"/>
              <w:right w:val="nil" w:sz="6" w:space="0" w:color="auto"/>
            </w:tcBorders>
          </w:tcPr>
          <w:p>
            <w:pPr>
              <w:pStyle w:val="TableParagraph"/>
              <w:spacing w:line="179" w:lineRule="exact"/>
              <w:ind w:left="41"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0" w:right="0"/>
              <w:jc w:val="left"/>
              <w:rPr>
                <w:rFonts w:ascii="Arial" w:hAnsi="Arial" w:cs="Arial" w:eastAsia="Arial" w:hint="default"/>
                <w:sz w:val="16"/>
                <w:szCs w:val="16"/>
              </w:rPr>
            </w:pPr>
            <w:r>
              <w:rPr>
                <w:rFonts w:ascii="Arial"/>
                <w:sz w:val="16"/>
              </w:rPr>
              <w:t>33.88</w:t>
            </w:r>
          </w:p>
        </w:tc>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79" w:lineRule="exact"/>
              <w:ind w:right="37"/>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7"/>
              <w:jc w:val="right"/>
              <w:rPr>
                <w:rFonts w:ascii="Arial" w:hAnsi="Arial" w:cs="Arial" w:eastAsia="Arial" w:hint="default"/>
                <w:sz w:val="16"/>
                <w:szCs w:val="16"/>
              </w:rPr>
            </w:pPr>
            <w:r>
              <w:rPr>
                <w:rFonts w:ascii="Arial"/>
                <w:w w:val="99"/>
                <w:sz w:val="16"/>
              </w:rPr>
              <w:t>-</w:t>
            </w:r>
            <w:r>
              <w:rPr>
                <w:rFonts w:ascii="Arial"/>
                <w:sz w:val="16"/>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3"/>
              <w:jc w:val="right"/>
              <w:rPr>
                <w:rFonts w:ascii="Arial" w:hAnsi="Arial" w:cs="Arial" w:eastAsia="Arial" w:hint="default"/>
                <w:sz w:val="16"/>
                <w:szCs w:val="16"/>
              </w:rPr>
            </w:pPr>
            <w:r>
              <w:rPr>
                <w:rFonts w:ascii="Arial"/>
                <w:w w:val="99"/>
                <w:sz w:val="16"/>
              </w:rPr>
              <w:t>-</w:t>
            </w:r>
            <w:r>
              <w:rPr>
                <w:rFonts w:ascii="Arial"/>
                <w:sz w:val="16"/>
              </w:rPr>
            </w:r>
          </w:p>
        </w:tc>
      </w:tr>
      <w:tr>
        <w:trPr>
          <w:trHeight w:val="278"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6" w:right="0"/>
              <w:jc w:val="left"/>
              <w:rPr>
                <w:rFonts w:ascii="宋体" w:hAnsi="宋体" w:cs="宋体" w:eastAsia="宋体" w:hint="default"/>
                <w:sz w:val="16"/>
                <w:szCs w:val="16"/>
              </w:rPr>
            </w:pPr>
            <w:r>
              <w:rPr>
                <w:rFonts w:ascii="宋体" w:hAnsi="宋体" w:cs="宋体" w:eastAsia="宋体" w:hint="default"/>
                <w:sz w:val="16"/>
                <w:szCs w:val="16"/>
              </w:rPr>
              <w:t>联通兴业通信技术有</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53"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11"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3" w:lineRule="exact"/>
              <w:ind w:left="23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Style w:val="TableParagraph"/>
              <w:spacing w:line="183" w:lineRule="exact"/>
              <w:ind w:right="15"/>
              <w:jc w:val="center"/>
              <w:rPr>
                <w:rFonts w:ascii="宋体" w:hAnsi="宋体" w:cs="宋体" w:eastAsia="宋体" w:hint="default"/>
                <w:sz w:val="16"/>
                <w:szCs w:val="16"/>
              </w:rPr>
            </w:pPr>
            <w:r>
              <w:rPr>
                <w:rFonts w:ascii="宋体" w:hAnsi="宋体" w:cs="宋体" w:eastAsia="宋体" w:hint="default"/>
                <w:sz w:val="16"/>
                <w:szCs w:val="16"/>
              </w:rPr>
              <w:t>间接</w:t>
            </w:r>
          </w:p>
        </w:tc>
        <w:tc>
          <w:tcPr>
            <w:tcW w:w="1169" w:type="dxa"/>
            <w:tcBorders>
              <w:top w:val="nil" w:sz="6" w:space="0" w:color="auto"/>
              <w:left w:val="nil" w:sz="6" w:space="0" w:color="auto"/>
              <w:bottom w:val="nil" w:sz="6" w:space="0" w:color="auto"/>
              <w:right w:val="nil" w:sz="6" w:space="0" w:color="auto"/>
            </w:tcBorders>
          </w:tcPr>
          <w:p>
            <w:pPr>
              <w:pStyle w:val="TableParagraph"/>
              <w:spacing w:line="194" w:lineRule="exact"/>
              <w:ind w:right="29"/>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53" w:type="dxa"/>
            <w:tcBorders>
              <w:top w:val="nil" w:sz="6" w:space="0" w:color="auto"/>
              <w:left w:val="nil" w:sz="6" w:space="0" w:color="auto"/>
              <w:bottom w:val="nil" w:sz="6" w:space="0" w:color="auto"/>
              <w:right w:val="nil" w:sz="6" w:space="0" w:color="auto"/>
            </w:tcBorders>
          </w:tcPr>
          <w:p>
            <w:pPr>
              <w:pStyle w:val="TableParagraph"/>
              <w:spacing w:line="183" w:lineRule="exact"/>
              <w:ind w:left="65" w:right="0"/>
              <w:jc w:val="center"/>
              <w:rPr>
                <w:rFonts w:ascii="宋体" w:hAnsi="宋体" w:cs="宋体" w:eastAsia="宋体" w:hint="default"/>
                <w:sz w:val="16"/>
                <w:szCs w:val="16"/>
              </w:rPr>
            </w:pPr>
            <w:r>
              <w:rPr>
                <w:rFonts w:ascii="宋体" w:hAnsi="宋体" w:cs="宋体" w:eastAsia="宋体" w:hint="default"/>
                <w:sz w:val="16"/>
                <w:szCs w:val="16"/>
              </w:rPr>
              <w:t>通信配</w:t>
            </w: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183" w:lineRule="exact"/>
              <w:ind w:right="55"/>
              <w:jc w:val="right"/>
              <w:rPr>
                <w:rFonts w:ascii="宋体" w:hAnsi="宋体" w:cs="宋体" w:eastAsia="宋体" w:hint="default"/>
                <w:sz w:val="16"/>
                <w:szCs w:val="16"/>
              </w:rPr>
            </w:pPr>
            <w:r>
              <w:rPr>
                <w:rFonts w:ascii="宋体" w:hAnsi="宋体" w:cs="宋体" w:eastAsia="宋体" w:hint="default"/>
                <w:w w:val="95"/>
                <w:sz w:val="16"/>
                <w:szCs w:val="16"/>
              </w:rPr>
              <w:t>通信配件销</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83" w:lineRule="exact"/>
              <w:ind w:right="40"/>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94"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（“联通兴业”）</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2" w:right="0"/>
              <w:jc w:val="left"/>
              <w:rPr>
                <w:rFonts w:ascii="Arial" w:hAnsi="Arial" w:cs="Arial" w:eastAsia="Arial" w:hint="default"/>
                <w:sz w:val="16"/>
                <w:szCs w:val="16"/>
              </w:rPr>
            </w:pPr>
            <w:r>
              <w:rPr>
                <w:rFonts w:ascii="Arial"/>
                <w:sz w:val="16"/>
              </w:rPr>
              <w:t>(4)</w:t>
            </w:r>
          </w:p>
        </w:tc>
        <w:tc>
          <w:tcPr>
            <w:tcW w:w="640" w:type="dxa"/>
            <w:tcBorders>
              <w:top w:val="nil" w:sz="6" w:space="0" w:color="auto"/>
              <w:left w:val="nil" w:sz="6" w:space="0" w:color="auto"/>
              <w:bottom w:val="nil" w:sz="6" w:space="0" w:color="auto"/>
              <w:right w:val="nil" w:sz="6" w:space="0" w:color="auto"/>
            </w:tcBorders>
          </w:tcPr>
          <w:p>
            <w:pPr>
              <w:pStyle w:val="TableParagraph"/>
              <w:spacing w:line="180" w:lineRule="exact"/>
              <w:ind w:right="15"/>
              <w:jc w:val="center"/>
              <w:rPr>
                <w:rFonts w:ascii="宋体" w:hAnsi="宋体" w:cs="宋体" w:eastAsia="宋体" w:hint="default"/>
                <w:sz w:val="16"/>
                <w:szCs w:val="16"/>
              </w:rPr>
            </w:pPr>
            <w:r>
              <w:rPr>
                <w:rFonts w:ascii="宋体" w:hAnsi="宋体" w:cs="宋体" w:eastAsia="宋体" w:hint="default"/>
                <w:sz w:val="16"/>
                <w:szCs w:val="16"/>
              </w:rPr>
              <w:t>控股</w:t>
            </w:r>
          </w:p>
        </w:tc>
        <w:tc>
          <w:tcPr>
            <w:tcW w:w="1169" w:type="dxa"/>
            <w:tcBorders>
              <w:top w:val="nil" w:sz="6" w:space="0" w:color="auto"/>
              <w:left w:val="nil" w:sz="6" w:space="0" w:color="auto"/>
              <w:bottom w:val="nil" w:sz="6" w:space="0" w:color="auto"/>
              <w:right w:val="nil" w:sz="6" w:space="0" w:color="auto"/>
            </w:tcBorders>
          </w:tcPr>
          <w:p>
            <w:pPr>
              <w:pStyle w:val="TableParagraph"/>
              <w:spacing w:line="191" w:lineRule="exact"/>
              <w:ind w:right="29"/>
              <w:jc w:val="center"/>
              <w:rPr>
                <w:rFonts w:ascii="宋体" w:hAnsi="宋体" w:cs="宋体" w:eastAsia="宋体" w:hint="default"/>
                <w:sz w:val="16"/>
                <w:szCs w:val="16"/>
              </w:rPr>
            </w:pPr>
            <w:r>
              <w:rPr>
                <w:rFonts w:ascii="Arial" w:hAnsi="Arial" w:cs="Arial" w:eastAsia="Arial" w:hint="default"/>
                <w:sz w:val="16"/>
                <w:szCs w:val="16"/>
              </w:rPr>
              <w:t>10</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53" w:type="dxa"/>
            <w:tcBorders>
              <w:top w:val="nil" w:sz="6" w:space="0" w:color="auto"/>
              <w:left w:val="nil" w:sz="6" w:space="0" w:color="auto"/>
              <w:bottom w:val="nil" w:sz="6" w:space="0" w:color="auto"/>
              <w:right w:val="nil" w:sz="6" w:space="0" w:color="auto"/>
            </w:tcBorders>
          </w:tcPr>
          <w:p>
            <w:pPr>
              <w:pStyle w:val="TableParagraph"/>
              <w:spacing w:line="180" w:lineRule="exact"/>
              <w:ind w:left="65" w:right="0"/>
              <w:jc w:val="center"/>
              <w:rPr>
                <w:rFonts w:ascii="宋体" w:hAnsi="宋体" w:cs="宋体" w:eastAsia="宋体" w:hint="default"/>
                <w:sz w:val="16"/>
                <w:szCs w:val="16"/>
              </w:rPr>
            </w:pPr>
            <w:r>
              <w:rPr>
                <w:rFonts w:ascii="宋体" w:hAnsi="宋体" w:cs="宋体" w:eastAsia="宋体" w:hint="default"/>
                <w:sz w:val="16"/>
                <w:szCs w:val="16"/>
              </w:rPr>
              <w:t>件销售</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4"/>
              <w:jc w:val="right"/>
              <w:rPr>
                <w:rFonts w:ascii="Arial" w:hAnsi="Arial" w:cs="Arial" w:eastAsia="Arial" w:hint="default"/>
                <w:sz w:val="16"/>
                <w:szCs w:val="16"/>
              </w:rPr>
            </w:pPr>
            <w:r>
              <w:rPr>
                <w:rFonts w:ascii="Arial"/>
                <w:w w:val="95"/>
                <w:sz w:val="16"/>
              </w:rPr>
              <w:t>30,000</w:t>
            </w:r>
            <w:r>
              <w:rPr>
                <w:rFonts w:ascii="Arial"/>
                <w:sz w:val="16"/>
              </w:rPr>
            </w:r>
          </w:p>
        </w:tc>
        <w:tc>
          <w:tcPr>
            <w:tcW w:w="973" w:type="dxa"/>
            <w:tcBorders>
              <w:top w:val="nil" w:sz="6" w:space="0" w:color="auto"/>
              <w:left w:val="nil" w:sz="6" w:space="0" w:color="auto"/>
              <w:bottom w:val="nil" w:sz="6" w:space="0" w:color="auto"/>
              <w:right w:val="nil" w:sz="6" w:space="0" w:color="auto"/>
            </w:tcBorders>
          </w:tcPr>
          <w:p>
            <w:pPr>
              <w:pStyle w:val="TableParagraph"/>
              <w:spacing w:line="180" w:lineRule="exact"/>
              <w:ind w:left="60" w:right="0"/>
              <w:jc w:val="center"/>
              <w:rPr>
                <w:rFonts w:ascii="宋体" w:hAnsi="宋体" w:cs="宋体" w:eastAsia="宋体" w:hint="default"/>
                <w:sz w:val="16"/>
                <w:szCs w:val="16"/>
              </w:rPr>
            </w:pPr>
            <w:r>
              <w:rPr>
                <w:rFonts w:ascii="宋体" w:hAnsi="宋体" w:cs="宋体" w:eastAsia="宋体" w:hint="default"/>
                <w:w w:val="99"/>
                <w:sz w:val="16"/>
                <w:szCs w:val="16"/>
              </w:rPr>
              <w:t>售</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80" w:lineRule="exact"/>
              <w:ind w:right="40"/>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宋体" w:hAnsi="宋体" w:cs="宋体" w:eastAsia="宋体" w:hint="default"/>
                <w:sz w:val="16"/>
                <w:szCs w:val="16"/>
              </w:rPr>
            </w:pPr>
            <w:r>
              <w:rPr>
                <w:rFonts w:ascii="宋体" w:hAnsi="宋体" w:cs="宋体" w:eastAsia="宋体" w:hint="default"/>
                <w:sz w:val="16"/>
                <w:szCs w:val="16"/>
              </w:rPr>
              <w:t>李广群</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0"/>
              <w:jc w:val="center"/>
              <w:rPr>
                <w:rFonts w:ascii="Arial" w:hAnsi="Arial" w:cs="Arial" w:eastAsia="Arial" w:hint="default"/>
                <w:sz w:val="16"/>
                <w:szCs w:val="16"/>
              </w:rPr>
            </w:pPr>
            <w:r>
              <w:rPr>
                <w:rFonts w:ascii="Arial"/>
                <w:sz w:val="16"/>
              </w:rPr>
              <w:t>710927345</w:t>
            </w:r>
          </w:p>
        </w:tc>
        <w:tc>
          <w:tcPr>
            <w:tcW w:w="1108" w:type="dxa"/>
            <w:tcBorders>
              <w:top w:val="nil" w:sz="6" w:space="0" w:color="auto"/>
              <w:left w:val="nil" w:sz="6" w:space="0" w:color="auto"/>
              <w:bottom w:val="nil" w:sz="6" w:space="0" w:color="auto"/>
              <w:right w:val="nil" w:sz="6" w:space="0" w:color="auto"/>
            </w:tcBorders>
          </w:tcPr>
          <w:p>
            <w:pPr>
              <w:pStyle w:val="TableParagraph"/>
              <w:spacing w:line="191" w:lineRule="exact"/>
              <w:ind w:right="178"/>
              <w:jc w:val="right"/>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注</w:t>
            </w:r>
            <w:r>
              <w:rPr>
                <w:rFonts w:ascii="宋体" w:hAnsi="宋体" w:cs="宋体" w:eastAsia="宋体" w:hint="default"/>
                <w:spacing w:val="-41"/>
                <w:sz w:val="16"/>
                <w:szCs w:val="16"/>
              </w:rPr>
              <w:t> </w:t>
            </w:r>
            <w:r>
              <w:rPr>
                <w:rFonts w:ascii="Arial" w:hAnsi="Arial" w:cs="Arial" w:eastAsia="Arial" w:hint="default"/>
                <w:sz w:val="16"/>
                <w:szCs w:val="16"/>
              </w:rPr>
              <w:t>2)</w:t>
            </w:r>
          </w:p>
        </w:tc>
        <w:tc>
          <w:tcPr>
            <w:tcW w:w="1120" w:type="dxa"/>
            <w:tcBorders>
              <w:top w:val="nil" w:sz="6" w:space="0" w:color="auto"/>
              <w:left w:val="nil" w:sz="6" w:space="0" w:color="auto"/>
              <w:bottom w:val="nil" w:sz="6" w:space="0" w:color="auto"/>
              <w:right w:val="nil" w:sz="6" w:space="0" w:color="auto"/>
            </w:tcBorders>
          </w:tcPr>
          <w:p>
            <w:pPr>
              <w:pStyle w:val="TableParagraph"/>
              <w:spacing w:line="180" w:lineRule="exact"/>
              <w:ind w:left="41"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0" w:right="0"/>
              <w:jc w:val="left"/>
              <w:rPr>
                <w:rFonts w:ascii="Arial" w:hAnsi="Arial" w:cs="Arial" w:eastAsia="Arial" w:hint="default"/>
                <w:sz w:val="16"/>
                <w:szCs w:val="16"/>
              </w:rPr>
            </w:pPr>
            <w:r>
              <w:rPr>
                <w:rFonts w:ascii="Arial"/>
                <w:sz w:val="16"/>
              </w:rPr>
              <w:t>33.88</w:t>
            </w:r>
          </w:p>
        </w:tc>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80" w:lineRule="exact"/>
              <w:ind w:right="37"/>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7"/>
              <w:jc w:val="right"/>
              <w:rPr>
                <w:rFonts w:ascii="Arial" w:hAnsi="Arial" w:cs="Arial" w:eastAsia="Arial" w:hint="default"/>
                <w:sz w:val="16"/>
                <w:szCs w:val="16"/>
              </w:rPr>
            </w:pPr>
            <w:r>
              <w:rPr>
                <w:rFonts w:ascii="Arial"/>
                <w:w w:val="99"/>
                <w:sz w:val="16"/>
              </w:rPr>
              <w:t>-</w:t>
            </w:r>
            <w:r>
              <w:rPr>
                <w:rFonts w:ascii="Arial"/>
                <w:sz w:val="16"/>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3"/>
              <w:jc w:val="right"/>
              <w:rPr>
                <w:rFonts w:ascii="Arial" w:hAnsi="Arial" w:cs="Arial" w:eastAsia="Arial" w:hint="default"/>
                <w:sz w:val="16"/>
                <w:szCs w:val="16"/>
              </w:rPr>
            </w:pPr>
            <w:r>
              <w:rPr>
                <w:rFonts w:ascii="Arial"/>
                <w:w w:val="99"/>
                <w:sz w:val="16"/>
              </w:rPr>
              <w:t>-</w:t>
            </w:r>
            <w:r>
              <w:rPr>
                <w:rFonts w:ascii="Arial"/>
                <w:sz w:val="16"/>
              </w:rPr>
            </w:r>
          </w:p>
        </w:tc>
      </w:tr>
      <w:tr>
        <w:trPr>
          <w:trHeight w:val="278"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6" w:right="0"/>
              <w:jc w:val="left"/>
              <w:rPr>
                <w:rFonts w:ascii="宋体" w:hAnsi="宋体" w:cs="宋体" w:eastAsia="宋体" w:hint="default"/>
                <w:sz w:val="16"/>
                <w:szCs w:val="16"/>
              </w:rPr>
            </w:pPr>
            <w:r>
              <w:rPr>
                <w:rFonts w:ascii="宋体" w:hAnsi="宋体" w:cs="宋体" w:eastAsia="宋体" w:hint="default"/>
                <w:sz w:val="16"/>
                <w:szCs w:val="16"/>
              </w:rPr>
              <w:t>联通新时讯通信有限</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53"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212"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4" w:lineRule="exact"/>
              <w:ind w:left="23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0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Style w:val="TableParagraph"/>
              <w:spacing w:line="184" w:lineRule="exact"/>
              <w:ind w:right="15"/>
              <w:jc w:val="center"/>
              <w:rPr>
                <w:rFonts w:ascii="宋体" w:hAnsi="宋体" w:cs="宋体" w:eastAsia="宋体" w:hint="default"/>
                <w:sz w:val="16"/>
                <w:szCs w:val="16"/>
              </w:rPr>
            </w:pPr>
            <w:r>
              <w:rPr>
                <w:rFonts w:ascii="宋体" w:hAnsi="宋体" w:cs="宋体" w:eastAsia="宋体" w:hint="default"/>
                <w:sz w:val="16"/>
                <w:szCs w:val="16"/>
              </w:rPr>
              <w:t>间接</w:t>
            </w:r>
          </w:p>
        </w:tc>
        <w:tc>
          <w:tcPr>
            <w:tcW w:w="1169" w:type="dxa"/>
            <w:tcBorders>
              <w:top w:val="nil" w:sz="6" w:space="0" w:color="auto"/>
              <w:left w:val="nil" w:sz="6" w:space="0" w:color="auto"/>
              <w:bottom w:val="nil" w:sz="6" w:space="0" w:color="auto"/>
              <w:right w:val="nil" w:sz="6" w:space="0" w:color="auto"/>
            </w:tcBorders>
          </w:tcPr>
          <w:p>
            <w:pPr>
              <w:pStyle w:val="TableParagraph"/>
              <w:spacing w:line="195" w:lineRule="exact"/>
              <w:ind w:right="29"/>
              <w:jc w:val="center"/>
              <w:rPr>
                <w:rFonts w:ascii="宋体" w:hAnsi="宋体" w:cs="宋体" w:eastAsia="宋体" w:hint="default"/>
                <w:sz w:val="16"/>
                <w:szCs w:val="16"/>
              </w:rPr>
            </w:pPr>
            <w:r>
              <w:rPr>
                <w:rFonts w:ascii="Arial" w:hAnsi="Arial" w:cs="Arial" w:eastAsia="Arial" w:hint="default"/>
                <w:sz w:val="16"/>
                <w:szCs w:val="16"/>
              </w:rPr>
              <w:t>1999</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53" w:type="dxa"/>
            <w:tcBorders>
              <w:top w:val="nil" w:sz="6" w:space="0" w:color="auto"/>
              <w:left w:val="nil" w:sz="6" w:space="0" w:color="auto"/>
              <w:bottom w:val="nil" w:sz="6" w:space="0" w:color="auto"/>
              <w:right w:val="nil" w:sz="6" w:space="0" w:color="auto"/>
            </w:tcBorders>
          </w:tcPr>
          <w:p>
            <w:pPr>
              <w:pStyle w:val="TableParagraph"/>
              <w:spacing w:line="184" w:lineRule="exact"/>
              <w:ind w:left="65" w:right="0"/>
              <w:jc w:val="center"/>
              <w:rPr>
                <w:rFonts w:ascii="宋体" w:hAnsi="宋体" w:cs="宋体" w:eastAsia="宋体" w:hint="default"/>
                <w:sz w:val="16"/>
                <w:szCs w:val="16"/>
              </w:rPr>
            </w:pPr>
            <w:r>
              <w:rPr>
                <w:rFonts w:ascii="宋体" w:hAnsi="宋体" w:cs="宋体" w:eastAsia="宋体" w:hint="default"/>
                <w:sz w:val="16"/>
                <w:szCs w:val="16"/>
              </w:rPr>
              <w:t>电信业</w:t>
            </w:r>
          </w:p>
        </w:tc>
        <w:tc>
          <w:tcPr>
            <w:tcW w:w="110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184" w:lineRule="exact"/>
              <w:ind w:right="55"/>
              <w:jc w:val="right"/>
              <w:rPr>
                <w:rFonts w:ascii="宋体" w:hAnsi="宋体" w:cs="宋体" w:eastAsia="宋体" w:hint="default"/>
                <w:sz w:val="16"/>
                <w:szCs w:val="16"/>
              </w:rPr>
            </w:pPr>
            <w:r>
              <w:rPr>
                <w:rFonts w:ascii="宋体" w:hAnsi="宋体" w:cs="宋体" w:eastAsia="宋体" w:hint="default"/>
                <w:w w:val="95"/>
                <w:sz w:val="16"/>
                <w:szCs w:val="16"/>
              </w:rPr>
              <w:t>手机增值业</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84" w:lineRule="exact"/>
              <w:ind w:right="40"/>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779"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r>
      <w:tr>
        <w:trPr>
          <w:trHeight w:val="300"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（“联通新时讯”）</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2" w:right="0"/>
              <w:jc w:val="left"/>
              <w:rPr>
                <w:rFonts w:ascii="Arial" w:hAnsi="Arial" w:cs="Arial" w:eastAsia="Arial" w:hint="default"/>
                <w:sz w:val="16"/>
                <w:szCs w:val="16"/>
              </w:rPr>
            </w:pPr>
            <w:r>
              <w:rPr>
                <w:rFonts w:ascii="Arial"/>
                <w:sz w:val="16"/>
              </w:rPr>
              <w:t>(3)</w:t>
            </w:r>
          </w:p>
        </w:tc>
        <w:tc>
          <w:tcPr>
            <w:tcW w:w="640" w:type="dxa"/>
            <w:tcBorders>
              <w:top w:val="nil" w:sz="6" w:space="0" w:color="auto"/>
              <w:left w:val="nil" w:sz="6" w:space="0" w:color="auto"/>
              <w:bottom w:val="nil" w:sz="6" w:space="0" w:color="auto"/>
              <w:right w:val="nil" w:sz="6" w:space="0" w:color="auto"/>
            </w:tcBorders>
          </w:tcPr>
          <w:p>
            <w:pPr>
              <w:pStyle w:val="TableParagraph"/>
              <w:spacing w:line="180" w:lineRule="exact"/>
              <w:ind w:right="15"/>
              <w:jc w:val="center"/>
              <w:rPr>
                <w:rFonts w:ascii="宋体" w:hAnsi="宋体" w:cs="宋体" w:eastAsia="宋体" w:hint="default"/>
                <w:sz w:val="16"/>
                <w:szCs w:val="16"/>
              </w:rPr>
            </w:pPr>
            <w:r>
              <w:rPr>
                <w:rFonts w:ascii="宋体" w:hAnsi="宋体" w:cs="宋体" w:eastAsia="宋体" w:hint="default"/>
                <w:sz w:val="16"/>
                <w:szCs w:val="16"/>
              </w:rPr>
              <w:t>控股</w:t>
            </w:r>
          </w:p>
        </w:tc>
        <w:tc>
          <w:tcPr>
            <w:tcW w:w="1169" w:type="dxa"/>
            <w:tcBorders>
              <w:top w:val="nil" w:sz="6" w:space="0" w:color="auto"/>
              <w:left w:val="nil" w:sz="6" w:space="0" w:color="auto"/>
              <w:bottom w:val="nil" w:sz="6" w:space="0" w:color="auto"/>
              <w:right w:val="nil" w:sz="6" w:space="0" w:color="auto"/>
            </w:tcBorders>
          </w:tcPr>
          <w:p>
            <w:pPr>
              <w:pStyle w:val="TableParagraph"/>
              <w:spacing w:line="191" w:lineRule="exact"/>
              <w:ind w:right="29"/>
              <w:jc w:val="center"/>
              <w:rPr>
                <w:rFonts w:ascii="宋体" w:hAnsi="宋体" w:cs="宋体" w:eastAsia="宋体" w:hint="default"/>
                <w:sz w:val="16"/>
                <w:szCs w:val="16"/>
              </w:rPr>
            </w:pP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53" w:type="dxa"/>
            <w:tcBorders>
              <w:top w:val="nil" w:sz="6" w:space="0" w:color="auto"/>
              <w:left w:val="nil" w:sz="6" w:space="0" w:color="auto"/>
              <w:bottom w:val="nil" w:sz="6" w:space="0" w:color="auto"/>
              <w:right w:val="nil" w:sz="6" w:space="0" w:color="auto"/>
            </w:tcBorders>
          </w:tcPr>
          <w:p>
            <w:pPr>
              <w:pStyle w:val="TableParagraph"/>
              <w:spacing w:line="180" w:lineRule="exact"/>
              <w:ind w:left="67"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4"/>
              <w:jc w:val="right"/>
              <w:rPr>
                <w:rFonts w:ascii="Arial" w:hAnsi="Arial" w:cs="Arial" w:eastAsia="Arial" w:hint="default"/>
                <w:sz w:val="16"/>
                <w:szCs w:val="16"/>
              </w:rPr>
            </w:pPr>
            <w:r>
              <w:rPr>
                <w:rFonts w:ascii="Arial"/>
                <w:w w:val="95"/>
                <w:sz w:val="16"/>
              </w:rPr>
              <w:t>120,000</w:t>
            </w:r>
            <w:r>
              <w:rPr>
                <w:rFonts w:ascii="Arial"/>
                <w:sz w:val="16"/>
              </w:rPr>
            </w:r>
          </w:p>
        </w:tc>
        <w:tc>
          <w:tcPr>
            <w:tcW w:w="973" w:type="dxa"/>
            <w:tcBorders>
              <w:top w:val="nil" w:sz="6" w:space="0" w:color="auto"/>
              <w:left w:val="nil" w:sz="6" w:space="0" w:color="auto"/>
              <w:bottom w:val="nil" w:sz="6" w:space="0" w:color="auto"/>
              <w:right w:val="nil" w:sz="6" w:space="0" w:color="auto"/>
            </w:tcBorders>
          </w:tcPr>
          <w:p>
            <w:pPr>
              <w:pStyle w:val="TableParagraph"/>
              <w:spacing w:line="180" w:lineRule="exact"/>
              <w:ind w:left="60"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796" w:type="dxa"/>
            <w:tcBorders>
              <w:top w:val="nil" w:sz="6" w:space="0" w:color="auto"/>
              <w:left w:val="nil" w:sz="6" w:space="0" w:color="auto"/>
              <w:bottom w:val="nil" w:sz="6" w:space="0" w:color="auto"/>
              <w:right w:val="nil" w:sz="6" w:space="0" w:color="auto"/>
            </w:tcBorders>
          </w:tcPr>
          <w:p>
            <w:pPr>
              <w:pStyle w:val="TableParagraph"/>
              <w:spacing w:line="180" w:lineRule="exact"/>
              <w:ind w:right="40"/>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宋体" w:hAnsi="宋体" w:cs="宋体" w:eastAsia="宋体" w:hint="default"/>
                <w:sz w:val="16"/>
                <w:szCs w:val="16"/>
              </w:rPr>
            </w:pPr>
            <w:r>
              <w:rPr>
                <w:rFonts w:ascii="宋体" w:hAnsi="宋体" w:cs="宋体" w:eastAsia="宋体" w:hint="default"/>
                <w:sz w:val="16"/>
                <w:szCs w:val="16"/>
              </w:rPr>
              <w:t>杨可可</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0"/>
              <w:jc w:val="center"/>
              <w:rPr>
                <w:rFonts w:ascii="Arial" w:hAnsi="Arial" w:cs="Arial" w:eastAsia="Arial" w:hint="default"/>
                <w:sz w:val="16"/>
                <w:szCs w:val="16"/>
              </w:rPr>
            </w:pPr>
            <w:r>
              <w:rPr>
                <w:rFonts w:ascii="Arial"/>
                <w:sz w:val="16"/>
              </w:rPr>
              <w:t>600035901</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4" w:right="0"/>
              <w:jc w:val="left"/>
              <w:rPr>
                <w:rFonts w:ascii="Arial" w:hAnsi="Arial" w:cs="Arial" w:eastAsia="Arial" w:hint="default"/>
                <w:sz w:val="16"/>
                <w:szCs w:val="16"/>
              </w:rPr>
            </w:pPr>
            <w:r>
              <w:rPr>
                <w:rFonts w:ascii="Arial"/>
                <w:sz w:val="16"/>
              </w:rPr>
              <w:t>157,925</w:t>
            </w:r>
          </w:p>
        </w:tc>
        <w:tc>
          <w:tcPr>
            <w:tcW w:w="1120" w:type="dxa"/>
            <w:tcBorders>
              <w:top w:val="nil" w:sz="6" w:space="0" w:color="auto"/>
              <w:left w:val="nil" w:sz="6" w:space="0" w:color="auto"/>
              <w:bottom w:val="nil" w:sz="6" w:space="0" w:color="auto"/>
              <w:right w:val="nil" w:sz="6" w:space="0" w:color="auto"/>
            </w:tcBorders>
          </w:tcPr>
          <w:p>
            <w:pPr>
              <w:pStyle w:val="TableParagraph"/>
              <w:spacing w:line="180" w:lineRule="exact"/>
              <w:ind w:left="41"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0" w:right="0"/>
              <w:jc w:val="left"/>
              <w:rPr>
                <w:rFonts w:ascii="Arial" w:hAnsi="Arial" w:cs="Arial" w:eastAsia="Arial" w:hint="default"/>
                <w:sz w:val="16"/>
                <w:szCs w:val="16"/>
              </w:rPr>
            </w:pPr>
            <w:r>
              <w:rPr>
                <w:rFonts w:ascii="Arial"/>
                <w:sz w:val="16"/>
              </w:rPr>
              <w:t>33.88</w:t>
            </w:r>
          </w:p>
        </w:tc>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80" w:lineRule="exact"/>
              <w:ind w:right="37"/>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7"/>
              <w:jc w:val="right"/>
              <w:rPr>
                <w:rFonts w:ascii="Arial" w:hAnsi="Arial" w:cs="Arial" w:eastAsia="Arial" w:hint="default"/>
                <w:sz w:val="16"/>
                <w:szCs w:val="16"/>
              </w:rPr>
            </w:pPr>
            <w:r>
              <w:rPr>
                <w:rFonts w:ascii="Arial"/>
                <w:w w:val="99"/>
                <w:sz w:val="16"/>
              </w:rPr>
              <w:t>-</w:t>
            </w:r>
            <w:r>
              <w:rPr>
                <w:rFonts w:ascii="Arial"/>
                <w:sz w:val="16"/>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3"/>
              <w:jc w:val="right"/>
              <w:rPr>
                <w:rFonts w:ascii="Arial" w:hAnsi="Arial" w:cs="Arial" w:eastAsia="Arial" w:hint="default"/>
                <w:sz w:val="16"/>
                <w:szCs w:val="16"/>
              </w:rPr>
            </w:pPr>
            <w:r>
              <w:rPr>
                <w:rFonts w:ascii="Arial"/>
                <w:w w:val="99"/>
                <w:sz w:val="16"/>
              </w:rPr>
              <w:t>-</w:t>
            </w:r>
            <w:r>
              <w:rPr>
                <w:rFonts w:ascii="Arial"/>
                <w:sz w:val="16"/>
              </w:rPr>
            </w:r>
          </w:p>
        </w:tc>
      </w:tr>
    </w:tbl>
    <w:p>
      <w:pPr>
        <w:spacing w:line="214" w:lineRule="exact" w:before="86"/>
        <w:ind w:left="597"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Arial" w:hAnsi="Arial" w:cs="Arial" w:eastAsia="Arial" w:hint="default"/>
          <w:sz w:val="16"/>
          <w:szCs w:val="16"/>
        </w:rPr>
        <w:t>1</w:t>
      </w:r>
      <w:r>
        <w:rPr>
          <w:rFonts w:ascii="宋体" w:hAnsi="宋体" w:cs="宋体" w:eastAsia="宋体" w:hint="default"/>
          <w:sz w:val="16"/>
          <w:szCs w:val="16"/>
        </w:rPr>
        <w:t>：</w:t>
      </w:r>
      <w:r>
        <w:rPr>
          <w:rFonts w:ascii="宋体" w:hAnsi="宋体" w:cs="宋体" w:eastAsia="宋体" w:hint="default"/>
          <w:spacing w:val="-23"/>
          <w:sz w:val="16"/>
          <w:szCs w:val="16"/>
        </w:rPr>
        <w:t> </w:t>
      </w:r>
      <w:r>
        <w:rPr>
          <w:rFonts w:ascii="宋体" w:hAnsi="宋体" w:cs="宋体" w:eastAsia="宋体" w:hint="default"/>
          <w:sz w:val="16"/>
          <w:szCs w:val="16"/>
        </w:rPr>
        <w:t>少数股东权益项目指“少数股东权益中用于冲减少数股东损益的金额”。</w:t>
      </w:r>
    </w:p>
    <w:p>
      <w:pPr>
        <w:spacing w:line="208" w:lineRule="exact" w:before="0"/>
        <w:ind w:left="597" w:right="0" w:firstLine="0"/>
        <w:jc w:val="left"/>
        <w:rPr>
          <w:rFonts w:ascii="Arial" w:hAnsi="Arial" w:cs="Arial" w:eastAsia="Arial" w:hint="default"/>
          <w:sz w:val="16"/>
          <w:szCs w:val="16"/>
        </w:rPr>
      </w:pPr>
      <w:r>
        <w:rPr>
          <w:rFonts w:ascii="宋体" w:hAnsi="宋体" w:cs="宋体" w:eastAsia="宋体" w:hint="default"/>
          <w:w w:val="99"/>
          <w:sz w:val="16"/>
          <w:szCs w:val="16"/>
        </w:rPr>
        <w:t>注</w:t>
      </w:r>
      <w:r>
        <w:rPr>
          <w:rFonts w:ascii="宋体" w:hAnsi="宋体" w:cs="宋体" w:eastAsia="宋体" w:hint="default"/>
          <w:spacing w:val="-41"/>
          <w:sz w:val="16"/>
          <w:szCs w:val="16"/>
        </w:rPr>
        <w:t> </w:t>
      </w:r>
      <w:r>
        <w:rPr>
          <w:rFonts w:ascii="Arial" w:hAnsi="Arial" w:cs="Arial" w:eastAsia="Arial" w:hint="default"/>
          <w:w w:val="99"/>
          <w:sz w:val="16"/>
          <w:szCs w:val="16"/>
        </w:rPr>
        <w:t>2</w:t>
      </w:r>
      <w:r>
        <w:rPr>
          <w:rFonts w:ascii="宋体" w:hAnsi="宋体" w:cs="宋体" w:eastAsia="宋体" w:hint="default"/>
          <w:w w:val="99"/>
          <w:sz w:val="16"/>
          <w:szCs w:val="16"/>
        </w:rPr>
        <w:t>：</w:t>
      </w:r>
      <w:r>
        <w:rPr>
          <w:rFonts w:ascii="宋体" w:hAnsi="宋体" w:cs="宋体" w:eastAsia="宋体" w:hint="default"/>
          <w:spacing w:val="-10"/>
          <w:sz w:val="16"/>
          <w:szCs w:val="16"/>
        </w:rPr>
        <w:t> </w:t>
      </w:r>
      <w:r>
        <w:rPr>
          <w:rFonts w:ascii="宋体" w:hAnsi="宋体" w:cs="宋体" w:eastAsia="宋体" w:hint="default"/>
          <w:w w:val="99"/>
          <w:sz w:val="16"/>
          <w:szCs w:val="16"/>
        </w:rPr>
        <w:t>联通运</w:t>
      </w:r>
      <w:r>
        <w:rPr>
          <w:rFonts w:ascii="宋体" w:hAnsi="宋体" w:cs="宋体" w:eastAsia="宋体" w:hint="default"/>
          <w:spacing w:val="1"/>
          <w:w w:val="99"/>
          <w:sz w:val="16"/>
          <w:szCs w:val="16"/>
        </w:rPr>
        <w:t>营</w:t>
      </w:r>
      <w:r>
        <w:rPr>
          <w:rFonts w:ascii="宋体" w:hAnsi="宋体" w:cs="宋体" w:eastAsia="宋体" w:hint="default"/>
          <w:w w:val="99"/>
          <w:sz w:val="16"/>
          <w:szCs w:val="16"/>
        </w:rPr>
        <w:t>公</w:t>
      </w:r>
      <w:r>
        <w:rPr>
          <w:rFonts w:ascii="宋体" w:hAnsi="宋体" w:cs="宋体" w:eastAsia="宋体" w:hint="default"/>
          <w:spacing w:val="1"/>
          <w:w w:val="99"/>
          <w:sz w:val="16"/>
          <w:szCs w:val="16"/>
        </w:rPr>
        <w:t>司</w:t>
      </w:r>
      <w:r>
        <w:rPr>
          <w:rFonts w:ascii="宋体" w:hAnsi="宋体" w:cs="宋体" w:eastAsia="宋体" w:hint="default"/>
          <w:w w:val="99"/>
          <w:sz w:val="16"/>
          <w:szCs w:val="16"/>
        </w:rPr>
        <w:t>于</w:t>
      </w:r>
      <w:r>
        <w:rPr>
          <w:rFonts w:ascii="宋体" w:hAnsi="宋体" w:cs="宋体" w:eastAsia="宋体" w:hint="default"/>
          <w:spacing w:val="-40"/>
          <w:sz w:val="16"/>
          <w:szCs w:val="16"/>
        </w:rPr>
        <w:t> </w:t>
      </w:r>
      <w:r>
        <w:rPr>
          <w:rFonts w:ascii="Arial" w:hAnsi="Arial" w:cs="Arial" w:eastAsia="Arial" w:hint="default"/>
          <w:w w:val="99"/>
          <w:sz w:val="16"/>
          <w:szCs w:val="16"/>
        </w:rPr>
        <w:t>2009</w:t>
      </w:r>
      <w:r>
        <w:rPr>
          <w:rFonts w:ascii="Arial" w:hAnsi="Arial" w:cs="Arial" w:eastAsia="Arial" w:hint="default"/>
          <w:spacing w:val="-4"/>
          <w:sz w:val="16"/>
          <w:szCs w:val="16"/>
        </w:rPr>
        <w:t> </w:t>
      </w:r>
      <w:r>
        <w:rPr>
          <w:rFonts w:ascii="宋体" w:hAnsi="宋体" w:cs="宋体" w:eastAsia="宋体" w:hint="default"/>
          <w:w w:val="99"/>
          <w:sz w:val="16"/>
          <w:szCs w:val="16"/>
        </w:rPr>
        <w:t>年</w:t>
      </w:r>
      <w:r>
        <w:rPr>
          <w:rFonts w:ascii="宋体" w:hAnsi="宋体" w:cs="宋体" w:eastAsia="宋体" w:hint="default"/>
          <w:spacing w:val="-41"/>
          <w:sz w:val="16"/>
          <w:szCs w:val="16"/>
        </w:rPr>
        <w:t> </w:t>
      </w:r>
      <w:r>
        <w:rPr>
          <w:rFonts w:ascii="Arial" w:hAnsi="Arial" w:cs="Arial" w:eastAsia="Arial" w:hint="default"/>
          <w:w w:val="99"/>
          <w:sz w:val="16"/>
          <w:szCs w:val="16"/>
        </w:rPr>
        <w:t>1</w:t>
      </w:r>
      <w:r>
        <w:rPr>
          <w:rFonts w:ascii="Arial" w:hAnsi="Arial" w:cs="Arial" w:eastAsia="Arial" w:hint="default"/>
          <w:spacing w:val="-5"/>
          <w:sz w:val="16"/>
          <w:szCs w:val="16"/>
        </w:rPr>
        <w:t> </w:t>
      </w:r>
      <w:r>
        <w:rPr>
          <w:rFonts w:ascii="宋体" w:hAnsi="宋体" w:cs="宋体" w:eastAsia="宋体" w:hint="default"/>
          <w:spacing w:val="1"/>
          <w:w w:val="99"/>
          <w:sz w:val="16"/>
          <w:szCs w:val="16"/>
        </w:rPr>
        <w:t>月</w:t>
      </w:r>
      <w:r>
        <w:rPr>
          <w:rFonts w:ascii="宋体" w:hAnsi="宋体" w:cs="宋体" w:eastAsia="宋体" w:hint="default"/>
          <w:w w:val="99"/>
          <w:sz w:val="16"/>
          <w:szCs w:val="16"/>
        </w:rPr>
        <w:t>完</w:t>
      </w:r>
      <w:r>
        <w:rPr>
          <w:rFonts w:ascii="宋体" w:hAnsi="宋体" w:cs="宋体" w:eastAsia="宋体" w:hint="default"/>
          <w:spacing w:val="1"/>
          <w:w w:val="99"/>
          <w:sz w:val="16"/>
          <w:szCs w:val="16"/>
        </w:rPr>
        <w:t>成</w:t>
      </w:r>
      <w:r>
        <w:rPr>
          <w:rFonts w:ascii="宋体" w:hAnsi="宋体" w:cs="宋体" w:eastAsia="宋体" w:hint="default"/>
          <w:w w:val="99"/>
          <w:sz w:val="16"/>
          <w:szCs w:val="16"/>
        </w:rPr>
        <w:t>向联通</w:t>
      </w:r>
      <w:r>
        <w:rPr>
          <w:rFonts w:ascii="宋体" w:hAnsi="宋体" w:cs="宋体" w:eastAsia="宋体" w:hint="default"/>
          <w:spacing w:val="1"/>
          <w:w w:val="99"/>
          <w:sz w:val="16"/>
          <w:szCs w:val="16"/>
        </w:rPr>
        <w:t>集</w:t>
      </w:r>
      <w:r>
        <w:rPr>
          <w:rFonts w:ascii="宋体" w:hAnsi="宋体" w:cs="宋体" w:eastAsia="宋体" w:hint="default"/>
          <w:w w:val="99"/>
          <w:sz w:val="16"/>
          <w:szCs w:val="16"/>
        </w:rPr>
        <w:t>团和</w:t>
      </w:r>
      <w:r>
        <w:rPr>
          <w:rFonts w:ascii="宋体" w:hAnsi="宋体" w:cs="宋体" w:eastAsia="宋体" w:hint="default"/>
          <w:spacing w:val="1"/>
          <w:w w:val="99"/>
          <w:sz w:val="16"/>
          <w:szCs w:val="16"/>
        </w:rPr>
        <w:t>网</w:t>
      </w:r>
      <w:r>
        <w:rPr>
          <w:rFonts w:ascii="宋体" w:hAnsi="宋体" w:cs="宋体" w:eastAsia="宋体" w:hint="default"/>
          <w:w w:val="99"/>
          <w:sz w:val="16"/>
          <w:szCs w:val="16"/>
        </w:rPr>
        <w:t>通集团</w:t>
      </w:r>
      <w:r>
        <w:rPr>
          <w:rFonts w:ascii="宋体" w:hAnsi="宋体" w:cs="宋体" w:eastAsia="宋体" w:hint="default"/>
          <w:spacing w:val="1"/>
          <w:w w:val="99"/>
          <w:sz w:val="16"/>
          <w:szCs w:val="16"/>
        </w:rPr>
        <w:t>收</w:t>
      </w:r>
      <w:r>
        <w:rPr>
          <w:rFonts w:ascii="宋体" w:hAnsi="宋体" w:cs="宋体" w:eastAsia="宋体" w:hint="default"/>
          <w:w w:val="99"/>
          <w:sz w:val="16"/>
          <w:szCs w:val="16"/>
        </w:rPr>
        <w:t>购相</w:t>
      </w:r>
      <w:r>
        <w:rPr>
          <w:rFonts w:ascii="宋体" w:hAnsi="宋体" w:cs="宋体" w:eastAsia="宋体" w:hint="default"/>
          <w:spacing w:val="1"/>
          <w:w w:val="99"/>
          <w:sz w:val="16"/>
          <w:szCs w:val="16"/>
        </w:rPr>
        <w:t>关</w:t>
      </w:r>
      <w:r>
        <w:rPr>
          <w:rFonts w:ascii="宋体" w:hAnsi="宋体" w:cs="宋体" w:eastAsia="宋体" w:hint="default"/>
          <w:w w:val="99"/>
          <w:sz w:val="16"/>
          <w:szCs w:val="16"/>
        </w:rPr>
        <w:t>电信业</w:t>
      </w:r>
      <w:r>
        <w:rPr>
          <w:rFonts w:ascii="宋体" w:hAnsi="宋体" w:cs="宋体" w:eastAsia="宋体" w:hint="default"/>
          <w:spacing w:val="1"/>
          <w:w w:val="99"/>
          <w:sz w:val="16"/>
          <w:szCs w:val="16"/>
        </w:rPr>
        <w:t>务</w:t>
      </w:r>
      <w:r>
        <w:rPr>
          <w:rFonts w:ascii="宋体" w:hAnsi="宋体" w:cs="宋体" w:eastAsia="宋体" w:hint="default"/>
          <w:w w:val="99"/>
          <w:sz w:val="16"/>
          <w:szCs w:val="16"/>
        </w:rPr>
        <w:t>的同</w:t>
      </w:r>
      <w:r>
        <w:rPr>
          <w:rFonts w:ascii="宋体" w:hAnsi="宋体" w:cs="宋体" w:eastAsia="宋体" w:hint="default"/>
          <w:spacing w:val="1"/>
          <w:w w:val="99"/>
          <w:sz w:val="16"/>
          <w:szCs w:val="16"/>
        </w:rPr>
        <w:t>一</w:t>
      </w:r>
      <w:r>
        <w:rPr>
          <w:rFonts w:ascii="宋体" w:hAnsi="宋体" w:cs="宋体" w:eastAsia="宋体" w:hint="default"/>
          <w:w w:val="99"/>
          <w:sz w:val="16"/>
          <w:szCs w:val="16"/>
        </w:rPr>
        <w:t>控制下</w:t>
      </w:r>
      <w:r>
        <w:rPr>
          <w:rFonts w:ascii="宋体" w:hAnsi="宋体" w:cs="宋体" w:eastAsia="宋体" w:hint="default"/>
          <w:spacing w:val="1"/>
          <w:w w:val="99"/>
          <w:sz w:val="16"/>
          <w:szCs w:val="16"/>
        </w:rPr>
        <w:t>的</w:t>
      </w:r>
      <w:r>
        <w:rPr>
          <w:rFonts w:ascii="宋体" w:hAnsi="宋体" w:cs="宋体" w:eastAsia="宋体" w:hint="default"/>
          <w:w w:val="99"/>
          <w:sz w:val="16"/>
          <w:szCs w:val="16"/>
        </w:rPr>
        <w:t>企业</w:t>
      </w:r>
      <w:r>
        <w:rPr>
          <w:rFonts w:ascii="宋体" w:hAnsi="宋体" w:cs="宋体" w:eastAsia="宋体" w:hint="default"/>
          <w:spacing w:val="1"/>
          <w:w w:val="99"/>
          <w:sz w:val="16"/>
          <w:szCs w:val="16"/>
        </w:rPr>
        <w:t>合</w:t>
      </w:r>
      <w:r>
        <w:rPr>
          <w:rFonts w:ascii="宋体" w:hAnsi="宋体" w:cs="宋体" w:eastAsia="宋体" w:hint="default"/>
          <w:w w:val="99"/>
          <w:sz w:val="16"/>
          <w:szCs w:val="16"/>
        </w:rPr>
        <w:t>并</w:t>
      </w:r>
      <w:r>
        <w:rPr>
          <w:rFonts w:ascii="宋体" w:hAnsi="宋体" w:cs="宋体" w:eastAsia="宋体" w:hint="default"/>
          <w:spacing w:val="-74"/>
          <w:w w:val="99"/>
          <w:sz w:val="16"/>
          <w:szCs w:val="16"/>
        </w:rPr>
        <w:t>，</w:t>
      </w:r>
      <w:r>
        <w:rPr>
          <w:rFonts w:ascii="宋体" w:hAnsi="宋体" w:cs="宋体" w:eastAsia="宋体" w:hint="default"/>
          <w:w w:val="99"/>
          <w:sz w:val="16"/>
          <w:szCs w:val="16"/>
        </w:rPr>
        <w:t>其中</w:t>
      </w:r>
      <w:r>
        <w:rPr>
          <w:rFonts w:ascii="宋体" w:hAnsi="宋体" w:cs="宋体" w:eastAsia="宋体" w:hint="default"/>
          <w:spacing w:val="1"/>
          <w:w w:val="99"/>
          <w:sz w:val="16"/>
          <w:szCs w:val="16"/>
        </w:rPr>
        <w:t>包</w:t>
      </w:r>
      <w:r>
        <w:rPr>
          <w:rFonts w:ascii="宋体" w:hAnsi="宋体" w:cs="宋体" w:eastAsia="宋体" w:hint="default"/>
          <w:w w:val="99"/>
          <w:sz w:val="16"/>
          <w:szCs w:val="16"/>
        </w:rPr>
        <w:t>括中</w:t>
      </w:r>
      <w:r>
        <w:rPr>
          <w:rFonts w:ascii="宋体" w:hAnsi="宋体" w:cs="宋体" w:eastAsia="宋体" w:hint="default"/>
          <w:spacing w:val="1"/>
          <w:w w:val="99"/>
          <w:sz w:val="16"/>
          <w:szCs w:val="16"/>
        </w:rPr>
        <w:t>讯</w:t>
      </w:r>
      <w:r>
        <w:rPr>
          <w:rFonts w:ascii="宋体" w:hAnsi="宋体" w:cs="宋体" w:eastAsia="宋体" w:hint="default"/>
          <w:w w:val="99"/>
          <w:sz w:val="16"/>
          <w:szCs w:val="16"/>
        </w:rPr>
        <w:t>设计院</w:t>
      </w:r>
      <w:r>
        <w:rPr>
          <w:rFonts w:ascii="宋体" w:hAnsi="宋体" w:cs="宋体" w:eastAsia="宋体" w:hint="default"/>
          <w:spacing w:val="-74"/>
          <w:w w:val="99"/>
          <w:sz w:val="16"/>
          <w:szCs w:val="16"/>
        </w:rPr>
        <w:t>、</w:t>
      </w:r>
      <w:r>
        <w:rPr>
          <w:rFonts w:ascii="宋体" w:hAnsi="宋体" w:cs="宋体" w:eastAsia="宋体" w:hint="default"/>
          <w:spacing w:val="1"/>
          <w:w w:val="99"/>
          <w:sz w:val="16"/>
          <w:szCs w:val="16"/>
        </w:rPr>
        <w:t>联</w:t>
      </w:r>
      <w:r>
        <w:rPr>
          <w:rFonts w:ascii="宋体" w:hAnsi="宋体" w:cs="宋体" w:eastAsia="宋体" w:hint="default"/>
          <w:w w:val="99"/>
          <w:sz w:val="16"/>
          <w:szCs w:val="16"/>
        </w:rPr>
        <w:t>通信</w:t>
      </w:r>
      <w:r>
        <w:rPr>
          <w:rFonts w:ascii="宋体" w:hAnsi="宋体" w:cs="宋体" w:eastAsia="宋体" w:hint="default"/>
          <w:spacing w:val="1"/>
          <w:w w:val="99"/>
          <w:sz w:val="16"/>
          <w:szCs w:val="16"/>
        </w:rPr>
        <w:t>息</w:t>
      </w:r>
      <w:r>
        <w:rPr>
          <w:rFonts w:ascii="宋体" w:hAnsi="宋体" w:cs="宋体" w:eastAsia="宋体" w:hint="default"/>
          <w:w w:val="99"/>
          <w:sz w:val="16"/>
          <w:szCs w:val="16"/>
        </w:rPr>
        <w:t>导航和</w:t>
      </w:r>
      <w:r>
        <w:rPr>
          <w:rFonts w:ascii="宋体" w:hAnsi="宋体" w:cs="宋体" w:eastAsia="宋体" w:hint="default"/>
          <w:spacing w:val="1"/>
          <w:w w:val="99"/>
          <w:sz w:val="16"/>
          <w:szCs w:val="16"/>
        </w:rPr>
        <w:t>联</w:t>
      </w:r>
      <w:r>
        <w:rPr>
          <w:rFonts w:ascii="宋体" w:hAnsi="宋体" w:cs="宋体" w:eastAsia="宋体" w:hint="default"/>
          <w:w w:val="99"/>
          <w:sz w:val="16"/>
          <w:szCs w:val="16"/>
        </w:rPr>
        <w:t>通兴</w:t>
      </w:r>
      <w:r>
        <w:rPr>
          <w:rFonts w:ascii="宋体" w:hAnsi="宋体" w:cs="宋体" w:eastAsia="宋体" w:hint="default"/>
          <w:spacing w:val="1"/>
          <w:w w:val="99"/>
          <w:sz w:val="16"/>
          <w:szCs w:val="16"/>
        </w:rPr>
        <w:t>业</w:t>
      </w:r>
      <w:r>
        <w:rPr>
          <w:rFonts w:ascii="宋体" w:hAnsi="宋体" w:cs="宋体" w:eastAsia="宋体" w:hint="default"/>
          <w:w w:val="99"/>
          <w:sz w:val="16"/>
          <w:szCs w:val="16"/>
        </w:rPr>
        <w:t>的全部</w:t>
      </w:r>
      <w:r>
        <w:rPr>
          <w:rFonts w:ascii="宋体" w:hAnsi="宋体" w:cs="宋体" w:eastAsia="宋体" w:hint="default"/>
          <w:spacing w:val="1"/>
          <w:w w:val="99"/>
          <w:sz w:val="16"/>
          <w:szCs w:val="16"/>
        </w:rPr>
        <w:t>股</w:t>
      </w:r>
      <w:r>
        <w:rPr>
          <w:rFonts w:ascii="宋体" w:hAnsi="宋体" w:cs="宋体" w:eastAsia="宋体" w:hint="default"/>
          <w:w w:val="99"/>
          <w:sz w:val="16"/>
          <w:szCs w:val="16"/>
        </w:rPr>
        <w:t>权</w:t>
      </w:r>
      <w:r>
        <w:rPr>
          <w:rFonts w:ascii="宋体" w:hAnsi="宋体" w:cs="宋体" w:eastAsia="宋体" w:hint="default"/>
          <w:spacing w:val="-74"/>
          <w:w w:val="99"/>
          <w:sz w:val="16"/>
          <w:szCs w:val="16"/>
        </w:rPr>
        <w:t>，</w:t>
      </w:r>
      <w:r>
        <w:rPr>
          <w:rFonts w:ascii="宋体" w:hAnsi="宋体" w:cs="宋体" w:eastAsia="宋体" w:hint="default"/>
          <w:w w:val="99"/>
          <w:sz w:val="16"/>
          <w:szCs w:val="16"/>
        </w:rPr>
        <w:t>此</w:t>
      </w:r>
      <w:r>
        <w:rPr>
          <w:rFonts w:ascii="宋体" w:hAnsi="宋体" w:cs="宋体" w:eastAsia="宋体" w:hint="default"/>
          <w:spacing w:val="1"/>
          <w:w w:val="99"/>
          <w:sz w:val="16"/>
          <w:szCs w:val="16"/>
        </w:rPr>
        <w:t>收</w:t>
      </w:r>
      <w:r>
        <w:rPr>
          <w:rFonts w:ascii="宋体" w:hAnsi="宋体" w:cs="宋体" w:eastAsia="宋体" w:hint="default"/>
          <w:w w:val="99"/>
          <w:sz w:val="16"/>
          <w:szCs w:val="16"/>
        </w:rPr>
        <w:t>购的总</w:t>
      </w:r>
      <w:r>
        <w:rPr>
          <w:rFonts w:ascii="宋体" w:hAnsi="宋体" w:cs="宋体" w:eastAsia="宋体" w:hint="default"/>
          <w:spacing w:val="1"/>
          <w:w w:val="99"/>
          <w:sz w:val="16"/>
          <w:szCs w:val="16"/>
        </w:rPr>
        <w:t>对</w:t>
      </w:r>
      <w:r>
        <w:rPr>
          <w:rFonts w:ascii="宋体" w:hAnsi="宋体" w:cs="宋体" w:eastAsia="宋体" w:hint="default"/>
          <w:w w:val="99"/>
          <w:sz w:val="16"/>
          <w:szCs w:val="16"/>
        </w:rPr>
        <w:t>价调</w:t>
      </w:r>
      <w:r>
        <w:rPr>
          <w:rFonts w:ascii="宋体" w:hAnsi="宋体" w:cs="宋体" w:eastAsia="宋体" w:hint="default"/>
          <w:spacing w:val="1"/>
          <w:w w:val="99"/>
          <w:sz w:val="16"/>
          <w:szCs w:val="16"/>
        </w:rPr>
        <w:t>整</w:t>
      </w:r>
      <w:r>
        <w:rPr>
          <w:rFonts w:ascii="宋体" w:hAnsi="宋体" w:cs="宋体" w:eastAsia="宋体" w:hint="default"/>
          <w:w w:val="99"/>
          <w:sz w:val="16"/>
          <w:szCs w:val="16"/>
        </w:rPr>
        <w:t>后约为</w:t>
      </w:r>
      <w:r>
        <w:rPr>
          <w:rFonts w:ascii="宋体" w:hAnsi="宋体" w:cs="宋体" w:eastAsia="宋体" w:hint="default"/>
          <w:spacing w:val="1"/>
          <w:w w:val="99"/>
          <w:sz w:val="16"/>
          <w:szCs w:val="16"/>
        </w:rPr>
        <w:t>人</w:t>
      </w:r>
      <w:r>
        <w:rPr>
          <w:rFonts w:ascii="宋体" w:hAnsi="宋体" w:cs="宋体" w:eastAsia="宋体" w:hint="default"/>
          <w:w w:val="99"/>
          <w:sz w:val="16"/>
          <w:szCs w:val="16"/>
        </w:rPr>
        <w:t>民币</w:t>
      </w:r>
      <w:r>
        <w:rPr>
          <w:rFonts w:ascii="宋体" w:hAnsi="宋体" w:cs="宋体" w:eastAsia="宋体" w:hint="default"/>
          <w:spacing w:val="-41"/>
          <w:sz w:val="16"/>
          <w:szCs w:val="16"/>
        </w:rPr>
        <w:t> </w:t>
      </w:r>
      <w:r>
        <w:rPr>
          <w:rFonts w:ascii="Arial" w:hAnsi="Arial" w:cs="Arial" w:eastAsia="Arial" w:hint="default"/>
          <w:spacing w:val="1"/>
          <w:w w:val="99"/>
          <w:sz w:val="16"/>
          <w:szCs w:val="16"/>
        </w:rPr>
        <w:t>3</w:t>
      </w:r>
      <w:r>
        <w:rPr>
          <w:rFonts w:ascii="Arial" w:hAnsi="Arial" w:cs="Arial" w:eastAsia="Arial" w:hint="default"/>
          <w:w w:val="99"/>
          <w:sz w:val="16"/>
          <w:szCs w:val="16"/>
        </w:rPr>
        <w:t>8</w:t>
      </w:r>
      <w:r>
        <w:rPr>
          <w:rFonts w:ascii="Arial" w:hAnsi="Arial" w:cs="Arial" w:eastAsia="Arial" w:hint="default"/>
          <w:spacing w:val="2"/>
          <w:w w:val="99"/>
          <w:sz w:val="16"/>
          <w:szCs w:val="16"/>
        </w:rPr>
        <w:t>.</w:t>
      </w:r>
      <w:r>
        <w:rPr>
          <w:rFonts w:ascii="Arial" w:hAnsi="Arial" w:cs="Arial" w:eastAsia="Arial" w:hint="default"/>
          <w:spacing w:val="1"/>
          <w:w w:val="99"/>
          <w:sz w:val="16"/>
          <w:szCs w:val="16"/>
        </w:rPr>
        <w:t>9</w:t>
      </w:r>
      <w:r>
        <w:rPr>
          <w:rFonts w:ascii="Arial" w:hAnsi="Arial" w:cs="Arial" w:eastAsia="Arial" w:hint="default"/>
          <w:w w:val="99"/>
          <w:sz w:val="16"/>
          <w:szCs w:val="16"/>
        </w:rPr>
        <w:t>5</w:t>
      </w:r>
      <w:r>
        <w:rPr>
          <w:rFonts w:ascii="Arial" w:hAnsi="Arial" w:cs="Arial" w:eastAsia="Arial" w:hint="default"/>
          <w:sz w:val="16"/>
          <w:szCs w:val="16"/>
        </w:rPr>
      </w:r>
    </w:p>
    <w:p>
      <w:pPr>
        <w:spacing w:line="203" w:lineRule="exact" w:before="0"/>
        <w:ind w:left="1115" w:right="0" w:firstLine="0"/>
        <w:jc w:val="left"/>
        <w:rPr>
          <w:rFonts w:ascii="宋体" w:hAnsi="宋体" w:cs="宋体" w:eastAsia="宋体" w:hint="default"/>
          <w:sz w:val="16"/>
          <w:szCs w:val="16"/>
        </w:rPr>
      </w:pPr>
      <w:r>
        <w:rPr>
          <w:rFonts w:ascii="宋体" w:hAnsi="宋体" w:cs="宋体" w:eastAsia="宋体" w:hint="default"/>
          <w:sz w:val="16"/>
          <w:szCs w:val="16"/>
        </w:rPr>
        <w:t>亿元。</w:t>
      </w:r>
    </w:p>
    <w:p>
      <w:pPr>
        <w:spacing w:after="0" w:line="203" w:lineRule="exact"/>
        <w:jc w:val="left"/>
        <w:rPr>
          <w:rFonts w:ascii="宋体" w:hAnsi="宋体" w:cs="宋体" w:eastAsia="宋体" w:hint="default"/>
          <w:sz w:val="16"/>
          <w:szCs w:val="16"/>
        </w:rPr>
        <w:sectPr>
          <w:footerReference w:type="default" r:id="rId75"/>
          <w:pgSz w:w="16840" w:h="11900" w:orient="landscape"/>
          <w:pgMar w:footer="585" w:header="1189" w:top="3560" w:bottom="780" w:left="460" w:right="1060"/>
        </w:sectPr>
      </w:pPr>
    </w:p>
    <w:p>
      <w:pPr>
        <w:spacing w:line="240" w:lineRule="auto" w:before="12"/>
        <w:rPr>
          <w:rFonts w:ascii="宋体" w:hAnsi="宋体" w:cs="宋体" w:eastAsia="宋体" w:hint="default"/>
          <w:sz w:val="14"/>
          <w:szCs w:val="14"/>
        </w:rPr>
      </w:pPr>
    </w:p>
    <w:p>
      <w:pPr>
        <w:pStyle w:val="BodyText"/>
        <w:spacing w:line="240" w:lineRule="auto" w:before="31"/>
        <w:ind w:left="526" w:right="0"/>
        <w:jc w:val="both"/>
      </w:pPr>
      <w:r>
        <w:rPr/>
        <w:t>注释：</w:t>
      </w:r>
    </w:p>
    <w:p>
      <w:pPr>
        <w:spacing w:line="240" w:lineRule="auto" w:before="2"/>
        <w:rPr>
          <w:rFonts w:ascii="宋体" w:hAnsi="宋体" w:cs="宋体" w:eastAsia="宋体" w:hint="default"/>
          <w:sz w:val="16"/>
          <w:szCs w:val="16"/>
        </w:rPr>
      </w:pPr>
    </w:p>
    <w:p>
      <w:pPr>
        <w:pStyle w:val="BodyText"/>
        <w:spacing w:line="232" w:lineRule="auto"/>
        <w:ind w:left="525" w:right="101" w:hanging="420"/>
        <w:jc w:val="both"/>
      </w:pPr>
      <w:r>
        <w:rPr>
          <w:rFonts w:ascii="Arial" w:hAnsi="Arial" w:cs="Arial" w:eastAsia="Arial" w:hint="default"/>
        </w:rPr>
        <w:t>(1)</w:t>
      </w:r>
      <w:r>
        <w:rPr>
          <w:rFonts w:ascii="Arial" w:hAnsi="Arial" w:cs="Arial" w:eastAsia="Arial" w:hint="default"/>
          <w:spacing w:val="28"/>
        </w:rPr>
        <w:t> </w:t>
      </w:r>
      <w:r>
        <w:rPr/>
        <w:t>联通红筹公司是于</w:t>
      </w:r>
      <w:r>
        <w:rPr>
          <w:spacing w:val="-43"/>
        </w:rPr>
        <w:t> </w:t>
      </w:r>
      <w:r>
        <w:rPr>
          <w:rFonts w:ascii="Arial" w:hAnsi="Arial" w:cs="Arial" w:eastAsia="Arial" w:hint="default"/>
        </w:rPr>
        <w:t>2000</w:t>
      </w:r>
      <w:r>
        <w:rPr>
          <w:rFonts w:ascii="Arial" w:hAnsi="Arial" w:cs="Arial" w:eastAsia="Arial" w:hint="default"/>
          <w:spacing w:val="6"/>
        </w:rPr>
        <w:t> </w:t>
      </w:r>
      <w:r>
        <w:rPr/>
        <w:t>年</w:t>
      </w:r>
      <w:r>
        <w:rPr>
          <w:spacing w:val="-42"/>
        </w:rPr>
        <w:t> </w:t>
      </w:r>
      <w:r>
        <w:rPr>
          <w:rFonts w:ascii="Arial" w:hAnsi="Arial" w:cs="Arial" w:eastAsia="Arial" w:hint="default"/>
        </w:rPr>
        <w:t>2</w:t>
      </w:r>
      <w:r>
        <w:rPr>
          <w:rFonts w:ascii="Arial" w:hAnsi="Arial" w:cs="Arial" w:eastAsia="Arial" w:hint="default"/>
          <w:spacing w:val="6"/>
        </w:rPr>
        <w:t> </w:t>
      </w:r>
      <w:r>
        <w:rPr/>
        <w:t>月</w:t>
      </w:r>
      <w:r>
        <w:rPr>
          <w:spacing w:val="-42"/>
        </w:rPr>
        <w:t> </w:t>
      </w:r>
      <w:r>
        <w:rPr>
          <w:rFonts w:ascii="Arial" w:hAnsi="Arial" w:cs="Arial" w:eastAsia="Arial" w:hint="default"/>
        </w:rPr>
        <w:t>8</w:t>
      </w:r>
      <w:r>
        <w:rPr>
          <w:rFonts w:ascii="Arial" w:hAnsi="Arial" w:cs="Arial" w:eastAsia="Arial" w:hint="default"/>
          <w:spacing w:val="7"/>
        </w:rPr>
        <w:t> </w:t>
      </w:r>
      <w:r>
        <w:rPr/>
        <w:t>日在香港注册成立的有限责任公司，主营业务为投资控股，</w:t>
      </w:r>
      <w:r>
        <w:rPr>
          <w:w w:val="99"/>
        </w:rPr>
        <w:t> </w:t>
      </w:r>
      <w:r>
        <w:rPr/>
        <w:t>目前其通过在中国境内全资拥有的联通运营公司提供移动电话、本地固定电话、长途电话、数</w:t>
      </w:r>
      <w:r>
        <w:rPr>
          <w:spacing w:val="1"/>
          <w:w w:val="99"/>
        </w:rPr>
        <w:t> </w:t>
      </w:r>
      <w:r>
        <w:rPr/>
        <w:t>据和互联网及宽带等电信业务。联通红筹公司的股票分别在香港和纽约证券交易所上市。除联</w:t>
      </w:r>
      <w:r>
        <w:rPr>
          <w:spacing w:val="1"/>
          <w:w w:val="99"/>
        </w:rPr>
        <w:t> </w:t>
      </w:r>
      <w:r>
        <w:rPr/>
        <w:t>通运营公司外，联通红筹公司还于 </w:t>
      </w:r>
      <w:r>
        <w:rPr>
          <w:rFonts w:ascii="Arial" w:hAnsi="Arial" w:cs="Arial" w:eastAsia="Arial" w:hint="default"/>
        </w:rPr>
        <w:t>2004 </w:t>
      </w:r>
      <w:r>
        <w:rPr/>
        <w:t>年 </w:t>
      </w:r>
      <w:r>
        <w:rPr>
          <w:rFonts w:ascii="Arial" w:hAnsi="Arial" w:cs="Arial" w:eastAsia="Arial" w:hint="default"/>
        </w:rPr>
        <w:t>9</w:t>
      </w:r>
      <w:r>
        <w:rPr>
          <w:rFonts w:ascii="Arial" w:hAnsi="Arial" w:cs="Arial" w:eastAsia="Arial" w:hint="default"/>
          <w:spacing w:val="-30"/>
        </w:rPr>
        <w:t> </w:t>
      </w:r>
      <w:r>
        <w:rPr/>
        <w:t>月在同一控制下收购了联通集团在香港的子公司</w:t>
      </w:r>
      <w:r>
        <w:rPr>
          <w:w w:val="99"/>
        </w:rPr>
        <w:t> </w:t>
      </w:r>
      <w:r>
        <w:rPr/>
        <w:t>中国联通（香港）运营有限公司（“联通香港运营”）及联通香港运营的子公司中国联通（美</w:t>
      </w:r>
      <w:r>
        <w:rPr>
          <w:spacing w:val="1"/>
          <w:w w:val="99"/>
        </w:rPr>
        <w:t> </w:t>
      </w:r>
      <w:r>
        <w:rPr/>
        <w:t>洲）运营有限公司（“联通美洲运营”），并通过这两家公司提供境外电信服务。</w:t>
      </w:r>
    </w:p>
    <w:p>
      <w:pPr>
        <w:spacing w:line="240" w:lineRule="auto" w:before="7"/>
        <w:rPr>
          <w:rFonts w:ascii="宋体" w:hAnsi="宋体" w:cs="宋体" w:eastAsia="宋体" w:hint="default"/>
          <w:sz w:val="21"/>
          <w:szCs w:val="21"/>
        </w:rPr>
      </w:pPr>
    </w:p>
    <w:p>
      <w:pPr>
        <w:pStyle w:val="BodyText"/>
        <w:spacing w:line="284" w:lineRule="exact"/>
        <w:ind w:left="525" w:right="102"/>
        <w:jc w:val="both"/>
      </w:pPr>
      <w:r>
        <w:rPr/>
        <w:t>亿迅投资有限公司（“亿迅公司”）是联通红筹公司于</w:t>
      </w:r>
      <w:r>
        <w:rPr>
          <w:spacing w:val="-63"/>
        </w:rPr>
        <w:t> </w:t>
      </w:r>
      <w:r>
        <w:rPr>
          <w:rFonts w:ascii="Arial" w:hAnsi="Arial" w:cs="Arial" w:eastAsia="Arial" w:hint="default"/>
        </w:rPr>
        <w:t>2007</w:t>
      </w:r>
      <w:r>
        <w:rPr>
          <w:rFonts w:ascii="Arial" w:hAnsi="Arial" w:cs="Arial" w:eastAsia="Arial" w:hint="default"/>
          <w:spacing w:val="-14"/>
        </w:rPr>
        <w:t> </w:t>
      </w:r>
      <w:r>
        <w:rPr/>
        <w:t>年</w:t>
      </w:r>
      <w:r>
        <w:rPr>
          <w:spacing w:val="-63"/>
        </w:rPr>
        <w:t> </w:t>
      </w:r>
      <w:r>
        <w:rPr>
          <w:rFonts w:ascii="Arial" w:hAnsi="Arial" w:cs="Arial" w:eastAsia="Arial" w:hint="default"/>
        </w:rPr>
        <w:t>8</w:t>
      </w:r>
      <w:r>
        <w:rPr>
          <w:rFonts w:ascii="Arial" w:hAnsi="Arial" w:cs="Arial" w:eastAsia="Arial" w:hint="default"/>
          <w:spacing w:val="-14"/>
        </w:rPr>
        <w:t> </w:t>
      </w:r>
      <w:r>
        <w:rPr/>
        <w:t>月</w:t>
      </w:r>
      <w:r>
        <w:rPr>
          <w:spacing w:val="-63"/>
        </w:rPr>
        <w:t> </w:t>
      </w:r>
      <w:r>
        <w:rPr>
          <w:rFonts w:ascii="Arial" w:hAnsi="Arial" w:cs="Arial" w:eastAsia="Arial" w:hint="default"/>
        </w:rPr>
        <w:t>15</w:t>
      </w:r>
      <w:r>
        <w:rPr>
          <w:rFonts w:ascii="Arial" w:hAnsi="Arial" w:cs="Arial" w:eastAsia="Arial" w:hint="default"/>
          <w:spacing w:val="-14"/>
        </w:rPr>
        <w:t> </w:t>
      </w:r>
      <w:r>
        <w:rPr/>
        <w:t>日根据英属维尔京群岛</w:t>
      </w:r>
      <w:r>
        <w:rPr>
          <w:w w:val="99"/>
        </w:rPr>
        <w:t> </w:t>
      </w:r>
      <w:r>
        <w:rPr/>
        <w:t>法律注册成立的有限公司，为联通红筹公司的全资附属公司，目前的主营业务为投资及融资。</w:t>
      </w:r>
    </w:p>
    <w:p>
      <w:pPr>
        <w:spacing w:line="240" w:lineRule="auto" w:before="8"/>
        <w:rPr>
          <w:rFonts w:ascii="宋体" w:hAnsi="宋体" w:cs="宋体" w:eastAsia="宋体" w:hint="default"/>
          <w:sz w:val="17"/>
          <w:szCs w:val="17"/>
        </w:rPr>
      </w:pPr>
    </w:p>
    <w:p>
      <w:pPr>
        <w:pStyle w:val="BodyText"/>
        <w:spacing w:line="235" w:lineRule="auto"/>
        <w:ind w:left="525" w:right="101"/>
        <w:jc w:val="both"/>
      </w:pPr>
      <w:r>
        <w:rPr/>
        <w:t>联通红筹公司于</w:t>
      </w:r>
      <w:r>
        <w:rPr>
          <w:spacing w:val="-47"/>
        </w:rPr>
        <w:t> </w:t>
      </w:r>
      <w:r>
        <w:rPr>
          <w:rFonts w:ascii="Arial" w:hAnsi="Arial" w:cs="Arial" w:eastAsia="Arial" w:hint="default"/>
        </w:rPr>
        <w:t>2008</w:t>
      </w:r>
      <w:r>
        <w:rPr>
          <w:rFonts w:ascii="Arial" w:hAnsi="Arial" w:cs="Arial" w:eastAsia="Arial" w:hint="default"/>
          <w:spacing w:val="4"/>
        </w:rPr>
        <w:t> </w:t>
      </w:r>
      <w:r>
        <w:rPr/>
        <w:t>年</w:t>
      </w:r>
      <w:r>
        <w:rPr>
          <w:spacing w:val="-47"/>
        </w:rPr>
        <w:t> </w:t>
      </w:r>
      <w:r>
        <w:rPr>
          <w:rFonts w:ascii="Arial" w:hAnsi="Arial" w:cs="Arial" w:eastAsia="Arial" w:hint="default"/>
        </w:rPr>
        <w:t>10</w:t>
      </w:r>
      <w:r>
        <w:rPr>
          <w:rFonts w:ascii="Arial" w:hAnsi="Arial" w:cs="Arial" w:eastAsia="Arial" w:hint="default"/>
          <w:spacing w:val="3"/>
        </w:rPr>
        <w:t> </w:t>
      </w:r>
      <w:r>
        <w:rPr/>
        <w:t>月</w:t>
      </w:r>
      <w:r>
        <w:rPr>
          <w:spacing w:val="-47"/>
        </w:rPr>
        <w:t> </w:t>
      </w:r>
      <w:r>
        <w:rPr>
          <w:rFonts w:ascii="Arial" w:hAnsi="Arial" w:cs="Arial" w:eastAsia="Arial" w:hint="default"/>
        </w:rPr>
        <w:t>15</w:t>
      </w:r>
      <w:r>
        <w:rPr>
          <w:rFonts w:ascii="Arial" w:hAnsi="Arial" w:cs="Arial" w:eastAsia="Arial" w:hint="default"/>
          <w:spacing w:val="4"/>
        </w:rPr>
        <w:t> </w:t>
      </w:r>
      <w:r>
        <w:rPr/>
        <w:t>日完成了与网通红筹公司的合并。网通红筹公司原通过其在</w:t>
      </w:r>
      <w:r>
        <w:rPr>
          <w:w w:val="99"/>
        </w:rPr>
        <w:t> </w:t>
      </w:r>
      <w:r>
        <w:rPr/>
        <w:t>中国境内全资拥有的中国网通（集团）有限公司（“网通运营公司”）提供本地固定电话、长</w:t>
      </w:r>
      <w:r>
        <w:rPr>
          <w:spacing w:val="-71"/>
        </w:rPr>
        <w:t> </w:t>
      </w:r>
      <w:r>
        <w:rPr>
          <w:spacing w:val="-71"/>
        </w:rPr>
      </w:r>
      <w:r>
        <w:rPr/>
        <w:t>途电话、数据和互联网及宽带等电信业务。同时，网通红筹公司还通过其在百慕大群岛设立的</w:t>
      </w:r>
      <w:r>
        <w:rPr>
          <w:spacing w:val="-71"/>
        </w:rPr>
        <w:t> </w:t>
      </w:r>
      <w:r>
        <w:rPr>
          <w:spacing w:val="-71"/>
        </w:rPr>
      </w:r>
      <w:r>
        <w:rPr>
          <w:spacing w:val="-5"/>
        </w:rPr>
        <w:t>全资子公司中国网通国际有限公司（“网通国际”）持有中国网通（香港）运营有限公司（“网</w:t>
      </w:r>
      <w:r>
        <w:rPr>
          <w:spacing w:val="-79"/>
        </w:rPr>
        <w:t> </w:t>
      </w:r>
      <w:r>
        <w:rPr>
          <w:spacing w:val="-79"/>
        </w:rPr>
      </w:r>
      <w:r>
        <w:rPr/>
        <w:t>通香港运营”）、中国网通（美国）运营有限公司（“网通美国运营”）、中国联通（欧洲）</w:t>
      </w:r>
      <w:r>
        <w:rPr>
          <w:spacing w:val="-71"/>
        </w:rPr>
        <w:t> </w:t>
      </w:r>
      <w:r>
        <w:rPr>
          <w:spacing w:val="-71"/>
        </w:rPr>
      </w:r>
      <w:r>
        <w:rPr/>
        <w:t>运营有限公司（“联通欧洲运营”，原名为中国网通（欧洲）运营有限公司，于</w:t>
      </w:r>
      <w:r>
        <w:rPr>
          <w:spacing w:val="-63"/>
        </w:rPr>
        <w:t> </w:t>
      </w:r>
      <w:r>
        <w:rPr>
          <w:rFonts w:ascii="Arial" w:hAnsi="Arial" w:cs="Arial" w:eastAsia="Arial" w:hint="default"/>
        </w:rPr>
        <w:t>2009</w:t>
      </w:r>
      <w:r>
        <w:rPr>
          <w:rFonts w:ascii="Arial" w:hAnsi="Arial" w:cs="Arial" w:eastAsia="Arial" w:hint="default"/>
          <w:spacing w:val="-15"/>
        </w:rPr>
        <w:t> </w:t>
      </w:r>
      <w:r>
        <w:rPr/>
        <w:t>年</w:t>
      </w:r>
      <w:r>
        <w:rPr>
          <w:spacing w:val="-64"/>
        </w:rPr>
        <w:t> </w:t>
      </w:r>
      <w:r>
        <w:rPr>
          <w:rFonts w:ascii="Arial" w:hAnsi="Arial" w:cs="Arial" w:eastAsia="Arial" w:hint="default"/>
        </w:rPr>
        <w:t>12</w:t>
      </w:r>
      <w:r>
        <w:rPr>
          <w:rFonts w:ascii="Arial" w:hAnsi="Arial" w:cs="Arial" w:eastAsia="Arial" w:hint="default"/>
          <w:spacing w:val="-15"/>
        </w:rPr>
        <w:t> </w:t>
      </w:r>
      <w:r>
        <w:rPr/>
        <w:t>月</w:t>
      </w:r>
    </w:p>
    <w:p>
      <w:pPr>
        <w:pStyle w:val="BodyText"/>
        <w:spacing w:line="277" w:lineRule="exact"/>
        <w:ind w:left="525" w:right="0"/>
        <w:jc w:val="both"/>
      </w:pPr>
      <w:r>
        <w:rPr>
          <w:rFonts w:ascii="Arial" w:hAnsi="Arial" w:cs="Arial" w:eastAsia="Arial" w:hint="default"/>
        </w:rPr>
        <w:t>11</w:t>
      </w:r>
      <w:r>
        <w:rPr>
          <w:rFonts w:ascii="Arial" w:hAnsi="Arial" w:cs="Arial" w:eastAsia="Arial" w:hint="default"/>
          <w:spacing w:val="-43"/>
        </w:rPr>
        <w:t> </w:t>
      </w:r>
      <w:r>
        <w:rPr/>
        <w:t>日进行了公司名称变更）和中国联通（日本）运营有限公司（“联通日本运营”，原名为中</w:t>
      </w:r>
    </w:p>
    <w:p>
      <w:pPr>
        <w:pStyle w:val="BodyText"/>
        <w:spacing w:line="285" w:lineRule="exact"/>
        <w:ind w:left="525" w:right="0"/>
        <w:jc w:val="both"/>
        <w:rPr>
          <w:rFonts w:ascii="Arial" w:hAnsi="Arial" w:cs="Arial" w:eastAsia="Arial" w:hint="default"/>
        </w:rPr>
      </w:pPr>
      <w:r>
        <w:rPr>
          <w:spacing w:val="-16"/>
        </w:rPr>
        <w:t>国网通（日本）运营有限公司，于</w:t>
      </w:r>
      <w:r>
        <w:rPr>
          <w:spacing w:val="-54"/>
        </w:rPr>
        <w:t> </w:t>
      </w:r>
      <w:r>
        <w:rPr>
          <w:rFonts w:ascii="Arial" w:hAnsi="Arial" w:cs="Arial" w:eastAsia="Arial" w:hint="default"/>
        </w:rPr>
        <w:t>2010</w:t>
      </w:r>
      <w:r>
        <w:rPr>
          <w:rFonts w:ascii="Arial" w:hAnsi="Arial" w:cs="Arial" w:eastAsia="Arial" w:hint="default"/>
          <w:spacing w:val="-5"/>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4"/>
        </w:rPr>
        <w:t> </w:t>
      </w:r>
      <w:r>
        <w:rPr>
          <w:rFonts w:ascii="Arial" w:hAnsi="Arial" w:cs="Arial" w:eastAsia="Arial" w:hint="default"/>
        </w:rPr>
        <w:t>1</w:t>
      </w:r>
      <w:r>
        <w:rPr>
          <w:rFonts w:ascii="Arial" w:hAnsi="Arial" w:cs="Arial" w:eastAsia="Arial" w:hint="default"/>
          <w:spacing w:val="-5"/>
        </w:rPr>
        <w:t> </w:t>
      </w:r>
      <w:r>
        <w:rPr>
          <w:spacing w:val="-5"/>
        </w:rPr>
        <w:t>日进行了公司名称变更）四家海外子公司</w:t>
      </w:r>
      <w:r>
        <w:rPr>
          <w:spacing w:val="-54"/>
        </w:rPr>
        <w:t> </w:t>
      </w:r>
      <w:r>
        <w:rPr>
          <w:rFonts w:ascii="Arial" w:hAnsi="Arial" w:cs="Arial" w:eastAsia="Arial" w:hint="default"/>
        </w:rPr>
        <w:t>100%</w:t>
      </w:r>
    </w:p>
    <w:p>
      <w:pPr>
        <w:pStyle w:val="BodyText"/>
        <w:spacing w:line="279" w:lineRule="exact"/>
        <w:ind w:left="525" w:right="0"/>
        <w:jc w:val="both"/>
      </w:pPr>
      <w:r>
        <w:rPr/>
        <w:t>的股权，并在这些运营公司所在地提供电信服务。</w:t>
      </w:r>
    </w:p>
    <w:p>
      <w:pPr>
        <w:spacing w:line="240" w:lineRule="auto" w:before="10"/>
        <w:rPr>
          <w:rFonts w:ascii="宋体" w:hAnsi="宋体" w:cs="宋体" w:eastAsia="宋体" w:hint="default"/>
          <w:sz w:val="19"/>
          <w:szCs w:val="19"/>
        </w:rPr>
      </w:pPr>
    </w:p>
    <w:p>
      <w:pPr>
        <w:pStyle w:val="BodyText"/>
        <w:spacing w:line="232" w:lineRule="auto"/>
        <w:ind w:left="526" w:right="101" w:hanging="1"/>
        <w:jc w:val="both"/>
      </w:pPr>
      <w:r>
        <w:rPr/>
        <w:t>于 </w:t>
      </w:r>
      <w:r>
        <w:rPr>
          <w:rFonts w:ascii="Arial" w:hAnsi="Arial" w:cs="Arial" w:eastAsia="Arial" w:hint="default"/>
        </w:rPr>
        <w:t>2009</w:t>
      </w:r>
      <w:r>
        <w:rPr>
          <w:rFonts w:ascii="Arial" w:hAnsi="Arial" w:cs="Arial" w:eastAsia="Arial" w:hint="default"/>
          <w:spacing w:val="44"/>
        </w:rPr>
        <w:t> </w:t>
      </w:r>
      <w:r>
        <w:rPr/>
        <w:t>年度，根据联通红筹公司和网通国际、网通红筹公司的协议，网通国际将其对网通美</w:t>
      </w:r>
      <w:r>
        <w:rPr>
          <w:w w:val="99"/>
        </w:rPr>
        <w:t> </w:t>
      </w:r>
      <w:r>
        <w:rPr/>
        <w:t>国运营、联通欧洲运营和联通日本运营的全部股权转让予联通红筹公司。同时，网通国际还将</w:t>
      </w:r>
      <w:r>
        <w:rPr>
          <w:spacing w:val="-72"/>
        </w:rPr>
        <w:t> </w:t>
      </w:r>
      <w:r>
        <w:rPr>
          <w:spacing w:val="-72"/>
        </w:rPr>
      </w:r>
      <w:r>
        <w:rPr/>
        <w:t>其持有的网通香港运营的全部资产及业务转让予联通香港运营，交易完成后，网通香港运营将</w:t>
      </w:r>
      <w:r>
        <w:rPr>
          <w:spacing w:val="-72"/>
        </w:rPr>
        <w:t> </w:t>
      </w:r>
      <w:r>
        <w:rPr>
          <w:spacing w:val="-72"/>
        </w:rPr>
      </w:r>
      <w:r>
        <w:rPr/>
        <w:t>被注销，该交易已于</w:t>
      </w:r>
      <w:r>
        <w:rPr>
          <w:spacing w:val="-57"/>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w:t>
      </w:r>
      <w:r>
        <w:rPr>
          <w:spacing w:val="-57"/>
        </w:rPr>
        <w:t> </w:t>
      </w:r>
      <w:r>
        <w:rPr>
          <w:rFonts w:ascii="Arial" w:hAnsi="Arial" w:cs="Arial" w:eastAsia="Arial" w:hint="default"/>
        </w:rPr>
        <w:t>22</w:t>
      </w:r>
      <w:r>
        <w:rPr>
          <w:rFonts w:ascii="Arial" w:hAnsi="Arial" w:cs="Arial" w:eastAsia="Arial" w:hint="default"/>
          <w:spacing w:val="-8"/>
        </w:rPr>
        <w:t> </w:t>
      </w:r>
      <w:r>
        <w:rPr/>
        <w:t>日获得香港电讯管理局（</w:t>
      </w:r>
      <w:r>
        <w:rPr>
          <w:rFonts w:ascii="Arial" w:hAnsi="Arial" w:cs="Arial" w:eastAsia="Arial" w:hint="default"/>
        </w:rPr>
        <w:t>OFTA</w:t>
      </w:r>
      <w:r>
        <w:rPr/>
        <w:t>）的批准并生效。</w:t>
      </w:r>
    </w:p>
    <w:p>
      <w:pPr>
        <w:spacing w:line="240" w:lineRule="auto" w:before="2"/>
        <w:rPr>
          <w:rFonts w:ascii="宋体" w:hAnsi="宋体" w:cs="宋体" w:eastAsia="宋体" w:hint="default"/>
          <w:sz w:val="20"/>
          <w:szCs w:val="20"/>
        </w:rPr>
      </w:pPr>
    </w:p>
    <w:p>
      <w:pPr>
        <w:pStyle w:val="BodyText"/>
        <w:spacing w:line="286" w:lineRule="exact"/>
        <w:ind w:left="526" w:right="186" w:hanging="1"/>
        <w:jc w:val="both"/>
      </w:pPr>
      <w:r>
        <w:rPr/>
        <w:t>于</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8</w:t>
      </w:r>
      <w:r>
        <w:rPr>
          <w:rFonts w:ascii="Arial" w:hAnsi="Arial" w:cs="Arial" w:eastAsia="Arial" w:hint="default"/>
          <w:spacing w:val="-7"/>
        </w:rPr>
        <w:t> </w:t>
      </w:r>
      <w:r>
        <w:rPr/>
        <w:t>月</w:t>
      </w:r>
      <w:r>
        <w:rPr>
          <w:spacing w:val="-56"/>
        </w:rPr>
        <w:t> </w:t>
      </w:r>
      <w:r>
        <w:rPr>
          <w:rFonts w:ascii="Arial" w:hAnsi="Arial" w:cs="Arial" w:eastAsia="Arial" w:hint="default"/>
        </w:rPr>
        <w:t>5</w:t>
      </w:r>
      <w:r>
        <w:rPr>
          <w:rFonts w:ascii="Arial" w:hAnsi="Arial" w:cs="Arial" w:eastAsia="Arial" w:hint="default"/>
          <w:spacing w:val="-7"/>
        </w:rPr>
        <w:t> </w:t>
      </w:r>
      <w:r>
        <w:rPr/>
        <w:t>日，联通红筹公司出资设立中国联通（新加坡）运营有限公司（“联通新加</w:t>
      </w:r>
      <w:r>
        <w:rPr>
          <w:w w:val="99"/>
        </w:rPr>
        <w:t> </w:t>
      </w:r>
      <w:r>
        <w:rPr/>
        <w:t>坡运营”）。联通新加坡运营在其机构所在地提供电信服务。</w:t>
      </w:r>
    </w:p>
    <w:p>
      <w:pPr>
        <w:spacing w:line="240" w:lineRule="auto" w:before="4"/>
        <w:rPr>
          <w:rFonts w:ascii="宋体" w:hAnsi="宋体" w:cs="宋体" w:eastAsia="宋体" w:hint="default"/>
          <w:sz w:val="19"/>
          <w:szCs w:val="19"/>
        </w:rPr>
      </w:pPr>
    </w:p>
    <w:p>
      <w:pPr>
        <w:pStyle w:val="BodyText"/>
        <w:spacing w:line="286" w:lineRule="exact"/>
        <w:ind w:left="526" w:right="102" w:hanging="1"/>
        <w:jc w:val="both"/>
      </w:pPr>
      <w:r>
        <w:rPr/>
        <w:t>于</w:t>
      </w:r>
      <w:r>
        <w:rPr>
          <w:spacing w:val="-63"/>
        </w:rPr>
        <w:t> </w:t>
      </w:r>
      <w:r>
        <w:rPr>
          <w:rFonts w:ascii="Arial" w:hAnsi="Arial" w:cs="Arial" w:eastAsia="Arial" w:hint="default"/>
        </w:rPr>
        <w:t>2009</w:t>
      </w:r>
      <w:r>
        <w:rPr>
          <w:rFonts w:ascii="Arial" w:hAnsi="Arial" w:cs="Arial" w:eastAsia="Arial" w:hint="default"/>
          <w:spacing w:val="-14"/>
        </w:rPr>
        <w:t> </w:t>
      </w:r>
      <w:r>
        <w:rPr/>
        <w:t>年</w:t>
      </w:r>
      <w:r>
        <w:rPr>
          <w:spacing w:val="-63"/>
        </w:rPr>
        <w:t> </w:t>
      </w:r>
      <w:r>
        <w:rPr>
          <w:rFonts w:ascii="Arial" w:hAnsi="Arial" w:cs="Arial" w:eastAsia="Arial" w:hint="default"/>
        </w:rPr>
        <w:t>8</w:t>
      </w:r>
      <w:r>
        <w:rPr>
          <w:rFonts w:ascii="Arial" w:hAnsi="Arial" w:cs="Arial" w:eastAsia="Arial" w:hint="default"/>
          <w:spacing w:val="-14"/>
        </w:rPr>
        <w:t> </w:t>
      </w:r>
      <w:r>
        <w:rPr/>
        <w:t>月</w:t>
      </w:r>
      <w:r>
        <w:rPr>
          <w:spacing w:val="-63"/>
        </w:rPr>
        <w:t> </w:t>
      </w:r>
      <w:r>
        <w:rPr>
          <w:rFonts w:ascii="Arial" w:hAnsi="Arial" w:cs="Arial" w:eastAsia="Arial" w:hint="default"/>
        </w:rPr>
        <w:t>31</w:t>
      </w:r>
      <w:r>
        <w:rPr>
          <w:rFonts w:ascii="Arial" w:hAnsi="Arial" w:cs="Arial" w:eastAsia="Arial" w:hint="default"/>
          <w:spacing w:val="-14"/>
        </w:rPr>
        <w:t> </w:t>
      </w:r>
      <w:r>
        <w:rPr/>
        <w:t>日，联通美洲运营吸收合并网通美国运营，合并后联通美洲运营存续，而网</w:t>
      </w:r>
      <w:r>
        <w:rPr>
          <w:w w:val="99"/>
        </w:rPr>
        <w:t> </w:t>
      </w:r>
      <w:r>
        <w:rPr/>
        <w:t>通美国运营已被注销。</w:t>
      </w:r>
    </w:p>
    <w:p>
      <w:pPr>
        <w:spacing w:line="240" w:lineRule="auto" w:before="3"/>
        <w:rPr>
          <w:rFonts w:ascii="宋体" w:hAnsi="宋体" w:cs="宋体" w:eastAsia="宋体" w:hint="default"/>
          <w:sz w:val="19"/>
          <w:szCs w:val="19"/>
        </w:rPr>
      </w:pPr>
    </w:p>
    <w:p>
      <w:pPr>
        <w:pStyle w:val="BodyText"/>
        <w:spacing w:line="286" w:lineRule="exact"/>
        <w:ind w:left="526" w:right="102"/>
        <w:jc w:val="both"/>
      </w:pPr>
      <w:r>
        <w:rPr/>
        <w:t>于</w:t>
      </w:r>
      <w:r>
        <w:rPr>
          <w:spacing w:val="-47"/>
        </w:rPr>
        <w:t> </w:t>
      </w:r>
      <w:r>
        <w:rPr>
          <w:rFonts w:ascii="Arial" w:hAnsi="Arial" w:cs="Arial" w:eastAsia="Arial" w:hint="default"/>
        </w:rPr>
        <w:t>2011</w:t>
      </w:r>
      <w:r>
        <w:rPr>
          <w:rFonts w:ascii="Arial" w:hAnsi="Arial" w:cs="Arial" w:eastAsia="Arial" w:hint="default"/>
          <w:spacing w:val="3"/>
        </w:rPr>
        <w:t> </w:t>
      </w:r>
      <w:r>
        <w:rPr/>
        <w:t>年</w:t>
      </w:r>
      <w:r>
        <w:rPr>
          <w:spacing w:val="-45"/>
        </w:rPr>
        <w:t> </w:t>
      </w:r>
      <w:r>
        <w:rPr>
          <w:rFonts w:ascii="Arial" w:hAnsi="Arial" w:cs="Arial" w:eastAsia="Arial" w:hint="default"/>
        </w:rPr>
        <w:t>12</w:t>
      </w:r>
      <w:r>
        <w:rPr>
          <w:rFonts w:ascii="Arial" w:hAnsi="Arial" w:cs="Arial" w:eastAsia="Arial" w:hint="default"/>
          <w:spacing w:val="3"/>
        </w:rPr>
        <w:t> </w:t>
      </w:r>
      <w:r>
        <w:rPr/>
        <w:t>月</w:t>
      </w:r>
      <w:r>
        <w:rPr>
          <w:spacing w:val="-47"/>
        </w:rPr>
        <w:t> </w:t>
      </w:r>
      <w:r>
        <w:rPr>
          <w:rFonts w:ascii="Arial" w:hAnsi="Arial" w:cs="Arial" w:eastAsia="Arial" w:hint="default"/>
        </w:rPr>
        <w:t>30</w:t>
      </w:r>
      <w:r>
        <w:rPr>
          <w:rFonts w:ascii="Arial" w:hAnsi="Arial" w:cs="Arial" w:eastAsia="Arial" w:hint="default"/>
          <w:spacing w:val="3"/>
        </w:rPr>
        <w:t> </w:t>
      </w:r>
      <w:r>
        <w:rPr/>
        <w:t>日，根据联通红筹公司和亿迅公司的协议，联通红筹公司将其对联通香港</w:t>
      </w:r>
      <w:r>
        <w:rPr>
          <w:w w:val="99"/>
        </w:rPr>
        <w:t> </w:t>
      </w:r>
      <w:r>
        <w:rPr/>
        <w:t>运营和联通美国运营的全部股权转让予亿迅公司。</w:t>
      </w:r>
    </w:p>
    <w:p>
      <w:pPr>
        <w:spacing w:after="0" w:line="286" w:lineRule="exact"/>
        <w:jc w:val="both"/>
        <w:sectPr>
          <w:headerReference w:type="default" r:id="rId76"/>
          <w:footerReference w:type="default" r:id="rId77"/>
          <w:pgSz w:w="11900" w:h="16840"/>
          <w:pgMar w:header="1189" w:footer="600" w:top="3600" w:bottom="780" w:left="1280" w:right="920"/>
          <w:pgNumType w:start="98"/>
        </w:sectPr>
      </w:pPr>
    </w:p>
    <w:p>
      <w:pPr>
        <w:spacing w:line="240" w:lineRule="auto" w:before="9"/>
        <w:rPr>
          <w:rFonts w:ascii="宋体" w:hAnsi="宋体" w:cs="宋体" w:eastAsia="宋体" w:hint="default"/>
          <w:sz w:val="17"/>
          <w:szCs w:val="17"/>
        </w:rPr>
      </w:pPr>
    </w:p>
    <w:p>
      <w:pPr>
        <w:pStyle w:val="BodyText"/>
        <w:spacing w:line="434" w:lineRule="auto" w:before="31"/>
        <w:ind w:left="526" w:right="7078" w:hanging="393"/>
        <w:jc w:val="left"/>
      </w:pPr>
      <w:r>
        <w:rPr>
          <w:rFonts w:ascii="Arial" w:hAnsi="Arial" w:cs="Arial" w:eastAsia="Arial" w:hint="default"/>
        </w:rPr>
        <w:t>1</w:t>
      </w:r>
      <w:r>
        <w:rPr/>
        <w:t>、</w:t>
      </w:r>
      <w:r>
        <w:rPr>
          <w:spacing w:val="-64"/>
        </w:rPr>
        <w:t> </w:t>
      </w:r>
      <w:r>
        <w:rPr/>
        <w:t>重要子公司情况（续）</w:t>
      </w:r>
      <w:r>
        <w:rPr>
          <w:w w:val="99"/>
        </w:rPr>
        <w:t> </w:t>
      </w:r>
      <w:r>
        <w:rPr/>
        <w:t>注释（续）：</w:t>
      </w:r>
    </w:p>
    <w:p>
      <w:pPr>
        <w:pStyle w:val="BodyText"/>
        <w:spacing w:line="294" w:lineRule="exact" w:before="72"/>
        <w:ind w:left="106" w:right="0"/>
        <w:jc w:val="left"/>
      </w:pPr>
      <w:r>
        <w:rPr>
          <w:rFonts w:ascii="Arial" w:hAnsi="Arial" w:cs="Arial" w:eastAsia="Arial" w:hint="default"/>
        </w:rPr>
        <w:t>(2) </w:t>
      </w:r>
      <w:r>
        <w:rPr>
          <w:rFonts w:ascii="Arial" w:hAnsi="Arial" w:cs="Arial" w:eastAsia="Arial" w:hint="default"/>
          <w:spacing w:val="15"/>
        </w:rPr>
        <w:t> </w:t>
      </w:r>
      <w:r>
        <w:rPr/>
        <w:t>联通运营公司为联通红筹公司的全资子公司，是一家于</w:t>
      </w:r>
      <w:r>
        <w:rPr>
          <w:spacing w:val="-60"/>
        </w:rPr>
        <w:t> </w:t>
      </w:r>
      <w:r>
        <w:rPr>
          <w:rFonts w:ascii="Arial" w:hAnsi="Arial" w:cs="Arial" w:eastAsia="Arial" w:hint="default"/>
        </w:rPr>
        <w:t>2000</w:t>
      </w:r>
      <w:r>
        <w:rPr>
          <w:rFonts w:ascii="Arial" w:hAnsi="Arial" w:cs="Arial" w:eastAsia="Arial" w:hint="default"/>
          <w:spacing w:val="-11"/>
        </w:rPr>
        <w:t> </w:t>
      </w:r>
      <w:r>
        <w:rPr/>
        <w:t>年</w:t>
      </w:r>
      <w:r>
        <w:rPr>
          <w:spacing w:val="-60"/>
        </w:rPr>
        <w:t> </w:t>
      </w:r>
      <w:r>
        <w:rPr>
          <w:rFonts w:ascii="Arial" w:hAnsi="Arial" w:cs="Arial" w:eastAsia="Arial" w:hint="default"/>
        </w:rPr>
        <w:t>4</w:t>
      </w:r>
      <w:r>
        <w:rPr>
          <w:rFonts w:ascii="Arial" w:hAnsi="Arial" w:cs="Arial" w:eastAsia="Arial" w:hint="default"/>
          <w:spacing w:val="-11"/>
        </w:rPr>
        <w:t> </w:t>
      </w:r>
      <w:r>
        <w:rPr/>
        <w:t>月</w:t>
      </w:r>
      <w:r>
        <w:rPr>
          <w:spacing w:val="-60"/>
        </w:rPr>
        <w:t> </w:t>
      </w:r>
      <w:r>
        <w:rPr>
          <w:rFonts w:ascii="Arial" w:hAnsi="Arial" w:cs="Arial" w:eastAsia="Arial" w:hint="default"/>
        </w:rPr>
        <w:t>21</w:t>
      </w:r>
      <w:r>
        <w:rPr>
          <w:rFonts w:ascii="Arial" w:hAnsi="Arial" w:cs="Arial" w:eastAsia="Arial" w:hint="default"/>
          <w:spacing w:val="-11"/>
        </w:rPr>
        <w:t> </w:t>
      </w:r>
      <w:r>
        <w:rPr/>
        <w:t>日在中国北京注册成立</w:t>
      </w:r>
    </w:p>
    <w:p>
      <w:pPr>
        <w:pStyle w:val="BodyText"/>
        <w:spacing w:line="285" w:lineRule="exact"/>
        <w:ind w:left="526" w:right="0"/>
        <w:jc w:val="both"/>
      </w:pPr>
      <w:r>
        <w:rPr/>
        <w:t>的有限责任公司（后于 </w:t>
      </w:r>
      <w:r>
        <w:rPr>
          <w:rFonts w:ascii="Arial" w:hAnsi="Arial" w:cs="Arial" w:eastAsia="Arial" w:hint="default"/>
        </w:rPr>
        <w:t>2000 </w:t>
      </w:r>
      <w:r>
        <w:rPr/>
        <w:t>年 </w:t>
      </w:r>
      <w:r>
        <w:rPr>
          <w:rFonts w:ascii="Arial" w:hAnsi="Arial" w:cs="Arial" w:eastAsia="Arial" w:hint="default"/>
        </w:rPr>
        <w:t>6</w:t>
      </w:r>
      <w:r>
        <w:rPr>
          <w:rFonts w:ascii="Arial" w:hAnsi="Arial" w:cs="Arial" w:eastAsia="Arial" w:hint="default"/>
          <w:spacing w:val="-30"/>
        </w:rPr>
        <w:t> </w:t>
      </w:r>
      <w:r>
        <w:rPr/>
        <w:t>月经原对外贸易经济合作部批准成为一家外商投资企业）。</w:t>
      </w:r>
    </w:p>
    <w:p>
      <w:pPr>
        <w:pStyle w:val="BodyText"/>
        <w:spacing w:line="286" w:lineRule="exact" w:before="19"/>
        <w:ind w:left="526" w:right="221"/>
        <w:jc w:val="both"/>
      </w:pPr>
      <w:r>
        <w:rPr/>
        <w:t>分别于</w:t>
      </w:r>
      <w:r>
        <w:rPr>
          <w:spacing w:val="-56"/>
        </w:rPr>
        <w:t> </w:t>
      </w:r>
      <w:r>
        <w:rPr>
          <w:rFonts w:ascii="Arial" w:hAnsi="Arial" w:cs="Arial" w:eastAsia="Arial" w:hint="default"/>
        </w:rPr>
        <w:t>2004</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w:t>
      </w:r>
      <w:r>
        <w:rPr>
          <w:spacing w:val="-56"/>
        </w:rPr>
        <w:t> </w:t>
      </w:r>
      <w:r>
        <w:rPr>
          <w:rFonts w:ascii="Arial" w:hAnsi="Arial" w:cs="Arial" w:eastAsia="Arial" w:hint="default"/>
        </w:rPr>
        <w:t>30</w:t>
      </w:r>
      <w:r>
        <w:rPr>
          <w:rFonts w:ascii="Arial" w:hAnsi="Arial" w:cs="Arial" w:eastAsia="Arial" w:hint="default"/>
          <w:spacing w:val="-7"/>
        </w:rPr>
        <w:t> </w:t>
      </w:r>
      <w:r>
        <w:rPr/>
        <w:t>日和</w:t>
      </w:r>
      <w:r>
        <w:rPr>
          <w:spacing w:val="-56"/>
        </w:rPr>
        <w:t> </w:t>
      </w:r>
      <w:r>
        <w:rPr>
          <w:rFonts w:ascii="Arial" w:hAnsi="Arial" w:cs="Arial" w:eastAsia="Arial" w:hint="default"/>
        </w:rPr>
        <w:t>2005</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日，联通运营公司以吸收合并方式完成与联通新世</w:t>
      </w:r>
      <w:r>
        <w:rPr>
          <w:w w:val="99"/>
        </w:rPr>
        <w:t> </w:t>
      </w:r>
      <w:r>
        <w:rPr/>
        <w:t>纪通信有限公司（“联通新世纪”）和联通新世界通信有限公司（“联通新世界”）的合并。</w:t>
      </w:r>
      <w:r>
        <w:rPr>
          <w:spacing w:val="-71"/>
        </w:rPr>
        <w:t> </w:t>
      </w:r>
      <w:r>
        <w:rPr>
          <w:spacing w:val="-71"/>
        </w:rPr>
      </w:r>
      <w:r>
        <w:rPr>
          <w:w w:val="99"/>
        </w:rPr>
        <w:t>于</w:t>
      </w:r>
      <w:r>
        <w:rPr>
          <w:spacing w:val="-61"/>
          <w:w w:val="99"/>
        </w:rPr>
        <w:t> </w:t>
      </w:r>
      <w:r>
        <w:rPr>
          <w:rFonts w:ascii="Arial" w:hAnsi="Arial" w:cs="Arial" w:eastAsia="Arial" w:hint="default"/>
          <w:w w:val="99"/>
        </w:rPr>
        <w:t>2007</w:t>
      </w:r>
      <w:r>
        <w:rPr>
          <w:rFonts w:ascii="Arial" w:hAnsi="Arial" w:cs="Arial" w:eastAsia="Arial" w:hint="default"/>
          <w:spacing w:val="-11"/>
          <w:w w:val="99"/>
        </w:rPr>
        <w:t> </w:t>
      </w:r>
      <w:r>
        <w:rPr>
          <w:w w:val="99"/>
        </w:rPr>
        <w:t>年</w:t>
      </w:r>
      <w:r>
        <w:rPr>
          <w:spacing w:val="-61"/>
          <w:w w:val="99"/>
        </w:rPr>
        <w:t> </w:t>
      </w:r>
      <w:r>
        <w:rPr>
          <w:rFonts w:ascii="Arial" w:hAnsi="Arial" w:cs="Arial" w:eastAsia="Arial" w:hint="default"/>
          <w:w w:val="99"/>
        </w:rPr>
        <w:t>12</w:t>
      </w:r>
      <w:r>
        <w:rPr>
          <w:rFonts w:ascii="Arial" w:hAnsi="Arial" w:cs="Arial" w:eastAsia="Arial" w:hint="default"/>
          <w:spacing w:val="-11"/>
          <w:w w:val="99"/>
        </w:rPr>
        <w:t> </w:t>
      </w:r>
      <w:r>
        <w:rPr>
          <w:w w:val="99"/>
        </w:rPr>
        <w:t>月</w:t>
      </w:r>
      <w:r>
        <w:rPr>
          <w:spacing w:val="-61"/>
          <w:w w:val="99"/>
        </w:rPr>
        <w:t> </w:t>
      </w:r>
      <w:r>
        <w:rPr>
          <w:rFonts w:ascii="Arial" w:hAnsi="Arial" w:cs="Arial" w:eastAsia="Arial" w:hint="default"/>
          <w:w w:val="99"/>
        </w:rPr>
        <w:t>31</w:t>
      </w:r>
      <w:r>
        <w:rPr>
          <w:rFonts w:ascii="Arial" w:hAnsi="Arial" w:cs="Arial" w:eastAsia="Arial" w:hint="default"/>
          <w:spacing w:val="-11"/>
          <w:w w:val="99"/>
        </w:rPr>
        <w:t> </w:t>
      </w:r>
      <w:r>
        <w:rPr>
          <w:spacing w:val="-10"/>
          <w:w w:val="99"/>
        </w:rPr>
        <w:t>日，联通运营公司完成了向联通集团收购其贵州分公司移动业务及资产（“贵</w:t>
      </w:r>
      <w:r>
        <w:rPr>
          <w:spacing w:val="-10"/>
        </w:rPr>
      </w:r>
    </w:p>
    <w:p>
      <w:pPr>
        <w:pStyle w:val="BodyText"/>
        <w:spacing w:line="265" w:lineRule="exact"/>
        <w:ind w:left="526" w:right="0"/>
        <w:jc w:val="both"/>
      </w:pPr>
      <w:r>
        <w:rPr/>
        <w:t>州业务”）。联通运营公司于 </w:t>
      </w:r>
      <w:r>
        <w:rPr>
          <w:rFonts w:ascii="Arial" w:hAnsi="Arial" w:cs="Arial" w:eastAsia="Arial" w:hint="default"/>
        </w:rPr>
        <w:t>2008</w:t>
      </w:r>
      <w:r>
        <w:rPr>
          <w:rFonts w:ascii="Arial" w:hAnsi="Arial" w:cs="Arial" w:eastAsia="Arial" w:hint="default"/>
          <w:spacing w:val="44"/>
        </w:rPr>
        <w:t> </w:t>
      </w:r>
      <w:r>
        <w:rPr/>
        <w:t>年在北京设立了一家全资子公司联通华盛，其主要业务是</w:t>
      </w:r>
    </w:p>
    <w:p>
      <w:pPr>
        <w:pStyle w:val="BodyText"/>
        <w:spacing w:line="279" w:lineRule="exact"/>
        <w:ind w:left="525" w:right="0"/>
        <w:jc w:val="both"/>
      </w:pPr>
      <w:r>
        <w:rPr/>
        <w:t>销售手机通信终端。</w:t>
      </w:r>
    </w:p>
    <w:p>
      <w:pPr>
        <w:spacing w:line="240" w:lineRule="auto" w:before="2"/>
        <w:rPr>
          <w:rFonts w:ascii="宋体" w:hAnsi="宋体" w:cs="宋体" w:eastAsia="宋体" w:hint="default"/>
          <w:sz w:val="19"/>
          <w:szCs w:val="19"/>
        </w:rPr>
      </w:pPr>
    </w:p>
    <w:p>
      <w:pPr>
        <w:pStyle w:val="BodyText"/>
        <w:spacing w:line="294" w:lineRule="exact"/>
        <w:ind w:left="525" w:right="0"/>
        <w:jc w:val="both"/>
      </w:pPr>
      <w:r>
        <w:rPr/>
        <w:t>于 </w:t>
      </w:r>
      <w:r>
        <w:rPr>
          <w:rFonts w:ascii="Arial" w:hAnsi="Arial" w:cs="Arial" w:eastAsia="Arial" w:hint="default"/>
        </w:rPr>
        <w:t>2009 </w:t>
      </w:r>
      <w:r>
        <w:rPr/>
        <w:t>年 </w:t>
      </w:r>
      <w:r>
        <w:rPr>
          <w:rFonts w:ascii="Arial" w:hAnsi="Arial" w:cs="Arial" w:eastAsia="Arial" w:hint="default"/>
        </w:rPr>
        <w:t>1</w:t>
      </w:r>
      <w:r>
        <w:rPr>
          <w:rFonts w:ascii="Arial" w:hAnsi="Arial" w:cs="Arial" w:eastAsia="Arial" w:hint="default"/>
          <w:spacing w:val="-30"/>
        </w:rPr>
        <w:t> </w:t>
      </w:r>
      <w:r>
        <w:rPr/>
        <w:t>月，联通运营公司完成吸收合并网通运营公司，合并后联通运营公司存续，而网</w:t>
      </w:r>
    </w:p>
    <w:p>
      <w:pPr>
        <w:pStyle w:val="BodyText"/>
        <w:spacing w:line="230" w:lineRule="auto"/>
        <w:ind w:left="525" w:right="221"/>
        <w:jc w:val="both"/>
      </w:pPr>
      <w:r>
        <w:rPr/>
        <w:t>通运营公司被注销。另外，于</w:t>
      </w:r>
      <w:r>
        <w:rPr>
          <w:spacing w:val="-38"/>
        </w:rPr>
        <w:t> </w:t>
      </w:r>
      <w:r>
        <w:rPr>
          <w:rFonts w:ascii="Arial" w:hAnsi="Arial" w:cs="Arial" w:eastAsia="Arial" w:hint="default"/>
        </w:rPr>
        <w:t>2009</w:t>
      </w:r>
      <w:r>
        <w:rPr>
          <w:rFonts w:ascii="Arial" w:hAnsi="Arial" w:cs="Arial" w:eastAsia="Arial" w:hint="default"/>
          <w:spacing w:val="11"/>
        </w:rPr>
        <w:t> </w:t>
      </w:r>
      <w:r>
        <w:rPr/>
        <w:t>年</w:t>
      </w:r>
      <w:r>
        <w:rPr>
          <w:spacing w:val="-38"/>
        </w:rPr>
        <w:t> </w:t>
      </w:r>
      <w:r>
        <w:rPr>
          <w:rFonts w:ascii="Arial" w:hAnsi="Arial" w:cs="Arial" w:eastAsia="Arial" w:hint="default"/>
        </w:rPr>
        <w:t>1</w:t>
      </w:r>
      <w:r>
        <w:rPr>
          <w:rFonts w:ascii="Arial" w:hAnsi="Arial" w:cs="Arial" w:eastAsia="Arial" w:hint="default"/>
          <w:spacing w:val="11"/>
        </w:rPr>
        <w:t> </w:t>
      </w:r>
      <w:r>
        <w:rPr/>
        <w:t>月，联通运营公司亦根据本公司于</w:t>
      </w:r>
      <w:r>
        <w:rPr>
          <w:spacing w:val="-38"/>
        </w:rPr>
        <w:t> </w:t>
      </w:r>
      <w:r>
        <w:rPr>
          <w:rFonts w:ascii="Arial" w:hAnsi="Arial" w:cs="Arial" w:eastAsia="Arial" w:hint="default"/>
        </w:rPr>
        <w:t>2008</w:t>
      </w:r>
      <w:r>
        <w:rPr>
          <w:rFonts w:ascii="Arial" w:hAnsi="Arial" w:cs="Arial" w:eastAsia="Arial" w:hint="default"/>
          <w:spacing w:val="11"/>
        </w:rPr>
        <w:t> </w:t>
      </w:r>
      <w:r>
        <w:rPr/>
        <w:t>年</w:t>
      </w:r>
      <w:r>
        <w:rPr>
          <w:spacing w:val="-38"/>
        </w:rPr>
        <w:t> </w:t>
      </w:r>
      <w:r>
        <w:rPr>
          <w:rFonts w:ascii="Arial" w:hAnsi="Arial" w:cs="Arial" w:eastAsia="Arial" w:hint="default"/>
        </w:rPr>
        <w:t>12</w:t>
      </w:r>
      <w:r>
        <w:rPr>
          <w:rFonts w:ascii="Arial" w:hAnsi="Arial" w:cs="Arial" w:eastAsia="Arial" w:hint="default"/>
          <w:spacing w:val="11"/>
        </w:rPr>
        <w:t> </w:t>
      </w:r>
      <w:r>
        <w:rPr/>
        <w:t>月</w:t>
      </w:r>
      <w:r>
        <w:rPr>
          <w:spacing w:val="-38"/>
        </w:rPr>
        <w:t> </w:t>
      </w:r>
      <w:r>
        <w:rPr>
          <w:rFonts w:ascii="Arial" w:hAnsi="Arial" w:cs="Arial" w:eastAsia="Arial" w:hint="default"/>
        </w:rPr>
        <w:t>16</w:t>
      </w:r>
      <w:r>
        <w:rPr>
          <w:rFonts w:ascii="Arial" w:hAnsi="Arial" w:cs="Arial" w:eastAsia="Arial" w:hint="default"/>
          <w:w w:val="99"/>
        </w:rPr>
        <w:t> </w:t>
      </w:r>
      <w:r>
        <w:rPr/>
        <w:t>日与联通集团和网通集团签署的《关于相关电信业务及资产的转让协议》完成了收购联通集团</w:t>
      </w:r>
      <w:r>
        <w:rPr>
          <w:spacing w:val="-71"/>
        </w:rPr>
        <w:t> </w:t>
      </w:r>
      <w:r>
        <w:rPr>
          <w:spacing w:val="-71"/>
        </w:rPr>
      </w:r>
      <w:r>
        <w:rPr>
          <w:w w:val="99"/>
        </w:rPr>
        <w:t>和网通集团在南方</w:t>
      </w:r>
      <w:r>
        <w:rPr>
          <w:spacing w:val="-46"/>
          <w:w w:val="99"/>
        </w:rPr>
        <w:t> </w:t>
      </w:r>
      <w:r>
        <w:rPr>
          <w:rFonts w:ascii="Arial" w:hAnsi="Arial" w:cs="Arial" w:eastAsia="Arial" w:hint="default"/>
          <w:w w:val="99"/>
        </w:rPr>
        <w:t>21</w:t>
      </w:r>
      <w:r>
        <w:rPr>
          <w:rFonts w:ascii="Arial" w:hAnsi="Arial" w:cs="Arial" w:eastAsia="Arial" w:hint="default"/>
          <w:spacing w:val="4"/>
          <w:w w:val="99"/>
        </w:rPr>
        <w:t> </w:t>
      </w:r>
      <w:r>
        <w:rPr>
          <w:spacing w:val="-3"/>
          <w:w w:val="99"/>
        </w:rPr>
        <w:t>省地区经营的固定电信网络通信业务、联通集团在天津市拥有的固网业务</w:t>
      </w:r>
      <w:r>
        <w:rPr>
          <w:w w:val="99"/>
        </w:rPr>
        <w:t> </w:t>
      </w:r>
      <w:r>
        <w:rPr/>
        <w:t>及所有相关资产及负债、联通集团持有的联通兴业、中讯设计院以及联通信息导航三家电信服</w:t>
      </w:r>
      <w:r>
        <w:rPr>
          <w:spacing w:val="-71"/>
        </w:rPr>
        <w:t> </w:t>
      </w:r>
      <w:r>
        <w:rPr>
          <w:spacing w:val="-71"/>
        </w:rPr>
      </w:r>
      <w:r>
        <w:rPr/>
        <w:t>务子公司</w:t>
      </w:r>
      <w:r>
        <w:rPr>
          <w:spacing w:val="-55"/>
        </w:rPr>
        <w:t> </w:t>
      </w:r>
      <w:r>
        <w:rPr>
          <w:rFonts w:ascii="Arial" w:hAnsi="Arial" w:cs="Arial" w:eastAsia="Arial" w:hint="default"/>
        </w:rPr>
        <w:t>100%</w:t>
      </w:r>
      <w:r>
        <w:rPr/>
        <w:t>的股权以及网通集团通过其下属子公司在北方</w:t>
      </w:r>
      <w:r>
        <w:rPr>
          <w:spacing w:val="-55"/>
        </w:rPr>
        <w:t> </w:t>
      </w:r>
      <w:r>
        <w:rPr>
          <w:rFonts w:ascii="Arial" w:hAnsi="Arial" w:cs="Arial" w:eastAsia="Arial" w:hint="default"/>
        </w:rPr>
        <w:t>10</w:t>
      </w:r>
      <w:r>
        <w:rPr>
          <w:rFonts w:ascii="Arial" w:hAnsi="Arial" w:cs="Arial" w:eastAsia="Arial" w:hint="default"/>
          <w:spacing w:val="-6"/>
        </w:rPr>
        <w:t> </w:t>
      </w:r>
      <w:r>
        <w:rPr>
          <w:spacing w:val="-4"/>
        </w:rPr>
        <w:t>省、自治区及直辖市拥有的北</w:t>
      </w:r>
      <w:r>
        <w:rPr>
          <w:w w:val="99"/>
        </w:rPr>
        <w:t> </w:t>
      </w:r>
      <w:r>
        <w:rPr/>
        <w:t>方一级干线传输资产等（“相关电信业务和资产的收购”）。</w:t>
      </w:r>
    </w:p>
    <w:p>
      <w:pPr>
        <w:spacing w:line="240" w:lineRule="auto" w:before="6"/>
        <w:rPr>
          <w:rFonts w:ascii="宋体" w:hAnsi="宋体" w:cs="宋体" w:eastAsia="宋体" w:hint="default"/>
          <w:sz w:val="19"/>
          <w:szCs w:val="19"/>
        </w:rPr>
      </w:pPr>
    </w:p>
    <w:p>
      <w:pPr>
        <w:pStyle w:val="BodyText"/>
        <w:spacing w:line="237" w:lineRule="auto"/>
        <w:ind w:left="525" w:right="0"/>
        <w:jc w:val="left"/>
      </w:pPr>
      <w:r>
        <w:rPr/>
        <w:t>经过上述一系列的企业合并和收购，联通运营公司成为一家全业务电信运营公司，目前的经营</w:t>
      </w:r>
      <w:r>
        <w:rPr>
          <w:spacing w:val="-71"/>
        </w:rPr>
        <w:t> </w:t>
      </w:r>
      <w:r>
        <w:rPr>
          <w:spacing w:val="-71"/>
        </w:rPr>
      </w:r>
      <w:r>
        <w:rPr>
          <w:spacing w:val="-2"/>
        </w:rPr>
        <w:t>范围包括在中国境内提供移动电话、本地固定电话以及全国范围的国内、国际长途通信、数据、</w:t>
      </w:r>
      <w:r>
        <w:rPr>
          <w:spacing w:val="-93"/>
        </w:rPr>
        <w:t> </w:t>
      </w:r>
      <w:r>
        <w:rPr>
          <w:spacing w:val="-93"/>
        </w:rPr>
      </w:r>
      <w:r>
        <w:rPr/>
        <w:t>互联网及宽带等电信通信服务、电信增值服务以及信息系统集成和广告传媒等相关业务。</w:t>
      </w:r>
    </w:p>
    <w:p>
      <w:pPr>
        <w:spacing w:line="240" w:lineRule="auto" w:before="5"/>
        <w:rPr>
          <w:rFonts w:ascii="宋体" w:hAnsi="宋体" w:cs="宋体" w:eastAsia="宋体" w:hint="default"/>
          <w:sz w:val="21"/>
          <w:szCs w:val="21"/>
        </w:rPr>
      </w:pPr>
    </w:p>
    <w:p>
      <w:pPr>
        <w:pStyle w:val="BodyText"/>
        <w:spacing w:line="286" w:lineRule="exact"/>
        <w:ind w:left="526" w:right="223"/>
        <w:jc w:val="both"/>
      </w:pPr>
      <w:r>
        <w:rPr/>
        <w:t>在联通集团获得</w:t>
      </w:r>
      <w:r>
        <w:rPr>
          <w:spacing w:val="-59"/>
        </w:rPr>
        <w:t> </w:t>
      </w:r>
      <w:r>
        <w:rPr>
          <w:rFonts w:ascii="Arial" w:hAnsi="Arial" w:cs="Arial" w:eastAsia="Arial" w:hint="default"/>
        </w:rPr>
        <w:t>3G</w:t>
      </w:r>
      <w:r>
        <w:rPr/>
        <w:t>（</w:t>
      </w:r>
      <w:r>
        <w:rPr>
          <w:rFonts w:ascii="Arial" w:hAnsi="Arial" w:cs="Arial" w:eastAsia="Arial" w:hint="default"/>
        </w:rPr>
        <w:t>WCDMA</w:t>
      </w:r>
      <w:r>
        <w:rPr/>
        <w:t>）运营牌照后，联通运营公司自</w:t>
      </w:r>
      <w:r>
        <w:rPr>
          <w:spacing w:val="-59"/>
        </w:rPr>
        <w:t> </w:t>
      </w:r>
      <w:r>
        <w:rPr>
          <w:rFonts w:ascii="Arial" w:hAnsi="Arial" w:cs="Arial" w:eastAsia="Arial" w:hint="default"/>
        </w:rPr>
        <w:t>2009</w:t>
      </w:r>
      <w:r>
        <w:rPr>
          <w:rFonts w:ascii="Arial" w:hAnsi="Arial" w:cs="Arial" w:eastAsia="Arial" w:hint="default"/>
          <w:spacing w:val="-10"/>
        </w:rPr>
        <w:t> </w:t>
      </w:r>
      <w:r>
        <w:rPr/>
        <w:t>年于</w:t>
      </w:r>
      <w:r>
        <w:rPr>
          <w:spacing w:val="-59"/>
        </w:rPr>
        <w:t> </w:t>
      </w:r>
      <w:r>
        <w:rPr>
          <w:rFonts w:ascii="Arial" w:hAnsi="Arial" w:cs="Arial" w:eastAsia="Arial" w:hint="default"/>
        </w:rPr>
        <w:t>1</w:t>
      </w:r>
      <w:r>
        <w:rPr>
          <w:rFonts w:ascii="Arial" w:hAnsi="Arial" w:cs="Arial" w:eastAsia="Arial" w:hint="default"/>
          <w:spacing w:val="-10"/>
        </w:rPr>
        <w:t> </w:t>
      </w:r>
      <w:r>
        <w:rPr/>
        <w:t>月</w:t>
      </w:r>
      <w:r>
        <w:rPr>
          <w:spacing w:val="-59"/>
        </w:rPr>
        <w:t> </w:t>
      </w:r>
      <w:r>
        <w:rPr>
          <w:rFonts w:ascii="Arial" w:hAnsi="Arial" w:cs="Arial" w:eastAsia="Arial" w:hint="default"/>
        </w:rPr>
        <w:t>7</w:t>
      </w:r>
      <w:r>
        <w:rPr>
          <w:rFonts w:ascii="Arial" w:hAnsi="Arial" w:cs="Arial" w:eastAsia="Arial" w:hint="default"/>
          <w:spacing w:val="-10"/>
        </w:rPr>
        <w:t> </w:t>
      </w:r>
      <w:r>
        <w:rPr/>
        <w:t>日经联通集团</w:t>
      </w:r>
      <w:r>
        <w:rPr>
          <w:w w:val="99"/>
        </w:rPr>
        <w:t> </w:t>
      </w:r>
      <w:r>
        <w:rPr/>
        <w:t>授权在中国境内开始</w:t>
      </w:r>
      <w:r>
        <w:rPr>
          <w:spacing w:val="-56"/>
        </w:rPr>
        <w:t> </w:t>
      </w:r>
      <w:r>
        <w:rPr>
          <w:rFonts w:ascii="Arial" w:hAnsi="Arial" w:cs="Arial" w:eastAsia="Arial" w:hint="default"/>
        </w:rPr>
        <w:t>3G</w:t>
      </w:r>
      <w:r>
        <w:rPr>
          <w:rFonts w:ascii="Arial" w:hAnsi="Arial" w:cs="Arial" w:eastAsia="Arial" w:hint="default"/>
          <w:spacing w:val="-8"/>
        </w:rPr>
        <w:t> </w:t>
      </w:r>
      <w:r>
        <w:rPr/>
        <w:t>网络建设，并于</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月正式投入运营。</w:t>
      </w:r>
    </w:p>
    <w:p>
      <w:pPr>
        <w:spacing w:line="240" w:lineRule="auto" w:before="3"/>
        <w:rPr>
          <w:rFonts w:ascii="宋体" w:hAnsi="宋体" w:cs="宋体" w:eastAsia="宋体" w:hint="default"/>
          <w:sz w:val="19"/>
          <w:szCs w:val="19"/>
        </w:rPr>
      </w:pPr>
    </w:p>
    <w:p>
      <w:pPr>
        <w:pStyle w:val="BodyText"/>
        <w:spacing w:line="286" w:lineRule="exact"/>
        <w:ind w:left="526" w:right="221" w:hanging="1"/>
        <w:jc w:val="both"/>
      </w:pPr>
      <w:r>
        <w:rPr/>
        <w:t>于</w:t>
      </w:r>
      <w:r>
        <w:rPr>
          <w:spacing w:val="-62"/>
        </w:rPr>
        <w:t> </w:t>
      </w:r>
      <w:r>
        <w:rPr>
          <w:rFonts w:ascii="Arial" w:hAnsi="Arial" w:cs="Arial" w:eastAsia="Arial" w:hint="default"/>
        </w:rPr>
        <w:t>2011</w:t>
      </w:r>
      <w:r>
        <w:rPr>
          <w:rFonts w:ascii="Arial" w:hAnsi="Arial" w:cs="Arial" w:eastAsia="Arial" w:hint="default"/>
          <w:spacing w:val="-13"/>
        </w:rPr>
        <w:t> </w:t>
      </w:r>
      <w:r>
        <w:rPr/>
        <w:t>年</w:t>
      </w:r>
      <w:r>
        <w:rPr>
          <w:spacing w:val="-62"/>
        </w:rPr>
        <w:t> </w:t>
      </w:r>
      <w:r>
        <w:rPr>
          <w:rFonts w:ascii="Arial" w:hAnsi="Arial" w:cs="Arial" w:eastAsia="Arial" w:hint="default"/>
        </w:rPr>
        <w:t>4</w:t>
      </w:r>
      <w:r>
        <w:rPr>
          <w:rFonts w:ascii="Arial" w:hAnsi="Arial" w:cs="Arial" w:eastAsia="Arial" w:hint="default"/>
          <w:spacing w:val="-13"/>
        </w:rPr>
        <w:t> </w:t>
      </w:r>
      <w:r>
        <w:rPr/>
        <w:t>月</w:t>
      </w:r>
      <w:r>
        <w:rPr>
          <w:spacing w:val="-62"/>
        </w:rPr>
        <w:t> </w:t>
      </w:r>
      <w:r>
        <w:rPr>
          <w:rFonts w:ascii="Arial" w:hAnsi="Arial" w:cs="Arial" w:eastAsia="Arial" w:hint="default"/>
        </w:rPr>
        <w:t>11</w:t>
      </w:r>
      <w:r>
        <w:rPr>
          <w:rFonts w:ascii="Arial" w:hAnsi="Arial" w:cs="Arial" w:eastAsia="Arial" w:hint="default"/>
          <w:spacing w:val="-13"/>
        </w:rPr>
        <w:t> </w:t>
      </w:r>
      <w:r>
        <w:rPr/>
        <w:t>日，联通运营公司出资设立联通沃易付网络技术有限公司（“联通沃易付公</w:t>
      </w:r>
      <w:r>
        <w:rPr>
          <w:w w:val="99"/>
        </w:rPr>
        <w:t> </w:t>
      </w:r>
      <w:r>
        <w:rPr/>
        <w:t>司”）并持有其</w:t>
      </w:r>
      <w:r>
        <w:rPr>
          <w:spacing w:val="22"/>
        </w:rPr>
        <w:t> </w:t>
      </w:r>
      <w:r>
        <w:rPr>
          <w:rFonts w:ascii="Arial" w:hAnsi="Arial" w:cs="Arial" w:eastAsia="Arial" w:hint="default"/>
        </w:rPr>
        <w:t>100%</w:t>
      </w:r>
      <w:r>
        <w:rPr/>
        <w:t>的股权。联通沃易付公司的主要业务是从事基础软件服务、应用软件服</w:t>
      </w:r>
      <w:r>
        <w:rPr>
          <w:spacing w:val="-108"/>
        </w:rPr>
        <w:t> </w:t>
      </w:r>
      <w:r>
        <w:rPr>
          <w:spacing w:val="-108"/>
        </w:rPr>
      </w:r>
      <w:r>
        <w:rPr/>
        <w:t>务、技术开发、服务与转让和经济信息咨询等，并将在取得第三方支付牌照后开展移动支付业</w:t>
      </w:r>
      <w:r>
        <w:rPr>
          <w:spacing w:val="-72"/>
        </w:rPr>
        <w:t> </w:t>
      </w:r>
      <w:r>
        <w:rPr>
          <w:spacing w:val="-72"/>
        </w:rPr>
      </w:r>
      <w:r>
        <w:rPr/>
        <w:t>务。联通沃易付公司的注册资本及实收资本为人民币</w:t>
      </w:r>
      <w:r>
        <w:rPr>
          <w:spacing w:val="-57"/>
        </w:rPr>
        <w:t> </w:t>
      </w:r>
      <w:r>
        <w:rPr>
          <w:rFonts w:ascii="Arial" w:hAnsi="Arial" w:cs="Arial" w:eastAsia="Arial" w:hint="default"/>
        </w:rPr>
        <w:t>2.5</w:t>
      </w:r>
      <w:r>
        <w:rPr>
          <w:rFonts w:ascii="Arial" w:hAnsi="Arial" w:cs="Arial" w:eastAsia="Arial" w:hint="default"/>
          <w:spacing w:val="-8"/>
        </w:rPr>
        <w:t> </w:t>
      </w:r>
      <w:r>
        <w:rPr/>
        <w:t>亿元。</w:t>
      </w:r>
    </w:p>
    <w:p>
      <w:pPr>
        <w:spacing w:after="0" w:line="286" w:lineRule="exact"/>
        <w:jc w:val="both"/>
        <w:sectPr>
          <w:headerReference w:type="default" r:id="rId78"/>
          <w:pgSz w:w="11900" w:h="16840"/>
          <w:pgMar w:header="1189" w:footer="600" w:top="3040" w:bottom="780" w:left="1280" w:right="800"/>
        </w:sectPr>
      </w:pPr>
    </w:p>
    <w:p>
      <w:pPr>
        <w:spacing w:line="240" w:lineRule="auto" w:before="9"/>
        <w:rPr>
          <w:rFonts w:ascii="宋体" w:hAnsi="宋体" w:cs="宋体" w:eastAsia="宋体" w:hint="default"/>
          <w:sz w:val="16"/>
          <w:szCs w:val="16"/>
        </w:rPr>
      </w:pPr>
    </w:p>
    <w:p>
      <w:pPr>
        <w:pStyle w:val="BodyText"/>
        <w:spacing w:line="424" w:lineRule="auto" w:before="31"/>
        <w:ind w:left="526" w:right="7078" w:hanging="393"/>
        <w:jc w:val="left"/>
      </w:pPr>
      <w:r>
        <w:rPr>
          <w:rFonts w:ascii="Arial" w:hAnsi="Arial" w:cs="Arial" w:eastAsia="Arial" w:hint="default"/>
        </w:rPr>
        <w:t>1</w:t>
      </w:r>
      <w:r>
        <w:rPr/>
        <w:t>、</w:t>
      </w:r>
      <w:r>
        <w:rPr>
          <w:spacing w:val="-64"/>
        </w:rPr>
        <w:t> </w:t>
      </w:r>
      <w:r>
        <w:rPr/>
        <w:t>重要子公司情况（续）</w:t>
      </w:r>
      <w:r>
        <w:rPr>
          <w:w w:val="99"/>
        </w:rPr>
        <w:t> </w:t>
      </w:r>
      <w:r>
        <w:rPr/>
        <w:t>注释（续）：</w:t>
      </w:r>
    </w:p>
    <w:p>
      <w:pPr>
        <w:pStyle w:val="BodyText"/>
        <w:spacing w:line="284" w:lineRule="exact" w:before="111"/>
        <w:ind w:left="526" w:right="0" w:hanging="420"/>
        <w:jc w:val="left"/>
      </w:pPr>
      <w:r>
        <w:rPr>
          <w:rFonts w:ascii="Arial" w:hAnsi="Arial" w:cs="Arial" w:eastAsia="Arial" w:hint="default"/>
        </w:rPr>
        <w:t>(3) </w:t>
      </w:r>
      <w:r>
        <w:rPr/>
        <w:t>系统集成公司和宽带在线是网通运营公司于 </w:t>
      </w:r>
      <w:r>
        <w:rPr>
          <w:rFonts w:ascii="Arial" w:hAnsi="Arial" w:cs="Arial" w:eastAsia="Arial" w:hint="default"/>
        </w:rPr>
        <w:t>2006</w:t>
      </w:r>
      <w:r>
        <w:rPr>
          <w:rFonts w:ascii="Arial" w:hAnsi="Arial" w:cs="Arial" w:eastAsia="Arial" w:hint="default"/>
          <w:spacing w:val="12"/>
        </w:rPr>
        <w:t> </w:t>
      </w:r>
      <w:r>
        <w:rPr/>
        <w:t>年在中国境内设立的两家全资子公司，主要</w:t>
      </w:r>
      <w:r>
        <w:rPr>
          <w:w w:val="99"/>
        </w:rPr>
        <w:t> </w:t>
      </w:r>
      <w:r>
        <w:rPr/>
        <w:t>从事系统集成和互联网方面的业务。</w:t>
      </w:r>
    </w:p>
    <w:p>
      <w:pPr>
        <w:spacing w:line="240" w:lineRule="auto" w:before="10"/>
        <w:rPr>
          <w:rFonts w:ascii="宋体" w:hAnsi="宋体" w:cs="宋体" w:eastAsia="宋体" w:hint="default"/>
          <w:sz w:val="17"/>
          <w:szCs w:val="17"/>
        </w:rPr>
      </w:pPr>
    </w:p>
    <w:p>
      <w:pPr>
        <w:pStyle w:val="BodyText"/>
        <w:spacing w:line="232" w:lineRule="auto"/>
        <w:ind w:left="540" w:right="222"/>
        <w:jc w:val="both"/>
      </w:pPr>
      <w:r>
        <w:rPr/>
        <w:t>系统集成公司于</w:t>
      </w:r>
      <w:r>
        <w:rPr>
          <w:spacing w:val="-53"/>
        </w:rPr>
        <w:t> </w:t>
      </w:r>
      <w:r>
        <w:rPr>
          <w:rFonts w:ascii="Arial" w:hAnsi="Arial" w:cs="Arial" w:eastAsia="Arial" w:hint="default"/>
        </w:rPr>
        <w:t>2007</w:t>
      </w:r>
      <w:r>
        <w:rPr>
          <w:rFonts w:ascii="Arial" w:hAnsi="Arial" w:cs="Arial" w:eastAsia="Arial" w:hint="default"/>
          <w:spacing w:val="-2"/>
        </w:rPr>
        <w:t> </w:t>
      </w:r>
      <w:r>
        <w:rPr/>
        <w:t>年</w:t>
      </w:r>
      <w:r>
        <w:rPr>
          <w:spacing w:val="-53"/>
        </w:rPr>
        <w:t> </w:t>
      </w:r>
      <w:r>
        <w:rPr>
          <w:rFonts w:ascii="Arial" w:hAnsi="Arial" w:cs="Arial" w:eastAsia="Arial" w:hint="default"/>
        </w:rPr>
        <w:t>12</w:t>
      </w:r>
      <w:r>
        <w:rPr>
          <w:rFonts w:ascii="Arial" w:hAnsi="Arial" w:cs="Arial" w:eastAsia="Arial" w:hint="default"/>
          <w:spacing w:val="-3"/>
        </w:rPr>
        <w:t> </w:t>
      </w:r>
      <w:r>
        <w:rPr/>
        <w:t>月</w:t>
      </w:r>
      <w:r>
        <w:rPr>
          <w:spacing w:val="-53"/>
        </w:rPr>
        <w:t> </w:t>
      </w:r>
      <w:r>
        <w:rPr>
          <w:rFonts w:ascii="Arial" w:hAnsi="Arial" w:cs="Arial" w:eastAsia="Arial" w:hint="default"/>
        </w:rPr>
        <w:t>31</w:t>
      </w:r>
      <w:r>
        <w:rPr>
          <w:rFonts w:ascii="Arial" w:hAnsi="Arial" w:cs="Arial" w:eastAsia="Arial" w:hint="default"/>
          <w:spacing w:val="-2"/>
        </w:rPr>
        <w:t> </w:t>
      </w:r>
      <w:r>
        <w:rPr/>
        <w:t>日以人民币约</w:t>
      </w:r>
      <w:r>
        <w:rPr>
          <w:spacing w:val="-53"/>
        </w:rPr>
        <w:t> </w:t>
      </w:r>
      <w:r>
        <w:rPr>
          <w:rFonts w:ascii="Arial" w:hAnsi="Arial" w:cs="Arial" w:eastAsia="Arial" w:hint="default"/>
        </w:rPr>
        <w:t>3</w:t>
      </w:r>
      <w:r>
        <w:rPr>
          <w:rFonts w:ascii="Arial" w:hAnsi="Arial" w:cs="Arial" w:eastAsia="Arial" w:hint="default"/>
          <w:spacing w:val="-4"/>
        </w:rPr>
        <w:t> </w:t>
      </w:r>
      <w:r>
        <w:rPr/>
        <w:t>亿元的对价完成了向中国网通集团北京市通</w:t>
      </w:r>
      <w:r>
        <w:rPr>
          <w:w w:val="99"/>
        </w:rPr>
        <w:t> </w:t>
      </w:r>
      <w:r>
        <w:rPr/>
        <w:t>信公司（网通集团所属子公司）收购其所属子公司规划设计院的全部股权。规划设计院是北京</w:t>
      </w:r>
      <w:r>
        <w:rPr>
          <w:spacing w:val="-86"/>
        </w:rPr>
        <w:t> </w:t>
      </w:r>
      <w:r>
        <w:rPr>
          <w:spacing w:val="-86"/>
        </w:rPr>
      </w:r>
      <w:r>
        <w:rPr/>
        <w:t>电信规划设计院进行公司制改制后于</w:t>
      </w:r>
      <w:r>
        <w:rPr>
          <w:spacing w:val="-55"/>
        </w:rPr>
        <w:t> </w:t>
      </w:r>
      <w:r>
        <w:rPr>
          <w:rFonts w:ascii="Arial" w:hAnsi="Arial" w:cs="Arial" w:eastAsia="Arial" w:hint="default"/>
        </w:rPr>
        <w:t>2007</w:t>
      </w:r>
      <w:r>
        <w:rPr>
          <w:rFonts w:ascii="Arial" w:hAnsi="Arial" w:cs="Arial" w:eastAsia="Arial" w:hint="default"/>
          <w:spacing w:val="-6"/>
        </w:rPr>
        <w:t> </w:t>
      </w:r>
      <w:r>
        <w:rPr/>
        <w:t>年</w:t>
      </w:r>
      <w:r>
        <w:rPr>
          <w:spacing w:val="-55"/>
        </w:rPr>
        <w:t> </w:t>
      </w:r>
      <w:r>
        <w:rPr>
          <w:rFonts w:ascii="Arial" w:hAnsi="Arial" w:cs="Arial" w:eastAsia="Arial" w:hint="default"/>
        </w:rPr>
        <w:t>6</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spacing w:val="-5"/>
        </w:rPr>
        <w:t>日组建的有限公司。于</w:t>
      </w:r>
      <w:r>
        <w:rPr>
          <w:spacing w:val="-55"/>
        </w:rPr>
        <w:t> </w:t>
      </w:r>
      <w:r>
        <w:rPr>
          <w:rFonts w:ascii="Arial" w:hAnsi="Arial" w:cs="Arial" w:eastAsia="Arial" w:hint="default"/>
        </w:rPr>
        <w:t>2010</w:t>
      </w:r>
      <w:r>
        <w:rPr>
          <w:rFonts w:ascii="Arial" w:hAnsi="Arial" w:cs="Arial" w:eastAsia="Arial" w:hint="default"/>
          <w:spacing w:val="-6"/>
        </w:rPr>
        <w:t> </w:t>
      </w:r>
      <w:r>
        <w:rPr>
          <w:spacing w:val="-8"/>
        </w:rPr>
        <w:t>年度，系统集</w:t>
      </w:r>
      <w:r>
        <w:rPr>
          <w:w w:val="99"/>
        </w:rPr>
        <w:t> </w:t>
      </w:r>
      <w:r>
        <w:rPr/>
        <w:t>成公司对规划设计院的全部股权被转让给联通运营公司的另一家子公司中讯设计院，规划设计</w:t>
      </w:r>
      <w:r>
        <w:rPr>
          <w:spacing w:val="-86"/>
        </w:rPr>
        <w:t> </w:t>
      </w:r>
      <w:r>
        <w:rPr>
          <w:spacing w:val="-86"/>
        </w:rPr>
      </w:r>
      <w:r>
        <w:rPr/>
        <w:t>院成为中讯设计院的全资子公司。</w:t>
      </w:r>
    </w:p>
    <w:p>
      <w:pPr>
        <w:spacing w:line="240" w:lineRule="auto" w:before="7"/>
        <w:rPr>
          <w:rFonts w:ascii="宋体" w:hAnsi="宋体" w:cs="宋体" w:eastAsia="宋体" w:hint="default"/>
          <w:sz w:val="21"/>
          <w:szCs w:val="21"/>
        </w:rPr>
      </w:pPr>
    </w:p>
    <w:p>
      <w:pPr>
        <w:pStyle w:val="BodyText"/>
        <w:spacing w:line="284" w:lineRule="exact"/>
        <w:ind w:left="540" w:right="222"/>
        <w:jc w:val="both"/>
      </w:pPr>
      <w:r>
        <w:rPr/>
        <w:t>另外网通运营公司于</w:t>
      </w:r>
      <w:r>
        <w:rPr>
          <w:spacing w:val="-65"/>
        </w:rPr>
        <w:t> </w:t>
      </w:r>
      <w:r>
        <w:rPr>
          <w:rFonts w:ascii="Arial" w:hAnsi="Arial" w:cs="Arial" w:eastAsia="Arial" w:hint="default"/>
        </w:rPr>
        <w:t>2008</w:t>
      </w:r>
      <w:r>
        <w:rPr>
          <w:rFonts w:ascii="Arial" w:hAnsi="Arial" w:cs="Arial" w:eastAsia="Arial" w:hint="default"/>
          <w:spacing w:val="-16"/>
        </w:rPr>
        <w:t> </w:t>
      </w:r>
      <w:r>
        <w:rPr/>
        <w:t>年</w:t>
      </w:r>
      <w:r>
        <w:rPr>
          <w:spacing w:val="-65"/>
        </w:rPr>
        <w:t> </w:t>
      </w:r>
      <w:r>
        <w:rPr>
          <w:rFonts w:ascii="Arial" w:hAnsi="Arial" w:cs="Arial" w:eastAsia="Arial" w:hint="default"/>
        </w:rPr>
        <w:t>3</w:t>
      </w:r>
      <w:r>
        <w:rPr>
          <w:rFonts w:ascii="Arial" w:hAnsi="Arial" w:cs="Arial" w:eastAsia="Arial" w:hint="default"/>
          <w:spacing w:val="-16"/>
        </w:rPr>
        <w:t> </w:t>
      </w:r>
      <w:r>
        <w:rPr/>
        <w:t>月</w:t>
      </w:r>
      <w:r>
        <w:rPr>
          <w:spacing w:val="-65"/>
        </w:rPr>
        <w:t> </w:t>
      </w:r>
      <w:r>
        <w:rPr>
          <w:rFonts w:ascii="Arial" w:hAnsi="Arial" w:cs="Arial" w:eastAsia="Arial" w:hint="default"/>
        </w:rPr>
        <w:t>31</w:t>
      </w:r>
      <w:r>
        <w:rPr>
          <w:rFonts w:ascii="Arial" w:hAnsi="Arial" w:cs="Arial" w:eastAsia="Arial" w:hint="default"/>
          <w:spacing w:val="-16"/>
        </w:rPr>
        <w:t> </w:t>
      </w:r>
      <w:r>
        <w:rPr/>
        <w:t>日还在中国北京设立了全资子公司中融信息，主要从事信</w:t>
      </w:r>
      <w:r>
        <w:rPr>
          <w:w w:val="99"/>
        </w:rPr>
        <w:t> </w:t>
      </w:r>
      <w:r>
        <w:rPr/>
        <w:t>息咨询和技术开发方面的业务。</w:t>
      </w:r>
    </w:p>
    <w:p>
      <w:pPr>
        <w:spacing w:line="240" w:lineRule="auto" w:before="5"/>
        <w:rPr>
          <w:rFonts w:ascii="宋体" w:hAnsi="宋体" w:cs="宋体" w:eastAsia="宋体" w:hint="default"/>
          <w:sz w:val="19"/>
          <w:szCs w:val="19"/>
        </w:rPr>
      </w:pPr>
    </w:p>
    <w:p>
      <w:pPr>
        <w:pStyle w:val="BodyText"/>
        <w:spacing w:line="286" w:lineRule="exact"/>
        <w:ind w:left="540" w:right="222"/>
        <w:jc w:val="both"/>
      </w:pPr>
      <w:r>
        <w:rPr/>
        <w:t>在联通运营公司于</w:t>
      </w:r>
      <w:r>
        <w:rPr>
          <w:spacing w:val="-36"/>
        </w:rPr>
        <w:t> </w:t>
      </w:r>
      <w:r>
        <w:rPr>
          <w:rFonts w:ascii="Arial" w:hAnsi="Arial" w:cs="Arial" w:eastAsia="Arial" w:hint="default"/>
        </w:rPr>
        <w:t>2009</w:t>
      </w:r>
      <w:r>
        <w:rPr>
          <w:rFonts w:ascii="Arial" w:hAnsi="Arial" w:cs="Arial" w:eastAsia="Arial" w:hint="default"/>
          <w:spacing w:val="13"/>
        </w:rPr>
        <w:t> </w:t>
      </w:r>
      <w:r>
        <w:rPr/>
        <w:t>年</w:t>
      </w:r>
      <w:r>
        <w:rPr>
          <w:spacing w:val="-36"/>
        </w:rPr>
        <w:t> </w:t>
      </w:r>
      <w:r>
        <w:rPr>
          <w:rFonts w:ascii="Arial" w:hAnsi="Arial" w:cs="Arial" w:eastAsia="Arial" w:hint="default"/>
        </w:rPr>
        <w:t>1</w:t>
      </w:r>
      <w:r>
        <w:rPr>
          <w:rFonts w:ascii="Arial" w:hAnsi="Arial" w:cs="Arial" w:eastAsia="Arial" w:hint="default"/>
          <w:spacing w:val="13"/>
        </w:rPr>
        <w:t> </w:t>
      </w:r>
      <w:r>
        <w:rPr/>
        <w:t>月完成吸收合并网通运营公司后，系统集成公司、宽带在线、规</w:t>
      </w:r>
      <w:r>
        <w:rPr>
          <w:w w:val="99"/>
        </w:rPr>
        <w:t> </w:t>
      </w:r>
      <w:r>
        <w:rPr/>
        <w:t>划设计院以及中融信息成为联通运营公司的全资子公司。</w:t>
      </w:r>
    </w:p>
    <w:p>
      <w:pPr>
        <w:spacing w:line="240" w:lineRule="auto" w:before="9"/>
        <w:rPr>
          <w:rFonts w:ascii="宋体" w:hAnsi="宋体" w:cs="宋体" w:eastAsia="宋体" w:hint="default"/>
          <w:sz w:val="17"/>
          <w:szCs w:val="17"/>
        </w:rPr>
      </w:pPr>
    </w:p>
    <w:p>
      <w:pPr>
        <w:pStyle w:val="BodyText"/>
        <w:spacing w:line="232" w:lineRule="auto"/>
        <w:ind w:left="540" w:right="104"/>
        <w:jc w:val="left"/>
      </w:pPr>
      <w:r>
        <w:rPr>
          <w:spacing w:val="-4"/>
        </w:rPr>
        <w:t>如附注一</w:t>
      </w:r>
      <w:r>
        <w:rPr>
          <w:rFonts w:ascii="Arial" w:hAnsi="Arial" w:cs="Arial" w:eastAsia="Arial" w:hint="default"/>
          <w:spacing w:val="-4"/>
        </w:rPr>
        <w:t>(2)</w:t>
      </w:r>
      <w:r>
        <w:rPr>
          <w:spacing w:val="-4"/>
        </w:rPr>
        <w:t>所述，宽带在线于</w:t>
      </w:r>
      <w:r>
        <w:rPr>
          <w:spacing w:val="-54"/>
        </w:rPr>
        <w:t> </w:t>
      </w:r>
      <w:r>
        <w:rPr>
          <w:rFonts w:ascii="Arial" w:hAnsi="Arial" w:cs="Arial" w:eastAsia="Arial" w:hint="default"/>
        </w:rPr>
        <w:t>2011</w:t>
      </w:r>
      <w:r>
        <w:rPr>
          <w:rFonts w:ascii="Arial" w:hAnsi="Arial" w:cs="Arial" w:eastAsia="Arial" w:hint="default"/>
          <w:spacing w:val="-5"/>
        </w:rPr>
        <w:t> </w:t>
      </w:r>
      <w:r>
        <w:rPr/>
        <w:t>年</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1</w:t>
      </w:r>
      <w:r>
        <w:rPr>
          <w:rFonts w:ascii="Arial" w:hAnsi="Arial" w:cs="Arial" w:eastAsia="Arial" w:hint="default"/>
          <w:spacing w:val="-5"/>
        </w:rPr>
        <w:t> </w:t>
      </w:r>
      <w:r>
        <w:rPr>
          <w:spacing w:val="-3"/>
        </w:rPr>
        <w:t>日收购了联通集团的全资子公司联通新时讯。联</w:t>
      </w:r>
      <w:r>
        <w:rPr>
          <w:spacing w:val="-107"/>
        </w:rPr>
        <w:t> </w:t>
      </w:r>
      <w:r>
        <w:rPr>
          <w:spacing w:val="-107"/>
        </w:rPr>
      </w:r>
      <w:r>
        <w:rPr/>
        <w:t>通新时讯的经营范围主要包括开展视讯新干线、定位之星以及音乐排行榜、手机动漫等手机增</w:t>
      </w:r>
      <w:r>
        <w:rPr>
          <w:spacing w:val="-86"/>
        </w:rPr>
        <w:t> </w:t>
      </w:r>
      <w:r>
        <w:rPr>
          <w:spacing w:val="-86"/>
        </w:rPr>
      </w:r>
      <w:r>
        <w:rPr>
          <w:spacing w:val="-2"/>
        </w:rPr>
        <w:t>值业务。联通新时讯目前下属北京新时讯无限传媒广告有限公司，主要经营广告的设计、制作、</w:t>
      </w:r>
      <w:r>
        <w:rPr>
          <w:spacing w:val="-105"/>
        </w:rPr>
        <w:t> </w:t>
      </w:r>
      <w:r>
        <w:rPr>
          <w:spacing w:val="-105"/>
        </w:rPr>
      </w:r>
      <w:r>
        <w:rPr/>
        <w:t>代理、发布等。</w:t>
      </w:r>
    </w:p>
    <w:p>
      <w:pPr>
        <w:spacing w:line="240" w:lineRule="auto" w:before="11"/>
        <w:rPr>
          <w:rFonts w:ascii="宋体" w:hAnsi="宋体" w:cs="宋体" w:eastAsia="宋体" w:hint="default"/>
          <w:sz w:val="20"/>
          <w:szCs w:val="20"/>
        </w:rPr>
      </w:pPr>
    </w:p>
    <w:p>
      <w:pPr>
        <w:pStyle w:val="BodyText"/>
        <w:spacing w:line="232" w:lineRule="auto"/>
        <w:ind w:left="526" w:right="0" w:hanging="420"/>
        <w:jc w:val="left"/>
      </w:pPr>
      <w:r>
        <w:rPr>
          <w:rFonts w:ascii="Arial" w:hAnsi="Arial" w:cs="Arial" w:eastAsia="Arial" w:hint="default"/>
        </w:rPr>
        <w:t>(4)</w:t>
      </w:r>
      <w:r>
        <w:rPr>
          <w:rFonts w:ascii="Arial" w:hAnsi="Arial" w:cs="Arial" w:eastAsia="Arial" w:hint="default"/>
          <w:spacing w:val="26"/>
        </w:rPr>
        <w:t> </w:t>
      </w:r>
      <w:r>
        <w:rPr/>
        <w:t>中讯设计院是于</w:t>
      </w:r>
      <w:r>
        <w:rPr>
          <w:spacing w:val="-82"/>
        </w:rPr>
        <w:t> </w:t>
      </w:r>
      <w:r>
        <w:rPr>
          <w:rFonts w:ascii="Arial" w:hAnsi="Arial" w:cs="Arial" w:eastAsia="Arial" w:hint="default"/>
        </w:rPr>
        <w:t>2008</w:t>
      </w:r>
      <w:r>
        <w:rPr>
          <w:rFonts w:ascii="Arial" w:hAnsi="Arial" w:cs="Arial" w:eastAsia="Arial" w:hint="default"/>
          <w:spacing w:val="-31"/>
        </w:rPr>
        <w:t> </w:t>
      </w:r>
      <w:r>
        <w:rPr/>
        <w:t>年</w:t>
      </w:r>
      <w:r>
        <w:rPr>
          <w:spacing w:val="-81"/>
        </w:rPr>
        <w:t> </w:t>
      </w:r>
      <w:r>
        <w:rPr>
          <w:rFonts w:ascii="Arial" w:hAnsi="Arial" w:cs="Arial" w:eastAsia="Arial" w:hint="default"/>
        </w:rPr>
        <w:t>9</w:t>
      </w:r>
      <w:r>
        <w:rPr>
          <w:rFonts w:ascii="Arial" w:hAnsi="Arial" w:cs="Arial" w:eastAsia="Arial" w:hint="default"/>
          <w:spacing w:val="-32"/>
        </w:rPr>
        <w:t> </w:t>
      </w:r>
      <w:r>
        <w:rPr/>
        <w:t>月</w:t>
      </w:r>
      <w:r>
        <w:rPr>
          <w:spacing w:val="-81"/>
        </w:rPr>
        <w:t> </w:t>
      </w:r>
      <w:r>
        <w:rPr>
          <w:rFonts w:ascii="Arial" w:hAnsi="Arial" w:cs="Arial" w:eastAsia="Arial" w:hint="default"/>
        </w:rPr>
        <w:t>27</w:t>
      </w:r>
      <w:r>
        <w:rPr>
          <w:rFonts w:ascii="Arial" w:hAnsi="Arial" w:cs="Arial" w:eastAsia="Arial" w:hint="default"/>
          <w:spacing w:val="-31"/>
        </w:rPr>
        <w:t> </w:t>
      </w:r>
      <w:r>
        <w:rPr/>
        <w:t>日完成公司制改制后在中国北京注册成立为一家有限责任公司，</w:t>
      </w:r>
      <w:r>
        <w:rPr>
          <w:w w:val="99"/>
        </w:rPr>
        <w:t> </w:t>
      </w:r>
      <w:r>
        <w:rPr/>
        <w:t>其主要经营范围包括：通信信息工程和建筑工程的咨询、勘察、设计、监理、工程总承包；信</w:t>
      </w:r>
      <w:r>
        <w:rPr>
          <w:spacing w:val="1"/>
          <w:w w:val="99"/>
        </w:rPr>
        <w:t> </w:t>
      </w:r>
      <w:r>
        <w:rPr/>
        <w:t>息网络、通信网络的设计、集成、软件开发、技术开发、技术咨询、技术服务、技术转让、技</w:t>
      </w:r>
      <w:r>
        <w:rPr>
          <w:spacing w:val="1"/>
          <w:w w:val="99"/>
        </w:rPr>
        <w:t> </w:t>
      </w:r>
      <w:r>
        <w:rPr/>
        <w:t>术劳务服务等。</w:t>
      </w:r>
    </w:p>
    <w:p>
      <w:pPr>
        <w:spacing w:line="240" w:lineRule="auto" w:before="4"/>
        <w:rPr>
          <w:rFonts w:ascii="宋体" w:hAnsi="宋体" w:cs="宋体" w:eastAsia="宋体" w:hint="default"/>
          <w:sz w:val="21"/>
          <w:szCs w:val="21"/>
        </w:rPr>
      </w:pPr>
    </w:p>
    <w:p>
      <w:pPr>
        <w:pStyle w:val="BodyText"/>
        <w:spacing w:line="286" w:lineRule="exact"/>
        <w:ind w:left="553" w:right="220"/>
        <w:jc w:val="both"/>
      </w:pPr>
      <w:r>
        <w:rPr/>
        <w:t>中讯设计院目前下属有规划设计院、华夏邮电咨询监理有限公司、郑州凯成实业有限公司和郑</w:t>
      </w:r>
      <w:r>
        <w:rPr>
          <w:spacing w:val="-94"/>
        </w:rPr>
        <w:t> </w:t>
      </w:r>
      <w:r>
        <w:rPr>
          <w:spacing w:val="-94"/>
        </w:rPr>
      </w:r>
      <w:r>
        <w:rPr/>
        <w:t>州中讯邮电设计技术杂志社</w:t>
      </w:r>
      <w:r>
        <w:rPr>
          <w:spacing w:val="-57"/>
        </w:rPr>
        <w:t> </w:t>
      </w:r>
      <w:r>
        <w:rPr>
          <w:rFonts w:ascii="Arial" w:hAnsi="Arial" w:cs="Arial" w:eastAsia="Arial" w:hint="default"/>
        </w:rPr>
        <w:t>4</w:t>
      </w:r>
      <w:r>
        <w:rPr>
          <w:rFonts w:ascii="Arial" w:hAnsi="Arial" w:cs="Arial" w:eastAsia="Arial" w:hint="default"/>
          <w:spacing w:val="-8"/>
        </w:rPr>
        <w:t> </w:t>
      </w:r>
      <w:r>
        <w:rPr/>
        <w:t>家子公司。</w:t>
      </w:r>
    </w:p>
    <w:p>
      <w:pPr>
        <w:spacing w:line="240" w:lineRule="auto" w:before="2"/>
        <w:rPr>
          <w:rFonts w:ascii="宋体" w:hAnsi="宋体" w:cs="宋体" w:eastAsia="宋体" w:hint="default"/>
          <w:sz w:val="17"/>
          <w:szCs w:val="17"/>
        </w:rPr>
      </w:pPr>
    </w:p>
    <w:p>
      <w:pPr>
        <w:pStyle w:val="BodyText"/>
        <w:spacing w:line="294" w:lineRule="exact"/>
        <w:ind w:left="553" w:right="0"/>
        <w:jc w:val="both"/>
      </w:pPr>
      <w:r>
        <w:rPr/>
        <w:t>联通信息导航原为联通集团的子公司，于</w:t>
      </w:r>
      <w:r>
        <w:rPr>
          <w:spacing w:val="-57"/>
        </w:rPr>
        <w:t> </w:t>
      </w:r>
      <w:r>
        <w:rPr>
          <w:rFonts w:ascii="Arial" w:hAnsi="Arial" w:cs="Arial" w:eastAsia="Arial" w:hint="default"/>
        </w:rPr>
        <w:t>1998</w:t>
      </w:r>
      <w:r>
        <w:rPr>
          <w:rFonts w:ascii="Arial" w:hAnsi="Arial" w:cs="Arial" w:eastAsia="Arial" w:hint="default"/>
          <w:spacing w:val="-8"/>
        </w:rPr>
        <w:t> </w:t>
      </w:r>
      <w:r>
        <w:rPr/>
        <w:t>年</w:t>
      </w:r>
      <w:r>
        <w:rPr>
          <w:spacing w:val="-57"/>
        </w:rPr>
        <w:t> </w:t>
      </w:r>
      <w:r>
        <w:rPr>
          <w:rFonts w:ascii="Arial" w:hAnsi="Arial" w:cs="Arial" w:eastAsia="Arial" w:hint="default"/>
        </w:rPr>
        <w:t>9</w:t>
      </w:r>
      <w:r>
        <w:rPr>
          <w:rFonts w:ascii="Arial" w:hAnsi="Arial" w:cs="Arial" w:eastAsia="Arial" w:hint="default"/>
          <w:spacing w:val="-8"/>
        </w:rPr>
        <w:t> </w:t>
      </w:r>
      <w:r>
        <w:rPr/>
        <w:t>月</w:t>
      </w:r>
      <w:r>
        <w:rPr>
          <w:spacing w:val="-57"/>
        </w:rPr>
        <w:t> </w:t>
      </w:r>
      <w:r>
        <w:rPr>
          <w:rFonts w:ascii="Arial" w:hAnsi="Arial" w:cs="Arial" w:eastAsia="Arial" w:hint="default"/>
        </w:rPr>
        <w:t>17</w:t>
      </w:r>
      <w:r>
        <w:rPr>
          <w:rFonts w:ascii="Arial" w:hAnsi="Arial" w:cs="Arial" w:eastAsia="Arial" w:hint="default"/>
          <w:spacing w:val="-8"/>
        </w:rPr>
        <w:t> </w:t>
      </w:r>
      <w:r>
        <w:rPr/>
        <w:t>日在中国北京注册成立。于</w:t>
      </w:r>
      <w:r>
        <w:rPr>
          <w:spacing w:val="-57"/>
        </w:rPr>
        <w:t> </w:t>
      </w:r>
      <w:r>
        <w:rPr>
          <w:rFonts w:ascii="Arial" w:hAnsi="Arial" w:cs="Arial" w:eastAsia="Arial" w:hint="default"/>
        </w:rPr>
        <w:t>2010</w:t>
      </w:r>
      <w:r>
        <w:rPr>
          <w:rFonts w:ascii="Arial" w:hAnsi="Arial" w:cs="Arial" w:eastAsia="Arial" w:hint="default"/>
          <w:spacing w:val="-8"/>
        </w:rPr>
        <w:t> </w:t>
      </w:r>
      <w:r>
        <w:rPr/>
        <w:t>年</w:t>
      </w:r>
    </w:p>
    <w:p>
      <w:pPr>
        <w:pStyle w:val="BodyText"/>
        <w:spacing w:line="286" w:lineRule="exact" w:before="18"/>
        <w:ind w:left="553" w:right="220"/>
        <w:jc w:val="both"/>
      </w:pPr>
      <w:r>
        <w:rPr/>
        <w:t>度，根据本集团的安排，联通信息导航的</w:t>
      </w:r>
      <w:r>
        <w:rPr>
          <w:spacing w:val="-77"/>
        </w:rPr>
        <w:t> </w:t>
      </w:r>
      <w:r>
        <w:rPr>
          <w:rFonts w:ascii="Arial" w:hAnsi="Arial" w:cs="Arial" w:eastAsia="Arial" w:hint="default"/>
        </w:rPr>
        <w:t>10010</w:t>
      </w:r>
      <w:r>
        <w:rPr>
          <w:rFonts w:ascii="Arial" w:hAnsi="Arial" w:cs="Arial" w:eastAsia="Arial" w:hint="default"/>
          <w:spacing w:val="-28"/>
        </w:rPr>
        <w:t> </w:t>
      </w:r>
      <w:r>
        <w:rPr/>
        <w:t>服务热线，以及基于综合人工信息服务平台开</w:t>
      </w:r>
      <w:r>
        <w:rPr>
          <w:w w:val="99"/>
        </w:rPr>
        <w:t> </w:t>
      </w:r>
      <w:r>
        <w:rPr/>
        <w:t>展的联通秘书、电话营销等业务已转入联通运营公司，而联通信息导航则转为主要从事联通导</w:t>
      </w:r>
      <w:r>
        <w:rPr>
          <w:spacing w:val="-94"/>
        </w:rPr>
        <w:t> </w:t>
      </w:r>
      <w:r>
        <w:rPr>
          <w:spacing w:val="-94"/>
        </w:rPr>
      </w:r>
      <w:r>
        <w:rPr/>
        <w:t>航等电信增值服务相关业务。</w:t>
      </w:r>
    </w:p>
    <w:p>
      <w:pPr>
        <w:spacing w:line="240" w:lineRule="auto" w:before="12"/>
        <w:rPr>
          <w:rFonts w:ascii="宋体" w:hAnsi="宋体" w:cs="宋体" w:eastAsia="宋体" w:hint="default"/>
          <w:sz w:val="17"/>
          <w:szCs w:val="17"/>
        </w:rPr>
      </w:pPr>
    </w:p>
    <w:p>
      <w:pPr>
        <w:pStyle w:val="BodyText"/>
        <w:spacing w:line="230" w:lineRule="auto"/>
        <w:ind w:left="540" w:right="222" w:hanging="15"/>
        <w:jc w:val="both"/>
      </w:pPr>
      <w:r>
        <w:rPr/>
        <w:t>联通兴业原为联通集团的子公司，于</w:t>
      </w:r>
      <w:r>
        <w:rPr>
          <w:spacing w:val="-47"/>
        </w:rPr>
        <w:t> </w:t>
      </w:r>
      <w:r>
        <w:rPr>
          <w:rFonts w:ascii="Arial" w:hAnsi="Arial" w:cs="Arial" w:eastAsia="Arial" w:hint="default"/>
        </w:rPr>
        <w:t>2000</w:t>
      </w:r>
      <w:r>
        <w:rPr>
          <w:rFonts w:ascii="Arial" w:hAnsi="Arial" w:cs="Arial" w:eastAsia="Arial" w:hint="default"/>
          <w:spacing w:val="3"/>
        </w:rPr>
        <w:t> </w:t>
      </w:r>
      <w:r>
        <w:rPr/>
        <w:t>年</w:t>
      </w:r>
      <w:r>
        <w:rPr>
          <w:spacing w:val="-45"/>
        </w:rPr>
        <w:t> </w:t>
      </w:r>
      <w:r>
        <w:rPr>
          <w:rFonts w:ascii="Arial" w:hAnsi="Arial" w:cs="Arial" w:eastAsia="Arial" w:hint="default"/>
        </w:rPr>
        <w:t>10</w:t>
      </w:r>
      <w:r>
        <w:rPr>
          <w:rFonts w:ascii="Arial" w:hAnsi="Arial" w:cs="Arial" w:eastAsia="Arial" w:hint="default"/>
          <w:spacing w:val="3"/>
        </w:rPr>
        <w:t> </w:t>
      </w:r>
      <w:r>
        <w:rPr/>
        <w:t>月</w:t>
      </w:r>
      <w:r>
        <w:rPr>
          <w:spacing w:val="-47"/>
        </w:rPr>
        <w:t> </w:t>
      </w:r>
      <w:r>
        <w:rPr>
          <w:rFonts w:ascii="Arial" w:hAnsi="Arial" w:cs="Arial" w:eastAsia="Arial" w:hint="default"/>
        </w:rPr>
        <w:t>30</w:t>
      </w:r>
      <w:r>
        <w:rPr>
          <w:rFonts w:ascii="Arial" w:hAnsi="Arial" w:cs="Arial" w:eastAsia="Arial" w:hint="default"/>
          <w:spacing w:val="3"/>
        </w:rPr>
        <w:t> </w:t>
      </w:r>
      <w:r>
        <w:rPr/>
        <w:t>日在中国北京注册成立。目前的主营业</w:t>
      </w:r>
      <w:r>
        <w:rPr>
          <w:w w:val="99"/>
        </w:rPr>
        <w:t> </w:t>
      </w:r>
      <w:r>
        <w:rPr/>
        <w:t>务是向联通运营公司提供移动通信业务所需的手机识别卡，同时也从事一些技术开发、通信设</w:t>
      </w:r>
      <w:r>
        <w:rPr>
          <w:spacing w:val="-101"/>
        </w:rPr>
        <w:t> </w:t>
      </w:r>
      <w:r>
        <w:rPr>
          <w:spacing w:val="-101"/>
        </w:rPr>
      </w:r>
      <w:r>
        <w:rPr/>
        <w:t>备、电子计算机及配件的销售等业务。</w:t>
      </w:r>
    </w:p>
    <w:p>
      <w:pPr>
        <w:spacing w:after="0" w:line="230" w:lineRule="auto"/>
        <w:jc w:val="both"/>
        <w:sectPr>
          <w:footerReference w:type="default" r:id="rId79"/>
          <w:pgSz w:w="11900" w:h="16840"/>
          <w:pgMar w:footer="600" w:header="1189" w:top="3040" w:bottom="780" w:left="1280" w:right="800"/>
        </w:sectPr>
      </w:pPr>
    </w:p>
    <w:p>
      <w:pPr>
        <w:spacing w:line="240" w:lineRule="auto" w:before="9"/>
        <w:rPr>
          <w:rFonts w:ascii="宋体" w:hAnsi="宋体" w:cs="宋体" w:eastAsia="宋体" w:hint="default"/>
          <w:sz w:val="16"/>
          <w:szCs w:val="16"/>
        </w:rPr>
      </w:pPr>
    </w:p>
    <w:p>
      <w:pPr>
        <w:pStyle w:val="BodyText"/>
        <w:spacing w:line="240" w:lineRule="auto" w:before="31"/>
        <w:ind w:left="173" w:right="0"/>
        <w:jc w:val="left"/>
      </w:pPr>
      <w:r>
        <w:rPr>
          <w:rFonts w:ascii="Arial" w:hAnsi="Arial" w:cs="Arial" w:eastAsia="Arial" w:hint="default"/>
        </w:rPr>
        <w:t>2</w:t>
      </w:r>
      <w:r>
        <w:rPr/>
        <w:t>、</w:t>
      </w:r>
      <w:r>
        <w:rPr>
          <w:spacing w:val="-64"/>
        </w:rPr>
        <w:t> </w:t>
      </w:r>
      <w:r>
        <w:rPr/>
        <w:t>本年度新纳入合并范围的主体和本年不再纳入合并范围的主体</w:t>
      </w:r>
    </w:p>
    <w:p>
      <w:pPr>
        <w:spacing w:line="240" w:lineRule="auto" w:before="6"/>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4177"/>
        <w:gridCol w:w="2714"/>
        <w:gridCol w:w="236"/>
        <w:gridCol w:w="2350"/>
      </w:tblGrid>
      <w:tr>
        <w:trPr>
          <w:trHeight w:val="904"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5"/>
              <w:jc w:val="center"/>
              <w:rPr>
                <w:rFonts w:ascii="宋体" w:hAnsi="宋体" w:cs="宋体" w:eastAsia="宋体" w:hint="default"/>
                <w:sz w:val="22"/>
                <w:szCs w:val="22"/>
              </w:rPr>
            </w:pPr>
            <w:r>
              <w:rPr>
                <w:rFonts w:ascii="Arial" w:hAnsi="Arial" w:cs="Arial" w:eastAsia="Arial" w:hint="default"/>
                <w:sz w:val="22"/>
                <w:szCs w:val="22"/>
              </w:rPr>
              <w:t>(a) </w:t>
            </w:r>
            <w:r>
              <w:rPr>
                <w:rFonts w:ascii="Arial" w:hAnsi="Arial" w:cs="Arial" w:eastAsia="Arial" w:hint="default"/>
                <w:spacing w:val="27"/>
                <w:sz w:val="22"/>
                <w:szCs w:val="22"/>
              </w:rPr>
              <w:t> </w:t>
            </w:r>
            <w:r>
              <w:rPr>
                <w:rFonts w:ascii="宋体" w:hAnsi="宋体" w:cs="宋体" w:eastAsia="宋体" w:hint="default"/>
                <w:sz w:val="22"/>
                <w:szCs w:val="22"/>
              </w:rPr>
              <w:t>本年新纳入合并范围的主体</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4"/>
              <w:jc w:val="center"/>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71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20"/>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Arial" w:hAnsi="Arial" w:cs="Arial" w:eastAsia="Arial" w:hint="default"/>
                <w:sz w:val="22"/>
                <w:szCs w:val="22"/>
              </w:rPr>
              <w:t>12</w:t>
            </w:r>
            <w:r>
              <w:rPr>
                <w:rFonts w:ascii="Arial" w:hAnsi="Arial" w:cs="Arial" w:eastAsia="Arial" w:hint="default"/>
                <w:spacing w:val="-19"/>
                <w:sz w:val="22"/>
                <w:szCs w:val="22"/>
              </w:rPr>
              <w:t> </w:t>
            </w:r>
            <w:r>
              <w:rPr>
                <w:rFonts w:ascii="宋体" w:hAnsi="宋体" w:cs="宋体" w:eastAsia="宋体" w:hint="default"/>
                <w:sz w:val="22"/>
                <w:szCs w:val="22"/>
              </w:rPr>
              <w:t>月</w:t>
            </w:r>
            <w:r>
              <w:rPr>
                <w:rFonts w:ascii="宋体" w:hAnsi="宋体" w:cs="宋体" w:eastAsia="宋体" w:hint="default"/>
                <w:spacing w:val="-69"/>
                <w:sz w:val="22"/>
                <w:szCs w:val="22"/>
              </w:rPr>
              <w:t> </w:t>
            </w:r>
            <w:r>
              <w:rPr>
                <w:rFonts w:ascii="Arial" w:hAnsi="Arial" w:cs="Arial" w:eastAsia="Arial" w:hint="default"/>
                <w:sz w:val="22"/>
                <w:szCs w:val="22"/>
              </w:rPr>
              <w:t>31</w:t>
            </w:r>
            <w:r>
              <w:rPr>
                <w:rFonts w:ascii="Arial" w:hAnsi="Arial" w:cs="Arial" w:eastAsia="Arial" w:hint="default"/>
                <w:spacing w:val="-20"/>
                <w:sz w:val="22"/>
                <w:szCs w:val="22"/>
              </w:rPr>
              <w:t> </w:t>
            </w:r>
            <w:r>
              <w:rPr>
                <w:rFonts w:ascii="宋体" w:hAnsi="宋体" w:cs="宋体" w:eastAsia="宋体" w:hint="default"/>
                <w:sz w:val="22"/>
                <w:szCs w:val="22"/>
              </w:rPr>
              <w:t>日净资产</w:t>
            </w:r>
          </w:p>
        </w:tc>
        <w:tc>
          <w:tcPr>
            <w:tcW w:w="236"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38"/>
              <w:jc w:val="right"/>
              <w:rPr>
                <w:rFonts w:ascii="宋体" w:hAnsi="宋体" w:cs="宋体" w:eastAsia="宋体" w:hint="default"/>
                <w:sz w:val="22"/>
                <w:szCs w:val="22"/>
              </w:rPr>
            </w:pPr>
            <w:r>
              <w:rPr>
                <w:rFonts w:ascii="宋体" w:hAnsi="宋体" w:cs="宋体" w:eastAsia="宋体" w:hint="default"/>
                <w:w w:val="95"/>
                <w:sz w:val="22"/>
                <w:szCs w:val="22"/>
              </w:rPr>
              <w:t>本年净利润</w:t>
            </w:r>
            <w:r>
              <w:rPr>
                <w:rFonts w:ascii="宋体" w:hAnsi="宋体" w:cs="宋体" w:eastAsia="宋体" w:hint="default"/>
                <w:sz w:val="22"/>
                <w:szCs w:val="22"/>
              </w:rPr>
            </w:r>
          </w:p>
        </w:tc>
      </w:tr>
      <w:tr>
        <w:trPr>
          <w:trHeight w:val="68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85" w:right="0"/>
              <w:jc w:val="left"/>
              <w:rPr>
                <w:rFonts w:ascii="宋体" w:hAnsi="宋体" w:cs="宋体" w:eastAsia="宋体" w:hint="default"/>
                <w:sz w:val="22"/>
                <w:szCs w:val="22"/>
              </w:rPr>
            </w:pPr>
            <w:r>
              <w:rPr>
                <w:rFonts w:ascii="宋体" w:hAnsi="宋体" w:cs="宋体" w:eastAsia="宋体" w:hint="default"/>
                <w:sz w:val="22"/>
                <w:szCs w:val="22"/>
              </w:rPr>
              <w:t>联通新时讯（注）</w:t>
            </w:r>
          </w:p>
        </w:tc>
        <w:tc>
          <w:tcPr>
            <w:tcW w:w="271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6"/>
              <w:jc w:val="right"/>
              <w:rPr>
                <w:rFonts w:ascii="Arial" w:hAnsi="Arial" w:cs="Arial" w:eastAsia="Arial" w:hint="default"/>
                <w:sz w:val="22"/>
                <w:szCs w:val="22"/>
              </w:rPr>
            </w:pPr>
            <w:r>
              <w:rPr>
                <w:rFonts w:ascii="Arial"/>
                <w:w w:val="95"/>
                <w:sz w:val="22"/>
              </w:rPr>
              <w:t>143</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2350"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1"/>
              <w:jc w:val="right"/>
              <w:rPr>
                <w:rFonts w:ascii="Arial" w:hAnsi="Arial" w:cs="Arial" w:eastAsia="Arial" w:hint="default"/>
                <w:sz w:val="22"/>
                <w:szCs w:val="22"/>
              </w:rPr>
            </w:pPr>
            <w:r>
              <w:rPr>
                <w:rFonts w:ascii="Arial"/>
                <w:w w:val="99"/>
                <w:sz w:val="22"/>
              </w:rPr>
              <w:t>8</w:t>
            </w:r>
            <w:r>
              <w:rPr>
                <w:rFonts w:ascii="Arial"/>
                <w:sz w:val="22"/>
              </w:rPr>
            </w:r>
          </w:p>
        </w:tc>
      </w:tr>
    </w:tbl>
    <w:p>
      <w:pPr>
        <w:spacing w:line="240" w:lineRule="auto" w:before="0"/>
        <w:rPr>
          <w:rFonts w:ascii="宋体" w:hAnsi="宋体" w:cs="宋体" w:eastAsia="宋体" w:hint="default"/>
          <w:sz w:val="7"/>
          <w:szCs w:val="7"/>
        </w:rPr>
      </w:pPr>
    </w:p>
    <w:p>
      <w:pPr>
        <w:pStyle w:val="BodyText"/>
        <w:spacing w:line="240" w:lineRule="auto" w:before="31"/>
        <w:ind w:left="509" w:right="0"/>
        <w:jc w:val="left"/>
      </w:pPr>
      <w:r>
        <w:rPr/>
        <w:t>注：联通新时讯为本年度同一控制下企业合并取得的子公司，详见附注二</w:t>
      </w:r>
      <w:r>
        <w:rPr>
          <w:rFonts w:ascii="Arial" w:hAnsi="Arial" w:cs="Arial" w:eastAsia="Arial" w:hint="default"/>
        </w:rPr>
        <w:t>(1)(a)</w:t>
      </w:r>
      <w:r>
        <w:rPr/>
        <w:t>。</w:t>
      </w:r>
    </w:p>
    <w:p>
      <w:pPr>
        <w:spacing w:line="240" w:lineRule="auto" w:before="12"/>
        <w:rPr>
          <w:rFonts w:ascii="宋体" w:hAnsi="宋体" w:cs="宋体" w:eastAsia="宋体" w:hint="default"/>
          <w:sz w:val="18"/>
          <w:szCs w:val="18"/>
        </w:rPr>
      </w:pPr>
    </w:p>
    <w:p>
      <w:pPr>
        <w:pStyle w:val="BodyText"/>
        <w:spacing w:line="240" w:lineRule="auto"/>
        <w:ind w:left="146" w:right="0"/>
        <w:jc w:val="left"/>
      </w:pPr>
      <w:r>
        <w:rPr>
          <w:rFonts w:ascii="Arial" w:hAnsi="Arial" w:cs="Arial" w:eastAsia="Arial" w:hint="default"/>
        </w:rPr>
        <w:t>(b)  </w:t>
      </w:r>
      <w:r>
        <w:rPr>
          <w:rFonts w:ascii="Arial" w:hAnsi="Arial" w:cs="Arial" w:eastAsia="Arial" w:hint="default"/>
          <w:spacing w:val="13"/>
        </w:rPr>
        <w:t> </w:t>
      </w:r>
      <w:r>
        <w:rPr/>
        <w:t>于</w:t>
      </w:r>
      <w:r>
        <w:rPr>
          <w:spacing w:val="-56"/>
        </w:rPr>
        <w:t> </w:t>
      </w:r>
      <w:r>
        <w:rPr>
          <w:rFonts w:ascii="Arial" w:hAnsi="Arial" w:cs="Arial" w:eastAsia="Arial" w:hint="default"/>
        </w:rPr>
        <w:t>2011</w:t>
      </w:r>
      <w:r>
        <w:rPr>
          <w:rFonts w:ascii="Arial" w:hAnsi="Arial" w:cs="Arial" w:eastAsia="Arial" w:hint="default"/>
          <w:spacing w:val="-7"/>
        </w:rPr>
        <w:t> </w:t>
      </w:r>
      <w:r>
        <w:rPr/>
        <w:t>年度，无不再纳入合并范围的主体。</w:t>
      </w:r>
    </w:p>
    <w:p>
      <w:pPr>
        <w:spacing w:line="240" w:lineRule="auto" w:before="12"/>
        <w:rPr>
          <w:rFonts w:ascii="宋体" w:hAnsi="宋体" w:cs="宋体" w:eastAsia="宋体" w:hint="default"/>
          <w:sz w:val="18"/>
          <w:szCs w:val="18"/>
        </w:rPr>
      </w:pPr>
    </w:p>
    <w:p>
      <w:pPr>
        <w:pStyle w:val="BodyText"/>
        <w:spacing w:line="240" w:lineRule="auto"/>
        <w:ind w:left="173" w:right="0"/>
        <w:jc w:val="left"/>
      </w:pPr>
      <w:r>
        <w:rPr>
          <w:rFonts w:ascii="Arial" w:hAnsi="Arial" w:cs="Arial" w:eastAsia="Arial" w:hint="default"/>
        </w:rPr>
        <w:t>3</w:t>
      </w:r>
      <w:r>
        <w:rPr/>
        <w:t>、同一控制下企业合并</w:t>
      </w:r>
    </w:p>
    <w:p>
      <w:pPr>
        <w:spacing w:line="240" w:lineRule="auto" w:before="5"/>
        <w:rPr>
          <w:rFonts w:ascii="宋体" w:hAnsi="宋体" w:cs="宋体" w:eastAsia="宋体" w:hint="default"/>
          <w:sz w:val="19"/>
          <w:szCs w:val="19"/>
        </w:rPr>
      </w:pPr>
    </w:p>
    <w:p>
      <w:pPr>
        <w:pStyle w:val="BodyText"/>
        <w:tabs>
          <w:tab w:pos="6538" w:val="left" w:leader="none"/>
        </w:tabs>
        <w:spacing w:line="240" w:lineRule="auto"/>
        <w:ind w:left="454" w:right="0"/>
        <w:jc w:val="left"/>
      </w:pPr>
      <w:r>
        <w:rPr/>
        <w:pict>
          <v:group style="position:absolute;margin-left:347.160004pt;margin-top:16.389046pt;width:193.75pt;height:.1pt;mso-position-horizontal-relative:page;mso-position-vertical-relative:paragraph;z-index:-822688" coordorigin="6943,328" coordsize="3875,2">
            <v:shape style="position:absolute;left:6943;top:328;width:3875;height:2" coordorigin="6943,328" coordsize="3875,0" path="m6943,328l10818,328e" filled="false" stroked="true" strokeweight=".72pt" strokecolor="#000000">
              <v:path arrowok="t"/>
            </v:shape>
            <w10:wrap type="none"/>
          </v:group>
        </w:pict>
      </w:r>
      <w:r>
        <w:rPr>
          <w:w w:val="95"/>
        </w:rPr>
        <w:t>（单位：人民币百万元）</w:t>
        <w:tab/>
      </w:r>
      <w:r>
        <w:rPr/>
        <w:t>合并当年年初至合并日</w:t>
      </w:r>
    </w:p>
    <w:p>
      <w:pPr>
        <w:spacing w:after="0" w:line="240" w:lineRule="auto"/>
        <w:jc w:val="left"/>
        <w:sectPr>
          <w:headerReference w:type="default" r:id="rId80"/>
          <w:footerReference w:type="default" r:id="rId81"/>
          <w:pgSz w:w="11900" w:h="16840"/>
          <w:pgMar w:header="1189" w:footer="600" w:top="3040" w:bottom="780" w:left="1240" w:right="780"/>
          <w:pgNumType w:start="101"/>
        </w:sectPr>
      </w:pPr>
    </w:p>
    <w:p>
      <w:pPr>
        <w:pStyle w:val="BodyText"/>
        <w:tabs>
          <w:tab w:pos="2403" w:val="left" w:leader="none"/>
        </w:tabs>
        <w:spacing w:line="240" w:lineRule="auto" w:before="17"/>
        <w:ind w:left="1714" w:right="0" w:firstLine="688"/>
        <w:jc w:val="left"/>
      </w:pPr>
      <w:r>
        <w:rPr/>
        <w:pict>
          <v:group style="position:absolute;margin-left:145.860001pt;margin-top:31.757713pt;width:25.95pt;height:.1pt;mso-position-horizontal-relative:page;mso-position-vertical-relative:paragraph;z-index:-822664" coordorigin="2917,635" coordsize="519,2">
            <v:shape style="position:absolute;left:2917;top:635;width:519;height:2" coordorigin="2917,635" coordsize="519,0" path="m2917,635l3436,635e" filled="false" stroked="true" strokeweight=".72pt" strokecolor="#000000">
              <v:path arrowok="t"/>
            </v:shape>
            <w10:wrap type="none"/>
          </v:group>
        </w:pict>
      </w:r>
      <w:r>
        <w:rPr/>
        <w:pict>
          <v:group style="position:absolute;margin-left:178.740005pt;margin-top:31.757713pt;width:93.1pt;height:.1pt;mso-position-horizontal-relative:page;mso-position-vertical-relative:paragraph;z-index:-822640" coordorigin="3575,635" coordsize="1862,2">
            <v:shape style="position:absolute;left:3575;top:635;width:1862;height:2" coordorigin="3575,635" coordsize="1862,0" path="m3575,635l5436,635e" filled="false" stroked="true" strokeweight=".72pt" strokecolor="#000000">
              <v:path arrowok="t"/>
            </v:shape>
            <w10:wrap type="none"/>
          </v:group>
        </w:pict>
      </w:r>
      <w:r>
        <w:rPr/>
        <w:t>属于同一控制下企</w:t>
      </w:r>
      <w:r>
        <w:rPr>
          <w:w w:val="99"/>
        </w:rPr>
        <w:t> </w:t>
      </w:r>
      <w:r>
        <w:rPr>
          <w:w w:val="95"/>
        </w:rPr>
        <w:t>注释</w:t>
        <w:tab/>
        <w:t>业合并的判断依据</w:t>
      </w:r>
      <w:r>
        <w:rPr/>
      </w:r>
    </w:p>
    <w:p>
      <w:pPr>
        <w:pStyle w:val="BodyText"/>
        <w:spacing w:line="240" w:lineRule="auto" w:before="17"/>
        <w:ind w:left="327" w:right="0"/>
        <w:jc w:val="left"/>
      </w:pPr>
      <w:r>
        <w:rPr/>
        <w:br w:type="column"/>
      </w:r>
      <w:r>
        <w:rPr/>
        <w:t>同一控制的</w:t>
      </w:r>
    </w:p>
    <w:p>
      <w:pPr>
        <w:pStyle w:val="BodyText"/>
        <w:tabs>
          <w:tab w:pos="1746" w:val="left" w:leader="none"/>
          <w:tab w:pos="3144" w:val="left" w:leader="none"/>
        </w:tabs>
        <w:spacing w:line="240" w:lineRule="auto" w:before="1"/>
        <w:ind w:left="327" w:right="0"/>
        <w:jc w:val="left"/>
      </w:pPr>
      <w:r>
        <w:rPr/>
        <w:pict>
          <v:group style="position:absolute;margin-left:276.119995pt;margin-top:16.138149pt;width:130.6pt;height:.75pt;mso-position-horizontal-relative:page;mso-position-vertical-relative:paragraph;z-index:-822616" coordorigin="5522,323" coordsize="2612,15">
            <v:group style="position:absolute;left:5530;top:330;width:1344;height:2" coordorigin="5530,330" coordsize="1344,2">
              <v:shape style="position:absolute;left:5530;top:330;width:1344;height:2" coordorigin="5530,330" coordsize="1344,0" path="m5530,330l6874,330e" filled="false" stroked="true" strokeweight=".72pt" strokecolor="#000000">
                <v:path arrowok="t"/>
              </v:shape>
            </v:group>
            <v:group style="position:absolute;left:6943;top:330;width:1184;height:2" coordorigin="6943,330" coordsize="1184,2">
              <v:shape style="position:absolute;left:6943;top:330;width:1184;height:2" coordorigin="6943,330" coordsize="1184,0" path="m6943,330l8126,330e" filled="false" stroked="true" strokeweight=".72pt" strokecolor="#000000">
                <v:path arrowok="t"/>
              </v:shape>
            </v:group>
            <w10:wrap type="none"/>
          </v:group>
        </w:pict>
      </w:r>
      <w:r>
        <w:rPr/>
        <w:pict>
          <v:group style="position:absolute;margin-left:412.980011pt;margin-top:16.49815pt;width:51.85pt;height:.1pt;mso-position-horizontal-relative:page;mso-position-vertical-relative:paragraph;z-index:-822592" coordorigin="8260,330" coordsize="1037,2">
            <v:shape style="position:absolute;left:8260;top:330;width:1037;height:2" coordorigin="8260,330" coordsize="1037,0" path="m8260,330l9296,330e" filled="false" stroked="true" strokeweight=".72pt" strokecolor="#000000">
              <v:path arrowok="t"/>
            </v:shape>
            <w10:wrap type="none"/>
          </v:group>
        </w:pict>
      </w:r>
      <w:r>
        <w:rPr>
          <w:w w:val="95"/>
        </w:rPr>
        <w:t>实际控制人</w:t>
        <w:tab/>
        <w:t>营业收入</w:t>
        <w:tab/>
        <w:t>净利润</w:t>
      </w:r>
      <w:r>
        <w:rPr/>
      </w:r>
    </w:p>
    <w:p>
      <w:pPr>
        <w:pStyle w:val="BodyText"/>
        <w:spacing w:line="240" w:lineRule="auto" w:before="17"/>
        <w:ind w:left="598" w:right="0"/>
        <w:jc w:val="left"/>
      </w:pPr>
      <w:r>
        <w:rPr>
          <w:w w:val="95"/>
        </w:rPr>
        <w:br w:type="column"/>
      </w:r>
      <w:r>
        <w:rPr>
          <w:w w:val="95"/>
        </w:rPr>
        <w:t>经营活动</w:t>
      </w:r>
      <w:r>
        <w:rPr>
          <w:spacing w:val="-63"/>
          <w:w w:val="95"/>
        </w:rPr>
        <w:t> </w:t>
      </w:r>
      <w:r>
        <w:rPr>
          <w:w w:val="95"/>
        </w:rPr>
        <w:t>现金流量</w:t>
      </w:r>
      <w:r>
        <w:rPr/>
      </w:r>
    </w:p>
    <w:p>
      <w:pPr>
        <w:spacing w:after="0" w:line="240" w:lineRule="auto"/>
        <w:jc w:val="left"/>
        <w:sectPr>
          <w:type w:val="continuous"/>
          <w:pgSz w:w="11900" w:h="16840"/>
          <w:pgMar w:top="1600" w:bottom="280" w:left="1240" w:right="780"/>
          <w:cols w:num="3" w:equalWidth="0">
            <w:col w:w="4163" w:space="40"/>
            <w:col w:w="3804" w:space="40"/>
            <w:col w:w="1833"/>
          </w:cols>
        </w:sectPr>
      </w:pPr>
    </w:p>
    <w:p>
      <w:pPr>
        <w:pStyle w:val="BodyText"/>
        <w:tabs>
          <w:tab w:pos="2525" w:val="left" w:leader="none"/>
          <w:tab w:pos="4750" w:val="left" w:leader="none"/>
          <w:tab w:pos="6583" w:val="left" w:leader="none"/>
          <w:tab w:pos="7884" w:val="left" w:leader="none"/>
          <w:tab w:pos="9523" w:val="right" w:leader="none"/>
        </w:tabs>
        <w:spacing w:line="240" w:lineRule="auto" w:before="13"/>
        <w:ind w:left="505" w:right="0"/>
        <w:jc w:val="left"/>
        <w:rPr>
          <w:rFonts w:ascii="Arial" w:hAnsi="Arial" w:cs="Arial" w:eastAsia="Arial" w:hint="default"/>
        </w:rPr>
      </w:pPr>
      <w:r>
        <w:rPr/>
        <w:pict>
          <v:group style="position:absolute;margin-left:471.540009pt;margin-top:2.018376pt;width:69.4pt;height:.1pt;mso-position-horizontal-relative:page;mso-position-vertical-relative:paragraph;z-index:-822568" coordorigin="9431,40" coordsize="1388,2">
            <v:shape style="position:absolute;left:9431;top:40;width:1388;height:2" coordorigin="9431,40" coordsize="1388,0" path="m9431,40l10818,40e" filled="false" stroked="true" strokeweight=".72pt" strokecolor="#000000">
              <v:path arrowok="t"/>
            </v:shape>
            <w10:wrap type="none"/>
          </v:group>
        </w:pict>
      </w:r>
      <w:r>
        <w:rPr>
          <w:position w:val="2"/>
        </w:rPr>
        <w:t>联通新时讯</w:t>
      </w:r>
      <w:r>
        <w:rPr>
          <w:spacing w:val="82"/>
          <w:position w:val="2"/>
        </w:rPr>
        <w:t> </w:t>
      </w:r>
      <w:r>
        <w:rPr>
          <w:rFonts w:ascii="Arial" w:hAnsi="Arial" w:cs="Arial" w:eastAsia="Arial" w:hint="default"/>
        </w:rPr>
        <w:t>(a)</w:t>
        <w:tab/>
      </w:r>
      <w:r>
        <w:rPr>
          <w:w w:val="95"/>
          <w:position w:val="2"/>
        </w:rPr>
        <w:t>详见附注二</w:t>
      </w:r>
      <w:r>
        <w:rPr>
          <w:rFonts w:ascii="Arial" w:hAnsi="Arial" w:cs="Arial" w:eastAsia="Arial" w:hint="default"/>
          <w:w w:val="95"/>
          <w:position w:val="2"/>
        </w:rPr>
        <w:t>(1)(a)</w:t>
        <w:tab/>
      </w:r>
      <w:r>
        <w:rPr>
          <w:w w:val="95"/>
          <w:position w:val="2"/>
        </w:rPr>
        <w:t>联通集团</w:t>
        <w:tab/>
      </w:r>
      <w:r>
        <w:rPr>
          <w:rFonts w:ascii="Arial" w:hAnsi="Arial" w:cs="Arial" w:eastAsia="Arial" w:hint="default"/>
          <w:w w:val="95"/>
        </w:rPr>
        <w:t>26</w:t>
        <w:tab/>
      </w:r>
      <w:r>
        <w:rPr>
          <w:rFonts w:ascii="Arial" w:hAnsi="Arial" w:cs="Arial" w:eastAsia="Arial" w:hint="default"/>
        </w:rPr>
        <w:t>9</w:t>
        <w:tab/>
        <w:t>33</w:t>
      </w:r>
    </w:p>
    <w:p>
      <w:pPr>
        <w:pStyle w:val="BodyText"/>
        <w:spacing w:line="240" w:lineRule="auto" w:before="218"/>
        <w:ind w:left="146" w:right="0"/>
        <w:jc w:val="left"/>
      </w:pPr>
      <w:r>
        <w:rPr>
          <w:rFonts w:ascii="Arial" w:hAnsi="Arial" w:cs="Arial" w:eastAsia="Arial" w:hint="default"/>
        </w:rPr>
        <w:t>(a)</w:t>
      </w:r>
      <w:r>
        <w:rPr>
          <w:rFonts w:ascii="Arial" w:hAnsi="Arial" w:cs="Arial" w:eastAsia="Arial" w:hint="default"/>
          <w:spacing w:val="4"/>
        </w:rPr>
        <w:t> </w:t>
      </w:r>
      <w:r>
        <w:rPr/>
        <w:t>收购联通新时讯</w:t>
      </w:r>
    </w:p>
    <w:p>
      <w:pPr>
        <w:pStyle w:val="BodyText"/>
        <w:spacing w:line="230" w:lineRule="auto" w:before="245"/>
        <w:ind w:left="538" w:right="99"/>
        <w:jc w:val="both"/>
      </w:pPr>
      <w:r>
        <w:rPr/>
        <w:t>如附注一</w:t>
      </w:r>
      <w:r>
        <w:rPr>
          <w:rFonts w:ascii="Arial" w:hAnsi="Arial" w:cs="Arial" w:eastAsia="Arial" w:hint="default"/>
        </w:rPr>
        <w:t>(2)</w:t>
      </w:r>
      <w:r>
        <w:rPr/>
        <w:t>所述，于</w:t>
      </w:r>
      <w:r>
        <w:rPr>
          <w:spacing w:val="-43"/>
        </w:rPr>
        <w:t> </w:t>
      </w:r>
      <w:r>
        <w:rPr>
          <w:rFonts w:ascii="Arial" w:hAnsi="Arial" w:cs="Arial" w:eastAsia="Arial" w:hint="default"/>
        </w:rPr>
        <w:t>2011</w:t>
      </w:r>
      <w:r>
        <w:rPr>
          <w:rFonts w:ascii="Arial" w:hAnsi="Arial" w:cs="Arial" w:eastAsia="Arial" w:hint="default"/>
          <w:spacing w:val="6"/>
        </w:rPr>
        <w:t> </w:t>
      </w:r>
      <w:r>
        <w:rPr/>
        <w:t>年</w:t>
      </w:r>
      <w:r>
        <w:rPr>
          <w:spacing w:val="-43"/>
        </w:rPr>
        <w:t> </w:t>
      </w:r>
      <w:r>
        <w:rPr>
          <w:rFonts w:ascii="Arial" w:hAnsi="Arial" w:cs="Arial" w:eastAsia="Arial" w:hint="default"/>
        </w:rPr>
        <w:t>12</w:t>
      </w:r>
      <w:r>
        <w:rPr>
          <w:rFonts w:ascii="Arial" w:hAnsi="Arial" w:cs="Arial" w:eastAsia="Arial" w:hint="default"/>
          <w:spacing w:val="7"/>
        </w:rPr>
        <w:t> </w:t>
      </w:r>
      <w:r>
        <w:rPr/>
        <w:t>月</w:t>
      </w:r>
      <w:r>
        <w:rPr>
          <w:spacing w:val="-42"/>
        </w:rPr>
        <w:t> </w:t>
      </w:r>
      <w:r>
        <w:rPr>
          <w:rFonts w:ascii="Arial" w:hAnsi="Arial" w:cs="Arial" w:eastAsia="Arial" w:hint="default"/>
        </w:rPr>
        <w:t>1</w:t>
      </w:r>
      <w:r>
        <w:rPr>
          <w:rFonts w:ascii="Arial" w:hAnsi="Arial" w:cs="Arial" w:eastAsia="Arial" w:hint="default"/>
          <w:spacing w:val="6"/>
        </w:rPr>
        <w:t> </w:t>
      </w:r>
      <w:r>
        <w:rPr/>
        <w:t>日，本公司所属子公司宽带在线收购联通集团全资子公司</w:t>
      </w:r>
      <w:r>
        <w:rPr>
          <w:w w:val="99"/>
        </w:rPr>
        <w:t> </w:t>
      </w:r>
      <w:r>
        <w:rPr/>
        <w:t>联通新时讯，宽带在线于当日完全控制了联通新时讯的财务和经营决策，并自该日起享有联通新</w:t>
      </w:r>
      <w:r>
        <w:rPr>
          <w:w w:val="99"/>
        </w:rPr>
        <w:t> </w:t>
      </w:r>
      <w:r>
        <w:rPr/>
        <w:t>时讯的相应收益并承担相应的风险。故本次交易的合并日为</w:t>
      </w:r>
      <w:r>
        <w:rPr>
          <w:spacing w:val="-64"/>
        </w:rPr>
        <w:t> </w:t>
      </w:r>
      <w:r>
        <w:rPr>
          <w:rFonts w:ascii="Arial" w:hAnsi="Arial" w:cs="Arial" w:eastAsia="Arial" w:hint="default"/>
        </w:rPr>
        <w:t>2011</w:t>
      </w:r>
      <w:r>
        <w:rPr>
          <w:rFonts w:ascii="Arial" w:hAnsi="Arial" w:cs="Arial" w:eastAsia="Arial" w:hint="default"/>
          <w:spacing w:val="-15"/>
        </w:rPr>
        <w:t> </w:t>
      </w:r>
      <w:r>
        <w:rPr/>
        <w:t>年</w:t>
      </w:r>
      <w:r>
        <w:rPr>
          <w:spacing w:val="-64"/>
        </w:rPr>
        <w:t> </w:t>
      </w:r>
      <w:r>
        <w:rPr>
          <w:rFonts w:ascii="Arial" w:hAnsi="Arial" w:cs="Arial" w:eastAsia="Arial" w:hint="default"/>
        </w:rPr>
        <w:t>12</w:t>
      </w:r>
      <w:r>
        <w:rPr>
          <w:rFonts w:ascii="Arial" w:hAnsi="Arial" w:cs="Arial" w:eastAsia="Arial" w:hint="default"/>
          <w:spacing w:val="-15"/>
        </w:rPr>
        <w:t> </w:t>
      </w:r>
      <w:r>
        <w:rPr/>
        <w:t>月</w:t>
      </w:r>
      <w:r>
        <w:rPr>
          <w:spacing w:val="-64"/>
        </w:rPr>
        <w:t> </w:t>
      </w:r>
      <w:r>
        <w:rPr>
          <w:rFonts w:ascii="Arial" w:hAnsi="Arial" w:cs="Arial" w:eastAsia="Arial" w:hint="default"/>
        </w:rPr>
        <w:t>1</w:t>
      </w:r>
      <w:r>
        <w:rPr>
          <w:rFonts w:ascii="Arial" w:hAnsi="Arial" w:cs="Arial" w:eastAsia="Arial" w:hint="default"/>
          <w:spacing w:val="-15"/>
        </w:rPr>
        <w:t> </w:t>
      </w:r>
      <w:r>
        <w:rPr>
          <w:spacing w:val="-5"/>
        </w:rPr>
        <w:t>日，即宽带在线实际</w:t>
      </w:r>
      <w:r>
        <w:rPr>
          <w:w w:val="99"/>
        </w:rPr>
        <w:t> </w:t>
      </w:r>
      <w:r>
        <w:rPr/>
        <w:t>取得联通新时讯控制权的日期。</w:t>
      </w:r>
    </w:p>
    <w:p>
      <w:pPr>
        <w:spacing w:line="240" w:lineRule="auto" w:before="10"/>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6726"/>
        <w:gridCol w:w="2766"/>
      </w:tblGrid>
      <w:tr>
        <w:trPr>
          <w:trHeight w:val="900"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(i) </w:t>
            </w:r>
            <w:r>
              <w:rPr>
                <w:rFonts w:ascii="Arial" w:hAnsi="Arial" w:cs="Arial" w:eastAsia="Arial" w:hint="default"/>
                <w:spacing w:val="58"/>
                <w:sz w:val="22"/>
                <w:szCs w:val="22"/>
              </w:rPr>
              <w:t> </w:t>
            </w:r>
            <w:r>
              <w:rPr>
                <w:rFonts w:ascii="宋体" w:hAnsi="宋体" w:cs="宋体" w:eastAsia="宋体" w:hint="default"/>
                <w:sz w:val="22"/>
                <w:szCs w:val="22"/>
              </w:rPr>
              <w:t>于收购完成日，联通新时讯的净资产账面价值如下：</w:t>
            </w:r>
          </w:p>
        </w:tc>
        <w:tc>
          <w:tcPr>
            <w:tcW w:w="276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4"/>
              <w:jc w:val="right"/>
              <w:rPr>
                <w:rFonts w:ascii="宋体" w:hAnsi="宋体" w:cs="宋体" w:eastAsia="宋体" w:hint="default"/>
                <w:sz w:val="22"/>
                <w:szCs w:val="22"/>
              </w:rPr>
            </w:pPr>
            <w:r>
              <w:rPr>
                <w:rFonts w:ascii="宋体" w:hAnsi="宋体" w:cs="宋体" w:eastAsia="宋体" w:hint="default"/>
                <w:w w:val="95"/>
                <w:sz w:val="22"/>
                <w:szCs w:val="22"/>
              </w:rPr>
              <w:t>（单位：人民币百万元）</w:t>
            </w:r>
            <w:r>
              <w:rPr>
                <w:rFonts w:ascii="宋体" w:hAnsi="宋体" w:cs="宋体" w:eastAsia="宋体" w:hint="default"/>
                <w:sz w:val="22"/>
                <w:szCs w:val="22"/>
              </w:rPr>
            </w:r>
          </w:p>
        </w:tc>
      </w:tr>
      <w:tr>
        <w:trPr>
          <w:trHeight w:val="558"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8" w:right="0"/>
              <w:jc w:val="left"/>
              <w:rPr>
                <w:rFonts w:ascii="宋体" w:hAnsi="宋体" w:cs="宋体" w:eastAsia="宋体" w:hint="default"/>
                <w:sz w:val="22"/>
                <w:szCs w:val="22"/>
              </w:rPr>
            </w:pPr>
            <w:r>
              <w:rPr>
                <w:rFonts w:ascii="宋体" w:hAnsi="宋体" w:cs="宋体" w:eastAsia="宋体" w:hint="default"/>
                <w:sz w:val="22"/>
                <w:szCs w:val="22"/>
              </w:rPr>
              <w:t>合并成本－支付的现金</w:t>
            </w:r>
          </w:p>
        </w:tc>
        <w:tc>
          <w:tcPr>
            <w:tcW w:w="276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5"/>
              <w:jc w:val="right"/>
              <w:rPr>
                <w:rFonts w:ascii="Arial" w:hAnsi="Arial" w:cs="Arial" w:eastAsia="Arial" w:hint="default"/>
                <w:sz w:val="22"/>
                <w:szCs w:val="22"/>
              </w:rPr>
            </w:pPr>
            <w:r>
              <w:rPr>
                <w:rFonts w:ascii="Arial"/>
                <w:w w:val="95"/>
                <w:sz w:val="22"/>
              </w:rPr>
              <w:t>158</w:t>
            </w:r>
            <w:r>
              <w:rPr>
                <w:rFonts w:ascii="Arial"/>
                <w:sz w:val="22"/>
              </w:rPr>
            </w:r>
          </w:p>
        </w:tc>
      </w:tr>
      <w:tr>
        <w:trPr>
          <w:trHeight w:val="293"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39" w:lineRule="exact"/>
              <w:ind w:left="428" w:right="0"/>
              <w:jc w:val="left"/>
              <w:rPr>
                <w:rFonts w:ascii="宋体" w:hAnsi="宋体" w:cs="宋体" w:eastAsia="宋体" w:hint="default"/>
                <w:sz w:val="22"/>
                <w:szCs w:val="22"/>
              </w:rPr>
            </w:pPr>
            <w:r>
              <w:rPr>
                <w:rFonts w:ascii="宋体" w:hAnsi="宋体" w:cs="宋体" w:eastAsia="宋体" w:hint="default"/>
                <w:sz w:val="22"/>
                <w:szCs w:val="22"/>
              </w:rPr>
              <w:t>减：取得的净资产账面价值</w:t>
            </w:r>
          </w:p>
        </w:tc>
        <w:tc>
          <w:tcPr>
            <w:tcW w:w="2766" w:type="dxa"/>
            <w:tcBorders>
              <w:top w:val="nil" w:sz="6" w:space="0" w:color="auto"/>
              <w:left w:val="nil" w:sz="6" w:space="0" w:color="auto"/>
              <w:bottom w:val="nil" w:sz="6" w:space="0" w:color="auto"/>
              <w:right w:val="nil" w:sz="6" w:space="0" w:color="auto"/>
            </w:tcBorders>
          </w:tcPr>
          <w:p>
            <w:pPr>
              <w:pStyle w:val="TableParagraph"/>
              <w:tabs>
                <w:tab w:pos="2123" w:val="left" w:leader="none"/>
                <w:tab w:pos="2716"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(143)</w:t>
            </w:r>
            <w:r>
              <w:rPr>
                <w:rFonts w:ascii="Arial"/>
                <w:sz w:val="22"/>
                <w:u w:val="single" w:color="000000"/>
              </w:rPr>
              <w:tab/>
            </w:r>
            <w:r>
              <w:rPr>
                <w:rFonts w:ascii="Arial"/>
                <w:sz w:val="22"/>
              </w:rPr>
            </w:r>
          </w:p>
        </w:tc>
      </w:tr>
      <w:tr>
        <w:trPr>
          <w:trHeight w:val="303"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7" w:lineRule="exact"/>
              <w:ind w:left="428" w:right="0"/>
              <w:jc w:val="left"/>
              <w:rPr>
                <w:rFonts w:ascii="宋体" w:hAnsi="宋体" w:cs="宋体" w:eastAsia="宋体" w:hint="default"/>
                <w:sz w:val="22"/>
                <w:szCs w:val="22"/>
              </w:rPr>
            </w:pPr>
            <w:r>
              <w:rPr>
                <w:rFonts w:ascii="宋体" w:hAnsi="宋体" w:cs="宋体" w:eastAsia="宋体" w:hint="default"/>
                <w:sz w:val="22"/>
                <w:szCs w:val="22"/>
              </w:rPr>
              <w:t>调整合并方留存收益的金额（注）</w:t>
            </w:r>
          </w:p>
        </w:tc>
        <w:tc>
          <w:tcPr>
            <w:tcW w:w="2766"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85"/>
              <w:jc w:val="right"/>
              <w:rPr>
                <w:rFonts w:ascii="Arial" w:hAnsi="Arial" w:cs="Arial" w:eastAsia="Arial" w:hint="default"/>
                <w:sz w:val="22"/>
                <w:szCs w:val="22"/>
              </w:rPr>
            </w:pPr>
            <w:r>
              <w:rPr>
                <w:rFonts w:ascii="Arial"/>
                <w:w w:val="95"/>
                <w:sz w:val="22"/>
              </w:rPr>
              <w:t>15</w:t>
            </w:r>
            <w:r>
              <w:rPr>
                <w:rFonts w:ascii="Arial"/>
                <w:sz w:val="22"/>
              </w:rPr>
            </w:r>
          </w:p>
        </w:tc>
      </w:tr>
    </w:tbl>
    <w:p>
      <w:pPr>
        <w:spacing w:line="240" w:lineRule="auto" w:before="1"/>
        <w:rPr>
          <w:rFonts w:ascii="宋体" w:hAnsi="宋体" w:cs="宋体" w:eastAsia="宋体" w:hint="default"/>
          <w:sz w:val="17"/>
          <w:szCs w:val="17"/>
        </w:rPr>
      </w:pPr>
    </w:p>
    <w:p>
      <w:pPr>
        <w:pStyle w:val="BodyText"/>
        <w:spacing w:line="286" w:lineRule="exact"/>
        <w:ind w:left="964" w:right="0" w:hanging="455"/>
        <w:jc w:val="left"/>
      </w:pPr>
      <w:r>
        <w:rPr>
          <w:spacing w:val="2"/>
        </w:rPr>
        <w:t>注：由于合并方宽带在线账面无资本公积余额以冲减合并过程中合并对价超过被合并方联通新</w:t>
      </w:r>
      <w:r>
        <w:rPr>
          <w:w w:val="99"/>
        </w:rPr>
        <w:t> </w:t>
      </w:r>
      <w:r>
        <w:rPr/>
        <w:t>时讯净资产之间的差额，故此直接调整宽带在线账面留存收益。</w:t>
      </w:r>
    </w:p>
    <w:p>
      <w:pPr>
        <w:spacing w:after="0" w:line="286" w:lineRule="exact"/>
        <w:jc w:val="left"/>
        <w:sectPr>
          <w:type w:val="continuous"/>
          <w:pgSz w:w="11900" w:h="16840"/>
          <w:pgMar w:top="1600" w:bottom="280" w:left="1240" w:right="780"/>
        </w:sectPr>
      </w:pPr>
    </w:p>
    <w:p>
      <w:pPr>
        <w:spacing w:line="240" w:lineRule="auto" w:before="10"/>
        <w:rPr>
          <w:rFonts w:ascii="宋体" w:hAnsi="宋体" w:cs="宋体" w:eastAsia="宋体" w:hint="default"/>
          <w:sz w:val="16"/>
          <w:szCs w:val="16"/>
        </w:rPr>
      </w:pPr>
    </w:p>
    <w:p>
      <w:pPr>
        <w:pStyle w:val="BodyText"/>
        <w:spacing w:line="240" w:lineRule="auto" w:before="31"/>
        <w:ind w:left="148" w:right="0"/>
        <w:jc w:val="left"/>
        <w:rPr>
          <w:rFonts w:ascii="黑体" w:hAnsi="黑体" w:cs="黑体" w:eastAsia="黑体" w:hint="default"/>
        </w:rPr>
      </w:pPr>
      <w:r>
        <w:rPr>
          <w:rFonts w:ascii="黑体" w:hAnsi="黑体" w:cs="黑体" w:eastAsia="黑体" w:hint="default"/>
        </w:rPr>
        <w:t>四、企业合并及合并财务报表（续）</w:t>
      </w:r>
    </w:p>
    <w:p>
      <w:pPr>
        <w:pStyle w:val="BodyText"/>
        <w:spacing w:line="372" w:lineRule="auto" w:before="135"/>
        <w:ind w:left="105" w:right="6659" w:firstLine="56"/>
        <w:jc w:val="left"/>
      </w:pPr>
      <w:r>
        <w:rPr>
          <w:rFonts w:ascii="Arial" w:hAnsi="Arial" w:cs="Arial" w:eastAsia="Arial" w:hint="default"/>
        </w:rPr>
        <w:t>3</w:t>
      </w:r>
      <w:r>
        <w:rPr/>
        <w:t>、</w:t>
      </w:r>
      <w:r>
        <w:rPr>
          <w:spacing w:val="-93"/>
        </w:rPr>
        <w:t> </w:t>
      </w:r>
      <w:r>
        <w:rPr/>
        <w:t>同一控制下企业合并（续）</w:t>
      </w:r>
      <w:r>
        <w:rPr>
          <w:w w:val="99"/>
        </w:rPr>
        <w:t> </w:t>
      </w:r>
      <w:r>
        <w:rPr>
          <w:rFonts w:ascii="Arial" w:hAnsi="Arial" w:cs="Arial" w:eastAsia="Arial" w:hint="default"/>
        </w:rPr>
        <w:t>(a) </w:t>
      </w:r>
      <w:r>
        <w:rPr>
          <w:rFonts w:ascii="Arial" w:hAnsi="Arial" w:cs="Arial" w:eastAsia="Arial" w:hint="default"/>
          <w:spacing w:val="24"/>
        </w:rPr>
        <w:t> </w:t>
      </w:r>
      <w:r>
        <w:rPr/>
        <w:t>收购联通新时讯（续）</w:t>
      </w:r>
    </w:p>
    <w:p>
      <w:pPr>
        <w:pStyle w:val="BodyText"/>
        <w:spacing w:line="240" w:lineRule="auto" w:before="30"/>
        <w:ind w:left="105" w:right="0"/>
        <w:jc w:val="left"/>
      </w:pPr>
      <w:r>
        <w:rPr>
          <w:rFonts w:ascii="Arial" w:hAnsi="Arial" w:cs="Arial" w:eastAsia="Arial" w:hint="default"/>
        </w:rPr>
        <w:t>(ii) </w:t>
      </w:r>
      <w:r>
        <w:rPr>
          <w:rFonts w:ascii="Arial" w:hAnsi="Arial" w:cs="Arial" w:eastAsia="Arial" w:hint="default"/>
          <w:spacing w:val="47"/>
        </w:rPr>
        <w:t> </w:t>
      </w:r>
      <w:r>
        <w:rPr/>
        <w:t>联通新时讯于合并日（</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日）的资产、负债账面价值列示如下：</w:t>
      </w:r>
    </w:p>
    <w:p>
      <w:pPr>
        <w:spacing w:line="240" w:lineRule="auto" w:before="3"/>
        <w:rPr>
          <w:rFonts w:ascii="宋体" w:hAnsi="宋体" w:cs="宋体" w:eastAsia="宋体" w:hint="default"/>
          <w:sz w:val="10"/>
          <w:szCs w:val="10"/>
        </w:rPr>
      </w:pPr>
    </w:p>
    <w:tbl>
      <w:tblPr>
        <w:tblW w:w="0" w:type="auto"/>
        <w:jc w:val="left"/>
        <w:tblInd w:w="592" w:type="dxa"/>
        <w:tblLayout w:type="fixed"/>
        <w:tblCellMar>
          <w:top w:w="0" w:type="dxa"/>
          <w:left w:w="0" w:type="dxa"/>
          <w:bottom w:w="0" w:type="dxa"/>
          <w:right w:w="0" w:type="dxa"/>
        </w:tblCellMar>
        <w:tblLook w:val="01E0"/>
      </w:tblPr>
      <w:tblGrid>
        <w:gridCol w:w="4733"/>
        <w:gridCol w:w="2118"/>
        <w:gridCol w:w="2022"/>
      </w:tblGrid>
      <w:tr>
        <w:trPr>
          <w:trHeight w:val="361" w:hRule="exact"/>
        </w:trPr>
        <w:tc>
          <w:tcPr>
            <w:tcW w:w="473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118"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3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02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6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18"/>
                <w:sz w:val="22"/>
                <w:szCs w:val="22"/>
              </w:rPr>
              <w:t> </w:t>
            </w: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Arial" w:hAnsi="Arial" w:cs="Arial" w:eastAsia="Arial" w:hint="default"/>
                <w:sz w:val="22"/>
                <w:szCs w:val="22"/>
              </w:rPr>
              <w:t>12</w:t>
            </w:r>
            <w:r>
              <w:rPr>
                <w:rFonts w:ascii="Arial" w:hAnsi="Arial" w:cs="Arial" w:eastAsia="Arial" w:hint="default"/>
                <w:spacing w:val="-19"/>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Arial" w:hAnsi="Arial" w:cs="Arial" w:eastAsia="Arial" w:hint="default"/>
                <w:sz w:val="22"/>
                <w:szCs w:val="22"/>
              </w:rPr>
              <w:t>31</w:t>
            </w:r>
            <w:r>
              <w:rPr>
                <w:rFonts w:ascii="Arial" w:hAnsi="Arial" w:cs="Arial" w:eastAsia="Arial" w:hint="default"/>
                <w:spacing w:val="-18"/>
                <w:sz w:val="22"/>
                <w:szCs w:val="22"/>
              </w:rPr>
              <w:t> </w:t>
            </w:r>
            <w:r>
              <w:rPr>
                <w:rFonts w:ascii="宋体" w:hAnsi="宋体" w:cs="宋体" w:eastAsia="宋体" w:hint="default"/>
                <w:sz w:val="22"/>
                <w:szCs w:val="22"/>
              </w:rPr>
              <w:t>日</w:t>
            </w:r>
          </w:p>
        </w:tc>
      </w:tr>
      <w:tr>
        <w:trPr>
          <w:trHeight w:val="418" w:hRule="exact"/>
        </w:trPr>
        <w:tc>
          <w:tcPr>
            <w:tcW w:w="4733" w:type="dxa"/>
            <w:tcBorders>
              <w:top w:val="nil" w:sz="6" w:space="0" w:color="auto"/>
              <w:left w:val="nil" w:sz="6" w:space="0" w:color="auto"/>
              <w:bottom w:val="nil" w:sz="6" w:space="0" w:color="auto"/>
              <w:right w:val="nil" w:sz="6" w:space="0" w:color="auto"/>
            </w:tcBorders>
          </w:tcPr>
          <w:p>
            <w:pPr/>
          </w:p>
        </w:tc>
        <w:tc>
          <w:tcPr>
            <w:tcW w:w="2118" w:type="dxa"/>
            <w:tcBorders>
              <w:top w:val="single" w:sz="6" w:space="0" w:color="000000"/>
              <w:left w:val="nil" w:sz="6" w:space="0" w:color="auto"/>
              <w:bottom w:val="nil" w:sz="6" w:space="0" w:color="auto"/>
              <w:right w:val="nil" w:sz="6" w:space="0" w:color="auto"/>
            </w:tcBorders>
          </w:tcPr>
          <w:p>
            <w:pPr>
              <w:pStyle w:val="TableParagraph"/>
              <w:spacing w:line="252" w:lineRule="exact"/>
              <w:ind w:right="137"/>
              <w:jc w:val="right"/>
              <w:rPr>
                <w:rFonts w:ascii="宋体" w:hAnsi="宋体" w:cs="宋体" w:eastAsia="宋体" w:hint="default"/>
                <w:sz w:val="22"/>
                <w:szCs w:val="22"/>
              </w:rPr>
            </w:pPr>
            <w:r>
              <w:rPr>
                <w:rFonts w:ascii="宋体" w:hAnsi="宋体" w:cs="宋体" w:eastAsia="宋体" w:hint="default"/>
                <w:w w:val="95"/>
                <w:sz w:val="22"/>
                <w:szCs w:val="22"/>
              </w:rPr>
              <w:t>账面价值</w:t>
            </w:r>
            <w:r>
              <w:rPr>
                <w:rFonts w:ascii="宋体" w:hAnsi="宋体" w:cs="宋体" w:eastAsia="宋体" w:hint="default"/>
                <w:sz w:val="22"/>
                <w:szCs w:val="22"/>
              </w:rPr>
            </w:r>
          </w:p>
        </w:tc>
        <w:tc>
          <w:tcPr>
            <w:tcW w:w="2022" w:type="dxa"/>
            <w:tcBorders>
              <w:top w:val="single" w:sz="6" w:space="0" w:color="000000"/>
              <w:left w:val="nil" w:sz="6" w:space="0" w:color="auto"/>
              <w:bottom w:val="nil" w:sz="6" w:space="0" w:color="auto"/>
              <w:right w:val="nil" w:sz="6" w:space="0" w:color="auto"/>
            </w:tcBorders>
          </w:tcPr>
          <w:p>
            <w:pPr>
              <w:pStyle w:val="TableParagraph"/>
              <w:spacing w:line="252" w:lineRule="exact"/>
              <w:ind w:right="61"/>
              <w:jc w:val="right"/>
              <w:rPr>
                <w:rFonts w:ascii="宋体" w:hAnsi="宋体" w:cs="宋体" w:eastAsia="宋体" w:hint="default"/>
                <w:sz w:val="22"/>
                <w:szCs w:val="22"/>
              </w:rPr>
            </w:pPr>
            <w:r>
              <w:rPr>
                <w:rFonts w:ascii="宋体" w:hAnsi="宋体" w:cs="宋体" w:eastAsia="宋体" w:hint="default"/>
                <w:w w:val="95"/>
                <w:sz w:val="22"/>
                <w:szCs w:val="22"/>
              </w:rPr>
              <w:t>账面价值</w:t>
            </w:r>
            <w:r>
              <w:rPr>
                <w:rFonts w:ascii="宋体" w:hAnsi="宋体" w:cs="宋体" w:eastAsia="宋体" w:hint="default"/>
                <w:sz w:val="22"/>
                <w:szCs w:val="22"/>
              </w:rPr>
            </w:r>
          </w:p>
        </w:tc>
      </w:tr>
      <w:tr>
        <w:trPr>
          <w:trHeight w:val="425" w:hRule="exact"/>
        </w:trPr>
        <w:tc>
          <w:tcPr>
            <w:tcW w:w="47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72"/>
              <w:jc w:val="right"/>
              <w:rPr>
                <w:rFonts w:ascii="Arial" w:hAnsi="Arial" w:cs="Arial" w:eastAsia="Arial" w:hint="default"/>
                <w:sz w:val="22"/>
                <w:szCs w:val="22"/>
              </w:rPr>
            </w:pPr>
            <w:r>
              <w:rPr>
                <w:rFonts w:ascii="Arial"/>
                <w:w w:val="95"/>
                <w:sz w:val="22"/>
              </w:rPr>
              <w:t>132</w:t>
            </w:r>
            <w:r>
              <w:rPr>
                <w:rFonts w:ascii="Arial"/>
                <w:sz w:val="22"/>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15"/>
              <w:jc w:val="right"/>
              <w:rPr>
                <w:rFonts w:ascii="Arial" w:hAnsi="Arial" w:cs="Arial" w:eastAsia="Arial" w:hint="default"/>
                <w:sz w:val="22"/>
                <w:szCs w:val="22"/>
              </w:rPr>
            </w:pPr>
            <w:r>
              <w:rPr>
                <w:rFonts w:ascii="Arial"/>
                <w:w w:val="95"/>
                <w:sz w:val="22"/>
              </w:rPr>
              <w:t>102</w:t>
            </w:r>
            <w:r>
              <w:rPr>
                <w:rFonts w:ascii="Arial"/>
                <w:sz w:val="22"/>
              </w:rPr>
            </w:r>
          </w:p>
        </w:tc>
      </w:tr>
      <w:tr>
        <w:trPr>
          <w:trHeight w:val="285" w:hRule="exact"/>
        </w:trPr>
        <w:tc>
          <w:tcPr>
            <w:tcW w:w="4733" w:type="dxa"/>
            <w:tcBorders>
              <w:top w:val="nil" w:sz="6" w:space="0" w:color="auto"/>
              <w:left w:val="nil" w:sz="6" w:space="0" w:color="auto"/>
              <w:bottom w:val="nil" w:sz="6" w:space="0" w:color="auto"/>
              <w:right w:val="nil" w:sz="6" w:space="0" w:color="auto"/>
            </w:tcBorders>
          </w:tcPr>
          <w:p>
            <w:pPr>
              <w:pStyle w:val="TableParagraph"/>
              <w:spacing w:line="239" w:lineRule="exact"/>
              <w:ind w:left="97" w:right="0"/>
              <w:jc w:val="left"/>
              <w:rPr>
                <w:rFonts w:ascii="宋体" w:hAnsi="宋体" w:cs="宋体" w:eastAsia="宋体" w:hint="default"/>
                <w:sz w:val="22"/>
                <w:szCs w:val="22"/>
              </w:rPr>
            </w:pPr>
            <w:r>
              <w:rPr>
                <w:rFonts w:ascii="宋体" w:hAnsi="宋体" w:cs="宋体" w:eastAsia="宋体" w:hint="default"/>
                <w:sz w:val="22"/>
                <w:szCs w:val="22"/>
              </w:rPr>
              <w:t>应收款项及其他流动资产</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2"/>
              <w:jc w:val="right"/>
              <w:rPr>
                <w:rFonts w:ascii="Arial" w:hAnsi="Arial" w:cs="Arial" w:eastAsia="Arial" w:hint="default"/>
                <w:sz w:val="22"/>
                <w:szCs w:val="22"/>
              </w:rPr>
            </w:pPr>
            <w:r>
              <w:rPr>
                <w:rFonts w:ascii="Arial"/>
                <w:w w:val="95"/>
                <w:sz w:val="22"/>
              </w:rPr>
              <w:t>18</w:t>
            </w:r>
            <w:r>
              <w:rPr>
                <w:rFonts w:ascii="Arial"/>
                <w:sz w:val="22"/>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32</w:t>
            </w:r>
            <w:r>
              <w:rPr>
                <w:rFonts w:ascii="Arial"/>
                <w:sz w:val="22"/>
              </w:rPr>
            </w:r>
          </w:p>
        </w:tc>
      </w:tr>
      <w:tr>
        <w:trPr>
          <w:trHeight w:val="286" w:hRule="exact"/>
        </w:trPr>
        <w:tc>
          <w:tcPr>
            <w:tcW w:w="4733" w:type="dxa"/>
            <w:tcBorders>
              <w:top w:val="nil" w:sz="6" w:space="0" w:color="auto"/>
              <w:left w:val="nil" w:sz="6" w:space="0" w:color="auto"/>
              <w:bottom w:val="nil" w:sz="6" w:space="0" w:color="auto"/>
              <w:right w:val="nil" w:sz="6" w:space="0" w:color="auto"/>
            </w:tcBorders>
          </w:tcPr>
          <w:p>
            <w:pPr>
              <w:pStyle w:val="TableParagraph"/>
              <w:spacing w:line="239" w:lineRule="exact"/>
              <w:ind w:left="89" w:right="0"/>
              <w:jc w:val="left"/>
              <w:rPr>
                <w:rFonts w:ascii="宋体" w:hAnsi="宋体" w:cs="宋体" w:eastAsia="宋体" w:hint="default"/>
                <w:sz w:val="22"/>
                <w:szCs w:val="22"/>
              </w:rPr>
            </w:pPr>
            <w:r>
              <w:rPr>
                <w:rFonts w:ascii="宋体" w:hAnsi="宋体" w:cs="宋体" w:eastAsia="宋体" w:hint="default"/>
                <w:sz w:val="22"/>
                <w:szCs w:val="22"/>
              </w:rPr>
              <w:t>固定资产及其他非流动资产</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2"/>
              <w:jc w:val="right"/>
              <w:rPr>
                <w:rFonts w:ascii="Arial" w:hAnsi="Arial" w:cs="Arial" w:eastAsia="Arial" w:hint="default"/>
                <w:sz w:val="22"/>
                <w:szCs w:val="22"/>
              </w:rPr>
            </w:pPr>
            <w:r>
              <w:rPr>
                <w:rFonts w:ascii="Arial"/>
                <w:w w:val="95"/>
                <w:sz w:val="22"/>
              </w:rPr>
              <w:t>18</w:t>
            </w:r>
            <w:r>
              <w:rPr>
                <w:rFonts w:ascii="Arial"/>
                <w:sz w:val="22"/>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21</w:t>
            </w:r>
            <w:r>
              <w:rPr>
                <w:rFonts w:ascii="Arial"/>
                <w:sz w:val="22"/>
              </w:rPr>
            </w:r>
          </w:p>
        </w:tc>
      </w:tr>
      <w:tr>
        <w:trPr>
          <w:trHeight w:val="266" w:hRule="exact"/>
        </w:trPr>
        <w:tc>
          <w:tcPr>
            <w:tcW w:w="4733" w:type="dxa"/>
            <w:tcBorders>
              <w:top w:val="nil" w:sz="6" w:space="0" w:color="auto"/>
              <w:left w:val="nil" w:sz="6" w:space="0" w:color="auto"/>
              <w:bottom w:val="nil" w:sz="6" w:space="0" w:color="auto"/>
              <w:right w:val="nil" w:sz="6" w:space="0" w:color="auto"/>
            </w:tcBorders>
          </w:tcPr>
          <w:p>
            <w:pPr>
              <w:pStyle w:val="TableParagraph"/>
              <w:spacing w:line="239" w:lineRule="exact"/>
              <w:ind w:left="97" w:right="0"/>
              <w:jc w:val="left"/>
              <w:rPr>
                <w:rFonts w:ascii="宋体" w:hAnsi="宋体" w:cs="宋体" w:eastAsia="宋体" w:hint="default"/>
                <w:sz w:val="22"/>
                <w:szCs w:val="22"/>
              </w:rPr>
            </w:pPr>
            <w:r>
              <w:rPr>
                <w:rFonts w:ascii="宋体" w:hAnsi="宋体" w:cs="宋体" w:eastAsia="宋体" w:hint="default"/>
                <w:sz w:val="22"/>
                <w:szCs w:val="22"/>
              </w:rPr>
              <w:t>减：应付职工薪酬</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Arial" w:hAnsi="Arial" w:cs="Arial" w:eastAsia="Arial" w:hint="default"/>
                <w:sz w:val="22"/>
                <w:szCs w:val="22"/>
              </w:rPr>
            </w:pPr>
            <w:r>
              <w:rPr>
                <w:rFonts w:ascii="Arial"/>
                <w:w w:val="95"/>
                <w:sz w:val="22"/>
              </w:rPr>
              <w:t>(2)</w:t>
            </w:r>
            <w:r>
              <w:rPr>
                <w:rFonts w:ascii="Arial"/>
                <w:sz w:val="22"/>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2"/>
              <w:jc w:val="right"/>
              <w:rPr>
                <w:rFonts w:ascii="Arial" w:hAnsi="Arial" w:cs="Arial" w:eastAsia="Arial" w:hint="default"/>
                <w:sz w:val="22"/>
                <w:szCs w:val="22"/>
              </w:rPr>
            </w:pPr>
            <w:r>
              <w:rPr>
                <w:rFonts w:ascii="Arial"/>
                <w:w w:val="95"/>
                <w:sz w:val="22"/>
              </w:rPr>
              <w:t>(3)</w:t>
            </w:r>
            <w:r>
              <w:rPr>
                <w:rFonts w:ascii="Arial"/>
                <w:sz w:val="22"/>
              </w:rPr>
            </w:r>
          </w:p>
        </w:tc>
      </w:tr>
    </w:tbl>
    <w:p>
      <w:pPr>
        <w:pStyle w:val="BodyText"/>
        <w:tabs>
          <w:tab w:pos="5325" w:val="left" w:leader="none"/>
          <w:tab w:pos="6951" w:val="left" w:leader="none"/>
          <w:tab w:pos="9152" w:val="left" w:leader="none"/>
        </w:tabs>
        <w:spacing w:line="279" w:lineRule="exact"/>
        <w:ind w:left="1132" w:right="0"/>
        <w:jc w:val="left"/>
        <w:rPr>
          <w:rFonts w:ascii="Arial" w:hAnsi="Arial" w:cs="Arial" w:eastAsia="Arial" w:hint="default"/>
        </w:rPr>
      </w:pPr>
      <w:r>
        <w:rPr>
          <w:w w:val="95"/>
          <w:position w:val="2"/>
        </w:rPr>
        <w:t>应付款项及其他负债</w:t>
        <w:tab/>
      </w:r>
      <w:r>
        <w:rPr>
          <w:rFonts w:ascii="Arial" w:hAnsi="Arial" w:cs="Arial" w:eastAsia="Arial" w:hint="default"/>
          <w:w w:val="95"/>
        </w:rPr>
      </w:r>
      <w:r>
        <w:rPr>
          <w:rFonts w:ascii="Arial" w:hAnsi="Arial" w:cs="Arial" w:eastAsia="Arial" w:hint="default"/>
          <w:w w:val="95"/>
          <w:u w:val="single" w:color="000000"/>
        </w:rPr>
        <w:t> </w:t>
        <w:tab/>
        <w:t>(23)</w:t>
        <w:tab/>
      </w:r>
      <w:r>
        <w:rPr>
          <w:rFonts w:ascii="Arial" w:hAnsi="Arial" w:cs="Arial" w:eastAsia="Arial" w:hint="default"/>
          <w:u w:val="single" w:color="000000"/>
        </w:rPr>
        <w:t>(9)</w:t>
      </w:r>
      <w:r>
        <w:rPr>
          <w:rFonts w:ascii="Arial" w:hAnsi="Arial" w:cs="Arial" w:eastAsia="Arial" w:hint="default"/>
        </w:rPr>
      </w:r>
    </w:p>
    <w:p>
      <w:pPr>
        <w:pStyle w:val="BodyText"/>
        <w:tabs>
          <w:tab w:pos="5311" w:val="left" w:leader="none"/>
          <w:tab w:pos="6902" w:val="left" w:leader="none"/>
          <w:tab w:pos="8981" w:val="left" w:leader="none"/>
          <w:tab w:pos="9465" w:val="left" w:leader="none"/>
        </w:tabs>
        <w:spacing w:line="312" w:lineRule="exact"/>
        <w:ind w:left="628" w:right="0"/>
        <w:jc w:val="left"/>
        <w:rPr>
          <w:rFonts w:ascii="Arial" w:hAnsi="Arial" w:cs="Arial" w:eastAsia="Arial" w:hint="default"/>
        </w:rPr>
      </w:pPr>
      <w:r>
        <w:rPr>
          <w:w w:val="95"/>
          <w:position w:val="2"/>
        </w:rPr>
        <w:t>取得的净资产</w:t>
        <w:tab/>
      </w:r>
      <w:r>
        <w:rPr>
          <w:rFonts w:ascii="Arial" w:hAnsi="Arial" w:cs="Arial" w:eastAsia="Arial" w:hint="default"/>
          <w:w w:val="95"/>
        </w:rPr>
      </w:r>
      <w:r>
        <w:rPr>
          <w:rFonts w:ascii="Arial" w:hAnsi="Arial" w:cs="Arial" w:eastAsia="Arial" w:hint="default"/>
          <w:w w:val="95"/>
          <w:u w:val="thick" w:color="000000"/>
        </w:rPr>
        <w:t> </w:t>
        <w:tab/>
        <w:t>143</w:t>
        <w:tab/>
      </w:r>
      <w:r>
        <w:rPr>
          <w:rFonts w:ascii="Arial" w:hAnsi="Arial" w:cs="Arial" w:eastAsia="Arial" w:hint="default"/>
          <w:u w:val="thick" w:color="000000"/>
        </w:rPr>
        <w:t>143</w:t>
        <w:tab/>
      </w:r>
      <w:r>
        <w:rPr>
          <w:rFonts w:ascii="Arial" w:hAnsi="Arial" w:cs="Arial" w:eastAsia="Arial" w:hint="default"/>
        </w:rPr>
      </w:r>
    </w:p>
    <w:p>
      <w:pPr>
        <w:spacing w:line="240" w:lineRule="auto" w:before="11"/>
        <w:rPr>
          <w:rFonts w:ascii="Arial" w:hAnsi="Arial" w:cs="Arial" w:eastAsia="Arial" w:hint="default"/>
          <w:sz w:val="18"/>
          <w:szCs w:val="18"/>
        </w:rPr>
      </w:pPr>
    </w:p>
    <w:p>
      <w:pPr>
        <w:pStyle w:val="BodyText"/>
        <w:spacing w:line="284" w:lineRule="exact" w:before="61"/>
        <w:ind w:left="567" w:right="0" w:hanging="448"/>
        <w:jc w:val="left"/>
      </w:pPr>
      <w:r>
        <w:rPr>
          <w:rFonts w:ascii="Arial" w:hAnsi="Arial" w:cs="Arial" w:eastAsia="Arial" w:hint="default"/>
        </w:rPr>
        <w:t>(iii)</w:t>
      </w:r>
      <w:r>
        <w:rPr>
          <w:rFonts w:ascii="Arial" w:hAnsi="Arial" w:cs="Arial" w:eastAsia="Arial" w:hint="default"/>
          <w:spacing w:val="27"/>
        </w:rPr>
        <w:t> </w:t>
      </w:r>
      <w:r>
        <w:rPr/>
        <w:t>联通新时讯自</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w:t>
      </w:r>
      <w:r>
        <w:rPr>
          <w:spacing w:val="-57"/>
        </w:rPr>
        <w:t> </w:t>
      </w:r>
      <w:r>
        <w:rPr>
          <w:rFonts w:ascii="Arial" w:hAnsi="Arial" w:cs="Arial" w:eastAsia="Arial" w:hint="default"/>
        </w:rPr>
        <w:t>1</w:t>
      </w:r>
      <w:r>
        <w:rPr>
          <w:rFonts w:ascii="Arial" w:hAnsi="Arial" w:cs="Arial" w:eastAsia="Arial" w:hint="default"/>
          <w:spacing w:val="-8"/>
        </w:rPr>
        <w:t> </w:t>
      </w:r>
      <w:r>
        <w:rPr/>
        <w:t>日至合并日（</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1</w:t>
      </w:r>
      <w:r>
        <w:rPr>
          <w:rFonts w:ascii="Arial" w:hAnsi="Arial" w:cs="Arial" w:eastAsia="Arial" w:hint="default"/>
          <w:spacing w:val="-8"/>
        </w:rPr>
        <w:t> </w:t>
      </w:r>
      <w:r>
        <w:rPr/>
        <w:t>日）止期间和</w:t>
      </w:r>
      <w:r>
        <w:rPr>
          <w:spacing w:val="-57"/>
        </w:rPr>
        <w:t> </w:t>
      </w:r>
      <w:r>
        <w:rPr>
          <w:rFonts w:ascii="Arial" w:hAnsi="Arial" w:cs="Arial" w:eastAsia="Arial" w:hint="default"/>
        </w:rPr>
        <w:t>2010</w:t>
      </w:r>
      <w:r>
        <w:rPr>
          <w:rFonts w:ascii="Arial" w:hAnsi="Arial" w:cs="Arial" w:eastAsia="Arial" w:hint="default"/>
          <w:spacing w:val="-8"/>
        </w:rPr>
        <w:t> </w:t>
      </w:r>
      <w:r>
        <w:rPr/>
        <w:t>年度的收入、净</w:t>
      </w:r>
      <w:r>
        <w:rPr>
          <w:w w:val="99"/>
        </w:rPr>
        <w:t> </w:t>
      </w:r>
      <w:r>
        <w:rPr/>
        <w:t>利润和现金流量列示如下：</w:t>
      </w:r>
    </w:p>
    <w:p>
      <w:pPr>
        <w:spacing w:line="240" w:lineRule="auto" w:before="10"/>
        <w:rPr>
          <w:rFonts w:ascii="宋体" w:hAnsi="宋体" w:cs="宋体" w:eastAsia="宋体" w:hint="default"/>
          <w:sz w:val="14"/>
          <w:szCs w:val="14"/>
        </w:rPr>
      </w:pPr>
    </w:p>
    <w:tbl>
      <w:tblPr>
        <w:tblW w:w="0" w:type="auto"/>
        <w:jc w:val="left"/>
        <w:tblInd w:w="152" w:type="dxa"/>
        <w:tblLayout w:type="fixed"/>
        <w:tblCellMar>
          <w:top w:w="0" w:type="dxa"/>
          <w:left w:w="0" w:type="dxa"/>
          <w:bottom w:w="0" w:type="dxa"/>
          <w:right w:w="0" w:type="dxa"/>
        </w:tblCellMar>
        <w:tblLook w:val="01E0"/>
      </w:tblPr>
      <w:tblGrid>
        <w:gridCol w:w="5050"/>
        <w:gridCol w:w="2394"/>
        <w:gridCol w:w="1978"/>
      </w:tblGrid>
      <w:tr>
        <w:trPr>
          <w:trHeight w:val="645"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75"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394" w:type="dxa"/>
            <w:tcBorders>
              <w:top w:val="nil" w:sz="6" w:space="0" w:color="auto"/>
              <w:left w:val="nil" w:sz="6" w:space="0" w:color="auto"/>
              <w:bottom w:val="nil" w:sz="6" w:space="0" w:color="auto"/>
              <w:right w:val="nil" w:sz="6" w:space="0" w:color="auto"/>
            </w:tcBorders>
          </w:tcPr>
          <w:p>
            <w:pPr>
              <w:pStyle w:val="TableParagraph"/>
              <w:spacing w:line="295" w:lineRule="exact" w:before="31"/>
              <w:ind w:left="223" w:right="0"/>
              <w:jc w:val="left"/>
              <w:rPr>
                <w:rFonts w:ascii="宋体" w:hAnsi="宋体" w:cs="宋体" w:eastAsia="宋体" w:hint="default"/>
                <w:sz w:val="22"/>
                <w:szCs w:val="22"/>
              </w:rPr>
            </w:pPr>
            <w:r>
              <w:rPr>
                <w:rFonts w:ascii="宋体" w:hAnsi="宋体" w:cs="宋体" w:eastAsia="宋体" w:hint="default"/>
                <w:sz w:val="22"/>
                <w:szCs w:val="22"/>
              </w:rPr>
              <w:t>自</w:t>
            </w:r>
            <w:r>
              <w:rPr>
                <w:rFonts w:ascii="宋体" w:hAnsi="宋体" w:cs="宋体" w:eastAsia="宋体" w:hint="default"/>
                <w:spacing w:val="-56"/>
                <w:sz w:val="22"/>
                <w:szCs w:val="22"/>
              </w:rPr>
              <w:t> </w:t>
            </w: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日</w:t>
            </w:r>
          </w:p>
          <w:p>
            <w:pPr>
              <w:pStyle w:val="TableParagraph"/>
              <w:spacing w:line="279" w:lineRule="exact"/>
              <w:ind w:left="1066" w:right="0"/>
              <w:jc w:val="left"/>
              <w:rPr>
                <w:rFonts w:ascii="宋体" w:hAnsi="宋体" w:cs="宋体" w:eastAsia="宋体" w:hint="default"/>
                <w:sz w:val="22"/>
                <w:szCs w:val="22"/>
              </w:rPr>
            </w:pPr>
            <w:r>
              <w:rPr>
                <w:rFonts w:ascii="宋体" w:hAnsi="宋体" w:cs="宋体" w:eastAsia="宋体" w:hint="default"/>
                <w:sz w:val="22"/>
                <w:szCs w:val="22"/>
              </w:rPr>
              <w:t>至合并日止</w:t>
            </w:r>
          </w:p>
        </w:tc>
        <w:tc>
          <w:tcPr>
            <w:tcW w:w="1978"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89"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2394" w:type="dxa"/>
            <w:tcBorders>
              <w:top w:val="nil" w:sz="6" w:space="0" w:color="auto"/>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112pt;height:.75pt;mso-position-horizontal-relative:char;mso-position-vertical-relative:line" coordorigin="0,0" coordsize="2240,15">
                  <v:group style="position:absolute;left:7;top:7;width:2225;height:2" coordorigin="7,7" coordsize="2225,2">
                    <v:shape style="position:absolute;left:7;top:7;width:2225;height:2" coordorigin="7,7" coordsize="2225,0" path="m7,7l223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93"/>
              <w:jc w:val="right"/>
              <w:rPr>
                <w:rFonts w:ascii="Arial" w:hAnsi="Arial" w:cs="Arial" w:eastAsia="Arial" w:hint="default"/>
                <w:sz w:val="22"/>
                <w:szCs w:val="22"/>
              </w:rPr>
            </w:pPr>
            <w:r>
              <w:rPr>
                <w:rFonts w:ascii="Arial"/>
                <w:w w:val="95"/>
                <w:sz w:val="22"/>
              </w:rPr>
              <w:t>26</w:t>
            </w:r>
            <w:r>
              <w:rPr>
                <w:rFonts w:ascii="Arial"/>
                <w:sz w:val="22"/>
              </w:rPr>
            </w:r>
          </w:p>
        </w:tc>
        <w:tc>
          <w:tcPr>
            <w:tcW w:w="197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6"/>
              <w:jc w:val="right"/>
              <w:rPr>
                <w:rFonts w:ascii="Arial" w:hAnsi="Arial" w:cs="Arial" w:eastAsia="Arial" w:hint="default"/>
                <w:sz w:val="22"/>
                <w:szCs w:val="22"/>
              </w:rPr>
            </w:pPr>
            <w:r>
              <w:rPr>
                <w:rFonts w:ascii="Arial"/>
                <w:w w:val="95"/>
                <w:sz w:val="22"/>
              </w:rPr>
              <w:t>75</w:t>
            </w:r>
            <w:r>
              <w:rPr>
                <w:rFonts w:ascii="Arial"/>
                <w:sz w:val="22"/>
              </w:rPr>
            </w:r>
          </w:p>
        </w:tc>
      </w:tr>
      <w:tr>
        <w:trPr>
          <w:trHeight w:val="285"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39" w:lineRule="exact"/>
              <w:ind w:left="489"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3"/>
              <w:jc w:val="right"/>
              <w:rPr>
                <w:rFonts w:ascii="Arial" w:hAnsi="Arial" w:cs="Arial" w:eastAsia="Arial" w:hint="default"/>
                <w:sz w:val="22"/>
                <w:szCs w:val="22"/>
              </w:rPr>
            </w:pPr>
            <w:r>
              <w:rPr>
                <w:rFonts w:ascii="Arial"/>
                <w:w w:val="99"/>
                <w:sz w:val="22"/>
              </w:rPr>
              <w:t>9</w:t>
            </w:r>
            <w:r>
              <w:rPr>
                <w:rFonts w:ascii="Arial"/>
                <w:sz w:val="22"/>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5"/>
                <w:sz w:val="22"/>
              </w:rPr>
              <w:t>20</w:t>
            </w:r>
            <w:r>
              <w:rPr>
                <w:rFonts w:ascii="Arial"/>
                <w:sz w:val="22"/>
              </w:rPr>
            </w:r>
          </w:p>
        </w:tc>
      </w:tr>
      <w:tr>
        <w:trPr>
          <w:trHeight w:val="286"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39" w:lineRule="exact"/>
              <w:ind w:left="489" w:right="0"/>
              <w:jc w:val="left"/>
              <w:rPr>
                <w:rFonts w:ascii="宋体" w:hAnsi="宋体" w:cs="宋体" w:eastAsia="宋体" w:hint="default"/>
                <w:sz w:val="22"/>
                <w:szCs w:val="22"/>
              </w:rPr>
            </w:pPr>
            <w:r>
              <w:rPr>
                <w:rFonts w:ascii="宋体" w:hAnsi="宋体" w:cs="宋体" w:eastAsia="宋体" w:hint="default"/>
                <w:sz w:val="22"/>
                <w:szCs w:val="22"/>
              </w:rPr>
              <w:t>经营活动现金流入净额</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3"/>
              <w:jc w:val="right"/>
              <w:rPr>
                <w:rFonts w:ascii="Arial" w:hAnsi="Arial" w:cs="Arial" w:eastAsia="Arial" w:hint="default"/>
                <w:sz w:val="22"/>
                <w:szCs w:val="22"/>
              </w:rPr>
            </w:pPr>
            <w:r>
              <w:rPr>
                <w:rFonts w:ascii="Arial"/>
                <w:w w:val="95"/>
                <w:sz w:val="22"/>
              </w:rPr>
              <w:t>33</w:t>
            </w:r>
            <w:r>
              <w:rPr>
                <w:rFonts w:ascii="Arial"/>
                <w:sz w:val="22"/>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5"/>
                <w:sz w:val="22"/>
              </w:rPr>
              <w:t>31</w:t>
            </w:r>
            <w:r>
              <w:rPr>
                <w:rFonts w:ascii="Arial"/>
                <w:sz w:val="22"/>
              </w:rPr>
            </w:r>
          </w:p>
        </w:tc>
      </w:tr>
      <w:tr>
        <w:trPr>
          <w:trHeight w:val="418"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39" w:lineRule="exact"/>
              <w:ind w:left="489"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3"/>
              <w:jc w:val="right"/>
              <w:rPr>
                <w:rFonts w:ascii="Arial" w:hAnsi="Arial" w:cs="Arial" w:eastAsia="Arial" w:hint="default"/>
                <w:sz w:val="22"/>
                <w:szCs w:val="22"/>
              </w:rPr>
            </w:pPr>
            <w:r>
              <w:rPr>
                <w:rFonts w:ascii="Arial"/>
                <w:w w:val="95"/>
                <w:sz w:val="22"/>
              </w:rPr>
              <w:t>30</w:t>
            </w:r>
            <w:r>
              <w:rPr>
                <w:rFonts w:ascii="Arial"/>
                <w:sz w:val="22"/>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5"/>
                <w:sz w:val="22"/>
              </w:rPr>
              <w:t>27</w:t>
            </w:r>
            <w:r>
              <w:rPr>
                <w:rFonts w:ascii="Arial"/>
                <w:sz w:val="22"/>
              </w:rPr>
            </w:r>
          </w:p>
        </w:tc>
      </w:tr>
      <w:tr>
        <w:trPr>
          <w:trHeight w:val="493"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2"/>
                <w:szCs w:val="22"/>
              </w:rPr>
            </w:pPr>
            <w:r>
              <w:rPr>
                <w:rFonts w:ascii="Arial" w:hAnsi="Arial" w:cs="Arial" w:eastAsia="Arial" w:hint="default"/>
                <w:sz w:val="22"/>
                <w:szCs w:val="22"/>
              </w:rPr>
              <w:t>4</w:t>
            </w:r>
            <w:r>
              <w:rPr>
                <w:rFonts w:ascii="宋体" w:hAnsi="宋体" w:cs="宋体" w:eastAsia="宋体" w:hint="default"/>
                <w:sz w:val="22"/>
                <w:szCs w:val="22"/>
              </w:rPr>
              <w:t>、境外经营实体主要报表项目的折算汇率</w:t>
            </w:r>
          </w:p>
        </w:tc>
        <w:tc>
          <w:tcPr>
            <w:tcW w:w="2394"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
        </w:tc>
      </w:tr>
      <w:tr>
        <w:trPr>
          <w:trHeight w:val="371" w:hRule="exact"/>
        </w:trPr>
        <w:tc>
          <w:tcPr>
            <w:tcW w:w="5050" w:type="dxa"/>
            <w:tcBorders>
              <w:top w:val="nil" w:sz="6" w:space="0" w:color="auto"/>
              <w:left w:val="nil" w:sz="6" w:space="0" w:color="auto"/>
              <w:bottom w:val="single" w:sz="6" w:space="0" w:color="000000"/>
              <w:right w:val="nil" w:sz="6" w:space="0" w:color="auto"/>
            </w:tcBorders>
          </w:tcPr>
          <w:p>
            <w:pPr/>
          </w:p>
        </w:tc>
        <w:tc>
          <w:tcPr>
            <w:tcW w:w="2394" w:type="dxa"/>
            <w:tcBorders>
              <w:top w:val="nil" w:sz="6" w:space="0" w:color="auto"/>
              <w:left w:val="nil" w:sz="6" w:space="0" w:color="auto"/>
              <w:bottom w:val="single" w:sz="6" w:space="0" w:color="000000"/>
              <w:right w:val="nil" w:sz="6" w:space="0" w:color="auto"/>
            </w:tcBorders>
          </w:tcPr>
          <w:p>
            <w:pPr>
              <w:pStyle w:val="TableParagraph"/>
              <w:spacing w:line="240" w:lineRule="auto" w:before="41"/>
              <w:ind w:left="854" w:right="0"/>
              <w:jc w:val="left"/>
              <w:rPr>
                <w:rFonts w:ascii="宋体" w:hAnsi="宋体" w:cs="宋体" w:eastAsia="宋体" w:hint="default"/>
                <w:sz w:val="22"/>
                <w:szCs w:val="22"/>
              </w:rPr>
            </w:pPr>
            <w:r>
              <w:rPr>
                <w:rFonts w:ascii="宋体" w:hAnsi="宋体" w:cs="宋体" w:eastAsia="宋体" w:hint="default"/>
                <w:w w:val="95"/>
                <w:sz w:val="22"/>
                <w:szCs w:val="22"/>
              </w:rPr>
              <w:t>资产和负债项目</w:t>
            </w:r>
            <w:r>
              <w:rPr>
                <w:rFonts w:ascii="宋体" w:hAnsi="宋体" w:cs="宋体" w:eastAsia="宋体" w:hint="default"/>
                <w:sz w:val="22"/>
                <w:szCs w:val="22"/>
              </w:rPr>
            </w:r>
          </w:p>
        </w:tc>
        <w:tc>
          <w:tcPr>
            <w:tcW w:w="1978" w:type="dxa"/>
            <w:tcBorders>
              <w:top w:val="nil" w:sz="6" w:space="0" w:color="auto"/>
              <w:left w:val="nil" w:sz="6" w:space="0" w:color="auto"/>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86" w:lineRule="exact" w:before="60"/>
        <w:ind w:left="997" w:right="0" w:hanging="450"/>
        <w:jc w:val="left"/>
      </w:pPr>
      <w:r>
        <w:rPr/>
        <w:pict>
          <v:shape style="position:absolute;margin-left:90.523415pt;margin-top:-110.318054pt;width:452.2pt;height:104.9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2"/>
                    <w:gridCol w:w="2693"/>
                    <w:gridCol w:w="133"/>
                    <w:gridCol w:w="2665"/>
                  </w:tblGrid>
                  <w:tr>
                    <w:trPr>
                      <w:trHeight w:val="398" w:hRule="exact"/>
                    </w:trPr>
                    <w:tc>
                      <w:tcPr>
                        <w:tcW w:w="355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6" w:space="0" w:color="000000"/>
                          <w:right w:val="nil" w:sz="6" w:space="0" w:color="auto"/>
                        </w:tcBorders>
                      </w:tcPr>
                      <w:p>
                        <w:pPr>
                          <w:pStyle w:val="TableParagraph"/>
                          <w:spacing w:line="240" w:lineRule="auto" w:before="68"/>
                          <w:ind w:right="5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nil" w:sz="6" w:space="0" w:color="auto"/>
                          <w:left w:val="nil" w:sz="6" w:space="0" w:color="auto"/>
                          <w:bottom w:val="single" w:sz="6" w:space="0" w:color="000000"/>
                          <w:right w:val="nil" w:sz="6" w:space="0" w:color="auto"/>
                        </w:tcBorders>
                      </w:tcPr>
                      <w:p>
                        <w:pPr>
                          <w:pStyle w:val="TableParagraph"/>
                          <w:spacing w:line="240" w:lineRule="auto" w:before="68"/>
                          <w:ind w:right="57"/>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71"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2"/>
                            <w:szCs w:val="22"/>
                          </w:rPr>
                        </w:pPr>
                        <w:r>
                          <w:rPr>
                            <w:rFonts w:ascii="宋体" w:hAnsi="宋体" w:cs="宋体" w:eastAsia="宋体" w:hint="default"/>
                            <w:sz w:val="22"/>
                            <w:szCs w:val="22"/>
                          </w:rPr>
                          <w:t>美洲地区子公司及亿迅公司</w:t>
                        </w:r>
                      </w:p>
                    </w:tc>
                    <w:tc>
                      <w:tcPr>
                        <w:tcW w:w="2693" w:type="dxa"/>
                        <w:tcBorders>
                          <w:top w:val="single" w:sz="6" w:space="0" w:color="000000"/>
                          <w:left w:val="nil" w:sz="6" w:space="0" w:color="auto"/>
                          <w:bottom w:val="nil" w:sz="6" w:space="0" w:color="auto"/>
                          <w:right w:val="nil" w:sz="6" w:space="0" w:color="auto"/>
                        </w:tcBorders>
                      </w:tcPr>
                      <w:p>
                        <w:pPr>
                          <w:pStyle w:val="TableParagraph"/>
                          <w:spacing w:line="240" w:lineRule="auto" w:before="135"/>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美元</w:t>
                        </w:r>
                        <w:r>
                          <w:rPr>
                            <w:rFonts w:ascii="Arial" w:hAnsi="Arial" w:cs="Arial" w:eastAsia="Arial" w:hint="default"/>
                            <w:sz w:val="22"/>
                            <w:szCs w:val="22"/>
                          </w:rPr>
                          <w:t>=6.3009</w:t>
                        </w:r>
                        <w:r>
                          <w:rPr>
                            <w:rFonts w:ascii="Arial" w:hAnsi="Arial" w:cs="Arial" w:eastAsia="Arial" w:hint="default"/>
                            <w:spacing w:val="-16"/>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single" w:sz="6" w:space="0" w:color="000000"/>
                          <w:left w:val="nil" w:sz="6" w:space="0" w:color="auto"/>
                          <w:bottom w:val="nil" w:sz="6" w:space="0" w:color="auto"/>
                          <w:right w:val="nil" w:sz="6" w:space="0" w:color="auto"/>
                        </w:tcBorders>
                      </w:tcPr>
                      <w:p>
                        <w:pPr>
                          <w:pStyle w:val="TableParagraph"/>
                          <w:spacing w:line="240" w:lineRule="auto" w:before="135"/>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美元</w:t>
                        </w:r>
                        <w:r>
                          <w:rPr>
                            <w:rFonts w:ascii="Arial" w:hAnsi="Arial" w:cs="Arial" w:eastAsia="Arial" w:hint="default"/>
                            <w:sz w:val="22"/>
                            <w:szCs w:val="22"/>
                          </w:rPr>
                          <w:t>=6.6227</w:t>
                        </w:r>
                        <w:r>
                          <w:rPr>
                            <w:rFonts w:ascii="Arial" w:hAnsi="Arial" w:cs="Arial" w:eastAsia="Arial" w:hint="default"/>
                            <w:spacing w:val="-16"/>
                            <w:sz w:val="22"/>
                            <w:szCs w:val="22"/>
                          </w:rPr>
                          <w:t> </w:t>
                        </w:r>
                        <w:r>
                          <w:rPr>
                            <w:rFonts w:ascii="宋体" w:hAnsi="宋体" w:cs="宋体" w:eastAsia="宋体" w:hint="default"/>
                            <w:sz w:val="22"/>
                            <w:szCs w:val="22"/>
                          </w:rPr>
                          <w:t>人民币</w:t>
                        </w:r>
                      </w:p>
                    </w:tc>
                  </w:tr>
                  <w:tr>
                    <w:trPr>
                      <w:trHeight w:val="29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宋体" w:hAnsi="宋体" w:cs="宋体" w:eastAsia="宋体" w:hint="default"/>
                            <w:sz w:val="22"/>
                            <w:szCs w:val="22"/>
                          </w:rPr>
                        </w:pPr>
                        <w:r>
                          <w:rPr>
                            <w:rFonts w:ascii="宋体" w:hAnsi="宋体" w:cs="宋体" w:eastAsia="宋体" w:hint="default"/>
                            <w:sz w:val="22"/>
                            <w:szCs w:val="22"/>
                          </w:rPr>
                          <w:t>香港地区子公司（除亿迅公司外）</w:t>
                        </w:r>
                      </w:p>
                    </w:tc>
                    <w:tc>
                      <w:tcPr>
                        <w:tcW w:w="2693"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港币</w:t>
                        </w:r>
                        <w:r>
                          <w:rPr>
                            <w:rFonts w:ascii="Arial" w:hAnsi="Arial" w:cs="Arial" w:eastAsia="Arial" w:hint="default"/>
                            <w:sz w:val="22"/>
                            <w:szCs w:val="22"/>
                          </w:rPr>
                          <w:t>=0.8107</w:t>
                        </w:r>
                        <w:r>
                          <w:rPr>
                            <w:rFonts w:ascii="Arial" w:hAnsi="Arial" w:cs="Arial" w:eastAsia="Arial" w:hint="default"/>
                            <w:spacing w:val="-16"/>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港币</w:t>
                        </w:r>
                        <w:r>
                          <w:rPr>
                            <w:rFonts w:ascii="Arial" w:hAnsi="Arial" w:cs="Arial" w:eastAsia="Arial" w:hint="default"/>
                            <w:sz w:val="22"/>
                            <w:szCs w:val="22"/>
                          </w:rPr>
                          <w:t>=0.8509</w:t>
                        </w:r>
                        <w:r>
                          <w:rPr>
                            <w:rFonts w:ascii="Arial" w:hAnsi="Arial" w:cs="Arial" w:eastAsia="Arial" w:hint="default"/>
                            <w:spacing w:val="-16"/>
                            <w:sz w:val="22"/>
                            <w:szCs w:val="22"/>
                          </w:rPr>
                          <w:t> </w:t>
                        </w:r>
                        <w:r>
                          <w:rPr>
                            <w:rFonts w:ascii="宋体" w:hAnsi="宋体" w:cs="宋体" w:eastAsia="宋体" w:hint="default"/>
                            <w:sz w:val="22"/>
                            <w:szCs w:val="22"/>
                          </w:rPr>
                          <w:t>人民币</w:t>
                        </w:r>
                      </w:p>
                    </w:tc>
                  </w:tr>
                  <w:tr>
                    <w:trPr>
                      <w:trHeight w:val="29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2"/>
                            <w:szCs w:val="22"/>
                          </w:rPr>
                        </w:pPr>
                        <w:r>
                          <w:rPr>
                            <w:rFonts w:ascii="宋体" w:hAnsi="宋体" w:cs="宋体" w:eastAsia="宋体" w:hint="default"/>
                            <w:sz w:val="22"/>
                            <w:szCs w:val="22"/>
                          </w:rPr>
                          <w:t>日本地区子公司</w:t>
                        </w:r>
                      </w:p>
                    </w:tc>
                    <w:tc>
                      <w:tcPr>
                        <w:tcW w:w="2693"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日元</w:t>
                        </w:r>
                        <w:r>
                          <w:rPr>
                            <w:rFonts w:ascii="Arial" w:hAnsi="Arial" w:cs="Arial" w:eastAsia="Arial" w:hint="default"/>
                            <w:sz w:val="22"/>
                            <w:szCs w:val="22"/>
                          </w:rPr>
                          <w:t>=0.0811</w:t>
                        </w:r>
                        <w:r>
                          <w:rPr>
                            <w:rFonts w:ascii="Arial" w:hAnsi="Arial" w:cs="Arial" w:eastAsia="Arial" w:hint="default"/>
                            <w:spacing w:val="-16"/>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日元</w:t>
                        </w:r>
                        <w:r>
                          <w:rPr>
                            <w:rFonts w:ascii="Arial" w:hAnsi="Arial" w:cs="Arial" w:eastAsia="Arial" w:hint="default"/>
                            <w:sz w:val="22"/>
                            <w:szCs w:val="22"/>
                          </w:rPr>
                          <w:t>=0.0813</w:t>
                        </w:r>
                        <w:r>
                          <w:rPr>
                            <w:rFonts w:ascii="Arial" w:hAnsi="Arial" w:cs="Arial" w:eastAsia="Arial" w:hint="default"/>
                            <w:spacing w:val="-16"/>
                            <w:sz w:val="22"/>
                            <w:szCs w:val="22"/>
                          </w:rPr>
                          <w:t> </w:t>
                        </w:r>
                        <w:r>
                          <w:rPr>
                            <w:rFonts w:ascii="宋体" w:hAnsi="宋体" w:cs="宋体" w:eastAsia="宋体" w:hint="default"/>
                            <w:sz w:val="22"/>
                            <w:szCs w:val="22"/>
                          </w:rPr>
                          <w:t>人民币</w:t>
                        </w:r>
                      </w:p>
                    </w:tc>
                  </w:tr>
                  <w:tr>
                    <w:trPr>
                      <w:trHeight w:val="29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2"/>
                            <w:szCs w:val="22"/>
                          </w:rPr>
                        </w:pPr>
                        <w:r>
                          <w:rPr>
                            <w:rFonts w:ascii="宋体" w:hAnsi="宋体" w:cs="宋体" w:eastAsia="宋体" w:hint="default"/>
                            <w:sz w:val="22"/>
                            <w:szCs w:val="22"/>
                          </w:rPr>
                          <w:t>欧洲地区子公司</w:t>
                        </w:r>
                      </w:p>
                    </w:tc>
                    <w:tc>
                      <w:tcPr>
                        <w:tcW w:w="2693"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英镑</w:t>
                        </w:r>
                        <w:r>
                          <w:rPr>
                            <w:rFonts w:ascii="Arial" w:hAnsi="Arial" w:cs="Arial" w:eastAsia="Arial" w:hint="default"/>
                            <w:sz w:val="22"/>
                            <w:szCs w:val="22"/>
                          </w:rPr>
                          <w:t>=9.7116</w:t>
                        </w:r>
                        <w:r>
                          <w:rPr>
                            <w:rFonts w:ascii="Arial" w:hAnsi="Arial" w:cs="Arial" w:eastAsia="Arial" w:hint="default"/>
                            <w:spacing w:val="-16"/>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英镑</w:t>
                        </w:r>
                        <w:r>
                          <w:rPr>
                            <w:rFonts w:ascii="Arial" w:hAnsi="Arial" w:cs="Arial" w:eastAsia="Arial" w:hint="default"/>
                            <w:sz w:val="22"/>
                            <w:szCs w:val="22"/>
                          </w:rPr>
                          <w:t>=10.2182</w:t>
                        </w:r>
                        <w:r>
                          <w:rPr>
                            <w:rFonts w:ascii="Arial" w:hAnsi="Arial" w:cs="Arial" w:eastAsia="Arial" w:hint="default"/>
                            <w:spacing w:val="-17"/>
                            <w:sz w:val="22"/>
                            <w:szCs w:val="22"/>
                          </w:rPr>
                          <w:t> </w:t>
                        </w:r>
                        <w:r>
                          <w:rPr>
                            <w:rFonts w:ascii="宋体" w:hAnsi="宋体" w:cs="宋体" w:eastAsia="宋体" w:hint="default"/>
                            <w:sz w:val="22"/>
                            <w:szCs w:val="22"/>
                          </w:rPr>
                          <w:t>人民币</w:t>
                        </w:r>
                      </w:p>
                    </w:tc>
                  </w:tr>
                  <w:tr>
                    <w:trPr>
                      <w:trHeight w:val="36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宋体" w:hAnsi="宋体" w:cs="宋体" w:eastAsia="宋体" w:hint="default"/>
                            <w:sz w:val="22"/>
                            <w:szCs w:val="22"/>
                          </w:rPr>
                        </w:pPr>
                        <w:r>
                          <w:rPr>
                            <w:rFonts w:ascii="宋体" w:hAnsi="宋体" w:cs="宋体" w:eastAsia="宋体" w:hint="default"/>
                            <w:sz w:val="22"/>
                            <w:szCs w:val="22"/>
                          </w:rPr>
                          <w:t>新加坡地区子公司</w:t>
                        </w:r>
                      </w:p>
                    </w:tc>
                    <w:tc>
                      <w:tcPr>
                        <w:tcW w:w="2693" w:type="dxa"/>
                        <w:tcBorders>
                          <w:top w:val="nil" w:sz="6" w:space="0" w:color="auto"/>
                          <w:left w:val="nil" w:sz="6" w:space="0" w:color="auto"/>
                          <w:bottom w:val="nil" w:sz="6" w:space="0" w:color="auto"/>
                          <w:right w:val="nil" w:sz="6" w:space="0" w:color="auto"/>
                        </w:tcBorders>
                      </w:tcPr>
                      <w:p>
                        <w:pPr>
                          <w:pStyle w:val="TableParagraph"/>
                          <w:spacing w:line="265" w:lineRule="exact"/>
                          <w:ind w:right="58"/>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新加坡元</w:t>
                        </w:r>
                        <w:r>
                          <w:rPr>
                            <w:rFonts w:ascii="Arial" w:hAnsi="Arial" w:cs="Arial" w:eastAsia="Arial" w:hint="default"/>
                            <w:sz w:val="22"/>
                            <w:szCs w:val="22"/>
                          </w:rPr>
                          <w:t>=4.8679</w:t>
                        </w:r>
                        <w:r>
                          <w:rPr>
                            <w:rFonts w:ascii="Arial" w:hAnsi="Arial" w:cs="Arial" w:eastAsia="Arial" w:hint="default"/>
                            <w:spacing w:val="-17"/>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新加坡元</w:t>
                        </w:r>
                        <w:r>
                          <w:rPr>
                            <w:rFonts w:ascii="Arial" w:hAnsi="Arial" w:cs="Arial" w:eastAsia="Arial" w:hint="default"/>
                            <w:sz w:val="22"/>
                            <w:szCs w:val="22"/>
                          </w:rPr>
                          <w:t>=5.1191</w:t>
                        </w:r>
                        <w:r>
                          <w:rPr>
                            <w:rFonts w:ascii="Arial" w:hAnsi="Arial" w:cs="Arial" w:eastAsia="Arial" w:hint="default"/>
                            <w:spacing w:val="-43"/>
                            <w:sz w:val="22"/>
                            <w:szCs w:val="22"/>
                          </w:rPr>
                          <w:t> </w:t>
                        </w:r>
                        <w:r>
                          <w:rPr>
                            <w:rFonts w:ascii="宋体" w:hAnsi="宋体" w:cs="宋体" w:eastAsia="宋体" w:hint="default"/>
                            <w:sz w:val="22"/>
                            <w:szCs w:val="22"/>
                          </w:rPr>
                          <w:t>人民币</w:t>
                        </w:r>
                      </w:p>
                    </w:tc>
                  </w:tr>
                </w:tbl>
                <w:p>
                  <w:pPr/>
                </w:p>
              </w:txbxContent>
            </v:textbox>
            <w10:wrap type="none"/>
          </v:shape>
        </w:pict>
      </w:r>
      <w:r>
        <w:rPr/>
        <w:t>注：除未分配利润外的其他股东权益项目、收入、费用及现金流量项目采用交易发生日的即期</w:t>
      </w:r>
      <w:r>
        <w:rPr>
          <w:spacing w:val="-92"/>
        </w:rPr>
        <w:t> </w:t>
      </w:r>
      <w:r>
        <w:rPr>
          <w:spacing w:val="-92"/>
        </w:rPr>
      </w:r>
      <w:r>
        <w:rPr/>
        <w:t>汇率之近似汇率折算。</w:t>
      </w:r>
    </w:p>
    <w:p>
      <w:pPr>
        <w:spacing w:after="0" w:line="286" w:lineRule="exact"/>
        <w:jc w:val="left"/>
        <w:sectPr>
          <w:headerReference w:type="default" r:id="rId82"/>
          <w:pgSz w:w="11900" w:h="16840"/>
          <w:pgMar w:header="1189" w:footer="600" w:top="2500" w:bottom="780" w:left="1280" w:right="780"/>
        </w:sectPr>
      </w:pPr>
    </w:p>
    <w:p>
      <w:pPr>
        <w:spacing w:line="240" w:lineRule="auto" w:before="10"/>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671"/>
        <w:gridCol w:w="3305"/>
        <w:gridCol w:w="3584"/>
      </w:tblGrid>
      <w:tr>
        <w:trPr>
          <w:trHeight w:val="916"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五</w:t>
            </w:r>
            <w:r>
              <w:rPr>
                <w:rFonts w:ascii="黑体" w:hAnsi="黑体" w:cs="黑体" w:eastAsia="黑体" w:hint="default"/>
                <w:spacing w:val="86"/>
                <w:sz w:val="22"/>
                <w:szCs w:val="22"/>
              </w:rPr>
              <w:t> </w:t>
            </w:r>
            <w:r>
              <w:rPr>
                <w:rFonts w:ascii="黑体" w:hAnsi="黑体" w:cs="黑体" w:eastAsia="黑体" w:hint="default"/>
                <w:sz w:val="22"/>
                <w:szCs w:val="22"/>
              </w:rPr>
              <w:t>合并财务报表项目附注</w:t>
            </w:r>
          </w:p>
          <w:p>
            <w:pPr>
              <w:pStyle w:val="TableParagraph"/>
              <w:spacing w:line="240" w:lineRule="auto" w:before="181"/>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w:t>
            </w:r>
            <w:r>
              <w:rPr>
                <w:rFonts w:ascii="宋体" w:hAnsi="宋体" w:cs="宋体" w:eastAsia="宋体" w:hint="default"/>
                <w:spacing w:val="-38"/>
                <w:sz w:val="22"/>
                <w:szCs w:val="22"/>
              </w:rPr>
              <w:t> </w:t>
            </w:r>
            <w:r>
              <w:rPr>
                <w:rFonts w:ascii="宋体" w:hAnsi="宋体" w:cs="宋体" w:eastAsia="宋体" w:hint="default"/>
                <w:sz w:val="22"/>
                <w:szCs w:val="22"/>
              </w:rPr>
              <w:t>货币资金</w:t>
            </w:r>
          </w:p>
        </w:tc>
        <w:tc>
          <w:tcPr>
            <w:tcW w:w="6889" w:type="dxa"/>
            <w:gridSpan w:val="2"/>
            <w:tcBorders>
              <w:top w:val="nil" w:sz="6" w:space="0" w:color="auto"/>
              <w:left w:val="nil" w:sz="6" w:space="0" w:color="auto"/>
              <w:bottom w:val="nil" w:sz="6" w:space="0" w:color="auto"/>
              <w:right w:val="nil" w:sz="6" w:space="0" w:color="auto"/>
            </w:tcBorders>
          </w:tcPr>
          <w:p>
            <w:pPr/>
          </w:p>
        </w:tc>
      </w:tr>
      <w:tr>
        <w:trPr>
          <w:trHeight w:val="332" w:hRule="exact"/>
        </w:trPr>
        <w:tc>
          <w:tcPr>
            <w:tcW w:w="2671" w:type="dxa"/>
            <w:tcBorders>
              <w:top w:val="nil" w:sz="6" w:space="0" w:color="auto"/>
              <w:left w:val="nil" w:sz="6" w:space="0" w:color="auto"/>
              <w:bottom w:val="single" w:sz="6" w:space="0" w:color="000000"/>
              <w:right w:val="nil" w:sz="6" w:space="0" w:color="auto"/>
            </w:tcBorders>
          </w:tcPr>
          <w:p>
            <w:pPr/>
          </w:p>
        </w:tc>
        <w:tc>
          <w:tcPr>
            <w:tcW w:w="3305" w:type="dxa"/>
            <w:tcBorders>
              <w:top w:val="nil" w:sz="6" w:space="0" w:color="auto"/>
              <w:left w:val="nil" w:sz="6" w:space="0" w:color="auto"/>
              <w:bottom w:val="single" w:sz="6" w:space="0" w:color="000000"/>
              <w:right w:val="nil" w:sz="6" w:space="0" w:color="auto"/>
            </w:tcBorders>
          </w:tcPr>
          <w:p>
            <w:pPr>
              <w:pStyle w:val="TableParagraph"/>
              <w:spacing w:line="240" w:lineRule="auto" w:before="60"/>
              <w:ind w:left="750"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584" w:type="dxa"/>
            <w:tcBorders>
              <w:top w:val="nil" w:sz="6" w:space="0" w:color="auto"/>
              <w:left w:val="nil" w:sz="6" w:space="0" w:color="auto"/>
              <w:bottom w:val="single" w:sz="6" w:space="0" w:color="000000"/>
              <w:right w:val="nil" w:sz="6" w:space="0" w:color="auto"/>
            </w:tcBorders>
          </w:tcPr>
          <w:p>
            <w:pPr>
              <w:pStyle w:val="TableParagraph"/>
              <w:spacing w:line="240" w:lineRule="auto" w:before="60"/>
              <w:ind w:left="54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日（经重列）</w:t>
            </w:r>
          </w:p>
        </w:tc>
      </w:tr>
      <w:tr>
        <w:trPr>
          <w:trHeight w:val="248" w:hRule="exact"/>
        </w:trPr>
        <w:tc>
          <w:tcPr>
            <w:tcW w:w="2671" w:type="dxa"/>
            <w:tcBorders>
              <w:top w:val="single" w:sz="6" w:space="0" w:color="000000"/>
              <w:left w:val="nil" w:sz="6" w:space="0" w:color="auto"/>
              <w:bottom w:val="single" w:sz="6" w:space="0" w:color="000000"/>
              <w:right w:val="nil" w:sz="6" w:space="0" w:color="auto"/>
            </w:tcBorders>
          </w:tcPr>
          <w:p>
            <w:pPr/>
          </w:p>
        </w:tc>
        <w:tc>
          <w:tcPr>
            <w:tcW w:w="3305" w:type="dxa"/>
            <w:tcBorders>
              <w:top w:val="single" w:sz="6" w:space="0" w:color="000000"/>
              <w:left w:val="nil" w:sz="6" w:space="0" w:color="auto"/>
              <w:bottom w:val="single" w:sz="6" w:space="0" w:color="000000"/>
              <w:right w:val="nil" w:sz="6" w:space="0" w:color="auto"/>
            </w:tcBorders>
          </w:tcPr>
          <w:p>
            <w:pPr>
              <w:pStyle w:val="TableParagraph"/>
              <w:tabs>
                <w:tab w:pos="1429" w:val="left" w:leader="none"/>
                <w:tab w:pos="2100" w:val="left" w:leader="none"/>
              </w:tabs>
              <w:spacing w:line="205" w:lineRule="exact"/>
              <w:ind w:left="299" w:right="0"/>
              <w:jc w:val="left"/>
              <w:rPr>
                <w:rFonts w:ascii="宋体" w:hAnsi="宋体" w:cs="宋体" w:eastAsia="宋体" w:hint="default"/>
                <w:sz w:val="18"/>
                <w:szCs w:val="18"/>
              </w:rPr>
            </w:pPr>
            <w:r>
              <w:rPr>
                <w:rFonts w:ascii="宋体" w:hAnsi="宋体" w:cs="宋体" w:eastAsia="宋体" w:hint="default"/>
                <w:sz w:val="18"/>
                <w:szCs w:val="18"/>
              </w:rPr>
              <w:t>外币金额</w:t>
              <w:tab/>
              <w:t>汇率</w:t>
              <w:tab/>
              <w:t>人民币金额</w:t>
            </w:r>
          </w:p>
        </w:tc>
        <w:tc>
          <w:tcPr>
            <w:tcW w:w="3584" w:type="dxa"/>
            <w:tcBorders>
              <w:top w:val="single" w:sz="6" w:space="0" w:color="000000"/>
              <w:left w:val="nil" w:sz="6" w:space="0" w:color="auto"/>
              <w:bottom w:val="single" w:sz="6" w:space="0" w:color="000000"/>
              <w:right w:val="nil" w:sz="6" w:space="0" w:color="auto"/>
            </w:tcBorders>
          </w:tcPr>
          <w:p>
            <w:pPr>
              <w:pStyle w:val="TableParagraph"/>
              <w:tabs>
                <w:tab w:pos="1660" w:val="left" w:leader="none"/>
                <w:tab w:pos="2396" w:val="left" w:leader="none"/>
              </w:tabs>
              <w:spacing w:line="205" w:lineRule="exact"/>
              <w:ind w:left="397" w:right="0"/>
              <w:jc w:val="left"/>
              <w:rPr>
                <w:rFonts w:ascii="宋体" w:hAnsi="宋体" w:cs="宋体" w:eastAsia="宋体" w:hint="default"/>
                <w:sz w:val="18"/>
                <w:szCs w:val="18"/>
              </w:rPr>
            </w:pPr>
            <w:r>
              <w:rPr>
                <w:rFonts w:ascii="宋体" w:hAnsi="宋体" w:cs="宋体" w:eastAsia="宋体" w:hint="default"/>
                <w:sz w:val="18"/>
                <w:szCs w:val="18"/>
              </w:rPr>
              <w:t>外币金额</w:t>
              <w:tab/>
              <w:t>汇率</w:t>
              <w:tab/>
              <w:t>人民币金额</w:t>
            </w:r>
          </w:p>
        </w:tc>
      </w:tr>
      <w:tr>
        <w:trPr>
          <w:trHeight w:val="457" w:hRule="exact"/>
        </w:trPr>
        <w:tc>
          <w:tcPr>
            <w:tcW w:w="2671"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305" w:type="dxa"/>
            <w:tcBorders>
              <w:top w:val="single" w:sz="6" w:space="0" w:color="000000"/>
              <w:left w:val="nil" w:sz="6" w:space="0" w:color="auto"/>
              <w:bottom w:val="nil" w:sz="6" w:space="0" w:color="auto"/>
              <w:right w:val="nil" w:sz="6" w:space="0" w:color="auto"/>
            </w:tcBorders>
          </w:tcPr>
          <w:p>
            <w:pPr/>
          </w:p>
        </w:tc>
        <w:tc>
          <w:tcPr>
            <w:tcW w:w="3584" w:type="dxa"/>
            <w:tcBorders>
              <w:top w:val="single" w:sz="6" w:space="0" w:color="000000"/>
              <w:left w:val="nil" w:sz="6" w:space="0" w:color="auto"/>
              <w:bottom w:val="nil" w:sz="6" w:space="0" w:color="auto"/>
              <w:right w:val="nil" w:sz="6" w:space="0" w:color="auto"/>
            </w:tcBorders>
          </w:tcPr>
          <w:p>
            <w:pPr/>
          </w:p>
        </w:tc>
      </w:tr>
      <w:tr>
        <w:trPr>
          <w:trHeight w:val="244"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20"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9"/>
              <w:jc w:val="right"/>
              <w:rPr>
                <w:rFonts w:ascii="Arial" w:hAnsi="Arial" w:cs="Arial" w:eastAsia="Arial" w:hint="default"/>
                <w:sz w:val="18"/>
                <w:szCs w:val="18"/>
              </w:rPr>
            </w:pPr>
            <w:r>
              <w:rPr>
                <w:rFonts w:ascii="Arial"/>
                <w:spacing w:val="-1"/>
                <w:sz w:val="18"/>
              </w:rPr>
              <w:t>5,919,073</w:t>
            </w:r>
          </w:p>
        </w:tc>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1"/>
              <w:jc w:val="right"/>
              <w:rPr>
                <w:rFonts w:ascii="Arial" w:hAnsi="Arial" w:cs="Arial" w:eastAsia="Arial" w:hint="default"/>
                <w:sz w:val="18"/>
                <w:szCs w:val="18"/>
              </w:rPr>
            </w:pPr>
            <w:r>
              <w:rPr>
                <w:rFonts w:ascii="Arial"/>
                <w:spacing w:val="-1"/>
                <w:sz w:val="18"/>
              </w:rPr>
              <w:t>6,364,691</w:t>
            </w:r>
          </w:p>
        </w:tc>
      </w:tr>
      <w:tr>
        <w:trPr>
          <w:trHeight w:val="233"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8"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603" w:val="left" w:leader="none"/>
              </w:tabs>
              <w:spacing w:line="240" w:lineRule="auto" w:before="14"/>
              <w:ind w:left="569" w:right="0"/>
              <w:jc w:val="left"/>
              <w:rPr>
                <w:rFonts w:ascii="Arial" w:hAnsi="Arial" w:cs="Arial" w:eastAsia="Arial" w:hint="default"/>
                <w:sz w:val="18"/>
                <w:szCs w:val="18"/>
              </w:rPr>
            </w:pPr>
            <w:r>
              <w:rPr>
                <w:rFonts w:ascii="Arial"/>
                <w:spacing w:val="-1"/>
                <w:sz w:val="18"/>
              </w:rPr>
              <w:t>5,918</w:t>
              <w:tab/>
              <w:t>6.30</w:t>
              <w:tab/>
              <w:t>37,286</w:t>
            </w:r>
          </w:p>
        </w:tc>
        <w:tc>
          <w:tcPr>
            <w:tcW w:w="3584" w:type="dxa"/>
            <w:tcBorders>
              <w:top w:val="nil" w:sz="6" w:space="0" w:color="auto"/>
              <w:left w:val="nil" w:sz="6" w:space="0" w:color="auto"/>
              <w:bottom w:val="nil" w:sz="6" w:space="0" w:color="auto"/>
              <w:right w:val="nil" w:sz="6" w:space="0" w:color="auto"/>
            </w:tcBorders>
          </w:tcPr>
          <w:p>
            <w:pPr>
              <w:pStyle w:val="TableParagraph"/>
              <w:tabs>
                <w:tab w:pos="979" w:val="left" w:leader="none"/>
                <w:tab w:pos="2310" w:val="left" w:leader="none"/>
              </w:tabs>
              <w:spacing w:line="240" w:lineRule="auto" w:before="14"/>
              <w:ind w:right="122"/>
              <w:jc w:val="right"/>
              <w:rPr>
                <w:rFonts w:ascii="Arial" w:hAnsi="Arial" w:cs="Arial" w:eastAsia="Arial" w:hint="default"/>
                <w:sz w:val="18"/>
                <w:szCs w:val="18"/>
              </w:rPr>
            </w:pPr>
            <w:r>
              <w:rPr>
                <w:rFonts w:ascii="Arial"/>
                <w:spacing w:val="-1"/>
                <w:sz w:val="18"/>
              </w:rPr>
              <w:t>1,413</w:t>
              <w:tab/>
              <w:t>6.62</w:t>
              <w:tab/>
            </w:r>
            <w:r>
              <w:rPr>
                <w:rFonts w:ascii="Arial"/>
                <w:spacing w:val="-1"/>
                <w:w w:val="95"/>
                <w:sz w:val="18"/>
              </w:rPr>
              <w:t>9,357</w:t>
            </w:r>
            <w:r>
              <w:rPr>
                <w:rFonts w:ascii="Arial"/>
                <w:sz w:val="18"/>
              </w:rPr>
            </w:r>
          </w:p>
        </w:tc>
      </w:tr>
      <w:tr>
        <w:trPr>
          <w:trHeight w:val="233"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9"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港币</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602" w:val="left" w:leader="none"/>
              </w:tabs>
              <w:spacing w:line="240" w:lineRule="auto" w:before="15"/>
              <w:ind w:left="468" w:right="0"/>
              <w:jc w:val="left"/>
              <w:rPr>
                <w:rFonts w:ascii="Arial" w:hAnsi="Arial" w:cs="Arial" w:eastAsia="Arial" w:hint="default"/>
                <w:sz w:val="18"/>
                <w:szCs w:val="18"/>
              </w:rPr>
            </w:pPr>
            <w:r>
              <w:rPr>
                <w:rFonts w:ascii="Arial"/>
                <w:spacing w:val="-1"/>
                <w:sz w:val="18"/>
              </w:rPr>
              <w:t>39,931</w:t>
              <w:tab/>
              <w:t>0.81</w:t>
              <w:tab/>
              <w:t>32,372</w:t>
            </w:r>
          </w:p>
        </w:tc>
        <w:tc>
          <w:tcPr>
            <w:tcW w:w="3584" w:type="dxa"/>
            <w:tcBorders>
              <w:top w:val="nil" w:sz="6" w:space="0" w:color="auto"/>
              <w:left w:val="nil" w:sz="6" w:space="0" w:color="auto"/>
              <w:bottom w:val="nil" w:sz="6" w:space="0" w:color="auto"/>
              <w:right w:val="nil" w:sz="6" w:space="0" w:color="auto"/>
            </w:tcBorders>
          </w:tcPr>
          <w:p>
            <w:pPr>
              <w:pStyle w:val="TableParagraph"/>
              <w:tabs>
                <w:tab w:pos="1079" w:val="left" w:leader="none"/>
                <w:tab w:pos="2309" w:val="left" w:leader="none"/>
              </w:tabs>
              <w:spacing w:line="240" w:lineRule="auto" w:before="15"/>
              <w:ind w:right="122"/>
              <w:jc w:val="right"/>
              <w:rPr>
                <w:rFonts w:ascii="Arial" w:hAnsi="Arial" w:cs="Arial" w:eastAsia="Arial" w:hint="default"/>
                <w:sz w:val="18"/>
                <w:szCs w:val="18"/>
              </w:rPr>
            </w:pPr>
            <w:r>
              <w:rPr>
                <w:rFonts w:ascii="Arial"/>
                <w:spacing w:val="-1"/>
                <w:sz w:val="18"/>
              </w:rPr>
              <w:t>67,613</w:t>
              <w:tab/>
              <w:t>0.85</w:t>
              <w:tab/>
              <w:t>57,532</w:t>
            </w:r>
          </w:p>
        </w:tc>
      </w:tr>
      <w:tr>
        <w:trPr>
          <w:trHeight w:val="233"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8"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韩币</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3093" w:val="left" w:leader="none"/>
              </w:tabs>
              <w:spacing w:line="240" w:lineRule="auto" w:before="14"/>
              <w:ind w:left="959" w:right="0"/>
              <w:jc w:val="left"/>
              <w:rPr>
                <w:rFonts w:ascii="Arial" w:hAnsi="Arial" w:cs="Arial" w:eastAsia="Arial" w:hint="default"/>
                <w:sz w:val="18"/>
                <w:szCs w:val="18"/>
              </w:rPr>
            </w:pPr>
            <w:r>
              <w:rPr>
                <w:rFonts w:ascii="Arial"/>
                <w:sz w:val="18"/>
              </w:rPr>
              <w:t>-</w:t>
              <w:tab/>
            </w:r>
            <w:r>
              <w:rPr>
                <w:rFonts w:ascii="Arial"/>
                <w:spacing w:val="-1"/>
                <w:sz w:val="18"/>
              </w:rPr>
              <w:t>0.55</w:t>
              <w:tab/>
            </w:r>
            <w:r>
              <w:rPr>
                <w:rFonts w:ascii="Arial"/>
                <w:sz w:val="18"/>
              </w:rPr>
              <w:t>-</w:t>
            </w:r>
          </w:p>
        </w:tc>
        <w:tc>
          <w:tcPr>
            <w:tcW w:w="3584" w:type="dxa"/>
            <w:tcBorders>
              <w:top w:val="nil" w:sz="6" w:space="0" w:color="auto"/>
              <w:left w:val="nil" w:sz="6" w:space="0" w:color="auto"/>
              <w:bottom w:val="nil" w:sz="6" w:space="0" w:color="auto"/>
              <w:right w:val="nil" w:sz="6" w:space="0" w:color="auto"/>
            </w:tcBorders>
          </w:tcPr>
          <w:p>
            <w:pPr>
              <w:pStyle w:val="TableParagraph"/>
              <w:tabs>
                <w:tab w:pos="979" w:val="left" w:leader="none"/>
                <w:tab w:pos="2309" w:val="left" w:leader="none"/>
              </w:tabs>
              <w:spacing w:line="240" w:lineRule="auto" w:before="14"/>
              <w:ind w:right="122"/>
              <w:jc w:val="right"/>
              <w:rPr>
                <w:rFonts w:ascii="Arial" w:hAnsi="Arial" w:cs="Arial" w:eastAsia="Arial" w:hint="default"/>
                <w:sz w:val="18"/>
                <w:szCs w:val="18"/>
              </w:rPr>
            </w:pPr>
            <w:r>
              <w:rPr>
                <w:rFonts w:ascii="Arial"/>
                <w:spacing w:val="-1"/>
                <w:sz w:val="18"/>
              </w:rPr>
              <w:t>3,912</w:t>
              <w:tab/>
              <w:t>0.59</w:t>
              <w:tab/>
            </w:r>
            <w:r>
              <w:rPr>
                <w:rFonts w:ascii="Arial"/>
                <w:spacing w:val="-1"/>
                <w:w w:val="95"/>
                <w:sz w:val="18"/>
              </w:rPr>
              <w:t>2,301</w:t>
            </w:r>
            <w:r>
              <w:rPr>
                <w:rFonts w:ascii="Arial"/>
                <w:sz w:val="18"/>
              </w:rPr>
            </w:r>
          </w:p>
        </w:tc>
      </w:tr>
      <w:tr>
        <w:trPr>
          <w:trHeight w:val="344"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9"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新加坡币</w:t>
            </w:r>
          </w:p>
        </w:tc>
        <w:tc>
          <w:tcPr>
            <w:tcW w:w="3305" w:type="dxa"/>
            <w:tcBorders>
              <w:top w:val="nil" w:sz="6" w:space="0" w:color="auto"/>
              <w:left w:val="nil" w:sz="6" w:space="0" w:color="auto"/>
              <w:bottom w:val="nil" w:sz="6" w:space="0" w:color="auto"/>
              <w:right w:val="nil" w:sz="6" w:space="0" w:color="auto"/>
            </w:tcBorders>
          </w:tcPr>
          <w:p>
            <w:pPr>
              <w:pStyle w:val="TableParagraph"/>
              <w:tabs>
                <w:tab w:pos="674" w:val="left" w:leader="none"/>
                <w:tab w:pos="1984" w:val="left" w:leader="none"/>
                <w:tab w:pos="2528" w:val="left" w:leader="none"/>
              </w:tabs>
              <w:spacing w:line="240" w:lineRule="auto" w:before="15"/>
              <w:ind w:right="54"/>
              <w:jc w:val="right"/>
              <w:rPr>
                <w:rFonts w:ascii="Arial" w:hAnsi="Arial" w:cs="Arial" w:eastAsia="Arial" w:hint="default"/>
                <w:sz w:val="18"/>
                <w:szCs w:val="18"/>
              </w:rPr>
            </w:pPr>
            <w:r>
              <w:rPr>
                <w:rFonts w:ascii="Arial"/>
                <w:spacing w:val="-1"/>
                <w:sz w:val="18"/>
              </w:rPr>
              <w:t>581</w:t>
              <w:tab/>
              <w:t>4.87</w:t>
            </w:r>
            <w:r>
              <w:rPr>
                <w:rFonts w:ascii="Arial"/>
                <w:spacing w:val="-1"/>
                <w:sz w:val="18"/>
                <w:u w:val="single" w:color="000000"/>
              </w:rPr>
              <w:t> </w:t>
              <w:tab/>
              <w:t>2,829</w:t>
              <w:tab/>
            </w:r>
            <w:r>
              <w:rPr>
                <w:rFonts w:ascii="Arial"/>
                <w:spacing w:val="-1"/>
                <w:sz w:val="18"/>
              </w:rPr>
            </w:r>
          </w:p>
        </w:tc>
        <w:tc>
          <w:tcPr>
            <w:tcW w:w="3584" w:type="dxa"/>
            <w:tcBorders>
              <w:top w:val="nil" w:sz="6" w:space="0" w:color="auto"/>
              <w:left w:val="nil" w:sz="6" w:space="0" w:color="auto"/>
              <w:bottom w:val="nil" w:sz="6" w:space="0" w:color="auto"/>
              <w:right w:val="nil" w:sz="6" w:space="0" w:color="auto"/>
            </w:tcBorders>
          </w:tcPr>
          <w:p>
            <w:pPr>
              <w:pStyle w:val="TableParagraph"/>
              <w:tabs>
                <w:tab w:pos="628" w:val="left" w:leader="none"/>
                <w:tab w:pos="2208" w:val="left" w:leader="none"/>
                <w:tab w:pos="2498" w:val="left" w:leader="none"/>
              </w:tabs>
              <w:spacing w:line="240" w:lineRule="auto" w:before="15"/>
              <w:ind w:right="33"/>
              <w:jc w:val="right"/>
              <w:rPr>
                <w:rFonts w:ascii="Arial" w:hAnsi="Arial" w:cs="Arial" w:eastAsia="Arial" w:hint="default"/>
                <w:sz w:val="18"/>
                <w:szCs w:val="18"/>
              </w:rPr>
            </w:pPr>
            <w:r>
              <w:rPr>
                <w:rFonts w:ascii="Arial"/>
                <w:w w:val="95"/>
                <w:sz w:val="18"/>
              </w:rPr>
              <w:t>5</w:t>
              <w:tab/>
            </w:r>
            <w:r>
              <w:rPr>
                <w:rFonts w:ascii="Arial"/>
                <w:spacing w:val="-1"/>
                <w:sz w:val="18"/>
              </w:rPr>
              <w:t>5.12</w:t>
            </w:r>
            <w:r>
              <w:rPr>
                <w:rFonts w:ascii="Arial"/>
                <w:spacing w:val="-1"/>
                <w:sz w:val="18"/>
                <w:u w:val="single" w:color="000000"/>
              </w:rPr>
              <w:t> </w:t>
              <w:tab/>
              <w:t>24</w:t>
              <w:tab/>
            </w:r>
            <w:r>
              <w:rPr>
                <w:rFonts w:ascii="Arial"/>
                <w:spacing w:val="-1"/>
                <w:sz w:val="18"/>
              </w:rPr>
            </w:r>
          </w:p>
        </w:tc>
      </w:tr>
      <w:tr>
        <w:trPr>
          <w:trHeight w:val="45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97" w:right="0"/>
              <w:jc w:val="left"/>
              <w:rPr>
                <w:rFonts w:ascii="宋体" w:hAnsi="宋体" w:cs="宋体" w:eastAsia="宋体" w:hint="default"/>
                <w:sz w:val="18"/>
                <w:szCs w:val="18"/>
              </w:rPr>
            </w:pPr>
            <w:r>
              <w:rPr>
                <w:rFonts w:ascii="宋体" w:hAnsi="宋体" w:cs="宋体" w:eastAsia="宋体" w:hint="default"/>
                <w:sz w:val="18"/>
                <w:szCs w:val="18"/>
              </w:rPr>
              <w:t>库存现金小计</w:t>
            </w:r>
          </w:p>
        </w:tc>
        <w:tc>
          <w:tcPr>
            <w:tcW w:w="3305" w:type="dxa"/>
            <w:tcBorders>
              <w:top w:val="nil" w:sz="6" w:space="0" w:color="auto"/>
              <w:left w:val="nil" w:sz="6" w:space="0" w:color="auto"/>
              <w:bottom w:val="nil" w:sz="6" w:space="0" w:color="auto"/>
              <w:right w:val="nil" w:sz="6" w:space="0" w:color="auto"/>
            </w:tcBorders>
          </w:tcPr>
          <w:p>
            <w:pPr>
              <w:pStyle w:val="TableParagraph"/>
              <w:tabs>
                <w:tab w:pos="497" w:val="left" w:leader="none"/>
                <w:tab w:pos="1391" w:val="left" w:leader="none"/>
              </w:tabs>
              <w:spacing w:line="240" w:lineRule="auto" w:before="125"/>
              <w:ind w:right="5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5,991,560</w:t>
              <w:tab/>
            </w:r>
            <w:r>
              <w:rPr>
                <w:rFonts w:ascii="Arial"/>
                <w:spacing w:val="-1"/>
                <w:sz w:val="18"/>
              </w:rPr>
            </w:r>
          </w:p>
        </w:tc>
        <w:tc>
          <w:tcPr>
            <w:tcW w:w="3584" w:type="dxa"/>
            <w:tcBorders>
              <w:top w:val="nil" w:sz="6" w:space="0" w:color="auto"/>
              <w:left w:val="nil" w:sz="6" w:space="0" w:color="auto"/>
              <w:bottom w:val="nil" w:sz="6" w:space="0" w:color="auto"/>
              <w:right w:val="nil" w:sz="6" w:space="0" w:color="auto"/>
            </w:tcBorders>
          </w:tcPr>
          <w:p>
            <w:pPr>
              <w:pStyle w:val="TableParagraph"/>
              <w:tabs>
                <w:tab w:pos="513" w:val="left" w:leader="none"/>
                <w:tab w:pos="1401" w:val="left" w:leader="none"/>
              </w:tabs>
              <w:spacing w:line="240" w:lineRule="auto" w:before="125"/>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6,433,905</w:t>
              <w:tab/>
            </w:r>
            <w:r>
              <w:rPr>
                <w:rFonts w:ascii="Arial"/>
                <w:spacing w:val="-1"/>
                <w:sz w:val="18"/>
              </w:rPr>
            </w:r>
          </w:p>
        </w:tc>
      </w:tr>
      <w:tr>
        <w:trPr>
          <w:trHeight w:val="338"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9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个月以下银行存款</w:t>
            </w:r>
          </w:p>
        </w:tc>
        <w:tc>
          <w:tcPr>
            <w:tcW w:w="3305" w:type="dxa"/>
            <w:tcBorders>
              <w:top w:val="nil" w:sz="6" w:space="0" w:color="auto"/>
              <w:left w:val="nil" w:sz="6" w:space="0" w:color="auto"/>
              <w:bottom w:val="nil" w:sz="6" w:space="0" w:color="auto"/>
              <w:right w:val="nil" w:sz="6" w:space="0" w:color="auto"/>
            </w:tcBorders>
          </w:tcPr>
          <w:p>
            <w:pPr/>
          </w:p>
        </w:tc>
        <w:tc>
          <w:tcPr>
            <w:tcW w:w="3584" w:type="dxa"/>
            <w:tcBorders>
              <w:top w:val="nil" w:sz="6" w:space="0" w:color="auto"/>
              <w:left w:val="nil" w:sz="6" w:space="0" w:color="auto"/>
              <w:bottom w:val="nil" w:sz="6" w:space="0" w:color="auto"/>
              <w:right w:val="nil" w:sz="6" w:space="0" w:color="auto"/>
            </w:tcBorders>
          </w:tcPr>
          <w:p>
            <w:pPr/>
          </w:p>
        </w:tc>
      </w:tr>
      <w:tr>
        <w:trPr>
          <w:trHeight w:val="24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15"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03" w:right="0"/>
              <w:jc w:val="left"/>
              <w:rPr>
                <w:rFonts w:ascii="Arial" w:hAnsi="Arial" w:cs="Arial" w:eastAsia="Arial" w:hint="default"/>
                <w:sz w:val="18"/>
                <w:szCs w:val="18"/>
              </w:rPr>
            </w:pPr>
            <w:r>
              <w:rPr>
                <w:rFonts w:ascii="Arial"/>
                <w:sz w:val="18"/>
              </w:rPr>
              <w:t>13,957,871,917</w:t>
            </w:r>
          </w:p>
        </w:tc>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1"/>
              <w:jc w:val="right"/>
              <w:rPr>
                <w:rFonts w:ascii="Arial" w:hAnsi="Arial" w:cs="Arial" w:eastAsia="Arial" w:hint="default"/>
                <w:sz w:val="18"/>
                <w:szCs w:val="18"/>
              </w:rPr>
            </w:pPr>
            <w:r>
              <w:rPr>
                <w:rFonts w:ascii="Arial"/>
                <w:spacing w:val="-1"/>
                <w:sz w:val="18"/>
              </w:rPr>
              <w:t>9,912,857,082</w:t>
            </w:r>
          </w:p>
        </w:tc>
      </w:tr>
      <w:tr>
        <w:trPr>
          <w:trHeight w:val="233"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9"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152" w:val="left" w:leader="none"/>
              </w:tabs>
              <w:spacing w:line="240" w:lineRule="auto" w:before="15"/>
              <w:ind w:left="118" w:right="0"/>
              <w:jc w:val="left"/>
              <w:rPr>
                <w:rFonts w:ascii="Arial" w:hAnsi="Arial" w:cs="Arial" w:eastAsia="Arial" w:hint="default"/>
                <w:sz w:val="18"/>
                <w:szCs w:val="18"/>
              </w:rPr>
            </w:pPr>
            <w:r>
              <w:rPr>
                <w:rFonts w:ascii="Arial"/>
                <w:spacing w:val="-1"/>
                <w:sz w:val="18"/>
              </w:rPr>
              <w:t>44,714,496</w:t>
              <w:tab/>
              <w:t>6.30</w:t>
              <w:tab/>
              <w:t>281,741,570</w:t>
            </w:r>
          </w:p>
        </w:tc>
        <w:tc>
          <w:tcPr>
            <w:tcW w:w="3584"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15"/>
              <w:ind w:right="0"/>
              <w:jc w:val="left"/>
              <w:rPr>
                <w:rFonts w:ascii="Arial" w:hAnsi="Arial" w:cs="Arial" w:eastAsia="Arial" w:hint="default"/>
                <w:sz w:val="18"/>
                <w:szCs w:val="18"/>
              </w:rPr>
            </w:pPr>
            <w:r>
              <w:rPr>
                <w:rFonts w:ascii="Arial"/>
                <w:spacing w:val="-1"/>
                <w:sz w:val="18"/>
              </w:rPr>
              <w:t>1,760,779,545</w:t>
              <w:tab/>
              <w:t>6.62</w:t>
            </w:r>
            <w:r>
              <w:rPr>
                <w:rFonts w:ascii="Arial"/>
                <w:sz w:val="18"/>
              </w:rPr>
              <w:t>  </w:t>
            </w:r>
            <w:r>
              <w:rPr>
                <w:rFonts w:ascii="Arial"/>
                <w:spacing w:val="35"/>
                <w:sz w:val="18"/>
              </w:rPr>
              <w:t> </w:t>
            </w:r>
            <w:r>
              <w:rPr>
                <w:rFonts w:ascii="Arial"/>
                <w:spacing w:val="-1"/>
                <w:sz w:val="18"/>
              </w:rPr>
              <w:t>11,661,114,695</w:t>
            </w:r>
          </w:p>
        </w:tc>
      </w:tr>
      <w:tr>
        <w:trPr>
          <w:trHeight w:val="233"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8"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港币</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152" w:val="left" w:leader="none"/>
              </w:tabs>
              <w:spacing w:line="240" w:lineRule="auto" w:before="14"/>
              <w:ind w:left="18" w:right="0"/>
              <w:jc w:val="left"/>
              <w:rPr>
                <w:rFonts w:ascii="Arial" w:hAnsi="Arial" w:cs="Arial" w:eastAsia="Arial" w:hint="default"/>
                <w:sz w:val="18"/>
                <w:szCs w:val="18"/>
              </w:rPr>
            </w:pPr>
            <w:r>
              <w:rPr>
                <w:rFonts w:ascii="Arial"/>
                <w:spacing w:val="-1"/>
                <w:sz w:val="18"/>
              </w:rPr>
              <w:t>411,521,111</w:t>
              <w:tab/>
              <w:t>0.81</w:t>
              <w:tab/>
              <w:t>333,620,165</w:t>
            </w:r>
          </w:p>
        </w:tc>
        <w:tc>
          <w:tcPr>
            <w:tcW w:w="3584" w:type="dxa"/>
            <w:tcBorders>
              <w:top w:val="nil" w:sz="6" w:space="0" w:color="auto"/>
              <w:left w:val="nil" w:sz="6" w:space="0" w:color="auto"/>
              <w:bottom w:val="nil" w:sz="6" w:space="0" w:color="auto"/>
              <w:right w:val="nil" w:sz="6" w:space="0" w:color="auto"/>
            </w:tcBorders>
          </w:tcPr>
          <w:p>
            <w:pPr>
              <w:pStyle w:val="TableParagraph"/>
              <w:tabs>
                <w:tab w:pos="1680" w:val="left" w:leader="none"/>
                <w:tab w:pos="2460" w:val="left" w:leader="none"/>
              </w:tabs>
              <w:spacing w:line="240" w:lineRule="auto" w:before="14"/>
              <w:ind w:left="149" w:right="0"/>
              <w:jc w:val="left"/>
              <w:rPr>
                <w:rFonts w:ascii="Arial" w:hAnsi="Arial" w:cs="Arial" w:eastAsia="Arial" w:hint="default"/>
                <w:sz w:val="18"/>
                <w:szCs w:val="18"/>
              </w:rPr>
            </w:pPr>
            <w:r>
              <w:rPr>
                <w:rFonts w:ascii="Arial"/>
                <w:spacing w:val="-1"/>
                <w:sz w:val="18"/>
              </w:rPr>
              <w:t>461,722,999</w:t>
              <w:tab/>
              <w:t>0.85</w:t>
              <w:tab/>
              <w:t>392,880,100</w:t>
            </w:r>
          </w:p>
        </w:tc>
      </w:tr>
      <w:tr>
        <w:trPr>
          <w:trHeight w:val="233"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9"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欧元</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152" w:val="left" w:leader="none"/>
              </w:tabs>
              <w:spacing w:line="240" w:lineRule="auto" w:before="15"/>
              <w:ind w:left="118" w:right="0"/>
              <w:jc w:val="left"/>
              <w:rPr>
                <w:rFonts w:ascii="Arial" w:hAnsi="Arial" w:cs="Arial" w:eastAsia="Arial" w:hint="default"/>
                <w:sz w:val="18"/>
                <w:szCs w:val="18"/>
              </w:rPr>
            </w:pPr>
            <w:r>
              <w:rPr>
                <w:rFonts w:ascii="Arial"/>
                <w:spacing w:val="-1"/>
                <w:sz w:val="18"/>
              </w:rPr>
              <w:t>13,989,200</w:t>
              <w:tab/>
              <w:t>8.16</w:t>
              <w:tab/>
              <w:t>114,186,849</w:t>
            </w:r>
          </w:p>
        </w:tc>
        <w:tc>
          <w:tcPr>
            <w:tcW w:w="3584" w:type="dxa"/>
            <w:tcBorders>
              <w:top w:val="nil" w:sz="6" w:space="0" w:color="auto"/>
              <w:left w:val="nil" w:sz="6" w:space="0" w:color="auto"/>
              <w:bottom w:val="nil" w:sz="6" w:space="0" w:color="auto"/>
              <w:right w:val="nil" w:sz="6" w:space="0" w:color="auto"/>
            </w:tcBorders>
          </w:tcPr>
          <w:p>
            <w:pPr>
              <w:pStyle w:val="TableParagraph"/>
              <w:tabs>
                <w:tab w:pos="1680" w:val="left" w:leader="none"/>
                <w:tab w:pos="2460" w:val="left" w:leader="none"/>
              </w:tabs>
              <w:spacing w:line="240" w:lineRule="auto" w:before="15"/>
              <w:ind w:left="248" w:right="0"/>
              <w:jc w:val="left"/>
              <w:rPr>
                <w:rFonts w:ascii="Arial" w:hAnsi="Arial" w:cs="Arial" w:eastAsia="Arial" w:hint="default"/>
                <w:sz w:val="18"/>
                <w:szCs w:val="18"/>
              </w:rPr>
            </w:pPr>
            <w:r>
              <w:rPr>
                <w:rFonts w:ascii="Arial"/>
                <w:spacing w:val="-1"/>
                <w:sz w:val="18"/>
              </w:rPr>
              <w:t>24,149,423</w:t>
              <w:tab/>
              <w:t>8.81</w:t>
              <w:tab/>
              <w:t>212,671,897</w:t>
            </w:r>
          </w:p>
        </w:tc>
      </w:tr>
      <w:tr>
        <w:trPr>
          <w:trHeight w:val="234"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8"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英镑</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353" w:val="left" w:leader="none"/>
              </w:tabs>
              <w:spacing w:line="240" w:lineRule="auto" w:before="15"/>
              <w:ind w:left="368" w:right="0"/>
              <w:jc w:val="left"/>
              <w:rPr>
                <w:rFonts w:ascii="Arial" w:hAnsi="Arial" w:cs="Arial" w:eastAsia="Arial" w:hint="default"/>
                <w:sz w:val="18"/>
                <w:szCs w:val="18"/>
              </w:rPr>
            </w:pPr>
            <w:r>
              <w:rPr>
                <w:rFonts w:ascii="Arial"/>
                <w:spacing w:val="-1"/>
                <w:sz w:val="18"/>
              </w:rPr>
              <w:t>463,349</w:t>
              <w:tab/>
              <w:t>9.71</w:t>
              <w:tab/>
              <w:t>4,499,856</w:t>
            </w:r>
          </w:p>
        </w:tc>
        <w:tc>
          <w:tcPr>
            <w:tcW w:w="3584" w:type="dxa"/>
            <w:tcBorders>
              <w:top w:val="nil" w:sz="6" w:space="0" w:color="auto"/>
              <w:left w:val="nil" w:sz="6" w:space="0" w:color="auto"/>
              <w:bottom w:val="nil" w:sz="6" w:space="0" w:color="auto"/>
              <w:right w:val="nil" w:sz="6" w:space="0" w:color="auto"/>
            </w:tcBorders>
          </w:tcPr>
          <w:p>
            <w:pPr>
              <w:pStyle w:val="TableParagraph"/>
              <w:tabs>
                <w:tab w:pos="1081" w:val="left" w:leader="none"/>
                <w:tab w:pos="2161" w:val="left" w:leader="none"/>
              </w:tabs>
              <w:spacing w:line="240" w:lineRule="auto" w:before="15"/>
              <w:ind w:right="121"/>
              <w:jc w:val="right"/>
              <w:rPr>
                <w:rFonts w:ascii="Arial" w:hAnsi="Arial" w:cs="Arial" w:eastAsia="Arial" w:hint="default"/>
                <w:sz w:val="18"/>
                <w:szCs w:val="18"/>
              </w:rPr>
            </w:pPr>
            <w:r>
              <w:rPr>
                <w:rFonts w:ascii="Arial"/>
                <w:spacing w:val="-1"/>
                <w:sz w:val="18"/>
              </w:rPr>
              <w:t>756,777</w:t>
              <w:tab/>
              <w:t>10.22</w:t>
              <w:tab/>
              <w:t>7,732,902</w:t>
            </w:r>
          </w:p>
        </w:tc>
      </w:tr>
      <w:tr>
        <w:trPr>
          <w:trHeight w:val="233"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8"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日元</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502" w:val="left" w:leader="none"/>
              </w:tabs>
              <w:spacing w:line="240" w:lineRule="auto" w:before="14"/>
              <w:ind w:left="118" w:right="0"/>
              <w:jc w:val="left"/>
              <w:rPr>
                <w:rFonts w:ascii="Arial" w:hAnsi="Arial" w:cs="Arial" w:eastAsia="Arial" w:hint="default"/>
                <w:sz w:val="18"/>
                <w:szCs w:val="18"/>
              </w:rPr>
            </w:pPr>
            <w:r>
              <w:rPr>
                <w:rFonts w:ascii="Arial"/>
                <w:spacing w:val="-1"/>
                <w:sz w:val="18"/>
              </w:rPr>
              <w:t>10,919,420</w:t>
              <w:tab/>
              <w:t>0.08</w:t>
              <w:tab/>
              <w:t>885,565</w:t>
            </w:r>
          </w:p>
        </w:tc>
        <w:tc>
          <w:tcPr>
            <w:tcW w:w="3584" w:type="dxa"/>
            <w:tcBorders>
              <w:top w:val="nil" w:sz="6" w:space="0" w:color="auto"/>
              <w:left w:val="nil" w:sz="6" w:space="0" w:color="auto"/>
              <w:bottom w:val="nil" w:sz="6" w:space="0" w:color="auto"/>
              <w:right w:val="nil" w:sz="6" w:space="0" w:color="auto"/>
            </w:tcBorders>
          </w:tcPr>
          <w:p>
            <w:pPr>
              <w:pStyle w:val="TableParagraph"/>
              <w:tabs>
                <w:tab w:pos="1680" w:val="left" w:leader="none"/>
                <w:tab w:pos="2660" w:val="left" w:leader="none"/>
              </w:tabs>
              <w:spacing w:line="240" w:lineRule="auto" w:before="14"/>
              <w:ind w:left="249" w:right="0"/>
              <w:jc w:val="left"/>
              <w:rPr>
                <w:rFonts w:ascii="Arial" w:hAnsi="Arial" w:cs="Arial" w:eastAsia="Arial" w:hint="default"/>
                <w:sz w:val="18"/>
                <w:szCs w:val="18"/>
              </w:rPr>
            </w:pPr>
            <w:r>
              <w:rPr>
                <w:rFonts w:ascii="Arial"/>
                <w:spacing w:val="-1"/>
                <w:sz w:val="18"/>
              </w:rPr>
              <w:t>12,434,969</w:t>
              <w:tab/>
              <w:t>0.08</w:t>
              <w:tab/>
              <w:t>1,010,963</w:t>
            </w:r>
          </w:p>
        </w:tc>
      </w:tr>
      <w:tr>
        <w:trPr>
          <w:trHeight w:val="344"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9"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新加坡币</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503" w:val="left" w:leader="none"/>
                <w:tab w:pos="3247" w:val="left" w:leader="none"/>
              </w:tabs>
              <w:spacing w:line="240" w:lineRule="auto" w:before="15"/>
              <w:ind w:left="368" w:right="0"/>
              <w:jc w:val="left"/>
              <w:rPr>
                <w:rFonts w:ascii="Arial" w:hAnsi="Arial" w:cs="Arial" w:eastAsia="Arial" w:hint="default"/>
                <w:sz w:val="18"/>
                <w:szCs w:val="18"/>
              </w:rPr>
            </w:pPr>
            <w:r>
              <w:rPr>
                <w:rFonts w:ascii="Arial"/>
                <w:spacing w:val="-1"/>
                <w:sz w:val="18"/>
              </w:rPr>
              <w:t>110,005</w:t>
              <w:tab/>
              <w:t>4.87</w:t>
            </w:r>
            <w:r>
              <w:rPr>
                <w:rFonts w:ascii="Arial"/>
                <w:spacing w:val="-1"/>
                <w:sz w:val="18"/>
                <w:u w:val="single" w:color="000000"/>
              </w:rPr>
              <w:t> </w:t>
              <w:tab/>
              <w:t>535,492</w:t>
              <w:tab/>
            </w:r>
            <w:r>
              <w:rPr>
                <w:rFonts w:ascii="Arial"/>
                <w:spacing w:val="-1"/>
                <w:sz w:val="18"/>
              </w:rPr>
            </w:r>
          </w:p>
        </w:tc>
        <w:tc>
          <w:tcPr>
            <w:tcW w:w="3584" w:type="dxa"/>
            <w:tcBorders>
              <w:top w:val="nil" w:sz="6" w:space="0" w:color="auto"/>
              <w:left w:val="nil" w:sz="6" w:space="0" w:color="auto"/>
              <w:bottom w:val="nil" w:sz="6" w:space="0" w:color="auto"/>
              <w:right w:val="nil" w:sz="6" w:space="0" w:color="auto"/>
            </w:tcBorders>
          </w:tcPr>
          <w:p>
            <w:pPr>
              <w:pStyle w:val="TableParagraph"/>
              <w:tabs>
                <w:tab w:pos="589" w:val="left" w:leader="none"/>
                <w:tab w:pos="2309" w:val="left" w:leader="none"/>
                <w:tab w:pos="2458" w:val="left" w:leader="none"/>
              </w:tabs>
              <w:spacing w:line="240" w:lineRule="auto" w:before="15"/>
              <w:ind w:right="33"/>
              <w:jc w:val="right"/>
              <w:rPr>
                <w:rFonts w:ascii="Arial" w:hAnsi="Arial" w:cs="Arial" w:eastAsia="Arial" w:hint="default"/>
                <w:sz w:val="18"/>
                <w:szCs w:val="18"/>
              </w:rPr>
            </w:pPr>
            <w:r>
              <w:rPr>
                <w:rFonts w:ascii="Arial"/>
                <w:sz w:val="18"/>
              </w:rPr>
              <w:t>-</w:t>
              <w:tab/>
            </w:r>
            <w:r>
              <w:rPr>
                <w:rFonts w:ascii="Arial"/>
                <w:spacing w:val="-1"/>
                <w:sz w:val="18"/>
              </w:rPr>
              <w:t>5.12</w:t>
            </w:r>
            <w:r>
              <w:rPr>
                <w:rFonts w:ascii="Arial"/>
                <w:spacing w:val="-1"/>
                <w:sz w:val="18"/>
                <w:u w:val="single" w:color="000000"/>
              </w:rPr>
              <w:t> </w:t>
              <w:tab/>
            </w:r>
            <w:r>
              <w:rPr>
                <w:rFonts w:ascii="Arial"/>
                <w:sz w:val="18"/>
                <w:u w:val="single" w:color="000000"/>
              </w:rPr>
              <w:t>-</w:t>
              <w:tab/>
            </w:r>
            <w:r>
              <w:rPr>
                <w:rFonts w:ascii="Arial"/>
                <w:sz w:val="18"/>
              </w:rPr>
            </w:r>
          </w:p>
        </w:tc>
      </w:tr>
      <w:tr>
        <w:trPr>
          <w:trHeight w:val="45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9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3"/>
                <w:sz w:val="18"/>
                <w:szCs w:val="18"/>
              </w:rPr>
              <w:t> </w:t>
            </w:r>
            <w:r>
              <w:rPr>
                <w:rFonts w:ascii="宋体" w:hAnsi="宋体" w:cs="宋体" w:eastAsia="宋体" w:hint="default"/>
                <w:sz w:val="18"/>
                <w:szCs w:val="18"/>
              </w:rPr>
              <w:t>个月以下银行存款小计</w:t>
            </w:r>
          </w:p>
        </w:tc>
        <w:tc>
          <w:tcPr>
            <w:tcW w:w="3305" w:type="dxa"/>
            <w:tcBorders>
              <w:top w:val="nil" w:sz="6" w:space="0" w:color="auto"/>
              <w:left w:val="nil" w:sz="6" w:space="0" w:color="auto"/>
              <w:bottom w:val="nil" w:sz="6" w:space="0" w:color="auto"/>
              <w:right w:val="nil" w:sz="6" w:space="0" w:color="auto"/>
            </w:tcBorders>
          </w:tcPr>
          <w:p>
            <w:pPr>
              <w:pStyle w:val="TableParagraph"/>
              <w:tabs>
                <w:tab w:pos="1391" w:val="left" w:leader="none"/>
              </w:tabs>
              <w:spacing w:line="240" w:lineRule="auto" w:before="125"/>
              <w:ind w:right="54"/>
              <w:jc w:val="right"/>
              <w:rPr>
                <w:rFonts w:ascii="Arial" w:hAnsi="Arial" w:cs="Arial" w:eastAsia="Arial" w:hint="default"/>
                <w:sz w:val="18"/>
                <w:szCs w:val="18"/>
              </w:rPr>
            </w:pPr>
            <w:r>
              <w:rPr>
                <w:rFonts w:ascii="Arial"/>
                <w:w w:val="100"/>
                <w:sz w:val="18"/>
              </w:rPr>
            </w:r>
            <w:r>
              <w:rPr>
                <w:rFonts w:ascii="Arial"/>
                <w:spacing w:val="-2"/>
                <w:w w:val="100"/>
                <w:sz w:val="18"/>
                <w:u w:val="single" w:color="000000"/>
              </w:rPr>
              <w:t> </w:t>
            </w:r>
            <w:r>
              <w:rPr>
                <w:rFonts w:ascii="Arial"/>
                <w:spacing w:val="-1"/>
                <w:sz w:val="18"/>
                <w:u w:val="single" w:color="000000"/>
              </w:rPr>
              <w:t>14,693,341,414</w:t>
              <w:tab/>
            </w:r>
            <w:r>
              <w:rPr>
                <w:rFonts w:ascii="Arial"/>
                <w:spacing w:val="-1"/>
                <w:sz w:val="18"/>
              </w:rPr>
            </w:r>
          </w:p>
        </w:tc>
        <w:tc>
          <w:tcPr>
            <w:tcW w:w="3584" w:type="dxa"/>
            <w:tcBorders>
              <w:top w:val="nil" w:sz="6" w:space="0" w:color="auto"/>
              <w:left w:val="nil" w:sz="6" w:space="0" w:color="auto"/>
              <w:bottom w:val="nil" w:sz="6" w:space="0" w:color="auto"/>
              <w:right w:val="nil" w:sz="6" w:space="0" w:color="auto"/>
            </w:tcBorders>
          </w:tcPr>
          <w:p>
            <w:pPr>
              <w:pStyle w:val="TableParagraph"/>
              <w:tabs>
                <w:tab w:pos="1401" w:val="left" w:leader="none"/>
              </w:tabs>
              <w:spacing w:line="240" w:lineRule="auto" w:before="125"/>
              <w:ind w:right="33"/>
              <w:jc w:val="right"/>
              <w:rPr>
                <w:rFonts w:ascii="Arial" w:hAnsi="Arial" w:cs="Arial" w:eastAsia="Arial" w:hint="default"/>
                <w:sz w:val="18"/>
                <w:szCs w:val="18"/>
              </w:rPr>
            </w:pPr>
            <w:r>
              <w:rPr>
                <w:rFonts w:ascii="Arial"/>
                <w:w w:val="100"/>
                <w:sz w:val="18"/>
              </w:rPr>
            </w:r>
            <w:r>
              <w:rPr>
                <w:rFonts w:ascii="Arial"/>
                <w:spacing w:val="13"/>
                <w:w w:val="100"/>
                <w:sz w:val="18"/>
                <w:u w:val="single" w:color="000000"/>
              </w:rPr>
              <w:t> </w:t>
            </w:r>
            <w:r>
              <w:rPr>
                <w:rFonts w:ascii="Arial"/>
                <w:spacing w:val="-1"/>
                <w:sz w:val="18"/>
                <w:u w:val="single" w:color="000000"/>
              </w:rPr>
              <w:t>22,188,267,639</w:t>
              <w:tab/>
            </w:r>
            <w:r>
              <w:rPr>
                <w:rFonts w:ascii="Arial"/>
                <w:spacing w:val="-1"/>
                <w:sz w:val="18"/>
              </w:rPr>
            </w:r>
          </w:p>
        </w:tc>
      </w:tr>
      <w:tr>
        <w:trPr>
          <w:trHeight w:val="45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05" w:type="dxa"/>
            <w:tcBorders>
              <w:top w:val="nil" w:sz="6" w:space="0" w:color="auto"/>
              <w:left w:val="nil" w:sz="6" w:space="0" w:color="auto"/>
              <w:bottom w:val="nil" w:sz="6" w:space="0" w:color="auto"/>
              <w:right w:val="nil" w:sz="6" w:space="0" w:color="auto"/>
            </w:tcBorders>
          </w:tcPr>
          <w:p>
            <w:pPr>
              <w:pStyle w:val="TableParagraph"/>
              <w:tabs>
                <w:tab w:pos="297" w:val="left" w:leader="none"/>
                <w:tab w:pos="1391" w:val="left" w:leader="none"/>
              </w:tabs>
              <w:spacing w:line="240" w:lineRule="auto" w:before="126"/>
              <w:ind w:right="5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435,638,569</w:t>
              <w:tab/>
            </w:r>
            <w:r>
              <w:rPr>
                <w:rFonts w:ascii="Arial"/>
                <w:spacing w:val="-1"/>
                <w:sz w:val="18"/>
              </w:rPr>
            </w:r>
          </w:p>
        </w:tc>
        <w:tc>
          <w:tcPr>
            <w:tcW w:w="3584" w:type="dxa"/>
            <w:tcBorders>
              <w:top w:val="nil" w:sz="6" w:space="0" w:color="auto"/>
              <w:left w:val="nil" w:sz="6" w:space="0" w:color="auto"/>
              <w:bottom w:val="nil" w:sz="6" w:space="0" w:color="auto"/>
              <w:right w:val="nil" w:sz="6" w:space="0" w:color="auto"/>
            </w:tcBorders>
          </w:tcPr>
          <w:p>
            <w:pPr>
              <w:pStyle w:val="TableParagraph"/>
              <w:tabs>
                <w:tab w:pos="313" w:val="left" w:leader="none"/>
                <w:tab w:pos="1401" w:val="left" w:leader="none"/>
              </w:tabs>
              <w:spacing w:line="240" w:lineRule="auto" w:before="126"/>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425,087,038</w:t>
              <w:tab/>
            </w:r>
            <w:r>
              <w:rPr>
                <w:rFonts w:ascii="Arial"/>
                <w:spacing w:val="-1"/>
                <w:sz w:val="18"/>
              </w:rPr>
            </w:r>
          </w:p>
        </w:tc>
      </w:tr>
      <w:tr>
        <w:trPr>
          <w:trHeight w:val="45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97" w:right="0"/>
              <w:jc w:val="left"/>
              <w:rPr>
                <w:rFonts w:ascii="宋体" w:hAnsi="宋体" w:cs="宋体" w:eastAsia="宋体" w:hint="default"/>
                <w:sz w:val="18"/>
                <w:szCs w:val="18"/>
              </w:rPr>
            </w:pPr>
            <w:r>
              <w:rPr>
                <w:rFonts w:ascii="宋体" w:hAnsi="宋体" w:cs="宋体" w:eastAsia="宋体" w:hint="default"/>
                <w:sz w:val="18"/>
                <w:szCs w:val="18"/>
              </w:rPr>
              <w:t>现金及现金等价物小计</w:t>
            </w:r>
          </w:p>
        </w:tc>
        <w:tc>
          <w:tcPr>
            <w:tcW w:w="3305" w:type="dxa"/>
            <w:tcBorders>
              <w:top w:val="nil" w:sz="6" w:space="0" w:color="auto"/>
              <w:left w:val="nil" w:sz="6" w:space="0" w:color="auto"/>
              <w:bottom w:val="nil" w:sz="6" w:space="0" w:color="auto"/>
              <w:right w:val="nil" w:sz="6" w:space="0" w:color="auto"/>
            </w:tcBorders>
          </w:tcPr>
          <w:p>
            <w:pPr>
              <w:pStyle w:val="TableParagraph"/>
              <w:tabs>
                <w:tab w:pos="1391" w:val="left" w:leader="none"/>
              </w:tabs>
              <w:spacing w:line="240" w:lineRule="auto" w:before="125"/>
              <w:ind w:right="54"/>
              <w:jc w:val="right"/>
              <w:rPr>
                <w:rFonts w:ascii="Arial" w:hAnsi="Arial" w:cs="Arial" w:eastAsia="Arial" w:hint="default"/>
                <w:sz w:val="18"/>
                <w:szCs w:val="18"/>
              </w:rPr>
            </w:pPr>
            <w:r>
              <w:rPr>
                <w:rFonts w:ascii="Arial"/>
                <w:w w:val="100"/>
                <w:sz w:val="18"/>
              </w:rPr>
            </w:r>
            <w:r>
              <w:rPr>
                <w:rFonts w:ascii="Arial"/>
                <w:spacing w:val="-2"/>
                <w:w w:val="100"/>
                <w:sz w:val="18"/>
                <w:u w:val="single" w:color="000000"/>
              </w:rPr>
              <w:t> </w:t>
            </w:r>
            <w:r>
              <w:rPr>
                <w:rFonts w:ascii="Arial"/>
                <w:spacing w:val="-1"/>
                <w:sz w:val="18"/>
                <w:u w:val="single" w:color="000000"/>
              </w:rPr>
              <w:t>15,134,971,543</w:t>
              <w:tab/>
            </w:r>
            <w:r>
              <w:rPr>
                <w:rFonts w:ascii="Arial"/>
                <w:spacing w:val="-1"/>
                <w:sz w:val="18"/>
              </w:rPr>
            </w:r>
          </w:p>
        </w:tc>
        <w:tc>
          <w:tcPr>
            <w:tcW w:w="3584" w:type="dxa"/>
            <w:tcBorders>
              <w:top w:val="nil" w:sz="6" w:space="0" w:color="auto"/>
              <w:left w:val="nil" w:sz="6" w:space="0" w:color="auto"/>
              <w:bottom w:val="nil" w:sz="6" w:space="0" w:color="auto"/>
              <w:right w:val="nil" w:sz="6" w:space="0" w:color="auto"/>
            </w:tcBorders>
          </w:tcPr>
          <w:p>
            <w:pPr>
              <w:pStyle w:val="TableParagraph"/>
              <w:tabs>
                <w:tab w:pos="1401" w:val="left" w:leader="none"/>
              </w:tabs>
              <w:spacing w:line="240" w:lineRule="auto" w:before="125"/>
              <w:ind w:right="33"/>
              <w:jc w:val="right"/>
              <w:rPr>
                <w:rFonts w:ascii="Arial" w:hAnsi="Arial" w:cs="Arial" w:eastAsia="Arial" w:hint="default"/>
                <w:sz w:val="18"/>
                <w:szCs w:val="18"/>
              </w:rPr>
            </w:pPr>
            <w:r>
              <w:rPr>
                <w:rFonts w:ascii="Arial"/>
                <w:w w:val="100"/>
                <w:sz w:val="18"/>
              </w:rPr>
            </w:r>
            <w:r>
              <w:rPr>
                <w:rFonts w:ascii="Arial"/>
                <w:spacing w:val="13"/>
                <w:w w:val="100"/>
                <w:sz w:val="18"/>
                <w:u w:val="single" w:color="000000"/>
              </w:rPr>
              <w:t> </w:t>
            </w:r>
            <w:r>
              <w:rPr>
                <w:rFonts w:ascii="Arial"/>
                <w:spacing w:val="-1"/>
                <w:sz w:val="18"/>
                <w:u w:val="single" w:color="000000"/>
              </w:rPr>
              <w:t>22,619,788,582</w:t>
              <w:tab/>
            </w:r>
            <w:r>
              <w:rPr>
                <w:rFonts w:ascii="Arial"/>
                <w:spacing w:val="-1"/>
                <w:sz w:val="18"/>
              </w:rPr>
            </w:r>
          </w:p>
        </w:tc>
      </w:tr>
      <w:tr>
        <w:trPr>
          <w:trHeight w:val="338"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9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个月以上定期存款</w:t>
            </w:r>
          </w:p>
        </w:tc>
        <w:tc>
          <w:tcPr>
            <w:tcW w:w="3305" w:type="dxa"/>
            <w:tcBorders>
              <w:top w:val="nil" w:sz="6" w:space="0" w:color="auto"/>
              <w:left w:val="nil" w:sz="6" w:space="0" w:color="auto"/>
              <w:bottom w:val="nil" w:sz="6" w:space="0" w:color="auto"/>
              <w:right w:val="nil" w:sz="6" w:space="0" w:color="auto"/>
            </w:tcBorders>
          </w:tcPr>
          <w:p>
            <w:pPr/>
          </w:p>
        </w:tc>
        <w:tc>
          <w:tcPr>
            <w:tcW w:w="3584" w:type="dxa"/>
            <w:tcBorders>
              <w:top w:val="nil" w:sz="6" w:space="0" w:color="auto"/>
              <w:left w:val="nil" w:sz="6" w:space="0" w:color="auto"/>
              <w:bottom w:val="nil" w:sz="6" w:space="0" w:color="auto"/>
              <w:right w:val="nil" w:sz="6" w:space="0" w:color="auto"/>
            </w:tcBorders>
          </w:tcPr>
          <w:p>
            <w:pPr/>
          </w:p>
        </w:tc>
      </w:tr>
      <w:tr>
        <w:trPr>
          <w:trHeight w:val="240"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15"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9"/>
              <w:jc w:val="right"/>
              <w:rPr>
                <w:rFonts w:ascii="Arial" w:hAnsi="Arial" w:cs="Arial" w:eastAsia="Arial" w:hint="default"/>
                <w:sz w:val="18"/>
                <w:szCs w:val="18"/>
              </w:rPr>
            </w:pPr>
            <w:r>
              <w:rPr>
                <w:rFonts w:ascii="Arial"/>
                <w:spacing w:val="-1"/>
                <w:sz w:val="18"/>
              </w:rPr>
              <w:t>48,156,985</w:t>
            </w:r>
          </w:p>
        </w:tc>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2"/>
              <w:jc w:val="right"/>
              <w:rPr>
                <w:rFonts w:ascii="Arial" w:hAnsi="Arial" w:cs="Arial" w:eastAsia="Arial" w:hint="default"/>
                <w:sz w:val="18"/>
                <w:szCs w:val="18"/>
              </w:rPr>
            </w:pPr>
            <w:r>
              <w:rPr>
                <w:rFonts w:ascii="Arial"/>
                <w:spacing w:val="-1"/>
                <w:sz w:val="18"/>
              </w:rPr>
              <w:t>63,177,176</w:t>
            </w:r>
          </w:p>
        </w:tc>
      </w:tr>
      <w:tr>
        <w:trPr>
          <w:trHeight w:val="233"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9"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152" w:val="left" w:leader="none"/>
              </w:tabs>
              <w:spacing w:line="240" w:lineRule="auto" w:before="15"/>
              <w:ind w:left="118" w:right="0"/>
              <w:jc w:val="left"/>
              <w:rPr>
                <w:rFonts w:ascii="Arial" w:hAnsi="Arial" w:cs="Arial" w:eastAsia="Arial" w:hint="default"/>
                <w:sz w:val="18"/>
                <w:szCs w:val="18"/>
              </w:rPr>
            </w:pPr>
            <w:r>
              <w:rPr>
                <w:rFonts w:ascii="Arial"/>
                <w:spacing w:val="-1"/>
                <w:sz w:val="18"/>
              </w:rPr>
              <w:t>29,507,840</w:t>
              <w:tab/>
              <w:t>6.30</w:t>
              <w:tab/>
              <w:t>185,925,949</w:t>
            </w:r>
          </w:p>
        </w:tc>
        <w:tc>
          <w:tcPr>
            <w:tcW w:w="3584" w:type="dxa"/>
            <w:tcBorders>
              <w:top w:val="nil" w:sz="6" w:space="0" w:color="auto"/>
              <w:left w:val="nil" w:sz="6" w:space="0" w:color="auto"/>
              <w:bottom w:val="nil" w:sz="6" w:space="0" w:color="auto"/>
              <w:right w:val="nil" w:sz="6" w:space="0" w:color="auto"/>
            </w:tcBorders>
          </w:tcPr>
          <w:p>
            <w:pPr>
              <w:pStyle w:val="TableParagraph"/>
              <w:tabs>
                <w:tab w:pos="1680" w:val="left" w:leader="none"/>
                <w:tab w:pos="2460" w:val="left" w:leader="none"/>
              </w:tabs>
              <w:spacing w:line="240" w:lineRule="auto" w:before="15"/>
              <w:ind w:left="248" w:right="0"/>
              <w:jc w:val="left"/>
              <w:rPr>
                <w:rFonts w:ascii="Arial" w:hAnsi="Arial" w:cs="Arial" w:eastAsia="Arial" w:hint="default"/>
                <w:sz w:val="18"/>
                <w:szCs w:val="18"/>
              </w:rPr>
            </w:pPr>
            <w:r>
              <w:rPr>
                <w:rFonts w:ascii="Arial"/>
                <w:spacing w:val="-1"/>
                <w:sz w:val="18"/>
              </w:rPr>
              <w:t>22,334,486</w:t>
              <w:tab/>
              <w:t>6.62</w:t>
              <w:tab/>
              <w:t>147,914,601</w:t>
            </w:r>
          </w:p>
        </w:tc>
      </w:tr>
      <w:tr>
        <w:trPr>
          <w:trHeight w:val="344"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08" w:lineRule="exact"/>
              <w:ind w:left="81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港币</w:t>
            </w:r>
          </w:p>
        </w:tc>
        <w:tc>
          <w:tcPr>
            <w:tcW w:w="3305" w:type="dxa"/>
            <w:tcBorders>
              <w:top w:val="nil" w:sz="6" w:space="0" w:color="auto"/>
              <w:left w:val="nil" w:sz="6" w:space="0" w:color="auto"/>
              <w:bottom w:val="nil" w:sz="6" w:space="0" w:color="auto"/>
              <w:right w:val="nil" w:sz="6" w:space="0" w:color="auto"/>
            </w:tcBorders>
          </w:tcPr>
          <w:p>
            <w:pPr>
              <w:pStyle w:val="TableParagraph"/>
              <w:tabs>
                <w:tab w:pos="1393" w:val="left" w:leader="none"/>
                <w:tab w:pos="2251" w:val="left" w:leader="none"/>
                <w:tab w:pos="3247" w:val="left" w:leader="none"/>
              </w:tabs>
              <w:spacing w:line="240" w:lineRule="auto" w:before="14"/>
              <w:ind w:left="118" w:right="0"/>
              <w:jc w:val="left"/>
              <w:rPr>
                <w:rFonts w:ascii="Arial" w:hAnsi="Arial" w:cs="Arial" w:eastAsia="Arial" w:hint="default"/>
                <w:sz w:val="18"/>
                <w:szCs w:val="18"/>
              </w:rPr>
            </w:pPr>
            <w:r>
              <w:rPr>
                <w:rFonts w:ascii="Arial"/>
                <w:spacing w:val="-1"/>
                <w:sz w:val="18"/>
              </w:rPr>
              <w:t>65,378,060</w:t>
              <w:tab/>
              <w:t>0.81</w:t>
            </w:r>
            <w:r>
              <w:rPr>
                <w:rFonts w:ascii="Arial"/>
                <w:spacing w:val="-1"/>
                <w:sz w:val="18"/>
                <w:u w:val="single" w:color="000000"/>
              </w:rPr>
              <w:t> </w:t>
              <w:tab/>
              <w:t>53,001,993</w:t>
              <w:tab/>
            </w:r>
            <w:r>
              <w:rPr>
                <w:rFonts w:ascii="Arial"/>
                <w:spacing w:val="-1"/>
                <w:sz w:val="18"/>
              </w:rPr>
            </w:r>
          </w:p>
        </w:tc>
        <w:tc>
          <w:tcPr>
            <w:tcW w:w="3584" w:type="dxa"/>
            <w:tcBorders>
              <w:top w:val="nil" w:sz="6" w:space="0" w:color="auto"/>
              <w:left w:val="nil" w:sz="6" w:space="0" w:color="auto"/>
              <w:bottom w:val="nil" w:sz="6" w:space="0" w:color="auto"/>
              <w:right w:val="nil" w:sz="6" w:space="0" w:color="auto"/>
            </w:tcBorders>
          </w:tcPr>
          <w:p>
            <w:pPr>
              <w:pStyle w:val="TableParagraph"/>
              <w:tabs>
                <w:tab w:pos="1431" w:val="left" w:leader="none"/>
                <w:tab w:pos="2311" w:val="left" w:leader="none"/>
                <w:tab w:pos="3300" w:val="left" w:leader="none"/>
              </w:tabs>
              <w:spacing w:line="240" w:lineRule="auto" w:before="14"/>
              <w:ind w:right="33"/>
              <w:jc w:val="right"/>
              <w:rPr>
                <w:rFonts w:ascii="Arial" w:hAnsi="Arial" w:cs="Arial" w:eastAsia="Arial" w:hint="default"/>
                <w:sz w:val="18"/>
                <w:szCs w:val="18"/>
              </w:rPr>
            </w:pPr>
            <w:r>
              <w:rPr>
                <w:rFonts w:ascii="Arial"/>
                <w:spacing w:val="-1"/>
                <w:sz w:val="18"/>
              </w:rPr>
              <w:t>50,041,000</w:t>
              <w:tab/>
              <w:t>0.85</w:t>
            </w:r>
            <w:r>
              <w:rPr>
                <w:rFonts w:ascii="Arial"/>
                <w:spacing w:val="-1"/>
                <w:sz w:val="18"/>
                <w:u w:val="single" w:color="000000"/>
              </w:rPr>
              <w:t> </w:t>
              <w:tab/>
              <w:t>42,579,887</w:t>
              <w:tab/>
            </w:r>
            <w:r>
              <w:rPr>
                <w:rFonts w:ascii="Arial"/>
                <w:spacing w:val="-1"/>
                <w:sz w:val="18"/>
              </w:rPr>
            </w:r>
          </w:p>
        </w:tc>
      </w:tr>
      <w:tr>
        <w:trPr>
          <w:trHeight w:val="45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9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3"/>
                <w:sz w:val="18"/>
                <w:szCs w:val="18"/>
              </w:rPr>
              <w:t> </w:t>
            </w:r>
            <w:r>
              <w:rPr>
                <w:rFonts w:ascii="宋体" w:hAnsi="宋体" w:cs="宋体" w:eastAsia="宋体" w:hint="default"/>
                <w:sz w:val="18"/>
                <w:szCs w:val="18"/>
              </w:rPr>
              <w:t>个月以上银行存款小计</w:t>
            </w:r>
          </w:p>
        </w:tc>
        <w:tc>
          <w:tcPr>
            <w:tcW w:w="3305" w:type="dxa"/>
            <w:tcBorders>
              <w:top w:val="nil" w:sz="6" w:space="0" w:color="auto"/>
              <w:left w:val="nil" w:sz="6" w:space="0" w:color="auto"/>
              <w:bottom w:val="nil" w:sz="6" w:space="0" w:color="auto"/>
              <w:right w:val="nil" w:sz="6" w:space="0" w:color="auto"/>
            </w:tcBorders>
          </w:tcPr>
          <w:p>
            <w:pPr>
              <w:pStyle w:val="TableParagraph"/>
              <w:tabs>
                <w:tab w:pos="297" w:val="left" w:leader="none"/>
                <w:tab w:pos="1391" w:val="left" w:leader="none"/>
              </w:tabs>
              <w:spacing w:line="240" w:lineRule="auto" w:before="126"/>
              <w:ind w:right="5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287,084,927</w:t>
              <w:tab/>
            </w:r>
            <w:r>
              <w:rPr>
                <w:rFonts w:ascii="Arial"/>
                <w:spacing w:val="-1"/>
                <w:sz w:val="18"/>
              </w:rPr>
            </w:r>
          </w:p>
        </w:tc>
        <w:tc>
          <w:tcPr>
            <w:tcW w:w="3584" w:type="dxa"/>
            <w:tcBorders>
              <w:top w:val="nil" w:sz="6" w:space="0" w:color="auto"/>
              <w:left w:val="nil" w:sz="6" w:space="0" w:color="auto"/>
              <w:bottom w:val="nil" w:sz="6" w:space="0" w:color="auto"/>
              <w:right w:val="nil" w:sz="6" w:space="0" w:color="auto"/>
            </w:tcBorders>
          </w:tcPr>
          <w:p>
            <w:pPr>
              <w:pStyle w:val="TableParagraph"/>
              <w:tabs>
                <w:tab w:pos="313" w:val="left" w:leader="none"/>
                <w:tab w:pos="1401" w:val="left" w:leader="none"/>
              </w:tabs>
              <w:spacing w:line="240" w:lineRule="auto" w:before="126"/>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253,671,664</w:t>
              <w:tab/>
            </w:r>
            <w:r>
              <w:rPr>
                <w:rFonts w:ascii="Arial"/>
                <w:spacing w:val="-1"/>
                <w:sz w:val="18"/>
              </w:rPr>
            </w:r>
          </w:p>
        </w:tc>
      </w:tr>
      <w:tr>
        <w:trPr>
          <w:trHeight w:val="482"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97" w:right="0"/>
              <w:jc w:val="left"/>
              <w:rPr>
                <w:rFonts w:ascii="宋体" w:hAnsi="宋体" w:cs="宋体" w:eastAsia="宋体" w:hint="default"/>
                <w:sz w:val="18"/>
                <w:szCs w:val="18"/>
              </w:rPr>
            </w:pPr>
            <w:r>
              <w:rPr>
                <w:rFonts w:ascii="宋体" w:hAnsi="宋体" w:cs="宋体" w:eastAsia="宋体" w:hint="default"/>
                <w:sz w:val="18"/>
                <w:szCs w:val="18"/>
              </w:rPr>
              <w:t>受到限制的银行存款</w:t>
            </w:r>
          </w:p>
        </w:tc>
        <w:tc>
          <w:tcPr>
            <w:tcW w:w="3305" w:type="dxa"/>
            <w:tcBorders>
              <w:top w:val="nil" w:sz="6" w:space="0" w:color="auto"/>
              <w:left w:val="nil" w:sz="6" w:space="0" w:color="auto"/>
              <w:bottom w:val="nil" w:sz="6" w:space="0" w:color="auto"/>
              <w:right w:val="nil" w:sz="6" w:space="0" w:color="auto"/>
            </w:tcBorders>
          </w:tcPr>
          <w:p>
            <w:pPr>
              <w:pStyle w:val="TableParagraph"/>
              <w:tabs>
                <w:tab w:pos="397" w:val="left" w:leader="none"/>
                <w:tab w:pos="1448" w:val="left" w:leader="none"/>
              </w:tabs>
              <w:spacing w:line="240" w:lineRule="auto" w:before="12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16,959,815</w:t>
              <w:tab/>
            </w:r>
            <w:r>
              <w:rPr>
                <w:rFonts w:ascii="Arial"/>
                <w:spacing w:val="-1"/>
                <w:sz w:val="18"/>
              </w:rPr>
            </w:r>
          </w:p>
        </w:tc>
        <w:tc>
          <w:tcPr>
            <w:tcW w:w="3584" w:type="dxa"/>
            <w:tcBorders>
              <w:top w:val="nil" w:sz="6" w:space="0" w:color="auto"/>
              <w:left w:val="nil" w:sz="6" w:space="0" w:color="auto"/>
              <w:bottom w:val="nil" w:sz="6" w:space="0" w:color="auto"/>
              <w:right w:val="nil" w:sz="6" w:space="0" w:color="auto"/>
            </w:tcBorders>
          </w:tcPr>
          <w:p>
            <w:pPr>
              <w:pStyle w:val="TableParagraph"/>
              <w:tabs>
                <w:tab w:pos="412" w:val="left" w:leader="none"/>
                <w:tab w:pos="1401" w:val="left" w:leader="none"/>
              </w:tabs>
              <w:spacing w:line="240" w:lineRule="auto" w:before="125"/>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19,109,271</w:t>
              <w:tab/>
            </w:r>
            <w:r>
              <w:rPr>
                <w:rFonts w:ascii="Arial"/>
                <w:spacing w:val="-1"/>
                <w:sz w:val="18"/>
              </w:rPr>
            </w:r>
          </w:p>
        </w:tc>
      </w:tr>
      <w:tr>
        <w:trPr>
          <w:trHeight w:val="38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97" w:right="0"/>
              <w:jc w:val="left"/>
              <w:rPr>
                <w:rFonts w:ascii="宋体" w:hAnsi="宋体" w:cs="宋体" w:eastAsia="宋体" w:hint="default"/>
                <w:sz w:val="18"/>
                <w:szCs w:val="18"/>
              </w:rPr>
            </w:pPr>
            <w:r>
              <w:rPr>
                <w:rFonts w:ascii="宋体" w:hAnsi="宋体" w:cs="宋体" w:eastAsia="宋体" w:hint="default"/>
                <w:sz w:val="18"/>
                <w:szCs w:val="18"/>
              </w:rPr>
              <w:t>货币资金合计</w:t>
            </w:r>
          </w:p>
        </w:tc>
        <w:tc>
          <w:tcPr>
            <w:tcW w:w="3305"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left="1903" w:right="0"/>
              <w:jc w:val="left"/>
              <w:rPr>
                <w:rFonts w:ascii="Arial" w:hAnsi="Arial" w:cs="Arial" w:eastAsia="Arial" w:hint="default"/>
                <w:sz w:val="18"/>
                <w:szCs w:val="18"/>
              </w:rPr>
            </w:pPr>
            <w:r>
              <w:rPr>
                <w:rFonts w:ascii="Arial"/>
                <w:sz w:val="18"/>
              </w:rPr>
              <w:t>15,439,016,285</w:t>
            </w:r>
          </w:p>
        </w:tc>
        <w:tc>
          <w:tcPr>
            <w:tcW w:w="3584"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right="120"/>
              <w:jc w:val="right"/>
              <w:rPr>
                <w:rFonts w:ascii="Arial" w:hAnsi="Arial" w:cs="Arial" w:eastAsia="Arial" w:hint="default"/>
                <w:sz w:val="18"/>
                <w:szCs w:val="18"/>
              </w:rPr>
            </w:pPr>
            <w:r>
              <w:rPr>
                <w:rFonts w:ascii="Arial"/>
                <w:spacing w:val="-1"/>
                <w:sz w:val="18"/>
              </w:rPr>
              <w:t>22,892,569,517</w:t>
            </w:r>
          </w:p>
        </w:tc>
      </w:tr>
    </w:tbl>
    <w:p>
      <w:pPr>
        <w:spacing w:line="240" w:lineRule="auto" w:before="4"/>
        <w:rPr>
          <w:rFonts w:ascii="宋体" w:hAnsi="宋体" w:cs="宋体" w:eastAsia="宋体" w:hint="default"/>
          <w:sz w:val="7"/>
          <w:szCs w:val="7"/>
        </w:rPr>
      </w:pPr>
    </w:p>
    <w:p>
      <w:pPr>
        <w:pStyle w:val="BodyText"/>
        <w:spacing w:line="294" w:lineRule="exact" w:before="31"/>
        <w:ind w:left="593" w:right="0"/>
        <w:jc w:val="left"/>
      </w:pPr>
      <w:r>
        <w:rPr/>
        <w:t>于</w:t>
      </w:r>
      <w:r>
        <w:rPr>
          <w:spacing w:val="-56"/>
        </w:rPr>
        <w:t> </w:t>
      </w:r>
      <w:r>
        <w:rPr>
          <w:rFonts w:ascii="Arial" w:hAnsi="Arial" w:cs="Arial" w:eastAsia="Arial" w:hint="default"/>
        </w:rPr>
        <w:t>2011</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6"/>
        </w:rPr>
        <w:t> </w:t>
      </w:r>
      <w:r>
        <w:rPr/>
        <w:t>日，本集团受限制的银行存款约人民币</w:t>
      </w:r>
      <w:r>
        <w:rPr>
          <w:spacing w:val="-55"/>
        </w:rPr>
        <w:t> </w:t>
      </w:r>
      <w:r>
        <w:rPr>
          <w:rFonts w:ascii="Arial" w:hAnsi="Arial" w:cs="Arial" w:eastAsia="Arial" w:hint="default"/>
        </w:rPr>
        <w:t>1,696</w:t>
      </w:r>
      <w:r>
        <w:rPr>
          <w:rFonts w:ascii="Arial" w:hAnsi="Arial" w:cs="Arial" w:eastAsia="Arial" w:hint="default"/>
          <w:spacing w:val="-7"/>
        </w:rPr>
        <w:t> </w:t>
      </w:r>
      <w:r>
        <w:rPr/>
        <w:t>万元是用作物业保证金及工</w:t>
      </w:r>
    </w:p>
    <w:p>
      <w:pPr>
        <w:pStyle w:val="BodyText"/>
        <w:spacing w:line="294" w:lineRule="exact"/>
        <w:ind w:left="593" w:right="0"/>
        <w:jc w:val="left"/>
      </w:pPr>
      <w:r>
        <w:rPr/>
        <w:t>程保证金而受限使用的银行存款（</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日：约人民币</w:t>
      </w:r>
      <w:r>
        <w:rPr>
          <w:spacing w:val="-56"/>
        </w:rPr>
        <w:t> </w:t>
      </w:r>
      <w:r>
        <w:rPr>
          <w:rFonts w:ascii="Arial" w:hAnsi="Arial" w:cs="Arial" w:eastAsia="Arial" w:hint="default"/>
        </w:rPr>
        <w:t>1,911</w:t>
      </w:r>
      <w:r>
        <w:rPr>
          <w:rFonts w:ascii="Arial" w:hAnsi="Arial" w:cs="Arial" w:eastAsia="Arial" w:hint="default"/>
          <w:spacing w:val="-7"/>
        </w:rPr>
        <w:t> </w:t>
      </w:r>
      <w:r>
        <w:rPr/>
        <w:t>万元）。</w:t>
      </w:r>
    </w:p>
    <w:p>
      <w:pPr>
        <w:spacing w:line="240" w:lineRule="auto" w:before="3"/>
        <w:rPr>
          <w:rFonts w:ascii="宋体" w:hAnsi="宋体" w:cs="宋体" w:eastAsia="宋体" w:hint="default"/>
          <w:sz w:val="10"/>
          <w:szCs w:val="10"/>
        </w:rPr>
      </w:pPr>
    </w:p>
    <w:p>
      <w:pPr>
        <w:pStyle w:val="BodyText"/>
        <w:spacing w:line="240" w:lineRule="auto" w:before="31"/>
        <w:ind w:left="202" w:right="0"/>
        <w:jc w:val="left"/>
      </w:pPr>
      <w:r>
        <w:rPr>
          <w:rFonts w:ascii="Arial" w:hAnsi="Arial" w:cs="Arial" w:eastAsia="Arial" w:hint="default"/>
        </w:rPr>
        <w:t>2</w:t>
      </w:r>
      <w:r>
        <w:rPr/>
        <w:t>、</w:t>
      </w:r>
      <w:r>
        <w:rPr>
          <w:spacing w:val="-44"/>
        </w:rPr>
        <w:t> </w:t>
      </w:r>
      <w:r>
        <w:rPr/>
        <w:t>应收票据</w:t>
      </w:r>
    </w:p>
    <w:p>
      <w:pPr>
        <w:pStyle w:val="BodyText"/>
        <w:tabs>
          <w:tab w:pos="7687" w:val="left" w:leader="none"/>
        </w:tabs>
        <w:spacing w:line="240" w:lineRule="auto" w:before="143"/>
        <w:ind w:left="5195"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770" w:right="0" w:firstLine="0"/>
        <w:rPr>
          <w:rFonts w:ascii="宋体" w:hAnsi="宋体" w:cs="宋体" w:eastAsia="宋体" w:hint="default"/>
          <w:sz w:val="2"/>
          <w:szCs w:val="2"/>
        </w:rPr>
      </w:pPr>
      <w:r>
        <w:rPr>
          <w:rFonts w:ascii="宋体"/>
          <w:sz w:val="2"/>
        </w:rPr>
        <w:pict>
          <v:group style="width:119.3pt;height:.75pt;mso-position-horizontal-relative:char;mso-position-vertical-relative:line" coordorigin="0,0" coordsize="2386,15">
            <v:group style="position:absolute;left:7;top:7;width:2372;height:2" coordorigin="7,7" coordsize="2372,2">
              <v:shape style="position:absolute;left:7;top:7;width:2372;height:2" coordorigin="7,7" coordsize="2372,0" path="m7,7l2378,7e" filled="false" stroked="true" strokeweight=".72pt" strokecolor="#000000">
                <v:path arrowok="t"/>
              </v:shape>
            </v:group>
          </v:group>
        </w:pict>
      </w:r>
      <w:r>
        <w:rPr>
          <w:rFonts w:ascii="宋体"/>
          <w:sz w:val="2"/>
        </w:rPr>
      </w:r>
      <w:r>
        <w:rPr>
          <w:rFonts w:ascii="Times New Roman"/>
          <w:spacing w:val="79"/>
          <w:sz w:val="2"/>
        </w:rPr>
        <w:t> </w:t>
      </w:r>
      <w:r>
        <w:rPr>
          <w:rFonts w:ascii="宋体"/>
          <w:spacing w:val="79"/>
          <w:sz w:val="2"/>
        </w:rPr>
        <w:pict>
          <v:group style="width:120.25pt;height:.75pt;mso-position-horizontal-relative:char;mso-position-vertical-relative:line" coordorigin="0,0" coordsize="2405,15">
            <v:group style="position:absolute;left:7;top:7;width:2391;height:2" coordorigin="7,7" coordsize="2391,2">
              <v:shape style="position:absolute;left:7;top:7;width:2391;height:2" coordorigin="7,7" coordsize="2391,0" path="m7,7l2398,7e" filled="false" stroked="true" strokeweight=".72pt" strokecolor="#000000">
                <v:path arrowok="t"/>
              </v:shape>
            </v:group>
          </v:group>
        </w:pict>
      </w:r>
      <w:r>
        <w:rPr>
          <w:rFonts w:ascii="宋体"/>
          <w:spacing w:val="79"/>
          <w:sz w:val="2"/>
        </w:rPr>
      </w:r>
    </w:p>
    <w:p>
      <w:pPr>
        <w:spacing w:line="240" w:lineRule="auto" w:before="6"/>
        <w:rPr>
          <w:rFonts w:ascii="宋体" w:hAnsi="宋体" w:cs="宋体" w:eastAsia="宋体" w:hint="default"/>
          <w:sz w:val="12"/>
          <w:szCs w:val="12"/>
        </w:rPr>
      </w:pPr>
    </w:p>
    <w:p>
      <w:pPr>
        <w:pStyle w:val="BodyText"/>
        <w:tabs>
          <w:tab w:pos="6946" w:val="left" w:leader="none"/>
          <w:tab w:pos="8738" w:val="left" w:leader="none"/>
        </w:tabs>
        <w:spacing w:line="304" w:lineRule="exact" w:before="27"/>
        <w:ind w:left="605" w:right="0"/>
        <w:jc w:val="left"/>
        <w:rPr>
          <w:rFonts w:ascii="Arial" w:hAnsi="Arial" w:cs="Arial" w:eastAsia="Arial" w:hint="default"/>
        </w:rPr>
      </w:pPr>
      <w:r>
        <w:rPr>
          <w:w w:val="95"/>
          <w:position w:val="2"/>
        </w:rPr>
        <w:t>商业承兑汇票</w:t>
        <w:tab/>
      </w:r>
      <w:r>
        <w:rPr>
          <w:rFonts w:ascii="Arial" w:hAnsi="Arial" w:cs="Arial" w:eastAsia="Arial" w:hint="default"/>
          <w:w w:val="95"/>
        </w:rPr>
        <w:t>-</w:t>
        <w:tab/>
      </w:r>
      <w:r>
        <w:rPr>
          <w:rFonts w:ascii="Arial" w:hAnsi="Arial" w:cs="Arial" w:eastAsia="Arial" w:hint="default"/>
        </w:rPr>
        <w:t>796,711</w:t>
      </w:r>
    </w:p>
    <w:p>
      <w:pPr>
        <w:pStyle w:val="BodyText"/>
        <w:tabs>
          <w:tab w:pos="4777" w:val="left" w:leader="none"/>
          <w:tab w:pos="5917" w:val="left" w:leader="none"/>
          <w:tab w:pos="8431" w:val="left" w:leader="none"/>
          <w:tab w:pos="9641" w:val="left" w:leader="none"/>
        </w:tabs>
        <w:spacing w:line="304" w:lineRule="exact"/>
        <w:ind w:left="605" w:right="0"/>
        <w:jc w:val="left"/>
        <w:rPr>
          <w:rFonts w:ascii="Arial" w:hAnsi="Arial" w:cs="Arial" w:eastAsia="Arial" w:hint="default"/>
        </w:rPr>
      </w:pPr>
      <w:r>
        <w:rPr>
          <w:w w:val="95"/>
          <w:position w:val="2"/>
        </w:rPr>
        <w:t>银行承兑汇票</w:t>
        <w:tab/>
      </w:r>
      <w:r>
        <w:rPr>
          <w:rFonts w:ascii="Arial" w:hAnsi="Arial" w:cs="Arial" w:eastAsia="Arial" w:hint="default"/>
          <w:w w:val="95"/>
        </w:rPr>
      </w:r>
      <w:r>
        <w:rPr>
          <w:rFonts w:ascii="Arial" w:hAnsi="Arial" w:cs="Arial" w:eastAsia="Arial" w:hint="default"/>
          <w:w w:val="95"/>
          <w:u w:val="single" w:color="000000"/>
        </w:rPr>
        <w:t> </w:t>
        <w:tab/>
        <w:t>31,490,161</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60,656,691</w:t>
        <w:tab/>
      </w:r>
      <w:r>
        <w:rPr>
          <w:rFonts w:ascii="Arial" w:hAnsi="Arial" w:cs="Arial" w:eastAsia="Arial" w:hint="default"/>
        </w:rPr>
      </w:r>
    </w:p>
    <w:p>
      <w:pPr>
        <w:spacing w:line="240" w:lineRule="auto" w:before="6"/>
        <w:rPr>
          <w:rFonts w:ascii="Arial" w:hAnsi="Arial" w:cs="Arial" w:eastAsia="Arial" w:hint="default"/>
          <w:sz w:val="14"/>
          <w:szCs w:val="14"/>
        </w:rPr>
      </w:pPr>
    </w:p>
    <w:p>
      <w:pPr>
        <w:pStyle w:val="BodyText"/>
        <w:tabs>
          <w:tab w:pos="5917" w:val="left" w:leader="none"/>
          <w:tab w:pos="8431" w:val="left" w:leader="none"/>
        </w:tabs>
        <w:spacing w:line="240" w:lineRule="auto" w:before="27"/>
        <w:ind w:left="605" w:right="0"/>
        <w:jc w:val="left"/>
        <w:rPr>
          <w:rFonts w:ascii="Arial" w:hAnsi="Arial" w:cs="Arial" w:eastAsia="Arial" w:hint="default"/>
        </w:rPr>
      </w:pPr>
      <w:r>
        <w:rPr>
          <w:w w:val="95"/>
          <w:position w:val="2"/>
        </w:rPr>
        <w:t>合计</w:t>
        <w:tab/>
      </w:r>
      <w:r>
        <w:rPr>
          <w:rFonts w:ascii="Arial" w:hAnsi="Arial" w:cs="Arial" w:eastAsia="Arial" w:hint="default"/>
          <w:w w:val="95"/>
        </w:rPr>
        <w:t>31,490,161</w:t>
        <w:tab/>
      </w:r>
      <w:r>
        <w:rPr>
          <w:rFonts w:ascii="Arial" w:hAnsi="Arial" w:cs="Arial" w:eastAsia="Arial" w:hint="default"/>
        </w:rPr>
        <w:t>61,453,402</w:t>
      </w:r>
    </w:p>
    <w:p>
      <w:pPr>
        <w:spacing w:line="43" w:lineRule="exact"/>
        <w:ind w:left="4756" w:right="0" w:firstLine="0"/>
        <w:rPr>
          <w:rFonts w:ascii="Arial" w:hAnsi="Arial" w:cs="Arial" w:eastAsia="Arial" w:hint="default"/>
          <w:sz w:val="4"/>
          <w:szCs w:val="4"/>
        </w:rPr>
      </w:pPr>
      <w:r>
        <w:rPr>
          <w:rFonts w:ascii="Arial"/>
          <w:position w:val="0"/>
          <w:sz w:val="4"/>
        </w:rPr>
        <w:pict>
          <v:group style="width:120pt;height:2.2pt;mso-position-horizontal-relative:char;mso-position-vertical-relative:line" coordorigin="0,0" coordsize="2400,44">
            <v:group style="position:absolute;left:7;top:36;width:2386;height:2" coordorigin="7,36" coordsize="2386,2">
              <v:shape style="position:absolute;left:7;top:36;width:2386;height:2" coordorigin="7,36" coordsize="2386,0" path="m7,36l2393,36e" filled="false" stroked="true" strokeweight=".72pt" strokecolor="#000000">
                <v:path arrowok="t"/>
              </v:shape>
            </v:group>
            <v:group style="position:absolute;left:7;top:7;width:2386;height:2" coordorigin="7,7" coordsize="2386,2">
              <v:shape style="position:absolute;left:7;top:7;width:2386;height:2" coordorigin="7,7" coordsize="2386,0" path="m7,7l2393,7e" filled="false" stroked="true" strokeweight=".72pt" strokecolor="#000000">
                <v:path arrowok="t"/>
              </v:shape>
            </v:group>
          </v:group>
        </w:pict>
      </w:r>
      <w:r>
        <w:rPr>
          <w:rFonts w:ascii="Arial"/>
          <w:position w:val="0"/>
          <w:sz w:val="4"/>
        </w:rPr>
      </w:r>
      <w:r>
        <w:rPr>
          <w:rFonts w:ascii="Times New Roman"/>
          <w:spacing w:val="58"/>
          <w:position w:val="0"/>
          <w:sz w:val="4"/>
        </w:rPr>
        <w:t> </w:t>
      </w:r>
      <w:r>
        <w:rPr>
          <w:rFonts w:ascii="Arial"/>
          <w:spacing w:val="58"/>
          <w:position w:val="0"/>
          <w:sz w:val="4"/>
        </w:rPr>
        <w:pict>
          <v:group style="width:121pt;height:2.2pt;mso-position-horizontal-relative:char;mso-position-vertical-relative:line" coordorigin="0,0" coordsize="2420,44">
            <v:group style="position:absolute;left:7;top:36;width:2405;height:2" coordorigin="7,36" coordsize="2405,2">
              <v:shape style="position:absolute;left:7;top:36;width:2405;height:2" coordorigin="7,36" coordsize="2405,0" path="m7,36l2412,36e" filled="false" stroked="true" strokeweight=".72pt" strokecolor="#000000">
                <v:path arrowok="t"/>
              </v:shape>
            </v:group>
            <v:group style="position:absolute;left:7;top:7;width:2405;height:2" coordorigin="7,7" coordsize="2405,2">
              <v:shape style="position:absolute;left:7;top:7;width:2405;height:2" coordorigin="7,7" coordsize="2405,0" path="m7,7l2412,7e" filled="false" stroked="true" strokeweight=".72pt" strokecolor="#000000">
                <v:path arrowok="t"/>
              </v:shape>
            </v:group>
          </v:group>
        </w:pict>
      </w:r>
      <w:r>
        <w:rPr>
          <w:rFonts w:ascii="Arial"/>
          <w:spacing w:val="58"/>
          <w:position w:val="0"/>
          <w:sz w:val="4"/>
        </w:rPr>
      </w:r>
    </w:p>
    <w:p>
      <w:pPr>
        <w:spacing w:line="240" w:lineRule="auto" w:before="5"/>
        <w:rPr>
          <w:rFonts w:ascii="Arial" w:hAnsi="Arial" w:cs="Arial" w:eastAsia="Arial" w:hint="default"/>
          <w:sz w:val="10"/>
          <w:szCs w:val="10"/>
        </w:rPr>
      </w:pPr>
    </w:p>
    <w:p>
      <w:pPr>
        <w:pStyle w:val="BodyText"/>
        <w:spacing w:line="240" w:lineRule="auto" w:before="31"/>
        <w:ind w:left="593"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日，本集团无用于质押或贴现的应收票据。</w:t>
      </w:r>
    </w:p>
    <w:p>
      <w:pPr>
        <w:spacing w:after="0" w:line="240" w:lineRule="auto"/>
        <w:jc w:val="left"/>
        <w:sectPr>
          <w:headerReference w:type="default" r:id="rId83"/>
          <w:footerReference w:type="default" r:id="rId84"/>
          <w:pgSz w:w="11900" w:h="16840"/>
          <w:pgMar w:header="1189" w:footer="748" w:top="2500" w:bottom="940" w:left="1240" w:right="880"/>
          <w:pgNumType w:start="103"/>
        </w:sectPr>
      </w:pPr>
    </w:p>
    <w:p>
      <w:pPr>
        <w:spacing w:line="240" w:lineRule="auto" w:before="9"/>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442"/>
        <w:gridCol w:w="4420"/>
        <w:gridCol w:w="2437"/>
        <w:gridCol w:w="2482"/>
      </w:tblGrid>
      <w:tr>
        <w:trPr>
          <w:trHeight w:val="900" w:hRule="exact"/>
        </w:trPr>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2" w:right="0"/>
              <w:jc w:val="left"/>
              <w:rPr>
                <w:rFonts w:ascii="宋体" w:hAnsi="宋体" w:cs="宋体" w:eastAsia="宋体" w:hint="default"/>
                <w:sz w:val="22"/>
                <w:szCs w:val="22"/>
              </w:rPr>
            </w:pPr>
            <w:r>
              <w:rPr>
                <w:rFonts w:ascii="Arial" w:hAnsi="Arial" w:cs="Arial" w:eastAsia="Arial" w:hint="default"/>
                <w:sz w:val="22"/>
                <w:szCs w:val="22"/>
              </w:rPr>
              <w:t>3</w:t>
            </w:r>
            <w:r>
              <w:rPr>
                <w:rFonts w:ascii="宋体" w:hAnsi="宋体" w:cs="宋体" w:eastAsia="宋体" w:hint="default"/>
                <w:sz w:val="22"/>
                <w:szCs w:val="22"/>
              </w:rPr>
              <w:t>、</w:t>
            </w:r>
          </w:p>
        </w:tc>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7"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43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63"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8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9"/>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92"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
        </w:tc>
        <w:tc>
          <w:tcPr>
            <w:tcW w:w="2437" w:type="dxa"/>
            <w:tcBorders>
              <w:top w:val="single" w:sz="6" w:space="0" w:color="000000"/>
              <w:left w:val="nil" w:sz="6" w:space="0" w:color="auto"/>
              <w:bottom w:val="nil" w:sz="6" w:space="0" w:color="auto"/>
              <w:right w:val="nil" w:sz="6" w:space="0" w:color="auto"/>
            </w:tcBorders>
          </w:tcPr>
          <w:p>
            <w:pPr/>
          </w:p>
        </w:tc>
        <w:tc>
          <w:tcPr>
            <w:tcW w:w="2482" w:type="dxa"/>
            <w:tcBorders>
              <w:top w:val="single" w:sz="6" w:space="0" w:color="000000"/>
              <w:left w:val="nil" w:sz="6" w:space="0" w:color="auto"/>
              <w:bottom w:val="nil" w:sz="6" w:space="0" w:color="auto"/>
              <w:right w:val="nil" w:sz="6" w:space="0" w:color="auto"/>
            </w:tcBorders>
          </w:tcPr>
          <w:p>
            <w:pPr>
              <w:pStyle w:val="TableParagraph"/>
              <w:spacing w:line="252" w:lineRule="exact"/>
              <w:ind w:right="120"/>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99"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53" w:lineRule="exact"/>
              <w:ind w:left="53"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
              <w:jc w:val="right"/>
              <w:rPr>
                <w:rFonts w:ascii="Arial" w:hAnsi="Arial" w:cs="Arial" w:eastAsia="Arial" w:hint="default"/>
                <w:sz w:val="22"/>
                <w:szCs w:val="22"/>
              </w:rPr>
            </w:pPr>
            <w:r>
              <w:rPr>
                <w:rFonts w:ascii="Arial"/>
                <w:spacing w:val="-1"/>
                <w:sz w:val="22"/>
              </w:rPr>
              <w:t>15,994,125,110</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66" w:right="0"/>
              <w:jc w:val="left"/>
              <w:rPr>
                <w:rFonts w:ascii="Arial" w:hAnsi="Arial" w:cs="Arial" w:eastAsia="Arial" w:hint="default"/>
                <w:sz w:val="22"/>
                <w:szCs w:val="22"/>
              </w:rPr>
            </w:pPr>
            <w:r>
              <w:rPr>
                <w:rFonts w:ascii="Arial"/>
                <w:sz w:val="22"/>
              </w:rPr>
              <w:t>14,441,308,601</w:t>
            </w:r>
          </w:p>
        </w:tc>
      </w:tr>
      <w:tr>
        <w:trPr>
          <w:trHeight w:val="425"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39" w:lineRule="exact"/>
              <w:ind w:left="53"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437"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40" w:lineRule="auto" w:before="17"/>
              <w:ind w:right="9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(3,554,880,841)</w:t>
            </w:r>
            <w:r>
              <w:rPr>
                <w:rFonts w:ascii="Arial"/>
                <w:w w:val="95"/>
                <w:sz w:val="22"/>
              </w:rPr>
            </w:r>
            <w:r>
              <w:rPr>
                <w:rFonts w:ascii="Arial"/>
                <w:sz w:val="22"/>
              </w:rPr>
            </w:r>
          </w:p>
        </w:tc>
        <w:tc>
          <w:tcPr>
            <w:tcW w:w="2482" w:type="dxa"/>
            <w:tcBorders>
              <w:top w:val="nil" w:sz="6" w:space="0" w:color="auto"/>
              <w:left w:val="nil" w:sz="6" w:space="0" w:color="auto"/>
              <w:bottom w:val="nil" w:sz="6" w:space="0" w:color="auto"/>
              <w:right w:val="nil" w:sz="6" w:space="0" w:color="auto"/>
            </w:tcBorders>
          </w:tcPr>
          <w:p>
            <w:pPr>
              <w:pStyle w:val="TableParagraph"/>
              <w:tabs>
                <w:tab w:pos="763" w:val="left" w:leader="none"/>
                <w:tab w:pos="2378" w:val="left" w:leader="none"/>
              </w:tabs>
              <w:spacing w:line="240" w:lineRule="auto" w:before="17"/>
              <w:ind w:right="5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(4,015,921,529)</w:t>
            </w:r>
            <w:r>
              <w:rPr>
                <w:rFonts w:ascii="Arial"/>
                <w:sz w:val="22"/>
                <w:u w:val="single" w:color="000000"/>
              </w:rPr>
              <w:tab/>
            </w:r>
            <w:r>
              <w:rPr>
                <w:rFonts w:ascii="Arial"/>
                <w:sz w:val="22"/>
              </w:rPr>
            </w:r>
          </w:p>
        </w:tc>
      </w:tr>
      <w:tr>
        <w:trPr>
          <w:trHeight w:val="437"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3" w:right="0"/>
              <w:jc w:val="left"/>
              <w:rPr>
                <w:rFonts w:ascii="宋体" w:hAnsi="宋体" w:cs="宋体" w:eastAsia="宋体" w:hint="default"/>
                <w:sz w:val="22"/>
                <w:szCs w:val="22"/>
              </w:rPr>
            </w:pPr>
            <w:r>
              <w:rPr>
                <w:rFonts w:ascii="宋体" w:hAnsi="宋体" w:cs="宋体" w:eastAsia="宋体" w:hint="default"/>
                <w:sz w:val="22"/>
                <w:szCs w:val="22"/>
              </w:rPr>
              <w:t>应收账款净额合计</w:t>
            </w:r>
          </w:p>
        </w:tc>
        <w:tc>
          <w:tcPr>
            <w:tcW w:w="2437"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right="166"/>
              <w:jc w:val="right"/>
              <w:rPr>
                <w:rFonts w:ascii="Arial" w:hAnsi="Arial" w:cs="Arial" w:eastAsia="Arial" w:hint="default"/>
                <w:sz w:val="22"/>
                <w:szCs w:val="22"/>
              </w:rPr>
            </w:pPr>
            <w:r>
              <w:rPr>
                <w:rFonts w:ascii="Arial"/>
                <w:spacing w:val="-1"/>
                <w:sz w:val="22"/>
              </w:rPr>
              <w:t>12,439,244,269</w:t>
            </w:r>
          </w:p>
        </w:tc>
        <w:tc>
          <w:tcPr>
            <w:tcW w:w="2482"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left="766" w:right="0"/>
              <w:jc w:val="left"/>
              <w:rPr>
                <w:rFonts w:ascii="Arial" w:hAnsi="Arial" w:cs="Arial" w:eastAsia="Arial" w:hint="default"/>
                <w:sz w:val="22"/>
                <w:szCs w:val="22"/>
              </w:rPr>
            </w:pPr>
            <w:r>
              <w:rPr>
                <w:rFonts w:ascii="Arial"/>
                <w:sz w:val="22"/>
              </w:rPr>
              <w:t>10,425,387,072</w:t>
            </w:r>
          </w:p>
        </w:tc>
      </w:tr>
      <w:tr>
        <w:trPr>
          <w:trHeight w:val="690" w:hRule="exact"/>
        </w:trPr>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2"/>
                <w:szCs w:val="22"/>
              </w:rPr>
            </w:pPr>
            <w:r>
              <w:rPr>
                <w:rFonts w:ascii="Arial"/>
                <w:sz w:val="22"/>
              </w:rPr>
              <w:t>(a)</w:t>
            </w:r>
          </w:p>
        </w:tc>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 w:right="0"/>
              <w:jc w:val="left"/>
              <w:rPr>
                <w:rFonts w:ascii="宋体" w:hAnsi="宋体" w:cs="宋体" w:eastAsia="宋体" w:hint="default"/>
                <w:sz w:val="22"/>
                <w:szCs w:val="22"/>
              </w:rPr>
            </w:pPr>
            <w:r>
              <w:rPr>
                <w:rFonts w:ascii="宋体" w:hAnsi="宋体" w:cs="宋体" w:eastAsia="宋体" w:hint="default"/>
                <w:sz w:val="22"/>
                <w:szCs w:val="22"/>
              </w:rPr>
              <w:t>本集团应收账款账龄分析如下：</w:t>
            </w:r>
          </w:p>
        </w:tc>
        <w:tc>
          <w:tcPr>
            <w:tcW w:w="2437" w:type="dxa"/>
            <w:tcBorders>
              <w:top w:val="single" w:sz="17" w:space="0" w:color="000000"/>
              <w:left w:val="nil" w:sz="6" w:space="0" w:color="auto"/>
              <w:bottom w:val="nil" w:sz="6" w:space="0" w:color="auto"/>
              <w:right w:val="nil" w:sz="6" w:space="0" w:color="auto"/>
            </w:tcBorders>
          </w:tcPr>
          <w:p>
            <w:pPr/>
          </w:p>
        </w:tc>
        <w:tc>
          <w:tcPr>
            <w:tcW w:w="2482" w:type="dxa"/>
            <w:tcBorders>
              <w:top w:val="single" w:sz="17" w:space="0" w:color="000000"/>
              <w:left w:val="nil" w:sz="6" w:space="0" w:color="auto"/>
              <w:bottom w:val="nil" w:sz="6" w:space="0" w:color="auto"/>
              <w:right w:val="nil" w:sz="6" w:space="0" w:color="auto"/>
            </w:tcBorders>
          </w:tcPr>
          <w:p>
            <w:pPr/>
          </w:p>
        </w:tc>
      </w:tr>
      <w:tr>
        <w:trPr>
          <w:trHeight w:val="415"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88"/>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82"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71"/>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92"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
        </w:tc>
        <w:tc>
          <w:tcPr>
            <w:tcW w:w="2437" w:type="dxa"/>
            <w:tcBorders>
              <w:top w:val="single" w:sz="6" w:space="0" w:color="000000"/>
              <w:left w:val="nil" w:sz="6" w:space="0" w:color="auto"/>
              <w:bottom w:val="nil" w:sz="6" w:space="0" w:color="auto"/>
              <w:right w:val="nil" w:sz="6" w:space="0" w:color="auto"/>
            </w:tcBorders>
          </w:tcPr>
          <w:p>
            <w:pPr/>
          </w:p>
        </w:tc>
        <w:tc>
          <w:tcPr>
            <w:tcW w:w="2482" w:type="dxa"/>
            <w:tcBorders>
              <w:top w:val="single" w:sz="6" w:space="0" w:color="000000"/>
              <w:left w:val="nil" w:sz="6" w:space="0" w:color="auto"/>
              <w:bottom w:val="nil" w:sz="6" w:space="0" w:color="auto"/>
              <w:right w:val="nil" w:sz="6" w:space="0" w:color="auto"/>
            </w:tcBorders>
          </w:tcPr>
          <w:p>
            <w:pPr>
              <w:pStyle w:val="TableParagraph"/>
              <w:spacing w:line="252" w:lineRule="exact"/>
              <w:ind w:right="120"/>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99"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68" w:lineRule="exact"/>
              <w:ind w:left="53"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个月</w:t>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7"/>
              <w:jc w:val="right"/>
              <w:rPr>
                <w:rFonts w:ascii="Arial" w:hAnsi="Arial" w:cs="Arial" w:eastAsia="Arial" w:hint="default"/>
                <w:sz w:val="22"/>
                <w:szCs w:val="22"/>
              </w:rPr>
            </w:pPr>
            <w:r>
              <w:rPr>
                <w:rFonts w:ascii="Arial"/>
                <w:spacing w:val="-1"/>
                <w:sz w:val="22"/>
              </w:rPr>
              <w:t>9,172,452,753</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1"/>
              <w:jc w:val="right"/>
              <w:rPr>
                <w:rFonts w:ascii="Arial" w:hAnsi="Arial" w:cs="Arial" w:eastAsia="Arial" w:hint="default"/>
                <w:sz w:val="22"/>
                <w:szCs w:val="22"/>
              </w:rPr>
            </w:pPr>
            <w:r>
              <w:rPr>
                <w:rFonts w:ascii="Arial"/>
                <w:spacing w:val="-1"/>
                <w:sz w:val="22"/>
              </w:rPr>
              <w:t>7,212,876,879</w:t>
            </w:r>
          </w:p>
        </w:tc>
      </w:tr>
      <w:tr>
        <w:trPr>
          <w:trHeight w:val="286"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55" w:lineRule="exact"/>
              <w:ind w:left="53" w:right="0"/>
              <w:jc w:val="left"/>
              <w:rPr>
                <w:rFonts w:ascii="宋体" w:hAnsi="宋体" w:cs="宋体" w:eastAsia="宋体" w:hint="default"/>
                <w:sz w:val="22"/>
                <w:szCs w:val="22"/>
              </w:rPr>
            </w:pPr>
            <w:r>
              <w:rPr>
                <w:rFonts w:ascii="Arial" w:hAnsi="Arial" w:cs="Arial" w:eastAsia="Arial" w:hint="default"/>
                <w:sz w:val="22"/>
                <w:szCs w:val="22"/>
              </w:rPr>
              <w:t>1-3</w:t>
            </w:r>
            <w:r>
              <w:rPr>
                <w:rFonts w:ascii="Arial" w:hAnsi="Arial" w:cs="Arial" w:eastAsia="Arial" w:hint="default"/>
                <w:spacing w:val="-8"/>
                <w:sz w:val="22"/>
                <w:szCs w:val="22"/>
              </w:rPr>
              <w:t> </w:t>
            </w:r>
            <w:r>
              <w:rPr>
                <w:rFonts w:ascii="宋体" w:hAnsi="宋体" w:cs="宋体" w:eastAsia="宋体" w:hint="default"/>
                <w:sz w:val="22"/>
                <w:szCs w:val="22"/>
              </w:rPr>
              <w:t>个月</w:t>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7"/>
              <w:jc w:val="right"/>
              <w:rPr>
                <w:rFonts w:ascii="Arial" w:hAnsi="Arial" w:cs="Arial" w:eastAsia="Arial" w:hint="default"/>
                <w:sz w:val="22"/>
                <w:szCs w:val="22"/>
              </w:rPr>
            </w:pPr>
            <w:r>
              <w:rPr>
                <w:rFonts w:ascii="Arial"/>
                <w:spacing w:val="-1"/>
                <w:sz w:val="22"/>
              </w:rPr>
              <w:t>1,081,761,445</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1"/>
              <w:jc w:val="right"/>
              <w:rPr>
                <w:rFonts w:ascii="Arial" w:hAnsi="Arial" w:cs="Arial" w:eastAsia="Arial" w:hint="default"/>
                <w:sz w:val="22"/>
                <w:szCs w:val="22"/>
              </w:rPr>
            </w:pPr>
            <w:r>
              <w:rPr>
                <w:rFonts w:ascii="Arial"/>
                <w:spacing w:val="-1"/>
                <w:sz w:val="22"/>
              </w:rPr>
              <w:t>1,435,443,626</w:t>
            </w:r>
          </w:p>
        </w:tc>
      </w:tr>
      <w:tr>
        <w:trPr>
          <w:trHeight w:val="284"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55" w:lineRule="exact"/>
              <w:ind w:left="53" w:right="0"/>
              <w:jc w:val="left"/>
              <w:rPr>
                <w:rFonts w:ascii="宋体" w:hAnsi="宋体" w:cs="宋体" w:eastAsia="宋体" w:hint="default"/>
                <w:sz w:val="22"/>
                <w:szCs w:val="22"/>
              </w:rPr>
            </w:pPr>
            <w:r>
              <w:rPr>
                <w:rFonts w:ascii="Arial" w:hAnsi="Arial" w:cs="Arial" w:eastAsia="Arial" w:hint="default"/>
                <w:sz w:val="22"/>
                <w:szCs w:val="22"/>
              </w:rPr>
              <w:t>3-12</w:t>
            </w:r>
            <w:r>
              <w:rPr>
                <w:rFonts w:ascii="Arial" w:hAnsi="Arial" w:cs="Arial" w:eastAsia="Arial" w:hint="default"/>
                <w:spacing w:val="-8"/>
                <w:sz w:val="22"/>
                <w:szCs w:val="22"/>
              </w:rPr>
              <w:t> </w:t>
            </w:r>
            <w:r>
              <w:rPr>
                <w:rFonts w:ascii="宋体" w:hAnsi="宋体" w:cs="宋体" w:eastAsia="宋体" w:hint="default"/>
                <w:sz w:val="22"/>
                <w:szCs w:val="22"/>
              </w:rPr>
              <w:t>个月</w:t>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7"/>
              <w:jc w:val="right"/>
              <w:rPr>
                <w:rFonts w:ascii="Arial" w:hAnsi="Arial" w:cs="Arial" w:eastAsia="Arial" w:hint="default"/>
                <w:sz w:val="22"/>
                <w:szCs w:val="22"/>
              </w:rPr>
            </w:pPr>
            <w:r>
              <w:rPr>
                <w:rFonts w:ascii="Arial"/>
                <w:spacing w:val="-1"/>
                <w:sz w:val="22"/>
              </w:rPr>
              <w:t>3,418,275,878</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1"/>
              <w:jc w:val="right"/>
              <w:rPr>
                <w:rFonts w:ascii="Arial" w:hAnsi="Arial" w:cs="Arial" w:eastAsia="Arial" w:hint="default"/>
                <w:sz w:val="22"/>
                <w:szCs w:val="22"/>
              </w:rPr>
            </w:pPr>
            <w:r>
              <w:rPr>
                <w:rFonts w:ascii="Arial"/>
                <w:spacing w:val="-1"/>
                <w:sz w:val="22"/>
              </w:rPr>
              <w:t>3,319,891,603</w:t>
            </w:r>
          </w:p>
        </w:tc>
      </w:tr>
      <w:tr>
        <w:trPr>
          <w:trHeight w:val="286"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55" w:lineRule="exact"/>
              <w:ind w:left="53"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Arial" w:hAnsi="Arial" w:cs="Arial" w:eastAsia="Arial" w:hint="default"/>
                <w:sz w:val="22"/>
                <w:szCs w:val="22"/>
              </w:rPr>
            </w:pPr>
            <w:r>
              <w:rPr>
                <w:rFonts w:ascii="Arial"/>
                <w:w w:val="95"/>
                <w:sz w:val="22"/>
              </w:rPr>
              <w:t>996,109,971</w:t>
            </w:r>
            <w:r>
              <w:rPr>
                <w:rFonts w:ascii="Arial"/>
                <w:sz w:val="22"/>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1"/>
              <w:jc w:val="right"/>
              <w:rPr>
                <w:rFonts w:ascii="Arial" w:hAnsi="Arial" w:cs="Arial" w:eastAsia="Arial" w:hint="default"/>
                <w:sz w:val="22"/>
                <w:szCs w:val="22"/>
              </w:rPr>
            </w:pPr>
            <w:r>
              <w:rPr>
                <w:rFonts w:ascii="Arial"/>
                <w:spacing w:val="-1"/>
                <w:sz w:val="22"/>
              </w:rPr>
              <w:t>1,380,262,405</w:t>
            </w:r>
          </w:p>
        </w:tc>
      </w:tr>
      <w:tr>
        <w:trPr>
          <w:trHeight w:val="286"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55" w:lineRule="exact"/>
              <w:ind w:left="53"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Arial" w:hAnsi="Arial" w:cs="Arial" w:eastAsia="Arial" w:hint="default"/>
                <w:sz w:val="22"/>
                <w:szCs w:val="22"/>
              </w:rPr>
            </w:pPr>
            <w:r>
              <w:rPr>
                <w:rFonts w:ascii="Arial"/>
                <w:w w:val="95"/>
                <w:sz w:val="22"/>
              </w:rPr>
              <w:t>519,697,156</w:t>
            </w:r>
            <w:r>
              <w:rPr>
                <w:rFonts w:ascii="Arial"/>
                <w:sz w:val="22"/>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0"/>
              <w:jc w:val="right"/>
              <w:rPr>
                <w:rFonts w:ascii="Arial" w:hAnsi="Arial" w:cs="Arial" w:eastAsia="Arial" w:hint="default"/>
                <w:sz w:val="22"/>
                <w:szCs w:val="22"/>
              </w:rPr>
            </w:pPr>
            <w:r>
              <w:rPr>
                <w:rFonts w:ascii="Arial"/>
                <w:w w:val="95"/>
                <w:sz w:val="22"/>
              </w:rPr>
              <w:t>493,716,892</w:t>
            </w:r>
            <w:r>
              <w:rPr>
                <w:rFonts w:ascii="Arial"/>
                <w:sz w:val="22"/>
              </w:rPr>
            </w:r>
          </w:p>
        </w:tc>
      </w:tr>
      <w:tr>
        <w:trPr>
          <w:trHeight w:val="286"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55" w:lineRule="exact"/>
              <w:ind w:left="53"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Arial" w:hAnsi="Arial" w:cs="Arial" w:eastAsia="Arial" w:hint="default"/>
                <w:sz w:val="22"/>
                <w:szCs w:val="22"/>
              </w:rPr>
            </w:pPr>
            <w:r>
              <w:rPr>
                <w:rFonts w:ascii="Arial"/>
                <w:w w:val="95"/>
                <w:sz w:val="22"/>
              </w:rPr>
              <w:t>403,852,398</w:t>
            </w:r>
            <w:r>
              <w:rPr>
                <w:rFonts w:ascii="Arial"/>
                <w:sz w:val="22"/>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0"/>
              <w:jc w:val="right"/>
              <w:rPr>
                <w:rFonts w:ascii="Arial" w:hAnsi="Arial" w:cs="Arial" w:eastAsia="Arial" w:hint="default"/>
                <w:sz w:val="22"/>
                <w:szCs w:val="22"/>
              </w:rPr>
            </w:pPr>
            <w:r>
              <w:rPr>
                <w:rFonts w:ascii="Arial"/>
                <w:w w:val="95"/>
                <w:sz w:val="22"/>
              </w:rPr>
              <w:t>280,494,397</w:t>
            </w:r>
            <w:r>
              <w:rPr>
                <w:rFonts w:ascii="Arial"/>
                <w:sz w:val="22"/>
              </w:rPr>
            </w:r>
          </w:p>
        </w:tc>
      </w:tr>
      <w:tr>
        <w:trPr>
          <w:trHeight w:val="285"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55" w:lineRule="exact"/>
              <w:ind w:left="53"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Arial" w:hAnsi="Arial" w:cs="Arial" w:eastAsia="Arial" w:hint="default"/>
                <w:sz w:val="22"/>
                <w:szCs w:val="22"/>
              </w:rPr>
            </w:pPr>
            <w:r>
              <w:rPr>
                <w:rFonts w:ascii="Arial"/>
                <w:w w:val="95"/>
                <w:sz w:val="22"/>
              </w:rPr>
              <w:t>158,350,147</w:t>
            </w:r>
            <w:r>
              <w:rPr>
                <w:rFonts w:ascii="Arial"/>
                <w:sz w:val="22"/>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0"/>
              <w:jc w:val="right"/>
              <w:rPr>
                <w:rFonts w:ascii="Arial" w:hAnsi="Arial" w:cs="Arial" w:eastAsia="Arial" w:hint="default"/>
                <w:sz w:val="22"/>
                <w:szCs w:val="22"/>
              </w:rPr>
            </w:pPr>
            <w:r>
              <w:rPr>
                <w:rFonts w:ascii="Arial"/>
                <w:w w:val="95"/>
                <w:sz w:val="22"/>
              </w:rPr>
              <w:t>110,239,042</w:t>
            </w:r>
            <w:r>
              <w:rPr>
                <w:rFonts w:ascii="Arial"/>
                <w:sz w:val="22"/>
              </w:rPr>
            </w:r>
          </w:p>
        </w:tc>
      </w:tr>
      <w:tr>
        <w:trPr>
          <w:trHeight w:val="419"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55" w:lineRule="exact"/>
              <w:ind w:left="53"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437" w:type="dxa"/>
            <w:tcBorders>
              <w:top w:val="nil" w:sz="6" w:space="0" w:color="auto"/>
              <w:left w:val="nil" w:sz="6" w:space="0" w:color="auto"/>
              <w:bottom w:val="nil" w:sz="6" w:space="0" w:color="auto"/>
              <w:right w:val="nil" w:sz="6" w:space="0" w:color="auto"/>
            </w:tcBorders>
          </w:tcPr>
          <w:p>
            <w:pPr>
              <w:pStyle w:val="TableParagraph"/>
              <w:tabs>
                <w:tab w:pos="1040" w:val="left" w:leader="none"/>
                <w:tab w:pos="2371" w:val="left" w:leader="none"/>
              </w:tabs>
              <w:spacing w:line="240" w:lineRule="auto" w:before="17"/>
              <w:ind w:right="4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243,625,362</w:t>
            </w:r>
            <w:r>
              <w:rPr>
                <w:rFonts w:ascii="Arial"/>
                <w:sz w:val="22"/>
                <w:u w:val="single" w:color="000000"/>
              </w:rPr>
              <w:tab/>
            </w:r>
            <w:r>
              <w:rPr>
                <w:rFonts w:ascii="Arial"/>
                <w:sz w:val="22"/>
              </w:rPr>
            </w:r>
          </w:p>
        </w:tc>
        <w:tc>
          <w:tcPr>
            <w:tcW w:w="2482" w:type="dxa"/>
            <w:tcBorders>
              <w:top w:val="nil" w:sz="6" w:space="0" w:color="auto"/>
              <w:left w:val="nil" w:sz="6" w:space="0" w:color="auto"/>
              <w:bottom w:val="nil" w:sz="6" w:space="0" w:color="auto"/>
              <w:right w:val="nil" w:sz="6" w:space="0" w:color="auto"/>
            </w:tcBorders>
          </w:tcPr>
          <w:p>
            <w:pPr>
              <w:pStyle w:val="TableParagraph"/>
              <w:tabs>
                <w:tab w:pos="1065" w:val="left" w:leader="none"/>
                <w:tab w:pos="2396"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208,383,757</w:t>
            </w:r>
            <w:r>
              <w:rPr>
                <w:rFonts w:ascii="Arial"/>
                <w:sz w:val="22"/>
                <w:u w:val="single" w:color="000000"/>
              </w:rPr>
              <w:tab/>
            </w:r>
            <w:r>
              <w:rPr>
                <w:rFonts w:ascii="Arial"/>
                <w:sz w:val="22"/>
              </w:rPr>
            </w:r>
          </w:p>
        </w:tc>
      </w:tr>
      <w:tr>
        <w:trPr>
          <w:trHeight w:val="431" w:hRule="exact"/>
        </w:trPr>
        <w:tc>
          <w:tcPr>
            <w:tcW w:w="442" w:type="dxa"/>
            <w:tcBorders>
              <w:top w:val="nil" w:sz="6" w:space="0" w:color="auto"/>
              <w:left w:val="nil" w:sz="6" w:space="0" w:color="auto"/>
              <w:bottom w:val="nil" w:sz="6" w:space="0" w:color="auto"/>
              <w:right w:val="nil" w:sz="6" w:space="0" w:color="auto"/>
            </w:tcBorders>
          </w:tcPr>
          <w:p>
            <w:pPr/>
          </w:p>
        </w:tc>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43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57"/>
              <w:jc w:val="right"/>
              <w:rPr>
                <w:rFonts w:ascii="Arial" w:hAnsi="Arial" w:cs="Arial" w:eastAsia="Arial" w:hint="default"/>
                <w:sz w:val="22"/>
                <w:szCs w:val="22"/>
              </w:rPr>
            </w:pPr>
            <w:r>
              <w:rPr>
                <w:rFonts w:ascii="Arial"/>
                <w:spacing w:val="-1"/>
                <w:sz w:val="22"/>
              </w:rPr>
              <w:t>15,994,125,110</w:t>
            </w:r>
          </w:p>
        </w:tc>
        <w:tc>
          <w:tcPr>
            <w:tcW w:w="248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41"/>
              <w:jc w:val="right"/>
              <w:rPr>
                <w:rFonts w:ascii="Arial" w:hAnsi="Arial" w:cs="Arial" w:eastAsia="Arial" w:hint="default"/>
                <w:sz w:val="22"/>
                <w:szCs w:val="22"/>
              </w:rPr>
            </w:pPr>
            <w:r>
              <w:rPr>
                <w:rFonts w:ascii="Arial"/>
                <w:spacing w:val="-1"/>
                <w:sz w:val="22"/>
              </w:rPr>
              <w:t>14,441,308,601</w:t>
            </w:r>
          </w:p>
        </w:tc>
      </w:tr>
      <w:tr>
        <w:trPr>
          <w:trHeight w:val="636" w:hRule="exact"/>
        </w:trPr>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2"/>
                <w:szCs w:val="22"/>
              </w:rPr>
            </w:pPr>
            <w:r>
              <w:rPr>
                <w:rFonts w:ascii="Arial"/>
                <w:sz w:val="22"/>
              </w:rPr>
              <w:t>(b)</w:t>
            </w:r>
          </w:p>
        </w:tc>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 w:right="0"/>
              <w:jc w:val="left"/>
              <w:rPr>
                <w:rFonts w:ascii="宋体" w:hAnsi="宋体" w:cs="宋体" w:eastAsia="宋体" w:hint="default"/>
                <w:sz w:val="22"/>
                <w:szCs w:val="22"/>
              </w:rPr>
            </w:pPr>
            <w:r>
              <w:rPr>
                <w:rFonts w:ascii="宋体" w:hAnsi="宋体" w:cs="宋体" w:eastAsia="宋体" w:hint="default"/>
                <w:sz w:val="22"/>
                <w:szCs w:val="22"/>
              </w:rPr>
              <w:t>本集团应收账款按类别分析如下：</w:t>
            </w:r>
          </w:p>
        </w:tc>
        <w:tc>
          <w:tcPr>
            <w:tcW w:w="2437" w:type="dxa"/>
            <w:tcBorders>
              <w:top w:val="single" w:sz="17" w:space="0" w:color="000000"/>
              <w:left w:val="nil" w:sz="6" w:space="0" w:color="auto"/>
              <w:bottom w:val="nil" w:sz="6" w:space="0" w:color="auto"/>
              <w:right w:val="nil" w:sz="6" w:space="0" w:color="auto"/>
            </w:tcBorders>
          </w:tcPr>
          <w:p>
            <w:pPr/>
          </w:p>
        </w:tc>
        <w:tc>
          <w:tcPr>
            <w:tcW w:w="2482" w:type="dxa"/>
            <w:tcBorders>
              <w:top w:val="single" w:sz="17" w:space="0" w:color="000000"/>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7"/>
          <w:szCs w:val="7"/>
        </w:rPr>
      </w:pPr>
    </w:p>
    <w:p>
      <w:pPr>
        <w:tabs>
          <w:tab w:pos="4705" w:val="left" w:leader="none"/>
          <w:tab w:pos="6646" w:val="left" w:leader="none"/>
          <w:tab w:pos="6833" w:val="left" w:leader="none"/>
          <w:tab w:pos="8591" w:val="left" w:leader="none"/>
        </w:tabs>
        <w:spacing w:before="50"/>
        <w:ind w:left="2816" w:right="787" w:firstLine="544"/>
        <w:jc w:val="left"/>
        <w:rPr>
          <w:rFonts w:ascii="宋体" w:hAnsi="宋体" w:cs="宋体" w:eastAsia="宋体" w:hint="default"/>
          <w:sz w:val="16"/>
          <w:szCs w:val="16"/>
        </w:rPr>
      </w:pPr>
      <w:r>
        <w:rPr/>
        <w:pict>
          <v:group style="position:absolute;margin-left:170.399994pt;margin-top:14.604246pt;width:184.95pt;height:.1pt;mso-position-horizontal-relative:page;mso-position-vertical-relative:paragraph;z-index:-822304" coordorigin="3408,292" coordsize="3699,2">
            <v:shape style="position:absolute;left:3408;top:292;width:3699;height:2" coordorigin="3408,292" coordsize="3699,0" path="m3408,292l7106,292e" filled="false" stroked="true" strokeweight=".71997pt" strokecolor="#000000">
              <v:path arrowok="t"/>
            </v:shape>
            <w10:wrap type="none"/>
          </v:group>
        </w:pict>
      </w:r>
      <w:r>
        <w:rPr/>
        <w:pict>
          <v:group style="position:absolute;margin-left:359.459991pt;margin-top:14.244231pt;width:194pt;height:.75pt;mso-position-horizontal-relative:page;mso-position-vertical-relative:paragraph;z-index:-822280" coordorigin="7189,285" coordsize="3880,15">
            <v:group style="position:absolute;left:7196;top:292;width:1890;height:2" coordorigin="7196,292" coordsize="1890,2">
              <v:shape style="position:absolute;left:7196;top:292;width:1890;height:2" coordorigin="7196,292" coordsize="1890,0" path="m7196,292l9086,292e" filled="false" stroked="true" strokeweight=".72pt" strokecolor="#000000">
                <v:path arrowok="t"/>
              </v:shape>
            </v:group>
            <v:group style="position:absolute;left:9086;top:292;width:1976;height:2" coordorigin="9086,292" coordsize="1976,2">
              <v:shape style="position:absolute;left:9086;top:292;width:1976;height:2" coordorigin="9086,292" coordsize="1976,0" path="m9086,292l11062,292e" filled="false" stroked="true" strokeweight=".71997pt" strokecolor="#000000">
                <v:path arrowok="t"/>
              </v:shape>
            </v:group>
            <w10:wrap type="none"/>
          </v:group>
        </w:pict>
      </w: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tab/>
      </w: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日（经重列）</w:t>
      </w:r>
      <w:r>
        <w:rPr>
          <w:rFonts w:ascii="宋体" w:hAnsi="宋体" w:cs="宋体" w:eastAsia="宋体" w:hint="default"/>
          <w:w w:val="99"/>
          <w:sz w:val="16"/>
          <w:szCs w:val="16"/>
        </w:rPr>
        <w:t> </w:t>
      </w:r>
      <w:r>
        <w:rPr>
          <w:rFonts w:ascii="宋体" w:hAnsi="宋体" w:cs="宋体" w:eastAsia="宋体" w:hint="default"/>
          <w:w w:val="95"/>
          <w:sz w:val="16"/>
          <w:szCs w:val="16"/>
        </w:rPr>
        <w:t>账面余额</w:t>
        <w:tab/>
        <w:t>坏账准备</w:t>
        <w:tab/>
        <w:t>账面余额</w:t>
        <w:tab/>
      </w:r>
      <w:r>
        <w:rPr>
          <w:rFonts w:ascii="宋体" w:hAnsi="宋体" w:cs="宋体" w:eastAsia="宋体" w:hint="default"/>
          <w:sz w:val="16"/>
          <w:szCs w:val="16"/>
        </w:rPr>
        <w:t>坏账准备</w:t>
      </w:r>
    </w:p>
    <w:p>
      <w:pPr>
        <w:tabs>
          <w:tab w:pos="9429" w:val="left" w:leader="none"/>
        </w:tabs>
        <w:spacing w:before="14"/>
        <w:ind w:left="5501" w:right="0" w:firstLine="0"/>
        <w:jc w:val="left"/>
        <w:rPr>
          <w:rFonts w:ascii="宋体" w:hAnsi="宋体" w:cs="宋体" w:eastAsia="宋体" w:hint="default"/>
          <w:sz w:val="16"/>
          <w:szCs w:val="16"/>
        </w:rPr>
      </w:pPr>
      <w:r>
        <w:rPr/>
        <w:pict>
          <v:group style="position:absolute;margin-left:170.039978pt;margin-top:1.283886pt;width:185.65pt;height:.75pt;mso-position-horizontal-relative:page;mso-position-vertical-relative:paragraph;z-index:-822256" coordorigin="3401,26" coordsize="3713,15">
            <v:group style="position:absolute;left:3408;top:33;width:1809;height:2" coordorigin="3408,33" coordsize="1809,2">
              <v:shape style="position:absolute;left:3408;top:33;width:1809;height:2" coordorigin="3408,33" coordsize="1809,0" path="m3408,33l5216,33e" filled="false" stroked="true" strokeweight=".72003pt" strokecolor="#000000">
                <v:path arrowok="t"/>
              </v:shape>
            </v:group>
            <v:group style="position:absolute;left:5292;top:33;width:1815;height:2" coordorigin="5292,33" coordsize="1815,2">
              <v:shape style="position:absolute;left:5292;top:33;width:1815;height:2" coordorigin="5292,33" coordsize="1815,0" path="m5292,33l7106,33e" filled="false" stroked="true" strokeweight=".72003pt" strokecolor="#000000">
                <v:path arrowok="t"/>
              </v:shape>
            </v:group>
            <w10:wrap type="none"/>
          </v:group>
        </w:pict>
      </w:r>
      <w:r>
        <w:rPr/>
        <w:pict>
          <v:group style="position:absolute;margin-left:359.459991pt;margin-top:1.283886pt;width:194pt;height:.75pt;mso-position-horizontal-relative:page;mso-position-vertical-relative:paragraph;z-index:-822232" coordorigin="7189,26" coordsize="3880,15">
            <v:group style="position:absolute;left:7196;top:33;width:1252;height:2" coordorigin="7196,33" coordsize="1252,2">
              <v:shape style="position:absolute;left:7196;top:33;width:1252;height:2" coordorigin="7196,33" coordsize="1252,0" path="m7196,33l8448,33e" filled="false" stroked="true" strokeweight=".72pt" strokecolor="#000000">
                <v:path arrowok="t"/>
              </v:shape>
            </v:group>
            <v:group style="position:absolute;left:8448;top:33;width:639;height:2" coordorigin="8448,33" coordsize="639,2">
              <v:shape style="position:absolute;left:8448;top:33;width:639;height:2" coordorigin="8448,33" coordsize="639,0" path="m8448,33l9086,33e" filled="false" stroked="true" strokeweight=".72003pt" strokecolor="#000000">
                <v:path arrowok="t"/>
              </v:shape>
            </v:group>
            <v:group style="position:absolute;left:9162;top:33;width:1900;height:2" coordorigin="9162,33" coordsize="1900,2">
              <v:shape style="position:absolute;left:9162;top:33;width:1900;height:2" coordorigin="9162,33" coordsize="1900,0" path="m9162,33l11062,33e" filled="false" stroked="true" strokeweight=".72003pt" strokecolor="#000000">
                <v:path arrowok="t"/>
              </v:shape>
            </v:group>
            <w10:wrap type="none"/>
          </v:group>
        </w:pict>
      </w:r>
      <w:r>
        <w:rPr>
          <w:rFonts w:ascii="宋体" w:hAnsi="宋体" w:cs="宋体" w:eastAsia="宋体" w:hint="default"/>
          <w:w w:val="95"/>
          <w:sz w:val="16"/>
          <w:szCs w:val="16"/>
        </w:rPr>
        <w:t>计提</w:t>
        <w:tab/>
      </w:r>
      <w:r>
        <w:rPr>
          <w:rFonts w:ascii="宋体" w:hAnsi="宋体" w:cs="宋体" w:eastAsia="宋体" w:hint="default"/>
          <w:sz w:val="16"/>
          <w:szCs w:val="16"/>
        </w:rPr>
        <w:t>计提</w:t>
      </w:r>
    </w:p>
    <w:p>
      <w:pPr>
        <w:spacing w:after="0"/>
        <w:jc w:val="left"/>
        <w:rPr>
          <w:rFonts w:ascii="宋体" w:hAnsi="宋体" w:cs="宋体" w:eastAsia="宋体" w:hint="default"/>
          <w:sz w:val="16"/>
          <w:szCs w:val="16"/>
        </w:rPr>
        <w:sectPr>
          <w:headerReference w:type="default" r:id="rId85"/>
          <w:pgSz w:w="11900" w:h="16840"/>
          <w:pgMar w:header="1189" w:footer="748" w:top="3040" w:bottom="940" w:left="1200" w:right="680"/>
        </w:sectPr>
      </w:pPr>
    </w:p>
    <w:p>
      <w:pPr>
        <w:spacing w:line="196" w:lineRule="exact" w:before="0"/>
        <w:ind w:left="0" w:right="974" w:firstLine="0"/>
        <w:jc w:val="right"/>
        <w:rPr>
          <w:rFonts w:ascii="宋体" w:hAnsi="宋体" w:cs="宋体" w:eastAsia="宋体" w:hint="default"/>
          <w:sz w:val="16"/>
          <w:szCs w:val="16"/>
        </w:rPr>
      </w:pPr>
      <w:r>
        <w:rPr>
          <w:rFonts w:ascii="宋体" w:hAnsi="宋体" w:cs="宋体" w:eastAsia="宋体" w:hint="default"/>
          <w:w w:val="95"/>
          <w:sz w:val="16"/>
          <w:szCs w:val="16"/>
        </w:rPr>
        <w:t>比例</w:t>
      </w:r>
      <w:r>
        <w:rPr>
          <w:rFonts w:ascii="宋体" w:hAnsi="宋体" w:cs="宋体" w:eastAsia="宋体" w:hint="default"/>
          <w:sz w:val="16"/>
          <w:szCs w:val="16"/>
        </w:rPr>
      </w:r>
    </w:p>
    <w:p>
      <w:pPr>
        <w:tabs>
          <w:tab w:pos="3615" w:val="left" w:leader="none"/>
          <w:tab w:pos="4556" w:val="left" w:leader="none"/>
        </w:tabs>
        <w:spacing w:line="219" w:lineRule="exact" w:before="0"/>
        <w:ind w:left="2636" w:right="0" w:firstLine="0"/>
        <w:jc w:val="center"/>
        <w:rPr>
          <w:rFonts w:ascii="宋体" w:hAnsi="宋体" w:cs="宋体" w:eastAsia="宋体" w:hint="default"/>
          <w:sz w:val="16"/>
          <w:szCs w:val="16"/>
        </w:rPr>
      </w:pPr>
      <w:r>
        <w:rPr>
          <w:rFonts w:ascii="宋体" w:hAnsi="宋体" w:cs="宋体" w:eastAsia="宋体" w:hint="default"/>
          <w:w w:val="95"/>
          <w:position w:val="1"/>
          <w:sz w:val="16"/>
          <w:szCs w:val="16"/>
        </w:rPr>
        <w:t>金额</w:t>
        <w:tab/>
      </w: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line="196" w:lineRule="exact" w:before="0"/>
        <w:ind w:left="586" w:right="-5" w:firstLine="0"/>
        <w:jc w:val="left"/>
        <w:rPr>
          <w:rFonts w:ascii="宋体" w:hAnsi="宋体" w:cs="宋体" w:eastAsia="宋体" w:hint="default"/>
          <w:sz w:val="16"/>
          <w:szCs w:val="16"/>
        </w:rPr>
      </w:pPr>
      <w:r>
        <w:rPr/>
        <w:br w:type="column"/>
      </w:r>
      <w:r>
        <w:rPr>
          <w:rFonts w:ascii="宋体" w:hAnsi="宋体" w:cs="宋体" w:eastAsia="宋体" w:hint="default"/>
          <w:sz w:val="16"/>
          <w:szCs w:val="16"/>
        </w:rPr>
        <w:t>比例</w:t>
      </w:r>
    </w:p>
    <w:p>
      <w:pPr>
        <w:tabs>
          <w:tab w:pos="1529" w:val="left" w:leader="none"/>
        </w:tabs>
        <w:spacing w:line="219" w:lineRule="exact" w:before="0"/>
        <w:ind w:left="622" w:right="-5" w:firstLine="0"/>
        <w:jc w:val="left"/>
        <w:rPr>
          <w:rFonts w:ascii="宋体" w:hAnsi="宋体" w:cs="宋体" w:eastAsia="宋体" w:hint="default"/>
          <w:sz w:val="16"/>
          <w:szCs w:val="16"/>
        </w:rPr>
      </w:pP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line="196" w:lineRule="exact" w:before="0"/>
        <w:ind w:left="620" w:right="935" w:firstLine="0"/>
        <w:jc w:val="center"/>
        <w:rPr>
          <w:rFonts w:ascii="宋体" w:hAnsi="宋体" w:cs="宋体" w:eastAsia="宋体" w:hint="default"/>
          <w:sz w:val="16"/>
          <w:szCs w:val="16"/>
        </w:rPr>
      </w:pPr>
      <w:r>
        <w:rPr/>
        <w:br w:type="column"/>
      </w:r>
      <w:r>
        <w:rPr>
          <w:rFonts w:ascii="宋体" w:hAnsi="宋体" w:cs="宋体" w:eastAsia="宋体" w:hint="default"/>
          <w:sz w:val="16"/>
          <w:szCs w:val="16"/>
        </w:rPr>
        <w:t>比例</w:t>
      </w:r>
    </w:p>
    <w:p>
      <w:pPr>
        <w:tabs>
          <w:tab w:pos="1596" w:val="left" w:leader="none"/>
        </w:tabs>
        <w:spacing w:line="219" w:lineRule="exact" w:before="0"/>
        <w:ind w:left="676" w:right="-5" w:firstLine="0"/>
        <w:jc w:val="left"/>
        <w:rPr>
          <w:rFonts w:ascii="宋体" w:hAnsi="宋体" w:cs="宋体" w:eastAsia="宋体" w:hint="default"/>
          <w:sz w:val="16"/>
          <w:szCs w:val="16"/>
        </w:rPr>
      </w:pP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line="208" w:lineRule="exact" w:before="0"/>
        <w:ind w:left="669"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比例</w:t>
      </w:r>
    </w:p>
    <w:p>
      <w:pPr>
        <w:spacing w:before="23"/>
        <w:ind w:left="705" w:right="0" w:firstLine="0"/>
        <w:jc w:val="left"/>
        <w:rPr>
          <w:rFonts w:ascii="Arial" w:hAnsi="Arial" w:cs="Arial" w:eastAsia="Arial" w:hint="default"/>
          <w:sz w:val="16"/>
          <w:szCs w:val="16"/>
        </w:rPr>
      </w:pPr>
      <w:r>
        <w:rPr>
          <w:rFonts w:ascii="Arial"/>
          <w:sz w:val="16"/>
        </w:rPr>
        <w:t>(%)</w:t>
      </w:r>
    </w:p>
    <w:p>
      <w:pPr>
        <w:spacing w:after="0"/>
        <w:jc w:val="left"/>
        <w:rPr>
          <w:rFonts w:ascii="Arial" w:hAnsi="Arial" w:cs="Arial" w:eastAsia="Arial" w:hint="default"/>
          <w:sz w:val="16"/>
          <w:szCs w:val="16"/>
        </w:rPr>
        <w:sectPr>
          <w:type w:val="continuous"/>
          <w:pgSz w:w="11900" w:h="16840"/>
          <w:pgMar w:top="1600" w:bottom="280" w:left="1200" w:right="680"/>
          <w:cols w:num="4" w:equalWidth="0">
            <w:col w:w="4876" w:space="40"/>
            <w:col w:w="1849" w:space="40"/>
            <w:col w:w="1916" w:space="40"/>
            <w:col w:w="1259"/>
          </w:cols>
        </w:sectPr>
      </w:pPr>
    </w:p>
    <w:p>
      <w:pPr>
        <w:spacing w:line="20" w:lineRule="exact"/>
        <w:ind w:left="2200" w:right="0" w:firstLine="0"/>
        <w:rPr>
          <w:rFonts w:ascii="Arial" w:hAnsi="Arial" w:cs="Arial" w:eastAsia="Arial" w:hint="default"/>
          <w:sz w:val="2"/>
          <w:szCs w:val="2"/>
        </w:rPr>
      </w:pPr>
      <w:r>
        <w:rPr>
          <w:rFonts w:ascii="Arial"/>
          <w:sz w:val="2"/>
        </w:rPr>
        <w:pict>
          <v:group style="width:185.65pt;height:.75pt;mso-position-horizontal-relative:char;mso-position-vertical-relative:line" coordorigin="0,0" coordsize="3713,15">
            <v:group style="position:absolute;left:7;top:7;width:1179;height:2" coordorigin="7,7" coordsize="1179,2">
              <v:shape style="position:absolute;left:7;top:7;width:1179;height:2" coordorigin="7,7" coordsize="1179,0" path="m7,7l1186,7e" filled="false" stroked="true" strokeweight=".72pt" strokecolor="#000000">
                <v:path arrowok="t"/>
              </v:shape>
            </v:group>
            <v:group style="position:absolute;left:1261;top:7;width:555;height:2" coordorigin="1261,7" coordsize="555,2">
              <v:shape style="position:absolute;left:1261;top:7;width:555;height:2" coordorigin="1261,7" coordsize="555,0" path="m1261,7l1816,7e" filled="false" stroked="true" strokeweight=".72pt" strokecolor="#000000">
                <v:path arrowok="t"/>
              </v:shape>
            </v:group>
            <v:group style="position:absolute;left:1891;top:7;width:1199;height:2" coordorigin="1891,7" coordsize="1199,2">
              <v:shape style="position:absolute;left:1891;top:7;width:1199;height:2" coordorigin="1891,7" coordsize="1199,0" path="m1891,7l3090,7e" filled="false" stroked="true" strokeweight=".72pt" strokecolor="#000000">
                <v:path arrowok="t"/>
              </v:shape>
            </v:group>
            <v:group style="position:absolute;left:3166;top:7;width:540;height:2" coordorigin="3166,7" coordsize="540,2">
              <v:shape style="position:absolute;left:3166;top:7;width:540;height:2" coordorigin="3166,7" coordsize="540,0" path="m3166,7l3706,7e" filled="false" stroked="true" strokeweight=".72pt" strokecolor="#000000">
                <v:path arrowok="t"/>
              </v:shape>
            </v:group>
          </v:group>
        </w:pict>
      </w:r>
      <w:r>
        <w:rPr>
          <w:rFonts w:ascii="Arial"/>
          <w:sz w:val="2"/>
        </w:rPr>
      </w:r>
      <w:r>
        <w:rPr>
          <w:rFonts w:ascii="Times New Roman"/>
          <w:spacing w:val="67"/>
          <w:sz w:val="2"/>
        </w:rPr>
        <w:t> </w:t>
      </w:r>
      <w:r>
        <w:rPr>
          <w:rFonts w:ascii="Arial"/>
          <w:spacing w:val="67"/>
          <w:sz w:val="2"/>
        </w:rPr>
        <w:pict>
          <v:group style="width:159.8pt;height:.75pt;mso-position-horizontal-relative:char;mso-position-vertical-relative:line" coordorigin="0,0" coordsize="3196,15">
            <v:group style="position:absolute;left:7;top:7;width:1252;height:2" coordorigin="7,7" coordsize="1252,2">
              <v:shape style="position:absolute;left:7;top:7;width:1252;height:2" coordorigin="7,7" coordsize="1252,0" path="m7,7l1259,7e" filled="false" stroked="true" strokeweight=".72pt" strokecolor="#000000">
                <v:path arrowok="t"/>
              </v:shape>
            </v:group>
            <v:group style="position:absolute;left:1334;top:7;width:563;height:2" coordorigin="1334,7" coordsize="563,2">
              <v:shape style="position:absolute;left:1334;top:7;width:563;height:2" coordorigin="1334,7" coordsize="563,0" path="m1334,7l1897,7e" filled="false" stroked="true" strokeweight=".72pt" strokecolor="#000000">
                <v:path arrowok="t"/>
              </v:shape>
            </v:group>
            <v:group style="position:absolute;left:1973;top:7;width:1216;height:2" coordorigin="1973,7" coordsize="1216,2">
              <v:shape style="position:absolute;left:1973;top:7;width:1216;height:2" coordorigin="1973,7" coordsize="1216,0" path="m1973,7l3188,7e" filled="false" stroked="true" strokeweight=".72pt" strokecolor="#000000">
                <v:path arrowok="t"/>
              </v:shape>
            </v:group>
          </v:group>
        </w:pict>
      </w:r>
      <w:r>
        <w:rPr>
          <w:rFonts w:ascii="Arial"/>
          <w:spacing w:val="67"/>
          <w:sz w:val="2"/>
        </w:rPr>
      </w:r>
      <w:r>
        <w:rPr>
          <w:rFonts w:ascii="Times New Roman"/>
          <w:spacing w:val="67"/>
          <w:sz w:val="2"/>
        </w:rPr>
        <w:t> </w:t>
      </w:r>
      <w:r>
        <w:rPr>
          <w:rFonts w:ascii="Arial"/>
          <w:spacing w:val="67"/>
          <w:sz w:val="2"/>
        </w:rPr>
        <w:pict>
          <v:group style="width:30.45pt;height:.75pt;mso-position-horizontal-relative:char;mso-position-vertical-relative:line" coordorigin="0,0" coordsize="609,15">
            <v:group style="position:absolute;left:7;top:7;width:594;height:2" coordorigin="7,7" coordsize="594,2">
              <v:shape style="position:absolute;left:7;top:7;width:594;height:2" coordorigin="7,7" coordsize="594,0" path="m7,7l601,7e" filled="false" stroked="true" strokeweight=".72pt" strokecolor="#000000">
                <v:path arrowok="t"/>
              </v:shape>
            </v:group>
          </v:group>
        </w:pict>
      </w:r>
      <w:r>
        <w:rPr>
          <w:rFonts w:ascii="Arial"/>
          <w:spacing w:val="67"/>
          <w:sz w:val="2"/>
        </w:rPr>
      </w:r>
    </w:p>
    <w:p>
      <w:pPr>
        <w:spacing w:line="240" w:lineRule="auto" w:before="0"/>
        <w:rPr>
          <w:rFonts w:ascii="Arial" w:hAnsi="Arial" w:cs="Arial" w:eastAsia="Arial" w:hint="default"/>
          <w:sz w:val="9"/>
          <w:szCs w:val="9"/>
        </w:rPr>
      </w:pPr>
    </w:p>
    <w:p>
      <w:pPr>
        <w:spacing w:line="209" w:lineRule="exact" w:before="50"/>
        <w:ind w:left="633" w:right="0" w:firstLine="0"/>
        <w:jc w:val="left"/>
        <w:rPr>
          <w:rFonts w:ascii="宋体" w:hAnsi="宋体" w:cs="宋体" w:eastAsia="宋体" w:hint="default"/>
          <w:sz w:val="16"/>
          <w:szCs w:val="16"/>
        </w:rPr>
      </w:pPr>
      <w:r>
        <w:rPr>
          <w:rFonts w:ascii="宋体" w:hAnsi="宋体" w:cs="宋体" w:eastAsia="宋体" w:hint="default"/>
          <w:sz w:val="16"/>
          <w:szCs w:val="16"/>
        </w:rPr>
        <w:t>单项金额重大并单独</w:t>
      </w:r>
    </w:p>
    <w:p>
      <w:pPr>
        <w:tabs>
          <w:tab w:pos="3271" w:val="left" w:leader="none"/>
          <w:tab w:pos="3773" w:val="left" w:leader="none"/>
        </w:tabs>
        <w:spacing w:line="218" w:lineRule="exact" w:before="0"/>
        <w:ind w:left="794" w:right="0" w:firstLine="0"/>
        <w:jc w:val="left"/>
        <w:rPr>
          <w:rFonts w:ascii="Arial" w:hAnsi="Arial" w:cs="Arial" w:eastAsia="Arial" w:hint="default"/>
          <w:sz w:val="16"/>
          <w:szCs w:val="16"/>
        </w:rPr>
      </w:pPr>
      <w:r>
        <w:rPr/>
        <w:pict>
          <v:shape style="position:absolute;margin-left:264.269867pt;margin-top:3.353376pt;width:289.25pt;height:44.1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54"/>
                    <w:gridCol w:w="636"/>
                    <w:gridCol w:w="1302"/>
                    <w:gridCol w:w="657"/>
                    <w:gridCol w:w="1328"/>
                    <w:gridCol w:w="608"/>
                  </w:tblGrid>
                  <w:tr>
                    <w:trPr>
                      <w:trHeight w:val="391"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163" w:lineRule="exact"/>
                          <w:ind w:right="158"/>
                          <w:jc w:val="right"/>
                          <w:rPr>
                            <w:rFonts w:ascii="Arial" w:hAnsi="Arial" w:cs="Arial" w:eastAsia="Arial" w:hint="default"/>
                            <w:sz w:val="16"/>
                            <w:szCs w:val="16"/>
                          </w:rPr>
                        </w:pPr>
                        <w:r>
                          <w:rPr>
                            <w:rFonts w:ascii="Arial"/>
                            <w:w w:val="99"/>
                            <w:sz w:val="16"/>
                          </w:rPr>
                          <w:t>-</w:t>
                        </w:r>
                        <w:r>
                          <w:rPr>
                            <w:rFonts w:ascii="Arial"/>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163" w:lineRule="exact"/>
                          <w:ind w:right="119"/>
                          <w:jc w:val="right"/>
                          <w:rPr>
                            <w:rFonts w:ascii="Arial" w:hAnsi="Arial" w:cs="Arial" w:eastAsia="Arial" w:hint="default"/>
                            <w:sz w:val="16"/>
                            <w:szCs w:val="16"/>
                          </w:rPr>
                        </w:pPr>
                        <w:r>
                          <w:rPr>
                            <w:rFonts w:ascii="Arial"/>
                            <w:w w:val="99"/>
                            <w:sz w:val="16"/>
                          </w:rPr>
                          <w:t>-</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163" w:lineRule="exact"/>
                          <w:ind w:right="89"/>
                          <w:jc w:val="right"/>
                          <w:rPr>
                            <w:rFonts w:ascii="Arial" w:hAnsi="Arial" w:cs="Arial" w:eastAsia="Arial" w:hint="default"/>
                            <w:sz w:val="16"/>
                            <w:szCs w:val="16"/>
                          </w:rPr>
                        </w:pPr>
                        <w:r>
                          <w:rPr>
                            <w:rFonts w:ascii="Arial"/>
                            <w:w w:val="99"/>
                            <w:sz w:val="16"/>
                          </w:rPr>
                          <w:t>-</w:t>
                        </w:r>
                        <w:r>
                          <w:rPr>
                            <w:rFonts w:ascii="Arial"/>
                            <w:sz w:val="16"/>
                          </w:rPr>
                        </w:r>
                      </w:p>
                    </w:tc>
                    <w:tc>
                      <w:tcPr>
                        <w:tcW w:w="657" w:type="dxa"/>
                        <w:tcBorders>
                          <w:top w:val="nil" w:sz="6" w:space="0" w:color="auto"/>
                          <w:left w:val="nil" w:sz="6" w:space="0" w:color="auto"/>
                          <w:bottom w:val="nil" w:sz="6" w:space="0" w:color="auto"/>
                          <w:right w:val="nil" w:sz="6" w:space="0" w:color="auto"/>
                        </w:tcBorders>
                      </w:tcPr>
                      <w:p>
                        <w:pPr>
                          <w:pStyle w:val="TableParagraph"/>
                          <w:spacing w:line="163" w:lineRule="exact"/>
                          <w:ind w:left="8" w:right="0"/>
                          <w:jc w:val="center"/>
                          <w:rPr>
                            <w:rFonts w:ascii="Arial" w:hAnsi="Arial" w:cs="Arial" w:eastAsia="Arial" w:hint="default"/>
                            <w:sz w:val="16"/>
                            <w:szCs w:val="16"/>
                          </w:rPr>
                        </w:pPr>
                        <w:r>
                          <w:rPr>
                            <w:rFonts w:ascii="Arial"/>
                            <w:w w:val="99"/>
                            <w:sz w:val="16"/>
                          </w:rPr>
                          <w:t>-</w:t>
                        </w:r>
                        <w:r>
                          <w:rPr>
                            <w:rFonts w:ascii="Arial"/>
                            <w:sz w:val="16"/>
                          </w:rPr>
                        </w:r>
                      </w:p>
                    </w:tc>
                    <w:tc>
                      <w:tcPr>
                        <w:tcW w:w="1328" w:type="dxa"/>
                        <w:tcBorders>
                          <w:top w:val="nil" w:sz="6" w:space="0" w:color="auto"/>
                          <w:left w:val="nil" w:sz="6" w:space="0" w:color="auto"/>
                          <w:bottom w:val="nil" w:sz="6" w:space="0" w:color="auto"/>
                          <w:right w:val="nil" w:sz="6" w:space="0" w:color="auto"/>
                        </w:tcBorders>
                      </w:tcPr>
                      <w:p>
                        <w:pPr>
                          <w:pStyle w:val="TableParagraph"/>
                          <w:spacing w:line="163" w:lineRule="exact"/>
                          <w:ind w:right="171"/>
                          <w:jc w:val="right"/>
                          <w:rPr>
                            <w:rFonts w:ascii="Arial" w:hAnsi="Arial" w:cs="Arial" w:eastAsia="Arial" w:hint="default"/>
                            <w:sz w:val="16"/>
                            <w:szCs w:val="16"/>
                          </w:rPr>
                        </w:pPr>
                        <w:r>
                          <w:rPr>
                            <w:rFonts w:ascii="Arial"/>
                            <w:w w:val="99"/>
                            <w:sz w:val="16"/>
                          </w:rPr>
                          <w:t>-</w:t>
                        </w:r>
                        <w:r>
                          <w:rPr>
                            <w:rFonts w:ascii="Arial"/>
                            <w:sz w:val="16"/>
                          </w:rPr>
                        </w:r>
                      </w:p>
                    </w:tc>
                    <w:tc>
                      <w:tcPr>
                        <w:tcW w:w="608" w:type="dxa"/>
                        <w:tcBorders>
                          <w:top w:val="nil" w:sz="6" w:space="0" w:color="auto"/>
                          <w:left w:val="nil" w:sz="6" w:space="0" w:color="auto"/>
                          <w:bottom w:val="nil" w:sz="6" w:space="0" w:color="auto"/>
                          <w:right w:val="nil" w:sz="6" w:space="0" w:color="auto"/>
                        </w:tcBorders>
                      </w:tcPr>
                      <w:p>
                        <w:pPr>
                          <w:pStyle w:val="TableParagraph"/>
                          <w:spacing w:line="163" w:lineRule="exact"/>
                          <w:ind w:right="33"/>
                          <w:jc w:val="right"/>
                          <w:rPr>
                            <w:rFonts w:ascii="Arial" w:hAnsi="Arial" w:cs="Arial" w:eastAsia="Arial" w:hint="default"/>
                            <w:sz w:val="16"/>
                            <w:szCs w:val="16"/>
                          </w:rPr>
                        </w:pPr>
                        <w:r>
                          <w:rPr>
                            <w:rFonts w:ascii="Arial"/>
                            <w:w w:val="99"/>
                            <w:sz w:val="16"/>
                          </w:rPr>
                          <w:t>-</w:t>
                        </w:r>
                        <w:r>
                          <w:rPr>
                            <w:rFonts w:ascii="Arial"/>
                            <w:sz w:val="16"/>
                          </w:rPr>
                        </w:r>
                      </w:p>
                    </w:tc>
                  </w:tr>
                  <w:tr>
                    <w:trPr>
                      <w:trHeight w:val="491"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88"/>
                          <w:jc w:val="right"/>
                          <w:rPr>
                            <w:rFonts w:ascii="Arial" w:hAnsi="Arial" w:cs="Arial" w:eastAsia="Arial" w:hint="default"/>
                            <w:sz w:val="16"/>
                            <w:szCs w:val="16"/>
                          </w:rPr>
                        </w:pPr>
                        <w:r>
                          <w:rPr>
                            <w:rFonts w:ascii="Arial"/>
                            <w:w w:val="95"/>
                            <w:sz w:val="16"/>
                          </w:rPr>
                          <w:t>(3,554,880,841)</w:t>
                        </w:r>
                        <w:r>
                          <w:rPr>
                            <w:rFonts w:ascii="Arial"/>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5"/>
                          <w:jc w:val="right"/>
                          <w:rPr>
                            <w:rFonts w:ascii="Arial" w:hAnsi="Arial" w:cs="Arial" w:eastAsia="Arial" w:hint="default"/>
                            <w:sz w:val="16"/>
                            <w:szCs w:val="16"/>
                          </w:rPr>
                        </w:pPr>
                        <w:r>
                          <w:rPr>
                            <w:rFonts w:ascii="Arial"/>
                            <w:w w:val="95"/>
                            <w:sz w:val="16"/>
                          </w:rPr>
                          <w:t>0~100</w:t>
                        </w:r>
                        <w:r>
                          <w:rPr>
                            <w:rFonts w:ascii="Arial"/>
                            <w:sz w:val="16"/>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1"/>
                          <w:jc w:val="right"/>
                          <w:rPr>
                            <w:rFonts w:ascii="Arial" w:hAnsi="Arial" w:cs="Arial" w:eastAsia="Arial" w:hint="default"/>
                            <w:sz w:val="16"/>
                            <w:szCs w:val="16"/>
                          </w:rPr>
                        </w:pPr>
                        <w:r>
                          <w:rPr>
                            <w:rFonts w:ascii="Arial"/>
                            <w:w w:val="95"/>
                            <w:sz w:val="16"/>
                          </w:rPr>
                          <w:t>14,441,308,601</w:t>
                        </w:r>
                        <w:r>
                          <w:rPr>
                            <w:rFonts w:ascii="Arial"/>
                            <w:sz w:val="16"/>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 w:right="0"/>
                          <w:jc w:val="center"/>
                          <w:rPr>
                            <w:rFonts w:ascii="Arial" w:hAnsi="Arial" w:cs="Arial" w:eastAsia="Arial" w:hint="default"/>
                            <w:sz w:val="16"/>
                            <w:szCs w:val="16"/>
                          </w:rPr>
                        </w:pPr>
                        <w:r>
                          <w:rPr>
                            <w:rFonts w:ascii="Arial"/>
                            <w:sz w:val="16"/>
                          </w:rPr>
                          <w:t>100.00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20"/>
                          <w:jc w:val="right"/>
                          <w:rPr>
                            <w:rFonts w:ascii="Arial" w:hAnsi="Arial" w:cs="Arial" w:eastAsia="Arial" w:hint="default"/>
                            <w:sz w:val="16"/>
                            <w:szCs w:val="16"/>
                          </w:rPr>
                        </w:pPr>
                        <w:r>
                          <w:rPr>
                            <w:rFonts w:ascii="Arial"/>
                            <w:w w:val="95"/>
                            <w:sz w:val="16"/>
                          </w:rPr>
                          <w:t>(4,015,921,529)</w:t>
                        </w:r>
                        <w:r>
                          <w:rPr>
                            <w:rFonts w:ascii="Arial"/>
                            <w:sz w:val="16"/>
                          </w:rPr>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5"/>
                          <w:jc w:val="right"/>
                          <w:rPr>
                            <w:rFonts w:ascii="Arial" w:hAnsi="Arial" w:cs="Arial" w:eastAsia="Arial" w:hint="default"/>
                            <w:sz w:val="16"/>
                            <w:szCs w:val="16"/>
                          </w:rPr>
                        </w:pPr>
                        <w:r>
                          <w:rPr>
                            <w:rFonts w:ascii="Arial"/>
                            <w:w w:val="95"/>
                            <w:sz w:val="16"/>
                          </w:rPr>
                          <w:t>0~100</w:t>
                        </w:r>
                        <w:r>
                          <w:rPr>
                            <w:rFonts w:ascii="Arial"/>
                            <w:sz w:val="16"/>
                          </w:rPr>
                        </w:r>
                      </w:p>
                    </w:tc>
                  </w:tr>
                </w:tbl>
                <w:p>
                  <w:pPr/>
                </w:p>
              </w:txbxContent>
            </v:textbox>
            <w10:wrap type="none"/>
          </v:shape>
        </w:pict>
      </w:r>
      <w:r>
        <w:rPr>
          <w:rFonts w:ascii="宋体" w:hAnsi="宋体" w:cs="宋体" w:eastAsia="宋体" w:hint="default"/>
          <w:w w:val="95"/>
          <w:position w:val="1"/>
          <w:sz w:val="16"/>
          <w:szCs w:val="16"/>
        </w:rPr>
        <w:t>计提坏账准备</w:t>
        <w:tab/>
      </w:r>
      <w:r>
        <w:rPr>
          <w:rFonts w:ascii="Arial" w:hAnsi="Arial" w:cs="Arial" w:eastAsia="Arial" w:hint="default"/>
          <w:w w:val="95"/>
          <w:sz w:val="16"/>
          <w:szCs w:val="16"/>
        </w:rPr>
        <w:t>-</w:t>
        <w:tab/>
      </w:r>
      <w:r>
        <w:rPr>
          <w:rFonts w:ascii="Arial" w:hAnsi="Arial" w:cs="Arial" w:eastAsia="Arial" w:hint="default"/>
          <w:sz w:val="16"/>
          <w:szCs w:val="16"/>
        </w:rPr>
        <w:t>-</w:t>
      </w:r>
    </w:p>
    <w:p>
      <w:pPr>
        <w:spacing w:line="208" w:lineRule="exact" w:before="8"/>
        <w:ind w:left="811" w:right="7909" w:hanging="178"/>
        <w:jc w:val="left"/>
        <w:rPr>
          <w:rFonts w:ascii="宋体" w:hAnsi="宋体" w:cs="宋体" w:eastAsia="宋体" w:hint="default"/>
          <w:sz w:val="16"/>
          <w:szCs w:val="16"/>
        </w:rPr>
      </w:pPr>
      <w:r>
        <w:rPr>
          <w:rFonts w:ascii="宋体" w:hAnsi="宋体" w:cs="宋体" w:eastAsia="宋体" w:hint="default"/>
          <w:sz w:val="16"/>
          <w:szCs w:val="16"/>
        </w:rPr>
        <w:t>单项金额不重大但按</w:t>
      </w:r>
      <w:r>
        <w:rPr>
          <w:rFonts w:ascii="宋体" w:hAnsi="宋体" w:cs="宋体" w:eastAsia="宋体" w:hint="default"/>
          <w:w w:val="99"/>
          <w:sz w:val="16"/>
          <w:szCs w:val="16"/>
        </w:rPr>
        <w:t> </w:t>
      </w:r>
      <w:r>
        <w:rPr>
          <w:rFonts w:ascii="宋体" w:hAnsi="宋体" w:cs="宋体" w:eastAsia="宋体" w:hint="default"/>
          <w:sz w:val="16"/>
          <w:szCs w:val="16"/>
        </w:rPr>
        <w:t>信用风险特征组合</w:t>
      </w:r>
    </w:p>
    <w:p>
      <w:pPr>
        <w:spacing w:line="198" w:lineRule="exact" w:before="0"/>
        <w:ind w:left="811" w:right="0" w:firstLine="0"/>
        <w:jc w:val="left"/>
        <w:rPr>
          <w:rFonts w:ascii="Arial" w:hAnsi="Arial" w:cs="Arial" w:eastAsia="Arial" w:hint="default"/>
          <w:sz w:val="16"/>
          <w:szCs w:val="16"/>
        </w:rPr>
      </w:pPr>
      <w:r>
        <w:rPr>
          <w:rFonts w:ascii="宋体" w:hAnsi="宋体" w:cs="宋体" w:eastAsia="宋体" w:hint="default"/>
          <w:position w:val="1"/>
          <w:sz w:val="16"/>
          <w:szCs w:val="16"/>
        </w:rPr>
        <w:t>后该组合风险较大  </w:t>
      </w:r>
      <w:r>
        <w:rPr>
          <w:rFonts w:ascii="Arial" w:hAnsi="Arial" w:cs="Arial" w:eastAsia="Arial" w:hint="default"/>
          <w:sz w:val="16"/>
          <w:szCs w:val="16"/>
        </w:rPr>
        <w:t>15,994,125,110 </w:t>
      </w:r>
      <w:r>
        <w:rPr>
          <w:rFonts w:ascii="Arial" w:hAnsi="Arial" w:cs="Arial" w:eastAsia="Arial" w:hint="default"/>
          <w:spacing w:val="29"/>
          <w:sz w:val="16"/>
          <w:szCs w:val="16"/>
        </w:rPr>
        <w:t> </w:t>
      </w:r>
      <w:r>
        <w:rPr>
          <w:rFonts w:ascii="Arial" w:hAnsi="Arial" w:cs="Arial" w:eastAsia="Arial" w:hint="default"/>
          <w:sz w:val="16"/>
          <w:szCs w:val="16"/>
        </w:rPr>
        <w:t>100.00</w:t>
      </w:r>
    </w:p>
    <w:p>
      <w:pPr>
        <w:spacing w:line="197" w:lineRule="exact" w:before="0"/>
        <w:ind w:left="633" w:right="0" w:firstLine="0"/>
        <w:jc w:val="left"/>
        <w:rPr>
          <w:rFonts w:ascii="宋体" w:hAnsi="宋体" w:cs="宋体" w:eastAsia="宋体" w:hint="default"/>
          <w:sz w:val="16"/>
          <w:szCs w:val="16"/>
        </w:rPr>
      </w:pPr>
      <w:r>
        <w:rPr>
          <w:rFonts w:ascii="宋体" w:hAnsi="宋体" w:cs="宋体" w:eastAsia="宋体" w:hint="default"/>
          <w:sz w:val="16"/>
          <w:szCs w:val="16"/>
        </w:rPr>
        <w:t>单项金额虽不重大但</w:t>
      </w:r>
    </w:p>
    <w:p>
      <w:pPr>
        <w:tabs>
          <w:tab w:pos="3271" w:val="left" w:leader="none"/>
          <w:tab w:pos="3773" w:val="left" w:leader="none"/>
          <w:tab w:pos="5143" w:val="left" w:leader="none"/>
          <w:tab w:pos="5760" w:val="left" w:leader="none"/>
          <w:tab w:pos="7132" w:val="left" w:leader="none"/>
          <w:tab w:pos="7582" w:val="left" w:leader="none"/>
          <w:tab w:pos="7886" w:val="left" w:leader="none"/>
          <w:tab w:pos="9034" w:val="left" w:leader="none"/>
          <w:tab w:pos="9781" w:val="left" w:leader="none"/>
        </w:tabs>
        <w:spacing w:before="0"/>
        <w:ind w:left="811"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单独计提坏账准备</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w:t>
      </w:r>
      <w:r>
        <w:rPr>
          <w:rFonts w:ascii="Arial" w:hAnsi="Arial" w:cs="Arial" w:eastAsia="Arial" w:hint="default"/>
          <w:sz w:val="16"/>
          <w:szCs w:val="16"/>
        </w:rPr>
      </w:r>
    </w:p>
    <w:p>
      <w:pPr>
        <w:spacing w:line="240" w:lineRule="auto" w:before="9"/>
        <w:rPr>
          <w:rFonts w:ascii="Arial" w:hAnsi="Arial" w:cs="Arial" w:eastAsia="Arial" w:hint="default"/>
          <w:sz w:val="10"/>
          <w:szCs w:val="10"/>
        </w:rPr>
      </w:pPr>
    </w:p>
    <w:p>
      <w:pPr>
        <w:tabs>
          <w:tab w:pos="2235" w:val="left" w:leader="none"/>
          <w:tab w:pos="9384" w:val="left" w:leader="none"/>
        </w:tabs>
        <w:spacing w:before="52"/>
        <w:ind w:left="633"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sz w:val="16"/>
          <w:szCs w:val="16"/>
        </w:rPr>
        <w:t>15,994,125,110   100.00   (3,554,880,841)    0~100    14,441,308,601    100.00   </w:t>
      </w:r>
      <w:r>
        <w:rPr>
          <w:rFonts w:ascii="Arial" w:hAnsi="Arial" w:cs="Arial" w:eastAsia="Arial" w:hint="default"/>
          <w:spacing w:val="8"/>
          <w:sz w:val="16"/>
          <w:szCs w:val="16"/>
        </w:rPr>
        <w:t> </w:t>
      </w:r>
      <w:r>
        <w:rPr>
          <w:rFonts w:ascii="Arial" w:hAnsi="Arial" w:cs="Arial" w:eastAsia="Arial" w:hint="default"/>
          <w:sz w:val="16"/>
          <w:szCs w:val="16"/>
        </w:rPr>
        <w:t>(4,015,921,529)</w:t>
        <w:tab/>
        <w:t>0~100</w:t>
      </w:r>
    </w:p>
    <w:p>
      <w:pPr>
        <w:spacing w:line="43" w:lineRule="exact"/>
        <w:ind w:left="2186" w:right="0" w:firstLine="0"/>
        <w:rPr>
          <w:rFonts w:ascii="Arial" w:hAnsi="Arial" w:cs="Arial" w:eastAsia="Arial" w:hint="default"/>
          <w:sz w:val="4"/>
          <w:szCs w:val="4"/>
        </w:rPr>
      </w:pPr>
      <w:r>
        <w:rPr>
          <w:rFonts w:ascii="Arial" w:hAnsi="Arial" w:cs="Arial" w:eastAsia="Arial" w:hint="default"/>
          <w:position w:val="0"/>
          <w:sz w:val="4"/>
          <w:szCs w:val="4"/>
        </w:rPr>
        <w:pict>
          <v:group style="width:384.15pt;height:2.2pt;mso-position-horizontal-relative:char;mso-position-vertical-relative:line" coordorigin="0,0" coordsize="7683,44">
            <v:group style="position:absolute;left:7;top:36;width:1193;height:2" coordorigin="7,36" coordsize="1193,2">
              <v:shape style="position:absolute;left:7;top:36;width:1193;height:2" coordorigin="7,36" coordsize="1193,0" path="m7,36l1200,36e" filled="false" stroked="true" strokeweight=".72pt" strokecolor="#000000">
                <v:path arrowok="t"/>
              </v:shape>
            </v:group>
            <v:group style="position:absolute;left:7;top:7;width:1193;height:2" coordorigin="7,7" coordsize="1193,2">
              <v:shape style="position:absolute;left:7;top:7;width:1193;height:2" coordorigin="7,7" coordsize="1193,0" path="m7,7l1200,7e" filled="false" stroked="true" strokeweight=".72pt" strokecolor="#000000">
                <v:path arrowok="t"/>
              </v:shape>
            </v:group>
            <v:group style="position:absolute;left:1261;top:36;width:569;height:2" coordorigin="1261,36" coordsize="569,2">
              <v:shape style="position:absolute;left:1261;top:36;width:569;height:2" coordorigin="1261,36" coordsize="569,0" path="m1261,36l1830,36e" filled="false" stroked="true" strokeweight=".72pt" strokecolor="#000000">
                <v:path arrowok="t"/>
              </v:shape>
            </v:group>
            <v:group style="position:absolute;left:1261;top:7;width:569;height:2" coordorigin="1261,7" coordsize="569,2">
              <v:shape style="position:absolute;left:1261;top:7;width:569;height:2" coordorigin="1261,7" coordsize="569,0" path="m1261,7l1830,7e" filled="false" stroked="true" strokeweight=".72pt" strokecolor="#000000">
                <v:path arrowok="t"/>
              </v:shape>
            </v:group>
            <v:group style="position:absolute;left:1891;top:36;width:1214;height:2" coordorigin="1891,36" coordsize="1214,2">
              <v:shape style="position:absolute;left:1891;top:36;width:1214;height:2" coordorigin="1891,36" coordsize="1214,0" path="m1891,36l3104,36e" filled="false" stroked="true" strokeweight=".72pt" strokecolor="#000000">
                <v:path arrowok="t"/>
              </v:shape>
            </v:group>
            <v:group style="position:absolute;left:1891;top:7;width:1214;height:2" coordorigin="1891,7" coordsize="1214,2">
              <v:shape style="position:absolute;left:1891;top:7;width:1214;height:2" coordorigin="1891,7" coordsize="1214,0" path="m1891,7l3104,7e" filled="false" stroked="true" strokeweight=".72pt" strokecolor="#000000">
                <v:path arrowok="t"/>
              </v:shape>
            </v:group>
            <v:group style="position:absolute;left:3166;top:36;width:555;height:2" coordorigin="3166,36" coordsize="555,2">
              <v:shape style="position:absolute;left:3166;top:36;width:555;height:2" coordorigin="3166,36" coordsize="555,0" path="m3166,36l3720,36e" filled="false" stroked="true" strokeweight=".72pt" strokecolor="#000000">
                <v:path arrowok="t"/>
              </v:shape>
            </v:group>
            <v:group style="position:absolute;left:3166;top:7;width:555;height:2" coordorigin="3166,7" coordsize="555,2">
              <v:shape style="position:absolute;left:3166;top:7;width:555;height:2" coordorigin="3166,7" coordsize="555,0" path="m3166,7l3720,7e" filled="false" stroked="true" strokeweight=".72pt" strokecolor="#000000">
                <v:path arrowok="t"/>
              </v:shape>
            </v:group>
            <v:group style="position:absolute;left:3796;top:36;width:1266;height:2" coordorigin="3796,36" coordsize="1266,2">
              <v:shape style="position:absolute;left:3796;top:36;width:1266;height:2" coordorigin="3796,36" coordsize="1266,0" path="m3796,36l5062,36e" filled="false" stroked="true" strokeweight=".72pt" strokecolor="#000000">
                <v:path arrowok="t"/>
              </v:shape>
            </v:group>
            <v:group style="position:absolute;left:3796;top:7;width:1266;height:2" coordorigin="3796,7" coordsize="1266,2">
              <v:shape style="position:absolute;left:3796;top:7;width:1266;height:2" coordorigin="3796,7" coordsize="1266,0" path="m3796,7l5062,7e" filled="false" stroked="true" strokeweight=".72pt" strokecolor="#000000">
                <v:path arrowok="t"/>
              </v:shape>
            </v:group>
            <v:group style="position:absolute;left:5123;top:36;width:578;height:2" coordorigin="5123,36" coordsize="578,2">
              <v:shape style="position:absolute;left:5123;top:36;width:578;height:2" coordorigin="5123,36" coordsize="578,0" path="m5123,36l5700,36e" filled="false" stroked="true" strokeweight=".72pt" strokecolor="#000000">
                <v:path arrowok="t"/>
              </v:shape>
            </v:group>
            <v:group style="position:absolute;left:5123;top:7;width:578;height:2" coordorigin="5123,7" coordsize="578,2">
              <v:shape style="position:absolute;left:5123;top:7;width:578;height:2" coordorigin="5123,7" coordsize="578,0" path="m5123,7l5700,7e" filled="false" stroked="true" strokeweight=".72pt" strokecolor="#000000">
                <v:path arrowok="t"/>
              </v:shape>
            </v:group>
            <v:group style="position:absolute;left:5761;top:36;width:1230;height:2" coordorigin="5761,36" coordsize="1230,2">
              <v:shape style="position:absolute;left:5761;top:36;width:1230;height:2" coordorigin="5761,36" coordsize="1230,0" path="m5761,36l6991,36e" filled="false" stroked="true" strokeweight=".72pt" strokecolor="#000000">
                <v:path arrowok="t"/>
              </v:shape>
            </v:group>
            <v:group style="position:absolute;left:5761;top:7;width:1230;height:2" coordorigin="5761,7" coordsize="1230,2">
              <v:shape style="position:absolute;left:5761;top:7;width:1230;height:2" coordorigin="5761,7" coordsize="1230,0" path="m5761,7l6991,7e" filled="false" stroked="true" strokeweight=".72pt" strokecolor="#000000">
                <v:path arrowok="t"/>
              </v:shape>
            </v:group>
            <v:group style="position:absolute;left:7067;top:36;width:609;height:2" coordorigin="7067,36" coordsize="609,2">
              <v:shape style="position:absolute;left:7067;top:36;width:609;height:2" coordorigin="7067,36" coordsize="609,0" path="m7067,36l7675,36e" filled="false" stroked="true" strokeweight=".72pt" strokecolor="#000000">
                <v:path arrowok="t"/>
              </v:shape>
            </v:group>
            <v:group style="position:absolute;left:7067;top:7;width:609;height:2" coordorigin="7067,7" coordsize="609,2">
              <v:shape style="position:absolute;left:7067;top:7;width:609;height:2" coordorigin="7067,7" coordsize="609,0" path="m7067,7l7675,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tabs>
          <w:tab w:pos="632" w:val="left" w:leader="none"/>
        </w:tabs>
        <w:spacing w:line="286" w:lineRule="exact" w:before="60"/>
        <w:ind w:left="632" w:right="399" w:hanging="478"/>
        <w:jc w:val="left"/>
      </w:pPr>
      <w:r>
        <w:rPr>
          <w:rFonts w:ascii="Arial" w:hAnsi="Arial" w:cs="Arial" w:eastAsia="Arial" w:hint="default"/>
          <w:w w:val="95"/>
        </w:rPr>
        <w:t>(c)</w:t>
        <w:tab/>
      </w:r>
      <w:r>
        <w:rPr/>
        <w:t>于</w:t>
      </w:r>
      <w:r>
        <w:rPr>
          <w:spacing w:val="-60"/>
        </w:rPr>
        <w:t> </w:t>
      </w:r>
      <w:r>
        <w:rPr>
          <w:rFonts w:ascii="Arial" w:hAnsi="Arial" w:cs="Arial" w:eastAsia="Arial" w:hint="default"/>
        </w:rPr>
        <w:t>2011</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日，无单项金额重大并单独计提坏账准备的应收账款、或虽不重大但单独</w:t>
      </w:r>
      <w:r>
        <w:rPr>
          <w:w w:val="99"/>
        </w:rPr>
        <w:t> </w:t>
      </w:r>
      <w:r>
        <w:rPr/>
        <w:t>计提坏账准备的应收账款。</w:t>
      </w:r>
    </w:p>
    <w:p>
      <w:pPr>
        <w:spacing w:after="0" w:line="286" w:lineRule="exact"/>
        <w:jc w:val="left"/>
        <w:sectPr>
          <w:type w:val="continuous"/>
          <w:pgSz w:w="11900" w:h="16840"/>
          <w:pgMar w:top="1600" w:bottom="280" w:left="1200" w:right="680"/>
        </w:sectPr>
      </w:pPr>
    </w:p>
    <w:p>
      <w:pPr>
        <w:spacing w:line="240" w:lineRule="auto" w:before="12"/>
        <w:rPr>
          <w:rFonts w:ascii="宋体" w:hAnsi="宋体" w:cs="宋体" w:eastAsia="宋体" w:hint="default"/>
          <w:sz w:val="15"/>
          <w:szCs w:val="15"/>
        </w:rPr>
      </w:pPr>
    </w:p>
    <w:p>
      <w:pPr>
        <w:pStyle w:val="BodyText"/>
        <w:spacing w:line="240" w:lineRule="auto" w:before="31"/>
        <w:ind w:left="114" w:right="0"/>
        <w:jc w:val="left"/>
      </w:pPr>
      <w:r>
        <w:rPr>
          <w:rFonts w:ascii="Arial" w:hAnsi="Arial" w:cs="Arial" w:eastAsia="Arial" w:hint="default"/>
        </w:rPr>
        <w:t>(d)</w:t>
      </w:r>
      <w:r>
        <w:rPr>
          <w:rFonts w:ascii="Arial" w:hAnsi="Arial" w:cs="Arial" w:eastAsia="Arial" w:hint="default"/>
          <w:spacing w:val="55"/>
        </w:rPr>
        <w:t> </w:t>
      </w:r>
      <w:r>
        <w:rPr/>
        <w:t>单项金额不重大但按信用风险特征组合后该组合风险较大的应收账款分析如下：</w:t>
      </w: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86"/>
          <w:footerReference w:type="default" r:id="rId87"/>
          <w:pgSz w:w="11900" w:h="16840"/>
          <w:pgMar w:header="1189" w:footer="752" w:top="3600" w:bottom="940" w:left="1240" w:right="860"/>
          <w:pgNumType w:start="105"/>
        </w:sectPr>
      </w:pPr>
    </w:p>
    <w:p>
      <w:pPr>
        <w:tabs>
          <w:tab w:pos="4156" w:val="left" w:leader="none"/>
          <w:tab w:pos="6223" w:val="left" w:leader="none"/>
          <w:tab w:pos="6528" w:val="left" w:leader="none"/>
          <w:tab w:pos="8320" w:val="left" w:leader="none"/>
        </w:tabs>
        <w:spacing w:before="50"/>
        <w:ind w:left="2083" w:right="0" w:firstLine="680"/>
        <w:jc w:val="left"/>
        <w:rPr>
          <w:rFonts w:ascii="宋体" w:hAnsi="宋体" w:cs="宋体" w:eastAsia="宋体" w:hint="default"/>
          <w:sz w:val="16"/>
          <w:szCs w:val="16"/>
        </w:rPr>
      </w:pPr>
      <w:r>
        <w:rPr/>
        <w:pict>
          <v:group style="position:absolute;margin-left:133.140015pt;margin-top:14.184307pt;width:413.35pt;height:.75pt;mso-position-horizontal-relative:page;mso-position-vertical-relative:paragraph;z-index:-821896" coordorigin="2663,284" coordsize="8267,15">
            <v:group style="position:absolute;left:2670;top:291;width:4061;height:2" coordorigin="2670,291" coordsize="4061,2">
              <v:shape style="position:absolute;left:2670;top:291;width:4061;height:2" coordorigin="2670,291" coordsize="4061,0" path="m2670,291l6731,291e" filled="false" stroked="true" strokeweight=".71997pt" strokecolor="#000000">
                <v:path arrowok="t"/>
              </v:shape>
            </v:group>
            <v:group style="position:absolute;left:6806;top:291;width:4116;height:2" coordorigin="6806,291" coordsize="4116,2">
              <v:shape style="position:absolute;left:6806;top:291;width:4116;height:2" coordorigin="6806,291" coordsize="4116,0" path="m6806,291l10922,291e" filled="false" stroked="true" strokeweight=".71997pt" strokecolor="#000000">
                <v:path arrowok="t"/>
              </v:shape>
            </v:group>
            <w10:wrap type="none"/>
          </v:group>
        </w:pict>
      </w: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tab/>
        <w:tab/>
      </w: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日（经重列）</w:t>
      </w:r>
      <w:r>
        <w:rPr>
          <w:rFonts w:ascii="宋体" w:hAnsi="宋体" w:cs="宋体" w:eastAsia="宋体" w:hint="default"/>
          <w:w w:val="99"/>
          <w:sz w:val="16"/>
          <w:szCs w:val="16"/>
        </w:rPr>
        <w:t> </w:t>
      </w:r>
      <w:r>
        <w:rPr>
          <w:rFonts w:ascii="宋体" w:hAnsi="宋体" w:cs="宋体" w:eastAsia="宋体" w:hint="default"/>
          <w:w w:val="95"/>
          <w:sz w:val="16"/>
          <w:szCs w:val="16"/>
        </w:rPr>
        <w:t>账面余额</w:t>
        <w:tab/>
        <w:t>坏账准备</w:t>
        <w:tab/>
        <w:t>账面余额</w:t>
        <w:tab/>
        <w:t>坏账准备</w:t>
      </w:r>
      <w:r>
        <w:rPr>
          <w:rFonts w:ascii="宋体" w:hAnsi="宋体" w:cs="宋体" w:eastAsia="宋体" w:hint="default"/>
          <w:sz w:val="16"/>
          <w:szCs w:val="16"/>
        </w:rPr>
      </w:r>
    </w:p>
    <w:p>
      <w:pPr>
        <w:spacing w:before="12"/>
        <w:ind w:left="4767" w:right="3510" w:firstLine="0"/>
        <w:jc w:val="center"/>
        <w:rPr>
          <w:rFonts w:ascii="宋体" w:hAnsi="宋体" w:cs="宋体" w:eastAsia="宋体" w:hint="default"/>
          <w:sz w:val="16"/>
          <w:szCs w:val="16"/>
        </w:rPr>
      </w:pPr>
      <w:r>
        <w:rPr/>
        <w:pict>
          <v:group style="position:absolute;margin-left:133.5pt;margin-top:1.604341pt;width:97.35pt;height:.1pt;mso-position-horizontal-relative:page;mso-position-vertical-relative:paragraph;z-index:2440" coordorigin="2670,32" coordsize="1947,2">
            <v:shape style="position:absolute;left:2670;top:32;width:1947;height:2" coordorigin="2670,32" coordsize="1947,0" path="m2670,32l4616,32e" filled="false" stroked="true" strokeweight=".71997pt" strokecolor="#000000">
              <v:path arrowok="t"/>
            </v:shape>
            <w10:wrap type="none"/>
          </v:group>
        </w:pict>
      </w:r>
      <w:r>
        <w:rPr/>
        <w:pict>
          <v:group style="position:absolute;margin-left:234.660019pt;margin-top:1.244356pt;width:311.850pt;height:.75pt;mso-position-horizontal-relative:page;mso-position-vertical-relative:paragraph;z-index:-821848" coordorigin="4693,25" coordsize="6237,15">
            <v:group style="position:absolute;left:4700;top:32;width:2031;height:2" coordorigin="4700,32" coordsize="2031,2">
              <v:shape style="position:absolute;left:4700;top:32;width:2031;height:2" coordorigin="4700,32" coordsize="2031,0" path="m4700,32l6731,32e" filled="false" stroked="true" strokeweight=".71997pt" strokecolor="#000000">
                <v:path arrowok="t"/>
              </v:shape>
            </v:group>
            <v:group style="position:absolute;left:6806;top:32;width:1954;height:2" coordorigin="6806,32" coordsize="1954,2">
              <v:shape style="position:absolute;left:6806;top:32;width:1954;height:2" coordorigin="6806,32" coordsize="1954,0" path="m6806,32l8760,32e" filled="false" stroked="true" strokeweight=".71997pt" strokecolor="#000000">
                <v:path arrowok="t"/>
              </v:shape>
            </v:group>
            <v:group style="position:absolute;left:8836;top:32;width:2087;height:2" coordorigin="8836,32" coordsize="2087,2">
              <v:shape style="position:absolute;left:8836;top:32;width:2087;height:2" coordorigin="8836,32" coordsize="2087,0" path="m8836,32l10922,32e" filled="false" stroked="true" strokeweight=".71997pt" strokecolor="#000000">
                <v:path arrowok="t"/>
              </v:shape>
            </v:group>
            <w10:wrap type="none"/>
          </v:group>
        </w:pict>
      </w:r>
      <w:r>
        <w:rPr>
          <w:rFonts w:ascii="宋体" w:hAnsi="宋体" w:cs="宋体" w:eastAsia="宋体" w:hint="default"/>
          <w:sz w:val="16"/>
          <w:szCs w:val="16"/>
        </w:rPr>
        <w:t>计提比例</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21"/>
          <w:szCs w:val="21"/>
        </w:rPr>
      </w:pPr>
    </w:p>
    <w:p>
      <w:pPr>
        <w:spacing w:before="0"/>
        <w:ind w:left="4" w:right="0" w:firstLine="0"/>
        <w:jc w:val="left"/>
        <w:rPr>
          <w:rFonts w:ascii="宋体" w:hAnsi="宋体" w:cs="宋体" w:eastAsia="宋体" w:hint="default"/>
          <w:sz w:val="16"/>
          <w:szCs w:val="16"/>
        </w:rPr>
      </w:pPr>
      <w:r>
        <w:rPr>
          <w:rFonts w:ascii="宋体" w:hAnsi="宋体" w:cs="宋体" w:eastAsia="宋体" w:hint="default"/>
          <w:sz w:val="16"/>
          <w:szCs w:val="16"/>
        </w:rPr>
        <w:t>计提比例</w:t>
      </w:r>
    </w:p>
    <w:p>
      <w:pPr>
        <w:spacing w:after="0"/>
        <w:jc w:val="left"/>
        <w:rPr>
          <w:rFonts w:ascii="宋体" w:hAnsi="宋体" w:cs="宋体" w:eastAsia="宋体" w:hint="default"/>
          <w:sz w:val="16"/>
          <w:szCs w:val="16"/>
        </w:rPr>
        <w:sectPr>
          <w:type w:val="continuous"/>
          <w:pgSz w:w="11900" w:h="16840"/>
          <w:pgMar w:top="1600" w:bottom="280" w:left="1240" w:right="860"/>
          <w:cols w:num="2" w:equalWidth="0">
            <w:col w:w="8959" w:space="40"/>
            <w:col w:w="801"/>
          </w:cols>
        </w:sectPr>
      </w:pPr>
    </w:p>
    <w:p>
      <w:pPr>
        <w:tabs>
          <w:tab w:pos="2779" w:val="left" w:leader="none"/>
          <w:tab w:pos="3895" w:val="left" w:leader="none"/>
        </w:tabs>
        <w:spacing w:line="196" w:lineRule="exact" w:before="0"/>
        <w:ind w:left="1858" w:right="-20" w:firstLine="0"/>
        <w:jc w:val="left"/>
        <w:rPr>
          <w:rFonts w:ascii="宋体" w:hAnsi="宋体" w:cs="宋体" w:eastAsia="宋体" w:hint="default"/>
          <w:sz w:val="16"/>
          <w:szCs w:val="16"/>
        </w:rPr>
      </w:pPr>
      <w:r>
        <w:rPr>
          <w:rFonts w:ascii="宋体" w:hAnsi="宋体" w:cs="宋体" w:eastAsia="宋体" w:hint="default"/>
          <w:w w:val="95"/>
          <w:sz w:val="16"/>
          <w:szCs w:val="16"/>
        </w:rPr>
        <w:t>金额</w:t>
        <w:tab/>
      </w:r>
      <w:r>
        <w:rPr>
          <w:rFonts w:ascii="宋体" w:hAnsi="宋体" w:cs="宋体" w:eastAsia="宋体" w:hint="default"/>
          <w:spacing w:val="-1"/>
          <w:sz w:val="16"/>
          <w:szCs w:val="16"/>
        </w:rPr>
        <w:t>比例</w:t>
      </w:r>
      <w:r>
        <w:rPr>
          <w:rFonts w:ascii="Arial" w:hAnsi="Arial" w:cs="Arial" w:eastAsia="Arial" w:hint="default"/>
          <w:spacing w:val="-1"/>
          <w:sz w:val="16"/>
          <w:szCs w:val="16"/>
        </w:rPr>
        <w:t>(%)</w:t>
        <w:tab/>
      </w:r>
      <w:r>
        <w:rPr>
          <w:rFonts w:ascii="宋体" w:hAnsi="宋体" w:cs="宋体" w:eastAsia="宋体" w:hint="default"/>
          <w:sz w:val="16"/>
          <w:szCs w:val="16"/>
        </w:rPr>
        <w:t>金额</w:t>
      </w:r>
    </w:p>
    <w:p>
      <w:pPr>
        <w:tabs>
          <w:tab w:pos="1735" w:val="left" w:leader="none"/>
          <w:tab w:pos="2667" w:val="left" w:leader="none"/>
          <w:tab w:pos="3819" w:val="left" w:leader="none"/>
        </w:tabs>
        <w:spacing w:line="207" w:lineRule="exact" w:before="0"/>
        <w:ind w:left="729" w:right="-5" w:firstLine="0"/>
        <w:jc w:val="left"/>
        <w:rPr>
          <w:rFonts w:ascii="宋体" w:hAnsi="宋体" w:cs="宋体" w:eastAsia="宋体" w:hint="default"/>
          <w:sz w:val="16"/>
          <w:szCs w:val="16"/>
        </w:rPr>
      </w:pPr>
      <w:r>
        <w:rPr>
          <w:spacing w:val="-1"/>
        </w:rPr>
        <w:br w:type="column"/>
      </w: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tab/>
      </w:r>
      <w:r>
        <w:rPr>
          <w:rFonts w:ascii="宋体" w:hAnsi="宋体" w:cs="宋体" w:eastAsia="宋体" w:hint="default"/>
          <w:spacing w:val="-1"/>
          <w:position w:val="1"/>
          <w:sz w:val="16"/>
          <w:szCs w:val="16"/>
        </w:rPr>
        <w:t>比例</w:t>
      </w:r>
      <w:r>
        <w:rPr>
          <w:rFonts w:ascii="Arial" w:hAnsi="Arial" w:cs="Arial" w:eastAsia="Arial" w:hint="default"/>
          <w:spacing w:val="-1"/>
          <w:position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before="23"/>
        <w:ind w:left="765" w:right="0" w:firstLine="0"/>
        <w:jc w:val="left"/>
        <w:rPr>
          <w:rFonts w:ascii="Arial" w:hAnsi="Arial" w:cs="Arial" w:eastAsia="Arial" w:hint="default"/>
          <w:sz w:val="16"/>
          <w:szCs w:val="16"/>
        </w:rPr>
      </w:pPr>
      <w:r>
        <w:rPr/>
        <w:br w:type="column"/>
      </w:r>
      <w:r>
        <w:rPr>
          <w:rFonts w:ascii="Arial"/>
          <w:sz w:val="16"/>
        </w:rPr>
        <w:t>(%)</w:t>
      </w:r>
    </w:p>
    <w:p>
      <w:pPr>
        <w:spacing w:after="0"/>
        <w:jc w:val="left"/>
        <w:rPr>
          <w:rFonts w:ascii="Arial" w:hAnsi="Arial" w:cs="Arial" w:eastAsia="Arial" w:hint="default"/>
          <w:sz w:val="16"/>
          <w:szCs w:val="16"/>
        </w:rPr>
        <w:sectPr>
          <w:type w:val="continuous"/>
          <w:pgSz w:w="11900" w:h="16840"/>
          <w:pgMar w:top="1600" w:bottom="280" w:left="1240" w:right="860"/>
          <w:cols w:num="3" w:equalWidth="0">
            <w:col w:w="4216" w:space="40"/>
            <w:col w:w="4139" w:space="40"/>
            <w:col w:w="1365"/>
          </w:cols>
        </w:sectPr>
      </w:pPr>
    </w:p>
    <w:p>
      <w:pPr>
        <w:spacing w:line="20" w:lineRule="exact"/>
        <w:ind w:left="1422" w:right="0" w:firstLine="0"/>
        <w:rPr>
          <w:rFonts w:ascii="Arial" w:hAnsi="Arial" w:cs="Arial" w:eastAsia="Arial" w:hint="default"/>
          <w:sz w:val="2"/>
          <w:szCs w:val="2"/>
        </w:rPr>
      </w:pPr>
      <w:r>
        <w:rPr>
          <w:rFonts w:ascii="Arial"/>
          <w:sz w:val="2"/>
        </w:rPr>
        <w:pict>
          <v:group style="width:98.05pt;height:.75pt;mso-position-horizontal-relative:char;mso-position-vertical-relative:line" coordorigin="0,0" coordsize="1961,15">
            <v:group style="position:absolute;left:7;top:7;width:1176;height:2" coordorigin="7,7" coordsize="1176,2">
              <v:shape style="position:absolute;left:7;top:7;width:1176;height:2" coordorigin="7,7" coordsize="1176,0" path="m7,7l1183,7e" filled="false" stroked="true" strokeweight=".71997pt" strokecolor="#000000">
                <v:path arrowok="t"/>
              </v:shape>
            </v:group>
            <v:group style="position:absolute;left:1260;top:7;width:694;height:2" coordorigin="1260,7" coordsize="694,2">
              <v:shape style="position:absolute;left:1260;top:7;width:694;height:2" coordorigin="1260,7" coordsize="694,0" path="m1260,7l1954,7e" filled="false" stroked="true" strokeweight=".71997pt" strokecolor="#000000">
                <v:path arrowok="t"/>
              </v:shape>
            </v:group>
          </v:group>
        </w:pict>
      </w:r>
      <w:r>
        <w:rPr>
          <w:rFonts w:ascii="Arial"/>
          <w:sz w:val="2"/>
        </w:rPr>
      </w:r>
      <w:r>
        <w:rPr>
          <w:rFonts w:ascii="Times New Roman"/>
          <w:spacing w:val="61"/>
          <w:sz w:val="2"/>
        </w:rPr>
        <w:t> </w:t>
      </w:r>
      <w:r>
        <w:rPr>
          <w:rFonts w:ascii="Arial"/>
          <w:spacing w:val="61"/>
          <w:sz w:val="2"/>
        </w:rPr>
        <w:pict>
          <v:group style="width:271.350pt;height:.75pt;mso-position-horizontal-relative:char;mso-position-vertical-relative:line" coordorigin="0,0" coordsize="5427,15">
            <v:group style="position:absolute;left:7;top:7;width:1191;height:2" coordorigin="7,7" coordsize="1191,2">
              <v:shape style="position:absolute;left:7;top:7;width:1191;height:2" coordorigin="7,7" coordsize="1191,0" path="m7,7l1198,7e" filled="false" stroked="true" strokeweight=".71997pt" strokecolor="#000000">
                <v:path arrowok="t"/>
              </v:shape>
            </v:group>
            <v:group style="position:absolute;left:1273;top:7;width:765;height:2" coordorigin="1273,7" coordsize="765,2">
              <v:shape style="position:absolute;left:1273;top:7;width:765;height:2" coordorigin="1273,7" coordsize="765,0" path="m1273,7l2038,7e" filled="false" stroked="true" strokeweight=".71997pt" strokecolor="#000000">
                <v:path arrowok="t"/>
              </v:shape>
            </v:group>
            <v:group style="position:absolute;left:2113;top:7;width:1169;height:2" coordorigin="2113,7" coordsize="1169,2">
              <v:shape style="position:absolute;left:2113;top:7;width:1169;height:2" coordorigin="2113,7" coordsize="1169,0" path="m2113,7l3282,7e" filled="false" stroked="true" strokeweight=".71997pt" strokecolor="#000000">
                <v:path arrowok="t"/>
              </v:shape>
            </v:group>
            <v:group style="position:absolute;left:3359;top:7;width:708;height:2" coordorigin="3359,7" coordsize="708,2">
              <v:shape style="position:absolute;left:3359;top:7;width:708;height:2" coordorigin="3359,7" coordsize="708,0" path="m3359,7l4067,7e" filled="false" stroked="true" strokeweight=".71997pt" strokecolor="#000000">
                <v:path arrowok="t"/>
              </v:shape>
            </v:group>
            <v:group style="position:absolute;left:4142;top:7;width:1277;height:2" coordorigin="4142,7" coordsize="1277,2">
              <v:shape style="position:absolute;left:4142;top:7;width:1277;height:2" coordorigin="4142,7" coordsize="1277,0" path="m4142,7l5419,7e" filled="false" stroked="true" strokeweight=".71997pt" strokecolor="#000000">
                <v:path arrowok="t"/>
              </v:shape>
            </v:group>
          </v:group>
        </w:pict>
      </w:r>
      <w:r>
        <w:rPr>
          <w:rFonts w:ascii="Arial"/>
          <w:spacing w:val="61"/>
          <w:sz w:val="2"/>
        </w:rPr>
      </w:r>
      <w:r>
        <w:rPr>
          <w:rFonts w:ascii="Times New Roman"/>
          <w:spacing w:val="67"/>
          <w:sz w:val="2"/>
        </w:rPr>
        <w:t> </w:t>
      </w:r>
      <w:r>
        <w:rPr>
          <w:rFonts w:ascii="Arial"/>
          <w:spacing w:val="67"/>
          <w:sz w:val="2"/>
        </w:rPr>
        <w:pict>
          <v:group style="width:36.75pt;height:.75pt;mso-position-horizontal-relative:char;mso-position-vertical-relative:line" coordorigin="0,0" coordsize="735,15">
            <v:group style="position:absolute;left:7;top:7;width:720;height:2" coordorigin="7,7" coordsize="720,2">
              <v:shape style="position:absolute;left:7;top:7;width:720;height:2" coordorigin="7,7" coordsize="720,0" path="m7,7l727,7e" filled="false" stroked="true" strokeweight=".71997pt" strokecolor="#000000">
                <v:path arrowok="t"/>
              </v:shape>
            </v:group>
          </v:group>
        </w:pict>
      </w:r>
      <w:r>
        <w:rPr>
          <w:rFonts w:ascii="Arial"/>
          <w:spacing w:val="67"/>
          <w:sz w:val="2"/>
        </w:rPr>
      </w:r>
    </w:p>
    <w:p>
      <w:pPr>
        <w:spacing w:line="240" w:lineRule="auto" w:before="0"/>
        <w:rPr>
          <w:rFonts w:ascii="Arial" w:hAnsi="Arial" w:cs="Arial" w:eastAsia="Arial" w:hint="default"/>
          <w:sz w:val="9"/>
          <w:szCs w:val="9"/>
        </w:rPr>
      </w:pPr>
    </w:p>
    <w:tbl>
      <w:tblPr>
        <w:tblW w:w="0" w:type="auto"/>
        <w:jc w:val="left"/>
        <w:tblInd w:w="570" w:type="dxa"/>
        <w:tblLayout w:type="fixed"/>
        <w:tblCellMar>
          <w:top w:w="0" w:type="dxa"/>
          <w:left w:w="0" w:type="dxa"/>
          <w:bottom w:w="0" w:type="dxa"/>
          <w:right w:w="0" w:type="dxa"/>
        </w:tblCellMar>
        <w:tblLook w:val="01E0"/>
      </w:tblPr>
      <w:tblGrid>
        <w:gridCol w:w="910"/>
        <w:gridCol w:w="1264"/>
        <w:gridCol w:w="654"/>
        <w:gridCol w:w="1373"/>
        <w:gridCol w:w="801"/>
        <w:gridCol w:w="1298"/>
        <w:gridCol w:w="721"/>
        <w:gridCol w:w="1392"/>
        <w:gridCol w:w="691"/>
      </w:tblGrid>
      <w:tr>
        <w:trPr>
          <w:trHeight w:val="294"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小于</w:t>
            </w:r>
            <w:r>
              <w:rPr>
                <w:rFonts w:ascii="宋体" w:hAnsi="宋体" w:cs="宋体" w:eastAsia="宋体" w:hint="default"/>
                <w:spacing w:val="-47"/>
                <w:sz w:val="16"/>
                <w:szCs w:val="16"/>
              </w:rPr>
              <w:t> </w:t>
            </w:r>
            <w:r>
              <w:rPr>
                <w:rFonts w:ascii="Arial" w:hAnsi="Arial" w:cs="Arial" w:eastAsia="Arial" w:hint="default"/>
                <w:sz w:val="16"/>
                <w:szCs w:val="16"/>
              </w:rPr>
              <w:t>1</w:t>
            </w:r>
            <w:r>
              <w:rPr>
                <w:rFonts w:ascii="Arial" w:hAnsi="Arial" w:cs="Arial" w:eastAsia="Arial" w:hint="default"/>
                <w:spacing w:val="-11"/>
                <w:sz w:val="16"/>
                <w:szCs w:val="16"/>
              </w:rPr>
              <w:t> </w:t>
            </w:r>
            <w:r>
              <w:rPr>
                <w:rFonts w:ascii="宋体" w:hAnsi="宋体" w:cs="宋体" w:eastAsia="宋体" w:hint="default"/>
                <w:sz w:val="16"/>
                <w:szCs w:val="16"/>
              </w:rPr>
              <w:t>个月</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2"/>
              <w:jc w:val="right"/>
              <w:rPr>
                <w:rFonts w:ascii="Arial" w:hAnsi="Arial" w:cs="Arial" w:eastAsia="Arial" w:hint="default"/>
                <w:sz w:val="16"/>
                <w:szCs w:val="16"/>
              </w:rPr>
            </w:pPr>
            <w:r>
              <w:rPr>
                <w:rFonts w:ascii="Arial"/>
                <w:w w:val="95"/>
                <w:sz w:val="16"/>
              </w:rPr>
              <w:t>9,172,452,753</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9"/>
              <w:jc w:val="right"/>
              <w:rPr>
                <w:rFonts w:ascii="Arial" w:hAnsi="Arial" w:cs="Arial" w:eastAsia="Arial" w:hint="default"/>
                <w:sz w:val="16"/>
                <w:szCs w:val="16"/>
              </w:rPr>
            </w:pPr>
            <w:r>
              <w:rPr>
                <w:rFonts w:ascii="Arial"/>
                <w:w w:val="95"/>
                <w:sz w:val="16"/>
              </w:rPr>
              <w:t>57.34</w:t>
            </w:r>
            <w:r>
              <w:rPr>
                <w:rFonts w:ascii="Arial"/>
                <w:sz w:val="16"/>
              </w:rPr>
            </w:r>
          </w:p>
        </w:tc>
        <w:tc>
          <w:tcPr>
            <w:tcW w:w="3471" w:type="dxa"/>
            <w:gridSpan w:val="3"/>
            <w:tcBorders>
              <w:top w:val="nil" w:sz="6" w:space="0" w:color="auto"/>
              <w:left w:val="nil" w:sz="6" w:space="0" w:color="auto"/>
              <w:bottom w:val="nil" w:sz="6" w:space="0" w:color="auto"/>
              <w:right w:val="nil" w:sz="6" w:space="0" w:color="auto"/>
            </w:tcBorders>
          </w:tcPr>
          <w:p>
            <w:pPr>
              <w:pStyle w:val="TableParagraph"/>
              <w:tabs>
                <w:tab w:pos="1974" w:val="left" w:leader="none"/>
                <w:tab w:pos="2281" w:val="left" w:leader="none"/>
              </w:tabs>
              <w:spacing w:line="240" w:lineRule="auto" w:before="99"/>
              <w:ind w:left="1101" w:right="0"/>
              <w:jc w:val="left"/>
              <w:rPr>
                <w:rFonts w:ascii="Arial" w:hAnsi="Arial" w:cs="Arial" w:eastAsia="Arial" w:hint="default"/>
                <w:sz w:val="16"/>
                <w:szCs w:val="16"/>
              </w:rPr>
            </w:pPr>
            <w:r>
              <w:rPr>
                <w:rFonts w:ascii="Arial"/>
                <w:w w:val="95"/>
                <w:sz w:val="16"/>
              </w:rPr>
              <w:t>-</w:t>
              <w:tab/>
              <w:t>-</w:t>
              <w:tab/>
            </w:r>
            <w:r>
              <w:rPr>
                <w:rFonts w:ascii="Arial"/>
                <w:sz w:val="16"/>
              </w:rPr>
              <w:t>7,212,876,879</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52"/>
              <w:jc w:val="right"/>
              <w:rPr>
                <w:rFonts w:ascii="Arial" w:hAnsi="Arial" w:cs="Arial" w:eastAsia="Arial" w:hint="default"/>
                <w:sz w:val="16"/>
                <w:szCs w:val="16"/>
              </w:rPr>
            </w:pPr>
            <w:r>
              <w:rPr>
                <w:rFonts w:ascii="Arial"/>
                <w:w w:val="95"/>
                <w:sz w:val="16"/>
              </w:rPr>
              <w:t>49.95</w:t>
            </w:r>
            <w:r>
              <w:rPr>
                <w:rFonts w:ascii="Arial"/>
                <w:sz w:val="16"/>
              </w:rPr>
            </w:r>
          </w:p>
        </w:tc>
        <w:tc>
          <w:tcPr>
            <w:tcW w:w="2083" w:type="dxa"/>
            <w:gridSpan w:val="2"/>
            <w:tcBorders>
              <w:top w:val="nil" w:sz="6" w:space="0" w:color="auto"/>
              <w:left w:val="nil" w:sz="6" w:space="0" w:color="auto"/>
              <w:bottom w:val="nil" w:sz="6" w:space="0" w:color="auto"/>
              <w:right w:val="nil" w:sz="6" w:space="0" w:color="auto"/>
            </w:tcBorders>
          </w:tcPr>
          <w:p>
            <w:pPr>
              <w:pStyle w:val="TableParagraph"/>
              <w:tabs>
                <w:tab w:pos="1976" w:val="left" w:leader="none"/>
              </w:tabs>
              <w:spacing w:line="240" w:lineRule="auto" w:before="99"/>
              <w:ind w:left="1139" w:right="0"/>
              <w:jc w:val="left"/>
              <w:rPr>
                <w:rFonts w:ascii="Arial" w:hAnsi="Arial" w:cs="Arial" w:eastAsia="Arial" w:hint="default"/>
                <w:sz w:val="16"/>
                <w:szCs w:val="16"/>
              </w:rPr>
            </w:pPr>
            <w:r>
              <w:rPr>
                <w:rFonts w:ascii="Arial"/>
                <w:w w:val="95"/>
                <w:sz w:val="16"/>
              </w:rPr>
              <w:t>-</w:t>
              <w:tab/>
            </w:r>
            <w:r>
              <w:rPr>
                <w:rFonts w:ascii="Arial"/>
                <w:sz w:val="16"/>
              </w:rPr>
              <w:t>-</w:t>
            </w:r>
          </w:p>
        </w:tc>
      </w:tr>
      <w:tr>
        <w:trPr>
          <w:trHeight w:val="208"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1-3</w:t>
            </w:r>
            <w:r>
              <w:rPr>
                <w:rFonts w:ascii="Arial" w:hAnsi="Arial" w:cs="Arial" w:eastAsia="Arial" w:hint="default"/>
                <w:spacing w:val="-7"/>
                <w:sz w:val="16"/>
                <w:szCs w:val="16"/>
              </w:rPr>
              <w:t> </w:t>
            </w:r>
            <w:r>
              <w:rPr>
                <w:rFonts w:ascii="宋体" w:hAnsi="宋体" w:cs="宋体" w:eastAsia="宋体" w:hint="default"/>
                <w:sz w:val="16"/>
                <w:szCs w:val="16"/>
              </w:rPr>
              <w:t>个月</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1,081,761,445</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9"/>
              <w:jc w:val="right"/>
              <w:rPr>
                <w:rFonts w:ascii="Arial" w:hAnsi="Arial" w:cs="Arial" w:eastAsia="Arial" w:hint="default"/>
                <w:sz w:val="16"/>
                <w:szCs w:val="16"/>
              </w:rPr>
            </w:pPr>
            <w:r>
              <w:rPr>
                <w:rFonts w:ascii="Arial"/>
                <w:w w:val="95"/>
                <w:sz w:val="16"/>
              </w:rPr>
              <w:t>6.76</w:t>
            </w:r>
            <w:r>
              <w:rPr>
                <w:rFonts w:ascii="Arial"/>
                <w:sz w:val="16"/>
              </w:rPr>
            </w:r>
          </w:p>
        </w:tc>
        <w:tc>
          <w:tcPr>
            <w:tcW w:w="3471" w:type="dxa"/>
            <w:gridSpan w:val="3"/>
            <w:tcBorders>
              <w:top w:val="nil" w:sz="6" w:space="0" w:color="auto"/>
              <w:left w:val="nil" w:sz="6" w:space="0" w:color="auto"/>
              <w:bottom w:val="nil" w:sz="6" w:space="0" w:color="auto"/>
              <w:right w:val="nil" w:sz="6" w:space="0" w:color="auto"/>
            </w:tcBorders>
          </w:tcPr>
          <w:p>
            <w:pPr>
              <w:pStyle w:val="TableParagraph"/>
              <w:tabs>
                <w:tab w:pos="1974" w:val="left" w:leader="none"/>
                <w:tab w:pos="2281" w:val="left" w:leader="none"/>
              </w:tabs>
              <w:spacing w:line="240" w:lineRule="auto" w:before="13"/>
              <w:ind w:left="1101" w:right="0"/>
              <w:jc w:val="left"/>
              <w:rPr>
                <w:rFonts w:ascii="Arial" w:hAnsi="Arial" w:cs="Arial" w:eastAsia="Arial" w:hint="default"/>
                <w:sz w:val="16"/>
                <w:szCs w:val="16"/>
              </w:rPr>
            </w:pPr>
            <w:r>
              <w:rPr>
                <w:rFonts w:ascii="Arial"/>
                <w:w w:val="95"/>
                <w:sz w:val="16"/>
              </w:rPr>
              <w:t>-</w:t>
              <w:tab/>
              <w:t>-</w:t>
              <w:tab/>
            </w:r>
            <w:r>
              <w:rPr>
                <w:rFonts w:ascii="Arial"/>
                <w:sz w:val="16"/>
              </w:rPr>
              <w:t>1,435,443,626</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3"/>
              <w:jc w:val="right"/>
              <w:rPr>
                <w:rFonts w:ascii="Arial" w:hAnsi="Arial" w:cs="Arial" w:eastAsia="Arial" w:hint="default"/>
                <w:sz w:val="16"/>
                <w:szCs w:val="16"/>
              </w:rPr>
            </w:pPr>
            <w:r>
              <w:rPr>
                <w:rFonts w:ascii="Arial"/>
                <w:w w:val="95"/>
                <w:sz w:val="16"/>
              </w:rPr>
              <w:t>9.94</w:t>
            </w:r>
            <w:r>
              <w:rPr>
                <w:rFonts w:ascii="Arial"/>
                <w:sz w:val="16"/>
              </w:rPr>
            </w:r>
          </w:p>
        </w:tc>
        <w:tc>
          <w:tcPr>
            <w:tcW w:w="2083" w:type="dxa"/>
            <w:gridSpan w:val="2"/>
            <w:tcBorders>
              <w:top w:val="nil" w:sz="6" w:space="0" w:color="auto"/>
              <w:left w:val="nil" w:sz="6" w:space="0" w:color="auto"/>
              <w:bottom w:val="nil" w:sz="6" w:space="0" w:color="auto"/>
              <w:right w:val="nil" w:sz="6" w:space="0" w:color="auto"/>
            </w:tcBorders>
          </w:tcPr>
          <w:p>
            <w:pPr>
              <w:pStyle w:val="TableParagraph"/>
              <w:tabs>
                <w:tab w:pos="1976" w:val="left" w:leader="none"/>
              </w:tabs>
              <w:spacing w:line="240" w:lineRule="auto" w:before="13"/>
              <w:ind w:left="1139" w:right="0"/>
              <w:jc w:val="left"/>
              <w:rPr>
                <w:rFonts w:ascii="Arial" w:hAnsi="Arial" w:cs="Arial" w:eastAsia="Arial" w:hint="default"/>
                <w:sz w:val="16"/>
                <w:szCs w:val="16"/>
              </w:rPr>
            </w:pPr>
            <w:r>
              <w:rPr>
                <w:rFonts w:ascii="Arial"/>
                <w:w w:val="95"/>
                <w:sz w:val="16"/>
              </w:rPr>
              <w:t>-</w:t>
              <w:tab/>
            </w:r>
            <w:r>
              <w:rPr>
                <w:rFonts w:ascii="Arial"/>
                <w:sz w:val="16"/>
              </w:rPr>
              <w:t>-</w:t>
            </w:r>
          </w:p>
        </w:tc>
      </w:tr>
      <w:tr>
        <w:trPr>
          <w:trHeight w:val="208"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171" w:lineRule="exact"/>
              <w:ind w:left="35" w:right="0"/>
              <w:jc w:val="left"/>
              <w:rPr>
                <w:rFonts w:ascii="宋体" w:hAnsi="宋体" w:cs="宋体" w:eastAsia="宋体" w:hint="default"/>
                <w:sz w:val="16"/>
                <w:szCs w:val="16"/>
              </w:rPr>
            </w:pPr>
            <w:r>
              <w:rPr>
                <w:rFonts w:ascii="Arial" w:hAnsi="Arial" w:cs="Arial" w:eastAsia="Arial" w:hint="default"/>
                <w:sz w:val="16"/>
                <w:szCs w:val="16"/>
              </w:rPr>
              <w:t>3-12</w:t>
            </w:r>
            <w:r>
              <w:rPr>
                <w:rFonts w:ascii="Arial" w:hAnsi="Arial" w:cs="Arial" w:eastAsia="Arial" w:hint="default"/>
                <w:spacing w:val="-9"/>
                <w:sz w:val="16"/>
                <w:szCs w:val="16"/>
              </w:rPr>
              <w:t> </w:t>
            </w:r>
            <w:r>
              <w:rPr>
                <w:rFonts w:ascii="宋体" w:hAnsi="宋体" w:cs="宋体" w:eastAsia="宋体" w:hint="default"/>
                <w:sz w:val="16"/>
                <w:szCs w:val="16"/>
              </w:rPr>
              <w:t>个月</w:t>
            </w:r>
          </w:p>
        </w:tc>
        <w:tc>
          <w:tcPr>
            <w:tcW w:w="1264" w:type="dxa"/>
            <w:tcBorders>
              <w:top w:val="nil" w:sz="6" w:space="0" w:color="auto"/>
              <w:left w:val="nil" w:sz="6" w:space="0" w:color="auto"/>
              <w:bottom w:val="nil" w:sz="6" w:space="0" w:color="auto"/>
              <w:right w:val="nil" w:sz="6" w:space="0" w:color="auto"/>
            </w:tcBorders>
          </w:tcPr>
          <w:p>
            <w:pPr>
              <w:pStyle w:val="TableParagraph"/>
              <w:spacing w:line="183" w:lineRule="exact"/>
              <w:ind w:right="161"/>
              <w:jc w:val="right"/>
              <w:rPr>
                <w:rFonts w:ascii="Arial" w:hAnsi="Arial" w:cs="Arial" w:eastAsia="Arial" w:hint="default"/>
                <w:sz w:val="16"/>
                <w:szCs w:val="16"/>
              </w:rPr>
            </w:pPr>
            <w:r>
              <w:rPr>
                <w:rFonts w:ascii="Arial"/>
                <w:w w:val="95"/>
                <w:sz w:val="16"/>
              </w:rPr>
              <w:t>3,418,275,878</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183" w:lineRule="exact"/>
              <w:ind w:right="88"/>
              <w:jc w:val="right"/>
              <w:rPr>
                <w:rFonts w:ascii="Arial" w:hAnsi="Arial" w:cs="Arial" w:eastAsia="Arial" w:hint="default"/>
                <w:sz w:val="16"/>
                <w:szCs w:val="16"/>
              </w:rPr>
            </w:pPr>
            <w:r>
              <w:rPr>
                <w:rFonts w:ascii="Arial"/>
                <w:w w:val="95"/>
                <w:sz w:val="16"/>
              </w:rPr>
              <w:t>21.37</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183" w:lineRule="exact"/>
              <w:ind w:right="151"/>
              <w:jc w:val="right"/>
              <w:rPr>
                <w:rFonts w:ascii="Arial" w:hAnsi="Arial" w:cs="Arial" w:eastAsia="Arial" w:hint="default"/>
                <w:sz w:val="16"/>
                <w:szCs w:val="16"/>
              </w:rPr>
            </w:pPr>
            <w:r>
              <w:rPr>
                <w:rFonts w:ascii="Arial"/>
                <w:w w:val="95"/>
                <w:sz w:val="16"/>
              </w:rPr>
              <w:t>(1,746,576,369)</w:t>
            </w:r>
            <w:r>
              <w:rPr>
                <w:rFonts w:ascii="Arial"/>
                <w:sz w:val="16"/>
              </w:rPr>
            </w:r>
          </w:p>
        </w:tc>
        <w:tc>
          <w:tcPr>
            <w:tcW w:w="801" w:type="dxa"/>
            <w:tcBorders>
              <w:top w:val="nil" w:sz="6" w:space="0" w:color="auto"/>
              <w:left w:val="nil" w:sz="6" w:space="0" w:color="auto"/>
              <w:bottom w:val="nil" w:sz="6" w:space="0" w:color="auto"/>
              <w:right w:val="nil" w:sz="6" w:space="0" w:color="auto"/>
            </w:tcBorders>
          </w:tcPr>
          <w:p>
            <w:pPr>
              <w:pStyle w:val="TableParagraph"/>
              <w:spacing w:line="183" w:lineRule="exact"/>
              <w:ind w:right="106"/>
              <w:jc w:val="right"/>
              <w:rPr>
                <w:rFonts w:ascii="Arial" w:hAnsi="Arial" w:cs="Arial" w:eastAsia="Arial" w:hint="default"/>
                <w:sz w:val="16"/>
                <w:szCs w:val="16"/>
              </w:rPr>
            </w:pPr>
            <w:r>
              <w:rPr>
                <w:rFonts w:ascii="Arial"/>
                <w:w w:val="95"/>
                <w:sz w:val="16"/>
              </w:rPr>
              <w:t>0~100</w:t>
            </w:r>
            <w:r>
              <w:rPr>
                <w:rFonts w:ascii="Arial"/>
                <w:sz w:val="16"/>
              </w:rPr>
            </w:r>
          </w:p>
        </w:tc>
        <w:tc>
          <w:tcPr>
            <w:tcW w:w="1298" w:type="dxa"/>
            <w:tcBorders>
              <w:top w:val="nil" w:sz="6" w:space="0" w:color="auto"/>
              <w:left w:val="nil" w:sz="6" w:space="0" w:color="auto"/>
              <w:bottom w:val="nil" w:sz="6" w:space="0" w:color="auto"/>
              <w:right w:val="nil" w:sz="6" w:space="0" w:color="auto"/>
            </w:tcBorders>
          </w:tcPr>
          <w:p>
            <w:pPr>
              <w:pStyle w:val="TableParagraph"/>
              <w:spacing w:line="183" w:lineRule="exact"/>
              <w:ind w:right="165"/>
              <w:jc w:val="right"/>
              <w:rPr>
                <w:rFonts w:ascii="Arial" w:hAnsi="Arial" w:cs="Arial" w:eastAsia="Arial" w:hint="default"/>
                <w:sz w:val="16"/>
                <w:szCs w:val="16"/>
              </w:rPr>
            </w:pPr>
            <w:r>
              <w:rPr>
                <w:rFonts w:ascii="Arial"/>
                <w:w w:val="95"/>
                <w:sz w:val="16"/>
              </w:rPr>
              <w:t>3,319,891,603</w:t>
            </w:r>
            <w:r>
              <w:rPr>
                <w:rFonts w:ascii="Arial"/>
                <w:sz w:val="16"/>
              </w:rPr>
            </w:r>
          </w:p>
        </w:tc>
        <w:tc>
          <w:tcPr>
            <w:tcW w:w="721" w:type="dxa"/>
            <w:tcBorders>
              <w:top w:val="nil" w:sz="6" w:space="0" w:color="auto"/>
              <w:left w:val="nil" w:sz="6" w:space="0" w:color="auto"/>
              <w:bottom w:val="nil" w:sz="6" w:space="0" w:color="auto"/>
              <w:right w:val="nil" w:sz="6" w:space="0" w:color="auto"/>
            </w:tcBorders>
          </w:tcPr>
          <w:p>
            <w:pPr>
              <w:pStyle w:val="TableParagraph"/>
              <w:spacing w:line="183" w:lineRule="exact"/>
              <w:ind w:right="151"/>
              <w:jc w:val="right"/>
              <w:rPr>
                <w:rFonts w:ascii="Arial" w:hAnsi="Arial" w:cs="Arial" w:eastAsia="Arial" w:hint="default"/>
                <w:sz w:val="16"/>
                <w:szCs w:val="16"/>
              </w:rPr>
            </w:pPr>
            <w:r>
              <w:rPr>
                <w:rFonts w:ascii="Arial"/>
                <w:w w:val="95"/>
                <w:sz w:val="16"/>
              </w:rPr>
              <w:t>22.99</w:t>
            </w:r>
            <w:r>
              <w:rPr>
                <w:rFonts w:ascii="Arial"/>
                <w:sz w:val="16"/>
              </w:rPr>
            </w:r>
          </w:p>
        </w:tc>
        <w:tc>
          <w:tcPr>
            <w:tcW w:w="1392" w:type="dxa"/>
            <w:tcBorders>
              <w:top w:val="nil" w:sz="6" w:space="0" w:color="auto"/>
              <w:left w:val="nil" w:sz="6" w:space="0" w:color="auto"/>
              <w:bottom w:val="nil" w:sz="6" w:space="0" w:color="auto"/>
              <w:right w:val="nil" w:sz="6" w:space="0" w:color="auto"/>
            </w:tcBorders>
          </w:tcPr>
          <w:p>
            <w:pPr>
              <w:pStyle w:val="TableParagraph"/>
              <w:spacing w:line="183" w:lineRule="exact"/>
              <w:ind w:right="107"/>
              <w:jc w:val="right"/>
              <w:rPr>
                <w:rFonts w:ascii="Arial" w:hAnsi="Arial" w:cs="Arial" w:eastAsia="Arial" w:hint="default"/>
                <w:sz w:val="16"/>
                <w:szCs w:val="16"/>
              </w:rPr>
            </w:pPr>
            <w:r>
              <w:rPr>
                <w:rFonts w:ascii="Arial"/>
                <w:w w:val="95"/>
                <w:sz w:val="16"/>
              </w:rPr>
              <w:t>(2,015,945,668)</w:t>
            </w:r>
            <w:r>
              <w:rPr>
                <w:rFonts w:ascii="Arial"/>
                <w:sz w:val="16"/>
              </w:rPr>
            </w:r>
          </w:p>
        </w:tc>
        <w:tc>
          <w:tcPr>
            <w:tcW w:w="691" w:type="dxa"/>
            <w:tcBorders>
              <w:top w:val="nil" w:sz="6" w:space="0" w:color="auto"/>
              <w:left w:val="nil" w:sz="6" w:space="0" w:color="auto"/>
              <w:bottom w:val="nil" w:sz="6" w:space="0" w:color="auto"/>
              <w:right w:val="nil" w:sz="6" w:space="0" w:color="auto"/>
            </w:tcBorders>
          </w:tcPr>
          <w:p>
            <w:pPr>
              <w:pStyle w:val="TableParagraph"/>
              <w:spacing w:line="183" w:lineRule="exact"/>
              <w:ind w:right="42"/>
              <w:jc w:val="right"/>
              <w:rPr>
                <w:rFonts w:ascii="Arial" w:hAnsi="Arial" w:cs="Arial" w:eastAsia="Arial" w:hint="default"/>
                <w:sz w:val="16"/>
                <w:szCs w:val="16"/>
              </w:rPr>
            </w:pPr>
            <w:r>
              <w:rPr>
                <w:rFonts w:ascii="Arial"/>
                <w:w w:val="95"/>
                <w:sz w:val="16"/>
              </w:rPr>
              <w:t>0~100</w:t>
            </w:r>
            <w:r>
              <w:rPr>
                <w:rFonts w:ascii="Arial"/>
                <w:sz w:val="16"/>
              </w:rPr>
            </w:r>
          </w:p>
        </w:tc>
      </w:tr>
      <w:tr>
        <w:trPr>
          <w:trHeight w:val="208"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1"/>
              <w:jc w:val="right"/>
              <w:rPr>
                <w:rFonts w:ascii="Arial" w:hAnsi="Arial" w:cs="Arial" w:eastAsia="Arial" w:hint="default"/>
                <w:sz w:val="16"/>
                <w:szCs w:val="16"/>
              </w:rPr>
            </w:pPr>
            <w:r>
              <w:rPr>
                <w:rFonts w:ascii="Arial"/>
                <w:w w:val="95"/>
                <w:sz w:val="16"/>
              </w:rPr>
              <w:t>996,109,971</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8"/>
              <w:jc w:val="right"/>
              <w:rPr>
                <w:rFonts w:ascii="Arial" w:hAnsi="Arial" w:cs="Arial" w:eastAsia="Arial" w:hint="default"/>
                <w:sz w:val="16"/>
                <w:szCs w:val="16"/>
              </w:rPr>
            </w:pPr>
            <w:r>
              <w:rPr>
                <w:rFonts w:ascii="Arial"/>
                <w:w w:val="95"/>
                <w:sz w:val="16"/>
              </w:rPr>
              <w:t>6.23</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(609,385,845)</w:t>
            </w:r>
            <w:r>
              <w:rPr>
                <w:rFonts w:ascii="Arial"/>
                <w:sz w:val="16"/>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9"/>
              <w:jc w:val="right"/>
              <w:rPr>
                <w:rFonts w:ascii="Arial" w:hAnsi="Arial" w:cs="Arial" w:eastAsia="Arial" w:hint="default"/>
                <w:sz w:val="16"/>
                <w:szCs w:val="16"/>
              </w:rPr>
            </w:pPr>
            <w:r>
              <w:rPr>
                <w:rFonts w:ascii="Arial"/>
                <w:w w:val="95"/>
                <w:sz w:val="16"/>
              </w:rPr>
              <w:t>20~100</w:t>
            </w:r>
            <w:r>
              <w:rPr>
                <w:rFonts w:ascii="Arial"/>
                <w:sz w:val="16"/>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5"/>
              <w:jc w:val="right"/>
              <w:rPr>
                <w:rFonts w:ascii="Arial" w:hAnsi="Arial" w:cs="Arial" w:eastAsia="Arial" w:hint="default"/>
                <w:sz w:val="16"/>
                <w:szCs w:val="16"/>
              </w:rPr>
            </w:pPr>
            <w:r>
              <w:rPr>
                <w:rFonts w:ascii="Arial"/>
                <w:w w:val="95"/>
                <w:sz w:val="16"/>
              </w:rPr>
              <w:t>1,380,262,405</w:t>
            </w:r>
            <w:r>
              <w:rPr>
                <w:rFonts w:ascii="Arial"/>
                <w:sz w:val="16"/>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1"/>
              <w:jc w:val="right"/>
              <w:rPr>
                <w:rFonts w:ascii="Arial" w:hAnsi="Arial" w:cs="Arial" w:eastAsia="Arial" w:hint="default"/>
                <w:sz w:val="16"/>
                <w:szCs w:val="16"/>
              </w:rPr>
            </w:pPr>
            <w:r>
              <w:rPr>
                <w:rFonts w:ascii="Arial"/>
                <w:w w:val="95"/>
                <w:sz w:val="16"/>
              </w:rPr>
              <w:t>9.56</w:t>
            </w:r>
            <w:r>
              <w:rPr>
                <w:rFonts w:ascii="Arial"/>
                <w:sz w:val="16"/>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Arial" w:hAnsi="Arial" w:cs="Arial" w:eastAsia="Arial" w:hint="default"/>
                <w:sz w:val="16"/>
                <w:szCs w:val="16"/>
              </w:rPr>
            </w:pPr>
            <w:r>
              <w:rPr>
                <w:rFonts w:ascii="Arial"/>
                <w:w w:val="95"/>
                <w:sz w:val="16"/>
              </w:rPr>
              <w:t>(989,795,284)</w:t>
            </w:r>
            <w:r>
              <w:rPr>
                <w:rFonts w:ascii="Arial"/>
                <w:sz w:val="16"/>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
              <w:jc w:val="right"/>
              <w:rPr>
                <w:rFonts w:ascii="Arial" w:hAnsi="Arial" w:cs="Arial" w:eastAsia="Arial" w:hint="default"/>
                <w:sz w:val="16"/>
                <w:szCs w:val="16"/>
              </w:rPr>
            </w:pPr>
            <w:r>
              <w:rPr>
                <w:rFonts w:ascii="Arial"/>
                <w:w w:val="95"/>
                <w:sz w:val="16"/>
              </w:rPr>
              <w:t>20~100</w:t>
            </w:r>
            <w:r>
              <w:rPr>
                <w:rFonts w:ascii="Arial"/>
                <w:sz w:val="16"/>
              </w:rPr>
            </w:r>
          </w:p>
        </w:tc>
      </w:tr>
      <w:tr>
        <w:trPr>
          <w:trHeight w:val="208"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2-3</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1"/>
              <w:jc w:val="right"/>
              <w:rPr>
                <w:rFonts w:ascii="Arial" w:hAnsi="Arial" w:cs="Arial" w:eastAsia="Arial" w:hint="default"/>
                <w:sz w:val="16"/>
                <w:szCs w:val="16"/>
              </w:rPr>
            </w:pPr>
            <w:r>
              <w:rPr>
                <w:rFonts w:ascii="Arial"/>
                <w:w w:val="95"/>
                <w:sz w:val="16"/>
              </w:rPr>
              <w:t>519,697,156</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8"/>
              <w:jc w:val="right"/>
              <w:rPr>
                <w:rFonts w:ascii="Arial" w:hAnsi="Arial" w:cs="Arial" w:eastAsia="Arial" w:hint="default"/>
                <w:sz w:val="16"/>
                <w:szCs w:val="16"/>
              </w:rPr>
            </w:pPr>
            <w:r>
              <w:rPr>
                <w:rFonts w:ascii="Arial"/>
                <w:w w:val="95"/>
                <w:sz w:val="16"/>
              </w:rPr>
              <w:t>3.25</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(393,090,720)</w:t>
            </w:r>
            <w:r>
              <w:rPr>
                <w:rFonts w:ascii="Arial"/>
                <w:sz w:val="16"/>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9"/>
              <w:jc w:val="right"/>
              <w:rPr>
                <w:rFonts w:ascii="Arial" w:hAnsi="Arial" w:cs="Arial" w:eastAsia="Arial" w:hint="default"/>
                <w:sz w:val="16"/>
                <w:szCs w:val="16"/>
              </w:rPr>
            </w:pPr>
            <w:r>
              <w:rPr>
                <w:rFonts w:ascii="Arial"/>
                <w:w w:val="95"/>
                <w:sz w:val="16"/>
              </w:rPr>
              <w:t>50~100</w:t>
            </w:r>
            <w:r>
              <w:rPr>
                <w:rFonts w:ascii="Arial"/>
                <w:sz w:val="16"/>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5"/>
              <w:jc w:val="right"/>
              <w:rPr>
                <w:rFonts w:ascii="Arial" w:hAnsi="Arial" w:cs="Arial" w:eastAsia="Arial" w:hint="default"/>
                <w:sz w:val="16"/>
                <w:szCs w:val="16"/>
              </w:rPr>
            </w:pPr>
            <w:r>
              <w:rPr>
                <w:rFonts w:ascii="Arial"/>
                <w:w w:val="95"/>
                <w:sz w:val="16"/>
              </w:rPr>
              <w:t>493,716,892</w:t>
            </w:r>
            <w:r>
              <w:rPr>
                <w:rFonts w:ascii="Arial"/>
                <w:sz w:val="16"/>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1"/>
              <w:jc w:val="right"/>
              <w:rPr>
                <w:rFonts w:ascii="Arial" w:hAnsi="Arial" w:cs="Arial" w:eastAsia="Arial" w:hint="default"/>
                <w:sz w:val="16"/>
                <w:szCs w:val="16"/>
              </w:rPr>
            </w:pPr>
            <w:r>
              <w:rPr>
                <w:rFonts w:ascii="Arial"/>
                <w:w w:val="95"/>
                <w:sz w:val="16"/>
              </w:rPr>
              <w:t>3.42</w:t>
            </w:r>
            <w:r>
              <w:rPr>
                <w:rFonts w:ascii="Arial"/>
                <w:sz w:val="16"/>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Arial" w:hAnsi="Arial" w:cs="Arial" w:eastAsia="Arial" w:hint="default"/>
                <w:sz w:val="16"/>
                <w:szCs w:val="16"/>
              </w:rPr>
            </w:pPr>
            <w:r>
              <w:rPr>
                <w:rFonts w:ascii="Arial"/>
                <w:w w:val="95"/>
                <w:sz w:val="16"/>
              </w:rPr>
              <w:t>(411,063,381)</w:t>
            </w:r>
            <w:r>
              <w:rPr>
                <w:rFonts w:ascii="Arial"/>
                <w:sz w:val="16"/>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
              <w:jc w:val="right"/>
              <w:rPr>
                <w:rFonts w:ascii="Arial" w:hAnsi="Arial" w:cs="Arial" w:eastAsia="Arial" w:hint="default"/>
                <w:sz w:val="16"/>
                <w:szCs w:val="16"/>
              </w:rPr>
            </w:pPr>
            <w:r>
              <w:rPr>
                <w:rFonts w:ascii="Arial"/>
                <w:w w:val="95"/>
                <w:sz w:val="16"/>
              </w:rPr>
              <w:t>50~100</w:t>
            </w:r>
            <w:r>
              <w:rPr>
                <w:rFonts w:ascii="Arial"/>
                <w:sz w:val="16"/>
              </w:rPr>
            </w:r>
          </w:p>
        </w:tc>
      </w:tr>
      <w:tr>
        <w:trPr>
          <w:trHeight w:val="208"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3-4</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1"/>
              <w:jc w:val="right"/>
              <w:rPr>
                <w:rFonts w:ascii="Arial" w:hAnsi="Arial" w:cs="Arial" w:eastAsia="Arial" w:hint="default"/>
                <w:sz w:val="16"/>
                <w:szCs w:val="16"/>
              </w:rPr>
            </w:pPr>
            <w:r>
              <w:rPr>
                <w:rFonts w:ascii="Arial"/>
                <w:w w:val="95"/>
                <w:sz w:val="16"/>
              </w:rPr>
              <w:t>403,852,398</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8"/>
              <w:jc w:val="right"/>
              <w:rPr>
                <w:rFonts w:ascii="Arial" w:hAnsi="Arial" w:cs="Arial" w:eastAsia="Arial" w:hint="default"/>
                <w:sz w:val="16"/>
                <w:szCs w:val="16"/>
              </w:rPr>
            </w:pPr>
            <w:r>
              <w:rPr>
                <w:rFonts w:ascii="Arial"/>
                <w:w w:val="95"/>
                <w:sz w:val="16"/>
              </w:rPr>
              <w:t>2.53</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(403,852,398)</w:t>
            </w:r>
            <w:r>
              <w:rPr>
                <w:rFonts w:ascii="Arial"/>
                <w:sz w:val="16"/>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Arial" w:hAnsi="Arial" w:cs="Arial" w:eastAsia="Arial" w:hint="default"/>
                <w:sz w:val="16"/>
                <w:szCs w:val="16"/>
              </w:rPr>
            </w:pPr>
            <w:r>
              <w:rPr>
                <w:rFonts w:ascii="Arial"/>
                <w:w w:val="95"/>
                <w:sz w:val="16"/>
              </w:rPr>
              <w:t>100</w:t>
            </w:r>
            <w:r>
              <w:rPr>
                <w:rFonts w:ascii="Arial"/>
                <w:sz w:val="16"/>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5"/>
              <w:jc w:val="right"/>
              <w:rPr>
                <w:rFonts w:ascii="Arial" w:hAnsi="Arial" w:cs="Arial" w:eastAsia="Arial" w:hint="default"/>
                <w:sz w:val="16"/>
                <w:szCs w:val="16"/>
              </w:rPr>
            </w:pPr>
            <w:r>
              <w:rPr>
                <w:rFonts w:ascii="Arial"/>
                <w:w w:val="95"/>
                <w:sz w:val="16"/>
              </w:rPr>
              <w:t>280,494,397</w:t>
            </w:r>
            <w:r>
              <w:rPr>
                <w:rFonts w:ascii="Arial"/>
                <w:sz w:val="16"/>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1"/>
              <w:jc w:val="right"/>
              <w:rPr>
                <w:rFonts w:ascii="Arial" w:hAnsi="Arial" w:cs="Arial" w:eastAsia="Arial" w:hint="default"/>
                <w:sz w:val="16"/>
                <w:szCs w:val="16"/>
              </w:rPr>
            </w:pPr>
            <w:r>
              <w:rPr>
                <w:rFonts w:ascii="Arial"/>
                <w:w w:val="95"/>
                <w:sz w:val="16"/>
              </w:rPr>
              <w:t>1.94</w:t>
            </w:r>
            <w:r>
              <w:rPr>
                <w:rFonts w:ascii="Arial"/>
                <w:sz w:val="16"/>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Arial" w:hAnsi="Arial" w:cs="Arial" w:eastAsia="Arial" w:hint="default"/>
                <w:sz w:val="16"/>
                <w:szCs w:val="16"/>
              </w:rPr>
            </w:pPr>
            <w:r>
              <w:rPr>
                <w:rFonts w:ascii="Arial"/>
                <w:w w:val="95"/>
                <w:sz w:val="16"/>
              </w:rPr>
              <w:t>(280,494,397)</w:t>
            </w:r>
            <w:r>
              <w:rPr>
                <w:rFonts w:ascii="Arial"/>
                <w:sz w:val="16"/>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100</w:t>
            </w:r>
            <w:r>
              <w:rPr>
                <w:rFonts w:ascii="Arial"/>
                <w:sz w:val="16"/>
              </w:rPr>
            </w:r>
          </w:p>
        </w:tc>
      </w:tr>
      <w:tr>
        <w:trPr>
          <w:trHeight w:val="194"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4-5</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1"/>
              <w:jc w:val="right"/>
              <w:rPr>
                <w:rFonts w:ascii="Arial" w:hAnsi="Arial" w:cs="Arial" w:eastAsia="Arial" w:hint="default"/>
                <w:sz w:val="16"/>
                <w:szCs w:val="16"/>
              </w:rPr>
            </w:pPr>
            <w:r>
              <w:rPr>
                <w:rFonts w:ascii="Arial"/>
                <w:w w:val="95"/>
                <w:sz w:val="16"/>
              </w:rPr>
              <w:t>158,350,147</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8"/>
              <w:jc w:val="right"/>
              <w:rPr>
                <w:rFonts w:ascii="Arial" w:hAnsi="Arial" w:cs="Arial" w:eastAsia="Arial" w:hint="default"/>
                <w:sz w:val="16"/>
                <w:szCs w:val="16"/>
              </w:rPr>
            </w:pPr>
            <w:r>
              <w:rPr>
                <w:rFonts w:ascii="Arial"/>
                <w:w w:val="95"/>
                <w:sz w:val="16"/>
              </w:rPr>
              <w:t>0.99</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(158,350,147)</w:t>
            </w:r>
            <w:r>
              <w:rPr>
                <w:rFonts w:ascii="Arial"/>
                <w:sz w:val="16"/>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Arial" w:hAnsi="Arial" w:cs="Arial" w:eastAsia="Arial" w:hint="default"/>
                <w:sz w:val="16"/>
                <w:szCs w:val="16"/>
              </w:rPr>
            </w:pPr>
            <w:r>
              <w:rPr>
                <w:rFonts w:ascii="Arial"/>
                <w:w w:val="95"/>
                <w:sz w:val="16"/>
              </w:rPr>
              <w:t>100</w:t>
            </w:r>
            <w:r>
              <w:rPr>
                <w:rFonts w:ascii="Arial"/>
                <w:sz w:val="16"/>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5"/>
              <w:jc w:val="right"/>
              <w:rPr>
                <w:rFonts w:ascii="Arial" w:hAnsi="Arial" w:cs="Arial" w:eastAsia="Arial" w:hint="default"/>
                <w:sz w:val="16"/>
                <w:szCs w:val="16"/>
              </w:rPr>
            </w:pPr>
            <w:r>
              <w:rPr>
                <w:rFonts w:ascii="Arial"/>
                <w:w w:val="95"/>
                <w:sz w:val="16"/>
              </w:rPr>
              <w:t>110,239,042</w:t>
            </w:r>
            <w:r>
              <w:rPr>
                <w:rFonts w:ascii="Arial"/>
                <w:sz w:val="16"/>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1"/>
              <w:jc w:val="right"/>
              <w:rPr>
                <w:rFonts w:ascii="Arial" w:hAnsi="Arial" w:cs="Arial" w:eastAsia="Arial" w:hint="default"/>
                <w:sz w:val="16"/>
                <w:szCs w:val="16"/>
              </w:rPr>
            </w:pPr>
            <w:r>
              <w:rPr>
                <w:rFonts w:ascii="Arial"/>
                <w:w w:val="95"/>
                <w:sz w:val="16"/>
              </w:rPr>
              <w:t>0.76</w:t>
            </w:r>
            <w:r>
              <w:rPr>
                <w:rFonts w:ascii="Arial"/>
                <w:sz w:val="16"/>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Arial" w:hAnsi="Arial" w:cs="Arial" w:eastAsia="Arial" w:hint="default"/>
                <w:sz w:val="16"/>
                <w:szCs w:val="16"/>
              </w:rPr>
            </w:pPr>
            <w:r>
              <w:rPr>
                <w:rFonts w:ascii="Arial"/>
                <w:w w:val="95"/>
                <w:sz w:val="16"/>
              </w:rPr>
              <w:t>(110,239,042)</w:t>
            </w:r>
            <w:r>
              <w:rPr>
                <w:rFonts w:ascii="Arial"/>
                <w:sz w:val="16"/>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100</w:t>
            </w:r>
            <w:r>
              <w:rPr>
                <w:rFonts w:ascii="Arial"/>
                <w:sz w:val="16"/>
              </w:rPr>
            </w:r>
          </w:p>
        </w:tc>
      </w:tr>
    </w:tbl>
    <w:p>
      <w:pPr>
        <w:tabs>
          <w:tab w:pos="1429" w:val="left" w:leader="none"/>
          <w:tab w:pos="1692" w:val="left" w:leader="none"/>
          <w:tab w:pos="2996" w:val="left" w:leader="none"/>
          <w:tab w:pos="5196" w:val="left" w:leader="none"/>
          <w:tab w:pos="5814" w:val="left" w:leader="none"/>
          <w:tab w:pos="7125" w:val="left" w:leader="none"/>
          <w:tab w:pos="7876" w:val="left" w:leader="none"/>
          <w:tab w:pos="9371" w:val="left" w:leader="none"/>
          <w:tab w:pos="9682" w:val="left" w:leader="none"/>
        </w:tabs>
        <w:spacing w:line="210" w:lineRule="exact" w:before="0"/>
        <w:ind w:left="605" w:right="0" w:firstLine="0"/>
        <w:jc w:val="left"/>
        <w:rPr>
          <w:rFonts w:ascii="Arial" w:hAnsi="Arial" w:cs="Arial" w:eastAsia="Arial" w:hint="default"/>
          <w:sz w:val="16"/>
          <w:szCs w:val="16"/>
        </w:rPr>
      </w:pPr>
      <w:r>
        <w:rPr>
          <w:rFonts w:ascii="Arial" w:hAnsi="Arial" w:cs="Arial" w:eastAsia="Arial" w:hint="default"/>
          <w:position w:val="1"/>
          <w:sz w:val="16"/>
          <w:szCs w:val="16"/>
        </w:rPr>
        <w:t>5</w:t>
      </w:r>
      <w:r>
        <w:rPr>
          <w:rFonts w:ascii="Arial" w:hAnsi="Arial" w:cs="Arial" w:eastAsia="Arial" w:hint="default"/>
          <w:spacing w:val="-7"/>
          <w:position w:val="1"/>
          <w:sz w:val="16"/>
          <w:szCs w:val="16"/>
        </w:rPr>
        <w:t> </w:t>
      </w:r>
      <w:r>
        <w:rPr>
          <w:rFonts w:ascii="宋体" w:hAnsi="宋体" w:cs="宋体" w:eastAsia="宋体" w:hint="default"/>
          <w:position w:val="1"/>
          <w:sz w:val="16"/>
          <w:szCs w:val="16"/>
        </w:rPr>
        <w:t>年以上</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243,625,362</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1.53     </w:t>
      </w:r>
      <w:r>
        <w:rPr>
          <w:rFonts w:ascii="Arial" w:hAnsi="Arial" w:cs="Arial" w:eastAsia="Arial" w:hint="default"/>
          <w:spacing w:val="32"/>
          <w:sz w:val="16"/>
          <w:szCs w:val="16"/>
          <w:u w:val="single" w:color="000000"/>
        </w:rPr>
        <w:t> </w:t>
      </w:r>
      <w:r>
        <w:rPr>
          <w:rFonts w:ascii="Arial" w:hAnsi="Arial" w:cs="Arial" w:eastAsia="Arial" w:hint="default"/>
          <w:spacing w:val="32"/>
          <w:sz w:val="16"/>
          <w:szCs w:val="16"/>
        </w:rPr>
      </w:r>
      <w:r>
        <w:rPr>
          <w:rFonts w:ascii="Arial" w:hAnsi="Arial" w:cs="Arial" w:eastAsia="Arial" w:hint="default"/>
          <w:spacing w:val="32"/>
          <w:sz w:val="16"/>
          <w:szCs w:val="16"/>
          <w:u w:val="single" w:color="000000"/>
        </w:rPr>
        <w:t> </w:t>
      </w:r>
      <w:r>
        <w:rPr>
          <w:rFonts w:ascii="Arial" w:hAnsi="Arial" w:cs="Arial" w:eastAsia="Arial" w:hint="default"/>
          <w:sz w:val="16"/>
          <w:szCs w:val="16"/>
          <w:u w:val="single" w:color="000000"/>
        </w:rPr>
        <w:t>(243,625,362)</w:t>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100</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208,383,757</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1.44</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(208,383,757)</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100</w:t>
        <w:tab/>
      </w:r>
      <w:r>
        <w:rPr>
          <w:rFonts w:ascii="Arial" w:hAnsi="Arial" w:cs="Arial" w:eastAsia="Arial" w:hint="default"/>
          <w:sz w:val="16"/>
          <w:szCs w:val="16"/>
        </w:rPr>
      </w:r>
    </w:p>
    <w:p>
      <w:pPr>
        <w:spacing w:line="240" w:lineRule="auto" w:before="10"/>
        <w:rPr>
          <w:rFonts w:ascii="Arial" w:hAnsi="Arial" w:cs="Arial" w:eastAsia="Arial" w:hint="default"/>
          <w:sz w:val="10"/>
          <w:szCs w:val="10"/>
        </w:rPr>
      </w:pPr>
    </w:p>
    <w:p>
      <w:pPr>
        <w:tabs>
          <w:tab w:pos="1469" w:val="left" w:leader="none"/>
          <w:tab w:pos="2819" w:val="left" w:leader="none"/>
          <w:tab w:pos="5014" w:val="left" w:leader="none"/>
          <w:tab w:pos="6947" w:val="left" w:leader="none"/>
          <w:tab w:pos="7743" w:val="left" w:leader="none"/>
          <w:tab w:pos="9179" w:val="left" w:leader="none"/>
        </w:tabs>
        <w:spacing w:before="51"/>
        <w:ind w:left="605"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15,994,125,110</w:t>
        <w:tab/>
      </w:r>
      <w:r>
        <w:rPr>
          <w:rFonts w:ascii="Arial" w:hAnsi="Arial" w:cs="Arial" w:eastAsia="Arial" w:hint="default"/>
          <w:sz w:val="16"/>
          <w:szCs w:val="16"/>
        </w:rPr>
        <w:t>100.00  </w:t>
      </w:r>
      <w:r>
        <w:rPr>
          <w:rFonts w:ascii="Arial" w:hAnsi="Arial" w:cs="Arial" w:eastAsia="Arial" w:hint="default"/>
          <w:spacing w:val="44"/>
          <w:sz w:val="16"/>
          <w:szCs w:val="16"/>
        </w:rPr>
        <w:t> </w:t>
      </w:r>
      <w:r>
        <w:rPr>
          <w:rFonts w:ascii="Arial" w:hAnsi="Arial" w:cs="Arial" w:eastAsia="Arial" w:hint="default"/>
          <w:sz w:val="16"/>
          <w:szCs w:val="16"/>
        </w:rPr>
        <w:t>(3,554,880,841)</w:t>
        <w:tab/>
        <w:t>0~100 </w:t>
      </w:r>
      <w:r>
        <w:rPr>
          <w:rFonts w:ascii="Arial" w:hAnsi="Arial" w:cs="Arial" w:eastAsia="Arial" w:hint="default"/>
          <w:spacing w:val="39"/>
          <w:sz w:val="16"/>
          <w:szCs w:val="16"/>
        </w:rPr>
        <w:t> </w:t>
      </w:r>
      <w:r>
        <w:rPr>
          <w:rFonts w:ascii="Arial" w:hAnsi="Arial" w:cs="Arial" w:eastAsia="Arial" w:hint="default"/>
          <w:sz w:val="16"/>
          <w:szCs w:val="16"/>
        </w:rPr>
        <w:t>14,441,308,601</w:t>
        <w:tab/>
      </w:r>
      <w:r>
        <w:rPr>
          <w:rFonts w:ascii="Arial" w:hAnsi="Arial" w:cs="Arial" w:eastAsia="Arial" w:hint="default"/>
          <w:w w:val="95"/>
          <w:sz w:val="16"/>
          <w:szCs w:val="16"/>
        </w:rPr>
        <w:t>100.00</w:t>
        <w:tab/>
        <w:t>(4,015,921,529)</w:t>
        <w:tab/>
      </w:r>
      <w:r>
        <w:rPr>
          <w:rFonts w:ascii="Arial" w:hAnsi="Arial" w:cs="Arial" w:eastAsia="Arial" w:hint="default"/>
          <w:sz w:val="16"/>
          <w:szCs w:val="16"/>
        </w:rPr>
        <w:t>0~100</w:t>
      </w:r>
    </w:p>
    <w:p>
      <w:pPr>
        <w:spacing w:line="43" w:lineRule="exact"/>
        <w:ind w:left="1408" w:right="0" w:firstLine="0"/>
        <w:rPr>
          <w:rFonts w:ascii="Arial" w:hAnsi="Arial" w:cs="Arial" w:eastAsia="Arial" w:hint="default"/>
          <w:sz w:val="4"/>
          <w:szCs w:val="4"/>
        </w:rPr>
      </w:pPr>
      <w:r>
        <w:rPr>
          <w:rFonts w:ascii="Arial" w:hAnsi="Arial" w:cs="Arial" w:eastAsia="Arial" w:hint="default"/>
          <w:position w:val="0"/>
          <w:sz w:val="4"/>
          <w:szCs w:val="4"/>
        </w:rPr>
        <w:pict>
          <v:group style="width:414.1pt;height:2.2pt;mso-position-horizontal-relative:char;mso-position-vertical-relative:line" coordorigin="0,0" coordsize="8282,44">
            <v:group style="position:absolute;left:7;top:36;width:1191;height:2" coordorigin="7,36" coordsize="1191,2">
              <v:shape style="position:absolute;left:7;top:36;width:1191;height:2" coordorigin="7,36" coordsize="1191,0" path="m7,36l1198,36e" filled="false" stroked="true" strokeweight=".72pt" strokecolor="#000000">
                <v:path arrowok="t"/>
              </v:shape>
            </v:group>
            <v:group style="position:absolute;left:7;top:7;width:1191;height:2" coordorigin="7,7" coordsize="1191,2">
              <v:shape style="position:absolute;left:7;top:7;width:1191;height:2" coordorigin="7,7" coordsize="1191,0" path="m7,7l1198,7e" filled="false" stroked="true" strokeweight=".72pt" strokecolor="#000000">
                <v:path arrowok="t"/>
              </v:shape>
            </v:group>
            <v:group style="position:absolute;left:1260;top:36;width:708;height:2" coordorigin="1260,36" coordsize="708,2">
              <v:shape style="position:absolute;left:1260;top:36;width:708;height:2" coordorigin="1260,36" coordsize="708,0" path="m1260,36l1968,36e" filled="false" stroked="true" strokeweight=".72pt" strokecolor="#000000">
                <v:path arrowok="t"/>
              </v:shape>
            </v:group>
            <v:group style="position:absolute;left:1260;top:7;width:708;height:2" coordorigin="1260,7" coordsize="708,2">
              <v:shape style="position:absolute;left:1260;top:7;width:708;height:2" coordorigin="1260,7" coordsize="708,0" path="m1260,7l1968,7e" filled="false" stroked="true" strokeweight=".72pt" strokecolor="#000000">
                <v:path arrowok="t"/>
              </v:shape>
            </v:group>
            <v:group style="position:absolute;left:2038;top:36;width:1205;height:2" coordorigin="2038,36" coordsize="1205,2">
              <v:shape style="position:absolute;left:2038;top:36;width:1205;height:2" coordorigin="2038,36" coordsize="1205,0" path="m2038,36l3242,36e" filled="false" stroked="true" strokeweight=".72pt" strokecolor="#000000">
                <v:path arrowok="t"/>
              </v:shape>
            </v:group>
            <v:group style="position:absolute;left:2038;top:7;width:1205;height:2" coordorigin="2038,7" coordsize="1205,2">
              <v:shape style="position:absolute;left:2038;top:7;width:1205;height:2" coordorigin="2038,7" coordsize="1205,0" path="m2038,7l3242,7e" filled="false" stroked="true" strokeweight=".72pt" strokecolor="#000000">
                <v:path arrowok="t"/>
              </v:shape>
            </v:group>
            <v:group style="position:absolute;left:3304;top:36;width:779;height:2" coordorigin="3304,36" coordsize="779,2">
              <v:shape style="position:absolute;left:3304;top:36;width:779;height:2" coordorigin="3304,36" coordsize="779,0" path="m3304,36l4082,36e" filled="false" stroked="true" strokeweight=".72pt" strokecolor="#000000">
                <v:path arrowok="t"/>
              </v:shape>
            </v:group>
            <v:group style="position:absolute;left:3304;top:7;width:779;height:2" coordorigin="3304,7" coordsize="779,2">
              <v:shape style="position:absolute;left:3304;top:7;width:779;height:2" coordorigin="3304,7" coordsize="779,0" path="m3304,7l4082,7e" filled="false" stroked="true" strokeweight=".72pt" strokecolor="#000000">
                <v:path arrowok="t"/>
              </v:shape>
            </v:group>
            <v:group style="position:absolute;left:4144;top:36;width:1184;height:2" coordorigin="4144,36" coordsize="1184,2">
              <v:shape style="position:absolute;left:4144;top:36;width:1184;height:2" coordorigin="4144,36" coordsize="1184,0" path="m4144,36l5327,36e" filled="false" stroked="true" strokeweight=".72pt" strokecolor="#000000">
                <v:path arrowok="t"/>
              </v:shape>
            </v:group>
            <v:group style="position:absolute;left:4144;top:7;width:1184;height:2" coordorigin="4144,7" coordsize="1184,2">
              <v:shape style="position:absolute;left:4144;top:7;width:1184;height:2" coordorigin="4144,7" coordsize="1184,0" path="m4144,7l5327,7e" filled="false" stroked="true" strokeweight=".72pt" strokecolor="#000000">
                <v:path arrowok="t"/>
              </v:shape>
            </v:group>
            <v:group style="position:absolute;left:5389;top:36;width:723;height:2" coordorigin="5389,36" coordsize="723,2">
              <v:shape style="position:absolute;left:5389;top:36;width:723;height:2" coordorigin="5389,36" coordsize="723,0" path="m5389,36l6112,36e" filled="false" stroked="true" strokeweight=".72pt" strokecolor="#000000">
                <v:path arrowok="t"/>
              </v:shape>
            </v:group>
            <v:group style="position:absolute;left:5389;top:7;width:723;height:2" coordorigin="5389,7" coordsize="723,2">
              <v:shape style="position:absolute;left:5389;top:7;width:723;height:2" coordorigin="5389,7" coordsize="723,0" path="m5389,7l6112,7e" filled="false" stroked="true" strokeweight=".72pt" strokecolor="#000000">
                <v:path arrowok="t"/>
              </v:shape>
            </v:group>
            <v:group style="position:absolute;left:6173;top:36;width:1292;height:2" coordorigin="6173,36" coordsize="1292,2">
              <v:shape style="position:absolute;left:6173;top:36;width:1292;height:2" coordorigin="6173,36" coordsize="1292,0" path="m6173,36l7464,36e" filled="false" stroked="true" strokeweight=".72pt" strokecolor="#000000">
                <v:path arrowok="t"/>
              </v:shape>
            </v:group>
            <v:group style="position:absolute;left:6173;top:7;width:1292;height:2" coordorigin="6173,7" coordsize="1292,2">
              <v:shape style="position:absolute;left:6173;top:7;width:1292;height:2" coordorigin="6173,7" coordsize="1292,0" path="m6173,7l7464,7e" filled="false" stroked="true" strokeweight=".72pt" strokecolor="#000000">
                <v:path arrowok="t"/>
              </v:shape>
            </v:group>
            <v:group style="position:absolute;left:7540;top:36;width:735;height:2" coordorigin="7540,36" coordsize="735,2">
              <v:shape style="position:absolute;left:7540;top:36;width:735;height:2" coordorigin="7540,36" coordsize="735,0" path="m7540,36l8274,36e" filled="false" stroked="true" strokeweight=".72pt" strokecolor="#000000">
                <v:path arrowok="t"/>
              </v:shape>
            </v:group>
            <v:group style="position:absolute;left:7540;top:7;width:735;height:2" coordorigin="7540,7" coordsize="735,2">
              <v:shape style="position:absolute;left:7540;top:7;width:735;height:2" coordorigin="7540,7" coordsize="735,0" path="m7540,7l8274,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spacing w:line="295" w:lineRule="exact" w:before="31"/>
        <w:ind w:left="114" w:right="0"/>
        <w:jc w:val="left"/>
      </w:pPr>
      <w:r>
        <w:rPr>
          <w:rFonts w:ascii="Arial" w:hAnsi="Arial" w:cs="Arial" w:eastAsia="Arial" w:hint="default"/>
        </w:rPr>
        <w:t>(e)   2011  </w:t>
      </w:r>
      <w:r>
        <w:rPr/>
        <w:t>年度，本集团对有确凿证据表明无法收回的约人民币 </w:t>
      </w:r>
      <w:r>
        <w:rPr>
          <w:rFonts w:ascii="Arial" w:hAnsi="Arial" w:cs="Arial" w:eastAsia="Arial" w:hint="default"/>
        </w:rPr>
        <w:t>31.80 </w:t>
      </w:r>
      <w:r>
        <w:rPr>
          <w:rFonts w:ascii="Arial" w:hAnsi="Arial" w:cs="Arial" w:eastAsia="Arial" w:hint="default"/>
          <w:spacing w:val="3"/>
        </w:rPr>
        <w:t> </w:t>
      </w:r>
      <w:r>
        <w:rPr/>
        <w:t>亿元的应收账款进行了核销</w:t>
      </w:r>
    </w:p>
    <w:p>
      <w:pPr>
        <w:pStyle w:val="BodyText"/>
        <w:spacing w:line="230" w:lineRule="auto" w:before="1"/>
        <w:ind w:left="548" w:right="114" w:hanging="1"/>
        <w:jc w:val="both"/>
      </w:pPr>
      <w:r>
        <w:rPr/>
        <w:t>（</w:t>
      </w:r>
      <w:r>
        <w:rPr>
          <w:rFonts w:ascii="Arial" w:hAnsi="Arial" w:cs="Arial" w:eastAsia="Arial" w:hint="default"/>
        </w:rPr>
        <w:t>2010</w:t>
      </w:r>
      <w:r>
        <w:rPr>
          <w:rFonts w:ascii="Arial" w:hAnsi="Arial" w:cs="Arial" w:eastAsia="Arial" w:hint="default"/>
          <w:spacing w:val="-5"/>
        </w:rPr>
        <w:t> </w:t>
      </w:r>
      <w:r>
        <w:rPr/>
        <w:t>年度：约人民币</w:t>
      </w:r>
      <w:r>
        <w:rPr>
          <w:spacing w:val="-53"/>
        </w:rPr>
        <w:t> </w:t>
      </w:r>
      <w:r>
        <w:rPr>
          <w:rFonts w:ascii="Arial" w:hAnsi="Arial" w:cs="Arial" w:eastAsia="Arial" w:hint="default"/>
        </w:rPr>
        <w:t>26.95</w:t>
      </w:r>
      <w:r>
        <w:rPr>
          <w:rFonts w:ascii="Arial" w:hAnsi="Arial" w:cs="Arial" w:eastAsia="Arial" w:hint="default"/>
          <w:spacing w:val="-5"/>
        </w:rPr>
        <w:t> </w:t>
      </w:r>
      <w:r>
        <w:rPr/>
        <w:t>亿元），同时冲销已计提的坏账准备。本集团核销的坏账准备主</w:t>
      </w:r>
      <w:r>
        <w:rPr>
          <w:w w:val="99"/>
        </w:rPr>
        <w:t> </w:t>
      </w:r>
      <w:r>
        <w:rPr>
          <w:spacing w:val="-3"/>
        </w:rPr>
        <w:t>要为对一般商务及公众用户计提的坏账准备，其个别欠款金额对本集团并不重大。此外，本集团</w:t>
      </w:r>
      <w:r>
        <w:rPr>
          <w:spacing w:val="-95"/>
        </w:rPr>
        <w:t> </w:t>
      </w:r>
      <w:r>
        <w:rPr>
          <w:spacing w:val="-95"/>
        </w:rPr>
      </w:r>
      <w:r>
        <w:rPr/>
        <w:t>本年核销的应收账款中无应收关联公司款项。</w:t>
      </w:r>
    </w:p>
    <w:p>
      <w:pPr>
        <w:spacing w:line="240" w:lineRule="auto" w:before="4"/>
        <w:rPr>
          <w:rFonts w:ascii="宋体" w:hAnsi="宋体" w:cs="宋体" w:eastAsia="宋体" w:hint="default"/>
          <w:sz w:val="19"/>
          <w:szCs w:val="19"/>
        </w:rPr>
      </w:pPr>
    </w:p>
    <w:p>
      <w:pPr>
        <w:pStyle w:val="BodyText"/>
        <w:tabs>
          <w:tab w:pos="547" w:val="left" w:leader="none"/>
        </w:tabs>
        <w:spacing w:line="240" w:lineRule="auto"/>
        <w:ind w:left="114" w:right="0"/>
        <w:jc w:val="left"/>
      </w:pPr>
      <w:r>
        <w:rPr>
          <w:rFonts w:ascii="Arial" w:hAnsi="Arial" w:cs="Arial" w:eastAsia="Arial" w:hint="default"/>
          <w:w w:val="95"/>
        </w:rPr>
        <w:t>(f)</w:t>
        <w:tab/>
      </w:r>
      <w:r>
        <w:rPr/>
        <w:t>应收持有本公司</w:t>
      </w:r>
      <w:r>
        <w:rPr>
          <w:spacing w:val="-57"/>
        </w:rPr>
        <w:t> </w:t>
      </w:r>
      <w:r>
        <w:rPr>
          <w:rFonts w:ascii="Arial" w:hAnsi="Arial" w:cs="Arial" w:eastAsia="Arial" w:hint="default"/>
        </w:rPr>
        <w:t>5%</w:t>
      </w:r>
      <w:r>
        <w:rPr/>
        <w:t>（含</w:t>
      </w:r>
      <w:r>
        <w:rPr>
          <w:spacing w:val="-57"/>
        </w:rPr>
        <w:t> </w:t>
      </w:r>
      <w:r>
        <w:rPr>
          <w:rFonts w:ascii="Arial" w:hAnsi="Arial" w:cs="Arial" w:eastAsia="Arial" w:hint="default"/>
        </w:rPr>
        <w:t>5%</w:t>
      </w:r>
      <w:r>
        <w:rPr/>
        <w:t>）以上表决权股份的股东单位的应收账款分析如下：</w:t>
      </w:r>
    </w:p>
    <w:p>
      <w:pPr>
        <w:spacing w:line="240" w:lineRule="auto" w:before="12"/>
        <w:rPr>
          <w:rFonts w:ascii="宋体" w:hAnsi="宋体" w:cs="宋体" w:eastAsia="宋体" w:hint="default"/>
          <w:sz w:val="17"/>
          <w:szCs w:val="17"/>
        </w:rPr>
      </w:pPr>
    </w:p>
    <w:p>
      <w:pPr>
        <w:pStyle w:val="BodyText"/>
        <w:tabs>
          <w:tab w:pos="7037" w:val="left" w:leader="none"/>
        </w:tabs>
        <w:spacing w:line="240" w:lineRule="auto"/>
        <w:ind w:left="3408"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tabs>
          <w:tab w:pos="4852" w:val="left" w:leader="none"/>
          <w:tab w:pos="6874" w:val="left" w:leader="none"/>
          <w:tab w:pos="8461" w:val="left" w:leader="none"/>
        </w:tabs>
        <w:spacing w:line="240" w:lineRule="auto" w:before="2"/>
        <w:ind w:left="3267" w:right="0"/>
        <w:jc w:val="left"/>
      </w:pPr>
      <w:r>
        <w:rPr/>
        <w:pict>
          <v:group style="position:absolute;margin-left:197.100006pt;margin-top:1.551263pt;width:166.35pt;height:.1pt;mso-position-horizontal-relative:page;mso-position-vertical-relative:paragraph;z-index:-821824" coordorigin="3942,31" coordsize="3327,2">
            <v:shape style="position:absolute;left:3942;top:31;width:3327;height:2" coordorigin="3942,31" coordsize="3327,0" path="m3942,31l7268,31e" filled="false" stroked="true" strokeweight=".72pt" strokecolor="#000000">
              <v:path arrowok="t"/>
            </v:shape>
            <w10:wrap type="none"/>
          </v:group>
        </w:pict>
      </w:r>
      <w:r>
        <w:rPr/>
        <w:pict>
          <v:group style="position:absolute;margin-left:377.399994pt;margin-top:1.551263pt;width:168.75pt;height:.1pt;mso-position-horizontal-relative:page;mso-position-vertical-relative:paragraph;z-index:-821800" coordorigin="7548,31" coordsize="3375,2">
            <v:shape style="position:absolute;left:7548;top:31;width:3375;height:2" coordorigin="7548,31" coordsize="3375,0" path="m7548,31l10922,31e" filled="false" stroked="true" strokeweight=".72pt" strokecolor="#000000">
              <v:path arrowok="t"/>
            </v:shape>
            <w10:wrap type="none"/>
          </v:group>
        </w:pict>
      </w:r>
      <w:r>
        <w:rPr>
          <w:w w:val="95"/>
        </w:rPr>
        <w:t>金额</w:t>
        <w:tab/>
        <w:t>坏账准备</w:t>
        <w:tab/>
        <w:t>金额</w:t>
        <w:tab/>
      </w:r>
      <w:r>
        <w:rPr/>
        <w:t>坏账准备</w:t>
      </w:r>
    </w:p>
    <w:p>
      <w:pPr>
        <w:spacing w:line="240" w:lineRule="auto" w:before="8"/>
        <w:rPr>
          <w:rFonts w:ascii="宋体" w:hAnsi="宋体" w:cs="宋体" w:eastAsia="宋体" w:hint="default"/>
          <w:sz w:val="2"/>
          <w:szCs w:val="2"/>
        </w:rPr>
      </w:pPr>
    </w:p>
    <w:p>
      <w:pPr>
        <w:tabs>
          <w:tab w:pos="4548" w:val="left" w:leader="none"/>
          <w:tab w:pos="6300" w:val="left" w:leader="none"/>
          <w:tab w:pos="8112" w:val="left" w:leader="none"/>
        </w:tabs>
        <w:spacing w:line="20" w:lineRule="exact"/>
        <w:ind w:left="2694" w:right="0" w:firstLine="0"/>
        <w:rPr>
          <w:rFonts w:ascii="宋体" w:hAnsi="宋体" w:cs="宋体" w:eastAsia="宋体" w:hint="default"/>
          <w:sz w:val="2"/>
          <w:szCs w:val="2"/>
        </w:rPr>
      </w:pPr>
      <w:r>
        <w:rPr>
          <w:rFonts w:ascii="宋体"/>
          <w:sz w:val="2"/>
        </w:rPr>
        <w:pict>
          <v:group style="width:79.350pt;height:.75pt;mso-position-horizontal-relative:char;mso-position-vertical-relative:line" coordorigin="0,0" coordsize="1587,15">
            <v:group style="position:absolute;left:7;top:7;width:1572;height:2" coordorigin="7,7" coordsize="1572,2">
              <v:shape style="position:absolute;left:7;top:7;width:1572;height:2" coordorigin="7,7" coordsize="1572,0" path="m7,7l1579,7e" filled="false" stroked="true" strokeweight=".72pt" strokecolor="#000000">
                <v:path arrowok="t"/>
              </v:shape>
            </v:group>
          </v:group>
        </w:pict>
      </w:r>
      <w:r>
        <w:rPr>
          <w:rFonts w:ascii="宋体"/>
          <w:sz w:val="2"/>
        </w:rPr>
      </w:r>
      <w:r>
        <w:rPr>
          <w:rFonts w:ascii="宋体"/>
          <w:sz w:val="2"/>
        </w:rPr>
        <w:tab/>
      </w:r>
      <w:r>
        <w:rPr>
          <w:rFonts w:ascii="宋体"/>
          <w:sz w:val="2"/>
        </w:rPr>
        <w:pict>
          <v:group style="width:74.350pt;height:.75pt;mso-position-horizontal-relative:char;mso-position-vertical-relative:line" coordorigin="0,0" coordsize="1487,15">
            <v:group style="position:absolute;left:7;top:7;width:1473;height:2" coordorigin="7,7" coordsize="1473,2">
              <v:shape style="position:absolute;left:7;top:7;width:1473;height:2" coordorigin="7,7" coordsize="1473,0" path="m7,7l1480,7e" filled="false" stroked="true" strokeweight=".72pt" strokecolor="#000000">
                <v:path arrowok="t"/>
              </v:shape>
            </v:group>
          </v:group>
        </w:pict>
      </w:r>
      <w:r>
        <w:rPr>
          <w:rFonts w:ascii="宋体"/>
          <w:sz w:val="2"/>
        </w:rPr>
      </w:r>
      <w:r>
        <w:rPr>
          <w:rFonts w:ascii="宋体"/>
          <w:sz w:val="2"/>
        </w:rPr>
        <w:tab/>
      </w:r>
      <w:r>
        <w:rPr>
          <w:rFonts w:ascii="宋体"/>
          <w:sz w:val="2"/>
        </w:rPr>
        <w:pict>
          <v:group style="width:79.45pt;height:.75pt;mso-position-horizontal-relative:char;mso-position-vertical-relative:line" coordorigin="0,0" coordsize="1589,15">
            <v:group style="position:absolute;left:7;top:7;width:1575;height:2" coordorigin="7,7" coordsize="1575,2">
              <v:shape style="position:absolute;left:7;top:7;width:1575;height:2" coordorigin="7,7" coordsize="1575,0" path="m7,7l1582,7e" filled="false" stroked="true" strokeweight=".72pt" strokecolor="#000000">
                <v:path arrowok="t"/>
              </v:shape>
            </v:group>
          </v:group>
        </w:pict>
      </w:r>
      <w:r>
        <w:rPr>
          <w:rFonts w:ascii="宋体"/>
          <w:sz w:val="2"/>
        </w:rPr>
      </w:r>
      <w:r>
        <w:rPr>
          <w:rFonts w:ascii="宋体"/>
          <w:sz w:val="2"/>
        </w:rPr>
        <w:tab/>
      </w:r>
      <w:r>
        <w:rPr>
          <w:rFonts w:ascii="宋体"/>
          <w:sz w:val="2"/>
        </w:rPr>
        <w:pict>
          <v:group style="width:78.850pt;height:.75pt;mso-position-horizontal-relative:char;mso-position-vertical-relative:line" coordorigin="0,0" coordsize="1577,15">
            <v:group style="position:absolute;left:7;top:7;width:1563;height:2" coordorigin="7,7" coordsize="1563,2">
              <v:shape style="position:absolute;left:7;top:7;width:1563;height:2" coordorigin="7,7" coordsize="1563,0" path="m7,7l1570,7e" filled="false" stroked="true" strokeweight=".72pt" strokecolor="#000000">
                <v:path arrowok="t"/>
              </v:shape>
            </v:group>
          </v:group>
        </w:pict>
      </w:r>
      <w:r>
        <w:rPr>
          <w:rFonts w:ascii="宋体"/>
          <w:sz w:val="2"/>
        </w:rPr>
      </w:r>
    </w:p>
    <w:p>
      <w:pPr>
        <w:spacing w:line="240" w:lineRule="auto" w:before="10"/>
        <w:rPr>
          <w:rFonts w:ascii="宋体" w:hAnsi="宋体" w:cs="宋体" w:eastAsia="宋体" w:hint="default"/>
          <w:sz w:val="13"/>
          <w:szCs w:val="13"/>
        </w:rPr>
      </w:pPr>
    </w:p>
    <w:p>
      <w:pPr>
        <w:pStyle w:val="BodyText"/>
        <w:tabs>
          <w:tab w:pos="3168" w:val="left" w:leader="none"/>
          <w:tab w:pos="5652" w:val="left" w:leader="none"/>
          <w:tab w:pos="6672" w:val="left" w:leader="none"/>
          <w:tab w:pos="9280" w:val="left" w:leader="none"/>
        </w:tabs>
        <w:spacing w:line="240" w:lineRule="auto" w:before="27"/>
        <w:ind w:left="565" w:right="0"/>
        <w:jc w:val="left"/>
        <w:rPr>
          <w:rFonts w:ascii="Arial" w:hAnsi="Arial" w:cs="Arial" w:eastAsia="Arial" w:hint="default"/>
        </w:rPr>
      </w:pPr>
      <w:r>
        <w:rPr>
          <w:w w:val="95"/>
          <w:position w:val="2"/>
        </w:rPr>
        <w:t>联通集团</w:t>
        <w:tab/>
      </w:r>
      <w:r>
        <w:rPr>
          <w:rFonts w:ascii="Arial" w:hAnsi="Arial" w:cs="Arial" w:eastAsia="Arial" w:hint="default"/>
          <w:w w:val="95"/>
        </w:rPr>
        <w:t>6,911,495</w:t>
        <w:tab/>
        <w:t>-</w:t>
        <w:tab/>
        <w:t>13,613,082</w:t>
        <w:tab/>
      </w:r>
      <w:r>
        <w:rPr>
          <w:rFonts w:ascii="Arial" w:hAnsi="Arial" w:cs="Arial" w:eastAsia="Arial" w:hint="default"/>
        </w:rPr>
        <w:t>-</w:t>
      </w:r>
    </w:p>
    <w:p>
      <w:pPr>
        <w:tabs>
          <w:tab w:pos="4534" w:val="left" w:leader="none"/>
          <w:tab w:pos="6286" w:val="left" w:leader="none"/>
          <w:tab w:pos="8098" w:val="left" w:leader="none"/>
        </w:tabs>
        <w:spacing w:line="43" w:lineRule="exact"/>
        <w:ind w:left="2680" w:right="0" w:firstLine="0"/>
        <w:rPr>
          <w:rFonts w:ascii="Arial" w:hAnsi="Arial" w:cs="Arial" w:eastAsia="Arial" w:hint="default"/>
          <w:sz w:val="4"/>
          <w:szCs w:val="4"/>
        </w:rPr>
      </w:pPr>
      <w:r>
        <w:rPr>
          <w:rFonts w:ascii="Arial"/>
          <w:position w:val="0"/>
          <w:sz w:val="4"/>
        </w:rPr>
        <w:pict>
          <v:group style="width:80.05pt;height:2.2pt;mso-position-horizontal-relative:char;mso-position-vertical-relative:line" coordorigin="0,0" coordsize="1601,44">
            <v:group style="position:absolute;left:7;top:36;width:1587;height:2" coordorigin="7,36" coordsize="1587,2">
              <v:shape style="position:absolute;left:7;top:36;width:1587;height:2" coordorigin="7,36" coordsize="1587,0" path="m7,36l1594,36e" filled="false" stroked="true" strokeweight=".72pt" strokecolor="#000000">
                <v:path arrowok="t"/>
              </v:shape>
            </v:group>
            <v:group style="position:absolute;left:7;top:7;width:1587;height:2" coordorigin="7,7" coordsize="1587,2">
              <v:shape style="position:absolute;left:7;top:7;width:1587;height:2" coordorigin="7,7" coordsize="1587,0" path="m7,7l1594,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5.1pt;height:2.2pt;mso-position-horizontal-relative:char;mso-position-vertical-relative:line" coordorigin="0,0" coordsize="1502,44">
            <v:group style="position:absolute;left:7;top:36;width:1487;height:2" coordorigin="7,36" coordsize="1487,2">
              <v:shape style="position:absolute;left:7;top:36;width:1487;height:2" coordorigin="7,36" coordsize="1487,0" path="m7,36l1494,36e" filled="false" stroked="true" strokeweight=".72pt" strokecolor="#000000">
                <v:path arrowok="t"/>
              </v:shape>
            </v:group>
            <v:group style="position:absolute;left:7;top:7;width:1487;height:2" coordorigin="7,7" coordsize="1487,2">
              <v:shape style="position:absolute;left:7;top:7;width:1487;height:2" coordorigin="7,7" coordsize="1487,0" path="m7,7l1494,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80.2pt;height:2.2pt;mso-position-horizontal-relative:char;mso-position-vertical-relative:line" coordorigin="0,0" coordsize="1604,44">
            <v:group style="position:absolute;left:7;top:36;width:1589;height:2" coordorigin="7,36" coordsize="1589,2">
              <v:shape style="position:absolute;left:7;top:36;width:1589;height:2" coordorigin="7,36" coordsize="1589,0" path="m7,36l1596,36e" filled="false" stroked="true" strokeweight=".72pt" strokecolor="#000000">
                <v:path arrowok="t"/>
              </v:shape>
            </v:group>
            <v:group style="position:absolute;left:7;top:7;width:1589;height:2" coordorigin="7,7" coordsize="1589,2">
              <v:shape style="position:absolute;left:7;top:7;width:1589;height:2" coordorigin="7,7" coordsize="1589,0" path="m7,7l1596,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9.6pt;height:2.2pt;mso-position-horizontal-relative:char;mso-position-vertical-relative:line" coordorigin="0,0" coordsize="1592,44">
            <v:group style="position:absolute;left:7;top:36;width:1577;height:2" coordorigin="7,36" coordsize="1577,2">
              <v:shape style="position:absolute;left:7;top:36;width:1577;height:2" coordorigin="7,36" coordsize="1577,0" path="m7,36l1584,36e" filled="false" stroked="true" strokeweight=".72pt" strokecolor="#000000">
                <v:path arrowok="t"/>
              </v:shape>
            </v:group>
            <v:group style="position:absolute;left:7;top:7;width:1577;height:2" coordorigin="7,7" coordsize="1577,2">
              <v:shape style="position:absolute;left:7;top:7;width:1577;height:2" coordorigin="7,7" coordsize="1577,0" path="m7,7l1584,7e" filled="false" stroked="true" strokeweight=".72pt" strokecolor="#000000">
                <v:path arrowok="t"/>
              </v:shape>
            </v:group>
          </v:group>
        </w:pict>
      </w:r>
      <w:r>
        <w:rPr>
          <w:rFonts w:ascii="Arial"/>
          <w:position w:val="0"/>
          <w:sz w:val="4"/>
        </w:rPr>
      </w:r>
    </w:p>
    <w:p>
      <w:pPr>
        <w:spacing w:line="240" w:lineRule="auto" w:before="5"/>
        <w:rPr>
          <w:rFonts w:ascii="Arial" w:hAnsi="Arial" w:cs="Arial" w:eastAsia="Arial" w:hint="default"/>
          <w:sz w:val="16"/>
          <w:szCs w:val="16"/>
        </w:rPr>
      </w:pPr>
    </w:p>
    <w:p>
      <w:pPr>
        <w:pStyle w:val="BodyText"/>
        <w:spacing w:line="240" w:lineRule="auto" w:before="31"/>
        <w:ind w:left="114" w:right="0"/>
        <w:jc w:val="left"/>
      </w:pPr>
      <w:r>
        <w:rPr>
          <w:rFonts w:ascii="Arial" w:hAnsi="Arial" w:cs="Arial" w:eastAsia="Arial" w:hint="default"/>
        </w:rPr>
        <w:t>(g) </w:t>
      </w:r>
      <w:r>
        <w:rPr>
          <w:rFonts w:ascii="Arial" w:hAnsi="Arial" w:cs="Arial" w:eastAsia="Arial" w:hint="default"/>
          <w:spacing w:val="40"/>
        </w:rPr>
        <w:t> </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日，余额前五名的应收账款分析如下：</w:t>
      </w:r>
    </w:p>
    <w:p>
      <w:pPr>
        <w:spacing w:line="240" w:lineRule="auto" w:before="7"/>
        <w:rPr>
          <w:rFonts w:ascii="宋体" w:hAnsi="宋体" w:cs="宋体" w:eastAsia="宋体" w:hint="default"/>
          <w:sz w:val="15"/>
          <w:szCs w:val="15"/>
        </w:rPr>
      </w:pPr>
    </w:p>
    <w:tbl>
      <w:tblPr>
        <w:tblW w:w="0" w:type="auto"/>
        <w:jc w:val="left"/>
        <w:tblInd w:w="530" w:type="dxa"/>
        <w:tblLayout w:type="fixed"/>
        <w:tblCellMar>
          <w:top w:w="0" w:type="dxa"/>
          <w:left w:w="0" w:type="dxa"/>
          <w:bottom w:w="0" w:type="dxa"/>
          <w:right w:w="0" w:type="dxa"/>
        </w:tblCellMar>
        <w:tblLook w:val="01E0"/>
      </w:tblPr>
      <w:tblGrid>
        <w:gridCol w:w="1516"/>
        <w:gridCol w:w="2155"/>
        <w:gridCol w:w="230"/>
        <w:gridCol w:w="1798"/>
        <w:gridCol w:w="236"/>
        <w:gridCol w:w="1234"/>
        <w:gridCol w:w="232"/>
        <w:gridCol w:w="1751"/>
      </w:tblGrid>
      <w:tr>
        <w:trPr>
          <w:trHeight w:val="646" w:hRule="exact"/>
        </w:trPr>
        <w:tc>
          <w:tcPr>
            <w:tcW w:w="1516"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27" w:right="0"/>
              <w:jc w:val="left"/>
              <w:rPr>
                <w:rFonts w:ascii="宋体" w:hAnsi="宋体" w:cs="宋体" w:eastAsia="宋体" w:hint="default"/>
                <w:sz w:val="22"/>
                <w:szCs w:val="22"/>
              </w:rPr>
            </w:pPr>
            <w:r>
              <w:rPr>
                <w:rFonts w:ascii="宋体" w:hAnsi="宋体" w:cs="宋体" w:eastAsia="宋体" w:hint="default"/>
                <w:sz w:val="22"/>
                <w:szCs w:val="22"/>
              </w:rPr>
              <w:t>与本集团关系</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22"/>
                <w:szCs w:val="22"/>
              </w:rPr>
            </w:pPr>
            <w:r>
              <w:rPr>
                <w:rFonts w:ascii="宋体" w:hAnsi="宋体" w:cs="宋体" w:eastAsia="宋体" w:hint="default"/>
                <w:w w:val="95"/>
                <w:sz w:val="22"/>
                <w:szCs w:val="22"/>
              </w:rPr>
              <w:t>账龄</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6" w:space="0" w:color="000000"/>
              <w:right w:val="nil" w:sz="6" w:space="0" w:color="auto"/>
            </w:tcBorders>
          </w:tcPr>
          <w:p>
            <w:pPr>
              <w:pStyle w:val="TableParagraph"/>
              <w:spacing w:line="286" w:lineRule="exact" w:before="60"/>
              <w:ind w:left="763" w:right="107" w:hanging="221"/>
              <w:jc w:val="left"/>
              <w:rPr>
                <w:rFonts w:ascii="宋体" w:hAnsi="宋体" w:cs="宋体" w:eastAsia="宋体" w:hint="default"/>
                <w:sz w:val="22"/>
                <w:szCs w:val="22"/>
              </w:rPr>
            </w:pPr>
            <w:r>
              <w:rPr>
                <w:rFonts w:ascii="宋体" w:hAnsi="宋体" w:cs="宋体" w:eastAsia="宋体" w:hint="default"/>
                <w:sz w:val="22"/>
                <w:szCs w:val="22"/>
              </w:rPr>
              <w:t>占应收账款</w:t>
            </w:r>
            <w:r>
              <w:rPr>
                <w:rFonts w:ascii="宋体" w:hAnsi="宋体" w:cs="宋体" w:eastAsia="宋体" w:hint="default"/>
                <w:w w:val="99"/>
                <w:sz w:val="22"/>
                <w:szCs w:val="22"/>
              </w:rPr>
              <w:t> </w:t>
            </w:r>
            <w:r>
              <w:rPr>
                <w:rFonts w:ascii="宋体" w:hAnsi="宋体" w:cs="宋体" w:eastAsia="宋体" w:hint="default"/>
                <w:w w:val="95"/>
                <w:sz w:val="22"/>
                <w:szCs w:val="22"/>
              </w:rPr>
              <w:t>总额比例</w:t>
            </w:r>
            <w:r>
              <w:rPr>
                <w:rFonts w:ascii="宋体" w:hAnsi="宋体" w:cs="宋体" w:eastAsia="宋体" w:hint="default"/>
                <w:sz w:val="22"/>
                <w:szCs w:val="22"/>
              </w:rPr>
            </w:r>
          </w:p>
        </w:tc>
      </w:tr>
      <w:tr>
        <w:trPr>
          <w:trHeight w:val="558"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第一名</w:t>
            </w:r>
          </w:p>
        </w:tc>
        <w:tc>
          <w:tcPr>
            <w:tcW w:w="215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24"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5"/>
              <w:jc w:val="right"/>
              <w:rPr>
                <w:rFonts w:ascii="Arial" w:hAnsi="Arial" w:cs="Arial" w:eastAsia="Arial" w:hint="default"/>
                <w:sz w:val="22"/>
                <w:szCs w:val="22"/>
              </w:rPr>
            </w:pPr>
            <w:r>
              <w:rPr>
                <w:rFonts w:ascii="Arial"/>
                <w:w w:val="95"/>
                <w:sz w:val="22"/>
              </w:rPr>
              <w:t>628,469,073</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6"/>
              <w:jc w:val="right"/>
              <w:rPr>
                <w:rFonts w:ascii="Arial" w:hAnsi="Arial" w:cs="Arial" w:eastAsia="Arial" w:hint="default"/>
                <w:sz w:val="22"/>
                <w:szCs w:val="22"/>
              </w:rPr>
            </w:pPr>
            <w:r>
              <w:rPr>
                <w:rFonts w:ascii="Arial"/>
                <w:w w:val="95"/>
                <w:sz w:val="22"/>
              </w:rPr>
              <w:t>3.93%</w:t>
            </w:r>
            <w:r>
              <w:rPr>
                <w:rFonts w:ascii="Arial"/>
                <w:sz w:val="22"/>
              </w:rPr>
            </w:r>
          </w:p>
        </w:tc>
      </w:tr>
      <w:tr>
        <w:trPr>
          <w:trHeight w:val="285"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第二名</w:t>
            </w:r>
          </w:p>
        </w:tc>
        <w:tc>
          <w:tcPr>
            <w:tcW w:w="2155" w:type="dxa"/>
            <w:tcBorders>
              <w:top w:val="nil" w:sz="6" w:space="0" w:color="auto"/>
              <w:left w:val="nil" w:sz="6" w:space="0" w:color="auto"/>
              <w:bottom w:val="nil" w:sz="6" w:space="0" w:color="auto"/>
              <w:right w:val="nil" w:sz="6" w:space="0" w:color="auto"/>
            </w:tcBorders>
          </w:tcPr>
          <w:p>
            <w:pPr>
              <w:pStyle w:val="TableParagraph"/>
              <w:spacing w:line="239" w:lineRule="exact"/>
              <w:ind w:left="924"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22"/>
                <w:szCs w:val="22"/>
              </w:rPr>
            </w:pPr>
            <w:r>
              <w:rPr>
                <w:rFonts w:ascii="Arial"/>
                <w:w w:val="95"/>
                <w:sz w:val="22"/>
              </w:rPr>
              <w:t>394,040,181</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2"/>
                <w:szCs w:val="22"/>
              </w:rPr>
            </w:pPr>
            <w:r>
              <w:rPr>
                <w:rFonts w:ascii="Arial"/>
                <w:w w:val="95"/>
                <w:sz w:val="22"/>
              </w:rPr>
              <w:t>2.46%</w:t>
            </w:r>
            <w:r>
              <w:rPr>
                <w:rFonts w:ascii="Arial"/>
                <w:sz w:val="22"/>
              </w:rPr>
            </w:r>
          </w:p>
        </w:tc>
      </w:tr>
      <w:tr>
        <w:trPr>
          <w:trHeight w:val="285"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第三名</w:t>
            </w:r>
          </w:p>
        </w:tc>
        <w:tc>
          <w:tcPr>
            <w:tcW w:w="2155" w:type="dxa"/>
            <w:tcBorders>
              <w:top w:val="nil" w:sz="6" w:space="0" w:color="auto"/>
              <w:left w:val="nil" w:sz="6" w:space="0" w:color="auto"/>
              <w:bottom w:val="nil" w:sz="6" w:space="0" w:color="auto"/>
              <w:right w:val="nil" w:sz="6" w:space="0" w:color="auto"/>
            </w:tcBorders>
          </w:tcPr>
          <w:p>
            <w:pPr>
              <w:pStyle w:val="TableParagraph"/>
              <w:spacing w:line="239" w:lineRule="exact"/>
              <w:ind w:left="924"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7"/>
              <w:jc w:val="right"/>
              <w:rPr>
                <w:rFonts w:ascii="Arial" w:hAnsi="Arial" w:cs="Arial" w:eastAsia="Arial" w:hint="default"/>
                <w:sz w:val="22"/>
                <w:szCs w:val="22"/>
              </w:rPr>
            </w:pPr>
            <w:r>
              <w:rPr>
                <w:rFonts w:ascii="Arial"/>
                <w:w w:val="95"/>
                <w:sz w:val="22"/>
              </w:rPr>
              <w:t>86,417,093</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2"/>
                <w:szCs w:val="22"/>
              </w:rPr>
            </w:pPr>
            <w:r>
              <w:rPr>
                <w:rFonts w:ascii="Arial"/>
                <w:w w:val="95"/>
                <w:sz w:val="22"/>
              </w:rPr>
              <w:t>0.54%</w:t>
            </w:r>
            <w:r>
              <w:rPr>
                <w:rFonts w:ascii="Arial"/>
                <w:sz w:val="22"/>
              </w:rPr>
            </w:r>
          </w:p>
        </w:tc>
      </w:tr>
      <w:tr>
        <w:trPr>
          <w:trHeight w:val="286"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第四名</w:t>
            </w:r>
          </w:p>
        </w:tc>
        <w:tc>
          <w:tcPr>
            <w:tcW w:w="2155" w:type="dxa"/>
            <w:tcBorders>
              <w:top w:val="nil" w:sz="6" w:space="0" w:color="auto"/>
              <w:left w:val="nil" w:sz="6" w:space="0" w:color="auto"/>
              <w:bottom w:val="nil" w:sz="6" w:space="0" w:color="auto"/>
              <w:right w:val="nil" w:sz="6" w:space="0" w:color="auto"/>
            </w:tcBorders>
          </w:tcPr>
          <w:p>
            <w:pPr>
              <w:pStyle w:val="TableParagraph"/>
              <w:spacing w:line="239" w:lineRule="exact"/>
              <w:ind w:left="924"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8"/>
              <w:jc w:val="right"/>
              <w:rPr>
                <w:rFonts w:ascii="Arial" w:hAnsi="Arial" w:cs="Arial" w:eastAsia="Arial" w:hint="default"/>
                <w:sz w:val="22"/>
                <w:szCs w:val="22"/>
              </w:rPr>
            </w:pPr>
            <w:r>
              <w:rPr>
                <w:rFonts w:ascii="Arial"/>
                <w:w w:val="95"/>
                <w:sz w:val="22"/>
              </w:rPr>
              <w:t>61,804,821</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95"/>
                <w:sz w:val="22"/>
              </w:rPr>
              <w:t>0.39%</w:t>
            </w:r>
            <w:r>
              <w:rPr>
                <w:rFonts w:ascii="Arial"/>
                <w:sz w:val="22"/>
              </w:rPr>
            </w:r>
          </w:p>
        </w:tc>
      </w:tr>
      <w:tr>
        <w:trPr>
          <w:trHeight w:val="281"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第五名</w:t>
            </w:r>
          </w:p>
        </w:tc>
        <w:tc>
          <w:tcPr>
            <w:tcW w:w="2155" w:type="dxa"/>
            <w:tcBorders>
              <w:top w:val="nil" w:sz="6" w:space="0" w:color="auto"/>
              <w:left w:val="nil" w:sz="6" w:space="0" w:color="auto"/>
              <w:bottom w:val="nil" w:sz="6" w:space="0" w:color="auto"/>
              <w:right w:val="nil" w:sz="6" w:space="0" w:color="auto"/>
            </w:tcBorders>
          </w:tcPr>
          <w:p>
            <w:pPr>
              <w:pStyle w:val="TableParagraph"/>
              <w:spacing w:line="239" w:lineRule="exact"/>
              <w:ind w:left="924"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tabs>
                <w:tab w:pos="540" w:val="left" w:leader="none"/>
                <w:tab w:pos="179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46,151,621</w:t>
            </w:r>
            <w:r>
              <w:rPr>
                <w:rFonts w:ascii="Arial"/>
                <w:sz w:val="22"/>
                <w:u w:val="single" w:color="000000"/>
              </w:rPr>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106"/>
              <w:jc w:val="right"/>
              <w:rPr>
                <w:rFonts w:ascii="Arial" w:hAnsi="Arial" w:cs="Arial" w:eastAsia="Arial" w:hint="default"/>
                <w:sz w:val="22"/>
                <w:szCs w:val="22"/>
              </w:rPr>
            </w:pPr>
            <w:r>
              <w:rPr>
                <w:rFonts w:ascii="Arial"/>
                <w:w w:val="95"/>
                <w:sz w:val="22"/>
              </w:rPr>
              <w:t>0.29%</w:t>
            </w:r>
            <w:r>
              <w:rPr>
                <w:rFonts w:ascii="Arial"/>
                <w:sz w:val="22"/>
              </w:rPr>
            </w:r>
          </w:p>
        </w:tc>
      </w:tr>
      <w:tr>
        <w:trPr>
          <w:trHeight w:val="569"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5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2" w:right="0"/>
              <w:jc w:val="left"/>
              <w:rPr>
                <w:rFonts w:ascii="Arial" w:hAnsi="Arial" w:cs="Arial" w:eastAsia="Arial" w:hint="default"/>
                <w:sz w:val="22"/>
                <w:szCs w:val="22"/>
              </w:rPr>
            </w:pPr>
            <w:r>
              <w:rPr>
                <w:rFonts w:ascii="Arial"/>
                <w:sz w:val="22"/>
              </w:rPr>
              <w:t>1,216,882,789</w:t>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single" w:sz="6"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6"/>
              <w:jc w:val="right"/>
              <w:rPr>
                <w:rFonts w:ascii="Arial" w:hAnsi="Arial" w:cs="Arial" w:eastAsia="Arial" w:hint="default"/>
                <w:sz w:val="22"/>
                <w:szCs w:val="22"/>
              </w:rPr>
            </w:pPr>
            <w:r>
              <w:rPr>
                <w:rFonts w:ascii="Arial"/>
                <w:w w:val="95"/>
                <w:sz w:val="22"/>
              </w:rPr>
              <w:t>7.61%</w:t>
            </w:r>
            <w:r>
              <w:rPr>
                <w:rFonts w:ascii="Arial"/>
                <w:sz w:val="22"/>
              </w:rPr>
            </w:r>
          </w:p>
        </w:tc>
      </w:tr>
    </w:tbl>
    <w:p>
      <w:pPr>
        <w:spacing w:after="0" w:line="240" w:lineRule="auto"/>
        <w:jc w:val="right"/>
        <w:rPr>
          <w:rFonts w:ascii="Arial" w:hAnsi="Arial" w:cs="Arial" w:eastAsia="Arial" w:hint="default"/>
          <w:sz w:val="22"/>
          <w:szCs w:val="22"/>
        </w:rPr>
        <w:sectPr>
          <w:type w:val="continuous"/>
          <w:pgSz w:w="11900" w:h="16840"/>
          <w:pgMar w:top="1600" w:bottom="280" w:left="1240" w:right="860"/>
        </w:sectPr>
      </w:pPr>
    </w:p>
    <w:p>
      <w:pPr>
        <w:spacing w:line="240" w:lineRule="auto" w:before="12"/>
        <w:rPr>
          <w:rFonts w:ascii="宋体" w:hAnsi="宋体" w:cs="宋体" w:eastAsia="宋体" w:hint="default"/>
          <w:sz w:val="11"/>
          <w:szCs w:val="11"/>
        </w:rPr>
      </w:pPr>
    </w:p>
    <w:p>
      <w:pPr>
        <w:pStyle w:val="BodyText"/>
        <w:spacing w:line="240" w:lineRule="auto" w:before="31"/>
        <w:ind w:left="154" w:right="0"/>
        <w:jc w:val="left"/>
      </w:pPr>
      <w:r>
        <w:rPr>
          <w:rFonts w:ascii="Arial" w:hAnsi="Arial" w:cs="Arial" w:eastAsia="Arial" w:hint="default"/>
        </w:rPr>
        <w:t>(h) </w:t>
      </w:r>
      <w:r>
        <w:rPr>
          <w:rFonts w:ascii="Arial" w:hAnsi="Arial" w:cs="Arial" w:eastAsia="Arial" w:hint="default"/>
          <w:spacing w:val="40"/>
        </w:rPr>
        <w:t> </w:t>
      </w:r>
      <w:r>
        <w:rPr/>
        <w:t>应收关联方的应收账款分析如下：</w:t>
      </w:r>
    </w:p>
    <w:p>
      <w:pPr>
        <w:spacing w:line="240" w:lineRule="auto" w:before="12"/>
        <w:rPr>
          <w:rFonts w:ascii="宋体" w:hAnsi="宋体" w:cs="宋体" w:eastAsia="宋体" w:hint="default"/>
          <w:sz w:val="10"/>
          <w:szCs w:val="10"/>
        </w:rPr>
      </w:pPr>
    </w:p>
    <w:p>
      <w:pPr>
        <w:tabs>
          <w:tab w:pos="6914" w:val="left" w:leader="none"/>
        </w:tabs>
        <w:spacing w:before="44"/>
        <w:ind w:left="4237"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日（经重列）</w:t>
      </w:r>
    </w:p>
    <w:tbl>
      <w:tblPr>
        <w:tblW w:w="0" w:type="auto"/>
        <w:jc w:val="left"/>
        <w:tblInd w:w="580" w:type="dxa"/>
        <w:tblLayout w:type="fixed"/>
        <w:tblCellMar>
          <w:top w:w="0" w:type="dxa"/>
          <w:left w:w="0" w:type="dxa"/>
          <w:bottom w:w="0" w:type="dxa"/>
          <w:right w:w="0" w:type="dxa"/>
        </w:tblCellMar>
        <w:tblLook w:val="01E0"/>
      </w:tblPr>
      <w:tblGrid>
        <w:gridCol w:w="1296"/>
        <w:gridCol w:w="1636"/>
        <w:gridCol w:w="1062"/>
        <w:gridCol w:w="108"/>
        <w:gridCol w:w="882"/>
        <w:gridCol w:w="108"/>
        <w:gridCol w:w="856"/>
        <w:gridCol w:w="108"/>
        <w:gridCol w:w="1106"/>
        <w:gridCol w:w="106"/>
        <w:gridCol w:w="858"/>
        <w:gridCol w:w="102"/>
        <w:gridCol w:w="848"/>
      </w:tblGrid>
      <w:tr>
        <w:trPr>
          <w:trHeight w:val="481" w:hRule="exact"/>
        </w:trPr>
        <w:tc>
          <w:tcPr>
            <w:tcW w:w="1296"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062"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single" w:sz="6" w:space="0" w:color="000000"/>
              <w:left w:val="nil" w:sz="6" w:space="0" w:color="auto"/>
              <w:bottom w:val="nil" w:sz="6" w:space="0" w:color="auto"/>
              <w:right w:val="nil" w:sz="6" w:space="0" w:color="auto"/>
            </w:tcBorders>
          </w:tcPr>
          <w:p>
            <w:pPr/>
          </w:p>
        </w:tc>
        <w:tc>
          <w:tcPr>
            <w:tcW w:w="882"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41" w:right="0" w:hanging="18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35" w:lineRule="exact"/>
              <w:ind w:left="341"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108" w:type="dxa"/>
            <w:tcBorders>
              <w:top w:val="single" w:sz="6" w:space="0" w:color="000000"/>
              <w:left w:val="nil" w:sz="6" w:space="0" w:color="auto"/>
              <w:bottom w:val="nil" w:sz="6" w:space="0" w:color="auto"/>
              <w:right w:val="nil" w:sz="6" w:space="0" w:color="auto"/>
            </w:tcBorders>
          </w:tcPr>
          <w:p>
            <w:pPr/>
          </w:p>
        </w:tc>
        <w:tc>
          <w:tcPr>
            <w:tcW w:w="856"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 w:type="dxa"/>
            <w:tcBorders>
              <w:top w:val="nil" w:sz="6" w:space="0" w:color="auto"/>
              <w:left w:val="nil" w:sz="6" w:space="0" w:color="auto"/>
              <w:bottom w:val="nil" w:sz="6" w:space="0" w:color="auto"/>
              <w:right w:val="nil" w:sz="6" w:space="0" w:color="auto"/>
            </w:tcBorders>
          </w:tcPr>
          <w:p>
            <w:pPr/>
          </w:p>
        </w:tc>
        <w:tc>
          <w:tcPr>
            <w:tcW w:w="1106"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6" w:space="0" w:color="000000"/>
              <w:left w:val="nil" w:sz="6" w:space="0" w:color="auto"/>
              <w:bottom w:val="nil" w:sz="6" w:space="0" w:color="auto"/>
              <w:right w:val="nil" w:sz="6" w:space="0" w:color="auto"/>
            </w:tcBorders>
          </w:tcPr>
          <w:p>
            <w:pPr/>
          </w:p>
        </w:tc>
        <w:tc>
          <w:tcPr>
            <w:tcW w:w="85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17" w:right="0" w:hanging="18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35" w:lineRule="exact"/>
              <w:ind w:left="317"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102" w:type="dxa"/>
            <w:tcBorders>
              <w:top w:val="single" w:sz="6" w:space="0" w:color="000000"/>
              <w:left w:val="nil" w:sz="6" w:space="0" w:color="auto"/>
              <w:bottom w:val="nil" w:sz="6" w:space="0" w:color="auto"/>
              <w:right w:val="nil" w:sz="6" w:space="0" w:color="auto"/>
            </w:tcBorders>
          </w:tcPr>
          <w:p>
            <w:pPr/>
          </w:p>
        </w:tc>
        <w:tc>
          <w:tcPr>
            <w:tcW w:w="848"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8" w:hRule="exact"/>
        </w:trPr>
        <w:tc>
          <w:tcPr>
            <w:tcW w:w="29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1330"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联通集团</w:t>
              <w:tab/>
              <w:t>本公司之母公司</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1" w:right="0"/>
              <w:jc w:val="center"/>
              <w:rPr>
                <w:rFonts w:ascii="Arial" w:hAnsi="Arial" w:cs="Arial" w:eastAsia="Arial" w:hint="default"/>
                <w:sz w:val="18"/>
                <w:szCs w:val="18"/>
              </w:rPr>
            </w:pPr>
            <w:r>
              <w:rPr>
                <w:rFonts w:ascii="Arial"/>
                <w:sz w:val="18"/>
              </w:rPr>
              <w:t>6,911,495</w:t>
            </w:r>
          </w:p>
        </w:tc>
        <w:tc>
          <w:tcPr>
            <w:tcW w:w="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5" w:right="0"/>
              <w:jc w:val="left"/>
              <w:rPr>
                <w:rFonts w:ascii="Arial" w:hAnsi="Arial" w:cs="Arial" w:eastAsia="Arial" w:hint="default"/>
                <w:sz w:val="18"/>
                <w:szCs w:val="18"/>
              </w:rPr>
            </w:pPr>
            <w:r>
              <w:rPr>
                <w:rFonts w:ascii="Arial"/>
                <w:sz w:val="18"/>
              </w:rPr>
              <w:t>0.04%</w:t>
            </w:r>
          </w:p>
        </w:tc>
        <w:tc>
          <w:tcPr>
            <w:tcW w:w="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right"/>
              <w:rPr>
                <w:rFonts w:ascii="Arial" w:hAnsi="Arial" w:cs="Arial" w:eastAsia="Arial" w:hint="default"/>
                <w:sz w:val="18"/>
                <w:szCs w:val="18"/>
              </w:rPr>
            </w:pPr>
            <w:r>
              <w:rPr>
                <w:rFonts w:ascii="Arial"/>
                <w:w w:val="99"/>
                <w:sz w:val="18"/>
              </w:rPr>
              <w:t>-</w:t>
            </w:r>
            <w:r>
              <w:rPr>
                <w:rFonts w:ascii="Arial"/>
                <w:sz w:val="18"/>
              </w:rPr>
            </w:r>
          </w:p>
        </w:tc>
        <w:tc>
          <w:tcPr>
            <w:tcW w:w="12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Arial" w:hAnsi="Arial" w:cs="Arial" w:eastAsia="Arial" w:hint="default"/>
                <w:sz w:val="18"/>
                <w:szCs w:val="18"/>
              </w:rPr>
            </w:pPr>
            <w:r>
              <w:rPr>
                <w:rFonts w:ascii="Arial"/>
                <w:sz w:val="18"/>
              </w:rPr>
              <w:t>13,613,082</w:t>
            </w:r>
          </w:p>
        </w:tc>
        <w:tc>
          <w:tcPr>
            <w:tcW w:w="191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1741" w:val="left" w:leader="none"/>
              </w:tabs>
              <w:spacing w:line="240" w:lineRule="auto"/>
              <w:ind w:left="417" w:right="0"/>
              <w:jc w:val="left"/>
              <w:rPr>
                <w:rFonts w:ascii="Arial" w:hAnsi="Arial" w:cs="Arial" w:eastAsia="Arial" w:hint="default"/>
                <w:sz w:val="18"/>
                <w:szCs w:val="18"/>
              </w:rPr>
            </w:pPr>
            <w:r>
              <w:rPr>
                <w:rFonts w:ascii="Arial"/>
                <w:spacing w:val="-1"/>
                <w:sz w:val="18"/>
              </w:rPr>
              <w:t>0.09%</w:t>
              <w:tab/>
            </w:r>
            <w:r>
              <w:rPr>
                <w:rFonts w:ascii="Arial"/>
                <w:sz w:val="18"/>
              </w:rPr>
              <w:t>-</w:t>
            </w:r>
          </w:p>
        </w:tc>
      </w:tr>
      <w:tr>
        <w:trPr>
          <w:trHeight w:val="350" w:hRule="exact"/>
        </w:trPr>
        <w:tc>
          <w:tcPr>
            <w:tcW w:w="2932" w:type="dxa"/>
            <w:gridSpan w:val="2"/>
            <w:tcBorders>
              <w:top w:val="nil" w:sz="6" w:space="0" w:color="auto"/>
              <w:left w:val="nil" w:sz="6" w:space="0" w:color="auto"/>
              <w:bottom w:val="nil" w:sz="6" w:space="0" w:color="auto"/>
              <w:right w:val="nil" w:sz="6" w:space="0" w:color="auto"/>
            </w:tcBorders>
          </w:tcPr>
          <w:p>
            <w:pPr>
              <w:pStyle w:val="TableParagraph"/>
              <w:tabs>
                <w:tab w:pos="1330" w:val="left" w:leader="none"/>
              </w:tabs>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联通新时空</w:t>
              <w:tab/>
              <w:t>同受联通集团控制</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联通集团其他</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
              <w:jc w:val="center"/>
              <w:rPr>
                <w:rFonts w:ascii="Arial" w:hAnsi="Arial" w:cs="Arial" w:eastAsia="Arial" w:hint="default"/>
                <w:sz w:val="18"/>
                <w:szCs w:val="18"/>
              </w:rPr>
            </w:pPr>
            <w:r>
              <w:rPr>
                <w:rFonts w:ascii="Arial"/>
                <w:sz w:val="18"/>
              </w:rPr>
              <w:t>18,287,362</w:t>
            </w:r>
          </w:p>
        </w:tc>
        <w:tc>
          <w:tcPr>
            <w:tcW w:w="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25" w:right="0"/>
              <w:jc w:val="left"/>
              <w:rPr>
                <w:rFonts w:ascii="Arial" w:hAnsi="Arial" w:cs="Arial" w:eastAsia="Arial" w:hint="default"/>
                <w:sz w:val="18"/>
                <w:szCs w:val="18"/>
              </w:rPr>
            </w:pPr>
            <w:r>
              <w:rPr>
                <w:rFonts w:ascii="Arial"/>
                <w:sz w:val="18"/>
              </w:rPr>
              <w:t>0.11%</w:t>
            </w:r>
          </w:p>
        </w:tc>
        <w:tc>
          <w:tcPr>
            <w:tcW w:w="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18"/>
                <w:szCs w:val="18"/>
              </w:rPr>
            </w:pPr>
            <w:r>
              <w:rPr>
                <w:rFonts w:ascii="Arial"/>
                <w:w w:val="99"/>
                <w:sz w:val="18"/>
              </w:rPr>
              <w:t>-</w:t>
            </w:r>
            <w:r>
              <w:rPr>
                <w:rFonts w:ascii="Arial"/>
                <w:sz w:val="18"/>
              </w:rPr>
            </w:r>
          </w:p>
        </w:tc>
        <w:tc>
          <w:tcPr>
            <w:tcW w:w="12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68" w:right="0"/>
              <w:jc w:val="left"/>
              <w:rPr>
                <w:rFonts w:ascii="Arial" w:hAnsi="Arial" w:cs="Arial" w:eastAsia="Arial" w:hint="default"/>
                <w:sz w:val="18"/>
                <w:szCs w:val="18"/>
              </w:rPr>
            </w:pPr>
            <w:r>
              <w:rPr>
                <w:rFonts w:ascii="Arial"/>
                <w:sz w:val="18"/>
              </w:rPr>
              <w:t>23,360,083</w:t>
            </w:r>
          </w:p>
        </w:tc>
        <w:tc>
          <w:tcPr>
            <w:tcW w:w="1914" w:type="dxa"/>
            <w:gridSpan w:val="4"/>
            <w:tcBorders>
              <w:top w:val="nil" w:sz="6" w:space="0" w:color="auto"/>
              <w:left w:val="nil" w:sz="6" w:space="0" w:color="auto"/>
              <w:bottom w:val="nil" w:sz="6" w:space="0" w:color="auto"/>
              <w:right w:val="nil" w:sz="6" w:space="0" w:color="auto"/>
            </w:tcBorders>
          </w:tcPr>
          <w:p>
            <w:pPr>
              <w:pStyle w:val="TableParagraph"/>
              <w:tabs>
                <w:tab w:pos="1741" w:val="left" w:leader="none"/>
              </w:tabs>
              <w:spacing w:line="240" w:lineRule="auto" w:before="15"/>
              <w:ind w:left="417" w:right="0"/>
              <w:jc w:val="left"/>
              <w:rPr>
                <w:rFonts w:ascii="Arial" w:hAnsi="Arial" w:cs="Arial" w:eastAsia="Arial" w:hint="default"/>
                <w:sz w:val="18"/>
                <w:szCs w:val="18"/>
              </w:rPr>
            </w:pPr>
            <w:r>
              <w:rPr>
                <w:rFonts w:ascii="Arial"/>
                <w:spacing w:val="-1"/>
                <w:sz w:val="18"/>
              </w:rPr>
              <w:t>0.16%</w:t>
              <w:tab/>
            </w:r>
            <w:r>
              <w:rPr>
                <w:rFonts w:ascii="Arial"/>
                <w:sz w:val="18"/>
              </w:rPr>
              <w:t>-</w:t>
            </w:r>
          </w:p>
        </w:tc>
      </w:tr>
      <w:tr>
        <w:trPr>
          <w:trHeight w:val="472" w:hRule="exact"/>
        </w:trPr>
        <w:tc>
          <w:tcPr>
            <w:tcW w:w="2932" w:type="dxa"/>
            <w:gridSpan w:val="2"/>
            <w:tcBorders>
              <w:top w:val="nil" w:sz="6" w:space="0" w:color="auto"/>
              <w:left w:val="nil" w:sz="6" w:space="0" w:color="auto"/>
              <w:bottom w:val="nil" w:sz="6" w:space="0" w:color="auto"/>
              <w:right w:val="nil" w:sz="6" w:space="0" w:color="auto"/>
            </w:tcBorders>
          </w:tcPr>
          <w:p>
            <w:pPr>
              <w:pStyle w:val="TableParagraph"/>
              <w:tabs>
                <w:tab w:pos="1330" w:val="left" w:leader="none"/>
              </w:tabs>
              <w:spacing w:line="240" w:lineRule="auto" w:before="77"/>
              <w:ind w:left="189" w:right="0"/>
              <w:jc w:val="left"/>
              <w:rPr>
                <w:rFonts w:ascii="宋体" w:hAnsi="宋体" w:cs="宋体" w:eastAsia="宋体" w:hint="default"/>
                <w:sz w:val="18"/>
                <w:szCs w:val="18"/>
              </w:rPr>
            </w:pPr>
            <w:r>
              <w:rPr>
                <w:rFonts w:ascii="宋体" w:hAnsi="宋体" w:cs="宋体" w:eastAsia="宋体" w:hint="default"/>
                <w:sz w:val="18"/>
                <w:szCs w:val="18"/>
              </w:rPr>
              <w:t>附属公司</w:t>
              <w:tab/>
              <w:t>同受联通集团控制</w:t>
            </w:r>
          </w:p>
        </w:tc>
        <w:tc>
          <w:tcPr>
            <w:tcW w:w="1062" w:type="dxa"/>
            <w:tcBorders>
              <w:top w:val="nil" w:sz="6" w:space="0" w:color="auto"/>
              <w:left w:val="nil" w:sz="6" w:space="0" w:color="auto"/>
              <w:bottom w:val="nil" w:sz="6" w:space="0" w:color="auto"/>
              <w:right w:val="nil" w:sz="6" w:space="0" w:color="auto"/>
            </w:tcBorders>
          </w:tcPr>
          <w:p>
            <w:pPr>
              <w:pStyle w:val="TableParagraph"/>
              <w:tabs>
                <w:tab w:pos="1061" w:val="left" w:leader="none"/>
              </w:tabs>
              <w:spacing w:line="240" w:lineRule="auto" w:before="131"/>
              <w:ind w:right="0"/>
              <w:jc w:val="center"/>
              <w:rPr>
                <w:rFonts w:ascii="Arial" w:hAnsi="Arial" w:cs="Arial" w:eastAsia="Arial" w:hint="default"/>
                <w:sz w:val="18"/>
                <w:szCs w:val="18"/>
              </w:rPr>
            </w:pPr>
            <w:r>
              <w:rPr>
                <w:rFonts w:ascii="Arial"/>
                <w:w w:val="100"/>
                <w:sz w:val="18"/>
              </w:rPr>
            </w:r>
            <w:r>
              <w:rPr>
                <w:rFonts w:ascii="Arial"/>
                <w:spacing w:val="11"/>
                <w:w w:val="100"/>
                <w:sz w:val="18"/>
                <w:u w:val="single" w:color="000000"/>
              </w:rPr>
              <w:t> </w:t>
            </w:r>
            <w:r>
              <w:rPr>
                <w:rFonts w:ascii="Arial"/>
                <w:sz w:val="18"/>
                <w:u w:val="single" w:color="000000"/>
              </w:rPr>
              <w:t>10,192,327</w:t>
              <w:tab/>
            </w:r>
            <w:r>
              <w:rPr>
                <w:rFonts w:ascii="Arial"/>
                <w:sz w:val="18"/>
              </w:rPr>
            </w:r>
          </w:p>
        </w:tc>
        <w:tc>
          <w:tcPr>
            <w:tcW w:w="990" w:type="dxa"/>
            <w:gridSpan w:val="2"/>
            <w:tcBorders>
              <w:top w:val="nil" w:sz="6" w:space="0" w:color="auto"/>
              <w:left w:val="nil" w:sz="6" w:space="0" w:color="auto"/>
              <w:bottom w:val="nil" w:sz="6" w:space="0" w:color="auto"/>
              <w:right w:val="nil" w:sz="6" w:space="0" w:color="auto"/>
            </w:tcBorders>
          </w:tcPr>
          <w:p>
            <w:pPr>
              <w:pStyle w:val="TableParagraph"/>
              <w:tabs>
                <w:tab w:pos="425" w:val="left" w:leader="none"/>
                <w:tab w:pos="989" w:val="left" w:leader="none"/>
              </w:tabs>
              <w:spacing w:line="240" w:lineRule="auto" w:before="131"/>
              <w:ind w:left="10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0.06%</w:t>
              <w:tab/>
            </w:r>
            <w:r>
              <w:rPr>
                <w:rFonts w:ascii="Arial"/>
                <w:sz w:val="18"/>
              </w:rPr>
            </w:r>
          </w:p>
        </w:tc>
        <w:tc>
          <w:tcPr>
            <w:tcW w:w="964" w:type="dxa"/>
            <w:gridSpan w:val="2"/>
            <w:tcBorders>
              <w:top w:val="nil" w:sz="6" w:space="0" w:color="auto"/>
              <w:left w:val="nil" w:sz="6" w:space="0" w:color="auto"/>
              <w:bottom w:val="nil" w:sz="6" w:space="0" w:color="auto"/>
              <w:right w:val="nil" w:sz="6" w:space="0" w:color="auto"/>
            </w:tcBorders>
          </w:tcPr>
          <w:p>
            <w:pPr>
              <w:pStyle w:val="TableParagraph"/>
              <w:tabs>
                <w:tab w:pos="829" w:val="left" w:leader="none"/>
              </w:tabs>
              <w:spacing w:line="240" w:lineRule="auto" w:before="131"/>
              <w:ind w:left="10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1"/>
              <w:ind w:left="10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z w:val="18"/>
                <w:u w:val="single" w:color="000000"/>
              </w:rPr>
              <w:t>16,352,735</w:t>
            </w:r>
            <w:r>
              <w:rPr>
                <w:rFonts w:ascii="Arial"/>
                <w:sz w:val="18"/>
              </w:rPr>
            </w:r>
          </w:p>
        </w:tc>
        <w:tc>
          <w:tcPr>
            <w:tcW w:w="1914" w:type="dxa"/>
            <w:gridSpan w:val="4"/>
            <w:tcBorders>
              <w:top w:val="nil" w:sz="6" w:space="0" w:color="auto"/>
              <w:left w:val="nil" w:sz="6" w:space="0" w:color="auto"/>
              <w:bottom w:val="nil" w:sz="6" w:space="0" w:color="auto"/>
              <w:right w:val="nil" w:sz="6" w:space="0" w:color="auto"/>
            </w:tcBorders>
          </w:tcPr>
          <w:p>
            <w:pPr>
              <w:pStyle w:val="TableParagraph"/>
              <w:tabs>
                <w:tab w:pos="417" w:val="left" w:leader="none"/>
                <w:tab w:pos="1741" w:val="left" w:leader="none"/>
                <w:tab w:pos="1913" w:val="left" w:leader="none"/>
              </w:tabs>
              <w:spacing w:line="240" w:lineRule="auto" w:before="131"/>
              <w:ind w:left="10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0.11%</w:t>
            </w:r>
            <w:r>
              <w:rPr>
                <w:rFonts w:ascii="Arial"/>
                <w:spacing w:val="-1"/>
                <w:sz w:val="18"/>
              </w:rPr>
            </w:r>
            <w:r>
              <w:rPr>
                <w:rFonts w:ascii="Arial"/>
                <w:spacing w:val="-1"/>
                <w:sz w:val="18"/>
                <w:u w:val="single" w:color="000000"/>
              </w:rPr>
              <w:t> </w:t>
              <w:tab/>
            </w:r>
            <w:r>
              <w:rPr>
                <w:rFonts w:ascii="Arial"/>
                <w:sz w:val="18"/>
                <w:u w:val="single" w:color="000000"/>
              </w:rPr>
              <w:t>-</w:t>
              <w:tab/>
            </w:r>
            <w:r>
              <w:rPr>
                <w:rFonts w:ascii="Arial"/>
                <w:sz w:val="18"/>
              </w:rPr>
            </w:r>
          </w:p>
        </w:tc>
      </w:tr>
      <w:tr>
        <w:trPr>
          <w:trHeight w:val="346" w:hRule="exact"/>
        </w:trPr>
        <w:tc>
          <w:tcPr>
            <w:tcW w:w="29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nil" w:sz="6" w:space="0" w:color="auto"/>
              <w:left w:val="nil" w:sz="6" w:space="0" w:color="auto"/>
              <w:bottom w:val="single" w:sz="17" w:space="0" w:color="000000"/>
              <w:right w:val="nil" w:sz="6" w:space="0" w:color="auto"/>
            </w:tcBorders>
          </w:tcPr>
          <w:p>
            <w:pPr>
              <w:pStyle w:val="TableParagraph"/>
              <w:spacing w:line="240" w:lineRule="auto" w:before="115"/>
              <w:ind w:right="37"/>
              <w:jc w:val="center"/>
              <w:rPr>
                <w:rFonts w:ascii="Arial" w:hAnsi="Arial" w:cs="Arial" w:eastAsia="Arial" w:hint="default"/>
                <w:sz w:val="18"/>
                <w:szCs w:val="18"/>
              </w:rPr>
            </w:pPr>
            <w:r>
              <w:rPr>
                <w:rFonts w:ascii="Arial"/>
                <w:sz w:val="18"/>
              </w:rPr>
              <w:t>35,391,184</w:t>
            </w:r>
          </w:p>
        </w:tc>
        <w:tc>
          <w:tcPr>
            <w:tcW w:w="990"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15"/>
              <w:ind w:left="425" w:right="0"/>
              <w:jc w:val="left"/>
              <w:rPr>
                <w:rFonts w:ascii="Arial" w:hAnsi="Arial" w:cs="Arial" w:eastAsia="Arial" w:hint="default"/>
                <w:sz w:val="18"/>
                <w:szCs w:val="18"/>
              </w:rPr>
            </w:pPr>
            <w:r>
              <w:rPr>
                <w:rFonts w:ascii="Arial"/>
                <w:sz w:val="18"/>
              </w:rPr>
              <w:t>0.21%</w:t>
            </w:r>
          </w:p>
        </w:tc>
        <w:tc>
          <w:tcPr>
            <w:tcW w:w="964"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15"/>
              <w:ind w:right="71"/>
              <w:jc w:val="right"/>
              <w:rPr>
                <w:rFonts w:ascii="Arial" w:hAnsi="Arial" w:cs="Arial" w:eastAsia="Arial" w:hint="default"/>
                <w:sz w:val="18"/>
                <w:szCs w:val="18"/>
              </w:rPr>
            </w:pPr>
            <w:r>
              <w:rPr>
                <w:rFonts w:ascii="Arial"/>
                <w:w w:val="99"/>
                <w:sz w:val="18"/>
              </w:rPr>
              <w:t>-</w:t>
            </w:r>
            <w:r>
              <w:rPr>
                <w:rFonts w:ascii="Arial"/>
                <w:sz w:val="18"/>
              </w:rPr>
            </w:r>
          </w:p>
        </w:tc>
        <w:tc>
          <w:tcPr>
            <w:tcW w:w="1214"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15"/>
              <w:ind w:left="268" w:right="0"/>
              <w:jc w:val="left"/>
              <w:rPr>
                <w:rFonts w:ascii="Arial" w:hAnsi="Arial" w:cs="Arial" w:eastAsia="Arial" w:hint="default"/>
                <w:sz w:val="18"/>
                <w:szCs w:val="18"/>
              </w:rPr>
            </w:pPr>
            <w:r>
              <w:rPr>
                <w:rFonts w:ascii="Arial"/>
                <w:sz w:val="18"/>
              </w:rPr>
              <w:t>53,325,900</w:t>
            </w:r>
          </w:p>
        </w:tc>
        <w:tc>
          <w:tcPr>
            <w:tcW w:w="1914" w:type="dxa"/>
            <w:gridSpan w:val="4"/>
            <w:tcBorders>
              <w:top w:val="nil" w:sz="6" w:space="0" w:color="auto"/>
              <w:left w:val="nil" w:sz="6" w:space="0" w:color="auto"/>
              <w:bottom w:val="single" w:sz="17" w:space="0" w:color="000000"/>
              <w:right w:val="nil" w:sz="6" w:space="0" w:color="auto"/>
            </w:tcBorders>
          </w:tcPr>
          <w:p>
            <w:pPr>
              <w:pStyle w:val="TableParagraph"/>
              <w:tabs>
                <w:tab w:pos="1741" w:val="left" w:leader="none"/>
              </w:tabs>
              <w:spacing w:line="240" w:lineRule="auto" w:before="115"/>
              <w:ind w:left="417" w:right="0"/>
              <w:jc w:val="left"/>
              <w:rPr>
                <w:rFonts w:ascii="Arial" w:hAnsi="Arial" w:cs="Arial" w:eastAsia="Arial" w:hint="default"/>
                <w:sz w:val="18"/>
                <w:szCs w:val="18"/>
              </w:rPr>
            </w:pPr>
            <w:r>
              <w:rPr>
                <w:rFonts w:ascii="Arial"/>
                <w:spacing w:val="-1"/>
                <w:sz w:val="18"/>
              </w:rPr>
              <w:t>0.36%</w:t>
              <w:tab/>
            </w:r>
            <w:r>
              <w:rPr>
                <w:rFonts w:ascii="Arial"/>
                <w:sz w:val="18"/>
              </w:rPr>
              <w:t>-</w:t>
            </w:r>
          </w:p>
        </w:tc>
      </w:tr>
    </w:tbl>
    <w:p>
      <w:pPr>
        <w:spacing w:line="240" w:lineRule="auto" w:before="3"/>
        <w:rPr>
          <w:rFonts w:ascii="宋体" w:hAnsi="宋体" w:cs="宋体" w:eastAsia="宋体" w:hint="default"/>
          <w:sz w:val="10"/>
          <w:szCs w:val="10"/>
        </w:rPr>
      </w:pPr>
    </w:p>
    <w:p>
      <w:pPr>
        <w:pStyle w:val="BodyText"/>
        <w:tabs>
          <w:tab w:pos="587" w:val="left" w:leader="none"/>
        </w:tabs>
        <w:spacing w:line="240" w:lineRule="auto" w:before="31"/>
        <w:ind w:left="154" w:right="0"/>
        <w:jc w:val="left"/>
      </w:pPr>
      <w:r>
        <w:rPr>
          <w:rFonts w:ascii="Arial" w:hAnsi="Arial" w:cs="Arial" w:eastAsia="Arial" w:hint="default"/>
          <w:w w:val="95"/>
        </w:rPr>
        <w:t>(i)</w:t>
        <w:tab/>
      </w:r>
      <w:r>
        <w:rPr/>
        <w:t>于</w:t>
      </w:r>
      <w:r>
        <w:rPr>
          <w:spacing w:val="-55"/>
        </w:rPr>
        <w:t> </w:t>
      </w:r>
      <w:r>
        <w:rPr>
          <w:rFonts w:ascii="Arial" w:hAnsi="Arial" w:cs="Arial" w:eastAsia="Arial" w:hint="default"/>
        </w:rPr>
        <w:t>2011</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日及</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spacing w:val="-4"/>
        </w:rPr>
        <w:t>日，本集团应收账款中以外币计价的余额并不重大。</w:t>
      </w:r>
    </w:p>
    <w:p>
      <w:pPr>
        <w:pStyle w:val="BodyText"/>
        <w:spacing w:line="240" w:lineRule="auto" w:before="182"/>
        <w:ind w:left="182" w:right="0"/>
        <w:jc w:val="left"/>
      </w:pPr>
      <w:r>
        <w:rPr>
          <w:rFonts w:ascii="Arial" w:hAnsi="Arial" w:cs="Arial" w:eastAsia="Arial" w:hint="default"/>
        </w:rPr>
        <w:t>4</w:t>
      </w:r>
      <w:r>
        <w:rPr/>
        <w:t>、</w:t>
      </w:r>
      <w:r>
        <w:rPr>
          <w:spacing w:val="-37"/>
        </w:rPr>
        <w:t> </w:t>
      </w:r>
      <w:r>
        <w:rPr/>
        <w:t>其他应收款</w:t>
      </w:r>
    </w:p>
    <w:p>
      <w:pPr>
        <w:spacing w:line="240" w:lineRule="auto" w:before="6"/>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164"/>
        <w:gridCol w:w="2548"/>
        <w:gridCol w:w="260"/>
        <w:gridCol w:w="2557"/>
      </w:tblGrid>
      <w:tr>
        <w:trPr>
          <w:trHeight w:val="361" w:hRule="exact"/>
        </w:trPr>
        <w:tc>
          <w:tcPr>
            <w:tcW w:w="4164" w:type="dxa"/>
            <w:vMerge w:val="restart"/>
            <w:tcBorders>
              <w:top w:val="nil" w:sz="6" w:space="0" w:color="auto"/>
              <w:left w:val="nil" w:sz="6" w:space="0" w:color="auto"/>
              <w:right w:val="nil" w:sz="6" w:space="0" w:color="auto"/>
            </w:tcBorders>
          </w:tcPr>
          <w:p>
            <w:pPr/>
          </w:p>
        </w:tc>
        <w:tc>
          <w:tcPr>
            <w:tcW w:w="2548"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6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86"/>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17" w:hRule="exact"/>
        </w:trPr>
        <w:tc>
          <w:tcPr>
            <w:tcW w:w="4164" w:type="dxa"/>
            <w:vMerge/>
            <w:tcBorders>
              <w:left w:val="nil" w:sz="6" w:space="0" w:color="auto"/>
              <w:bottom w:val="nil" w:sz="6" w:space="0" w:color="auto"/>
              <w:right w:val="nil" w:sz="6" w:space="0" w:color="auto"/>
            </w:tcBorders>
          </w:tcPr>
          <w:p>
            <w:pPr/>
          </w:p>
        </w:tc>
        <w:tc>
          <w:tcPr>
            <w:tcW w:w="2548" w:type="dxa"/>
            <w:tcBorders>
              <w:top w:val="single" w:sz="6" w:space="0" w:color="000000"/>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single" w:sz="6" w:space="0" w:color="000000"/>
              <w:left w:val="nil" w:sz="6" w:space="0" w:color="auto"/>
              <w:bottom w:val="nil" w:sz="6" w:space="0" w:color="auto"/>
              <w:right w:val="nil" w:sz="6" w:space="0" w:color="auto"/>
            </w:tcBorders>
          </w:tcPr>
          <w:p>
            <w:pPr>
              <w:pStyle w:val="TableParagraph"/>
              <w:spacing w:line="277" w:lineRule="exact"/>
              <w:ind w:right="56"/>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98"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3" w:lineRule="exact"/>
              <w:ind w:left="500" w:right="0"/>
              <w:jc w:val="left"/>
              <w:rPr>
                <w:rFonts w:ascii="宋体" w:hAnsi="宋体" w:cs="宋体" w:eastAsia="宋体" w:hint="default"/>
                <w:sz w:val="22"/>
                <w:szCs w:val="22"/>
              </w:rPr>
            </w:pPr>
            <w:r>
              <w:rPr>
                <w:rFonts w:ascii="宋体" w:hAnsi="宋体" w:cs="宋体" w:eastAsia="宋体" w:hint="default"/>
                <w:sz w:val="22"/>
                <w:szCs w:val="22"/>
              </w:rPr>
              <w:t>备用金及垫付款</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7"/>
              <w:jc w:val="right"/>
              <w:rPr>
                <w:rFonts w:ascii="Arial" w:hAnsi="Arial" w:cs="Arial" w:eastAsia="Arial" w:hint="default"/>
                <w:sz w:val="22"/>
                <w:szCs w:val="22"/>
              </w:rPr>
            </w:pPr>
            <w:r>
              <w:rPr>
                <w:rFonts w:ascii="Arial"/>
                <w:w w:val="95"/>
                <w:sz w:val="22"/>
              </w:rPr>
              <w:t>792,017,919</w:t>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55" w:right="0"/>
              <w:jc w:val="left"/>
              <w:rPr>
                <w:rFonts w:ascii="Arial" w:hAnsi="Arial" w:cs="Arial" w:eastAsia="Arial" w:hint="default"/>
                <w:sz w:val="22"/>
                <w:szCs w:val="22"/>
              </w:rPr>
            </w:pPr>
            <w:r>
              <w:rPr>
                <w:rFonts w:ascii="Arial"/>
                <w:sz w:val="22"/>
              </w:rPr>
              <w:t>593,167,075</w:t>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39" w:lineRule="exact"/>
              <w:ind w:left="500" w:right="0"/>
              <w:jc w:val="left"/>
              <w:rPr>
                <w:rFonts w:ascii="宋体" w:hAnsi="宋体" w:cs="宋体" w:eastAsia="宋体" w:hint="default"/>
                <w:sz w:val="22"/>
                <w:szCs w:val="22"/>
              </w:rPr>
            </w:pPr>
            <w:r>
              <w:rPr>
                <w:rFonts w:ascii="宋体" w:hAnsi="宋体" w:cs="宋体" w:eastAsia="宋体" w:hint="default"/>
                <w:sz w:val="22"/>
                <w:szCs w:val="22"/>
              </w:rPr>
              <w:t>暂付押金、保证金等</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7"/>
              <w:jc w:val="right"/>
              <w:rPr>
                <w:rFonts w:ascii="Arial" w:hAnsi="Arial" w:cs="Arial" w:eastAsia="Arial" w:hint="default"/>
                <w:sz w:val="22"/>
                <w:szCs w:val="22"/>
              </w:rPr>
            </w:pPr>
            <w:r>
              <w:rPr>
                <w:rFonts w:ascii="Arial"/>
                <w:w w:val="95"/>
                <w:sz w:val="22"/>
              </w:rPr>
              <w:t>538,356,951</w:t>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55" w:right="0"/>
              <w:jc w:val="left"/>
              <w:rPr>
                <w:rFonts w:ascii="Arial" w:hAnsi="Arial" w:cs="Arial" w:eastAsia="Arial" w:hint="default"/>
                <w:sz w:val="22"/>
                <w:szCs w:val="22"/>
              </w:rPr>
            </w:pPr>
            <w:r>
              <w:rPr>
                <w:rFonts w:ascii="Arial"/>
                <w:sz w:val="22"/>
              </w:rPr>
              <w:t>650,339,629</w:t>
            </w:r>
          </w:p>
        </w:tc>
      </w:tr>
      <w:tr>
        <w:trPr>
          <w:trHeight w:val="28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39" w:lineRule="exact"/>
              <w:ind w:left="500" w:right="0"/>
              <w:jc w:val="left"/>
              <w:rPr>
                <w:rFonts w:ascii="宋体" w:hAnsi="宋体" w:cs="宋体" w:eastAsia="宋体" w:hint="default"/>
                <w:sz w:val="22"/>
                <w:szCs w:val="22"/>
              </w:rPr>
            </w:pPr>
            <w:r>
              <w:rPr>
                <w:rFonts w:ascii="宋体" w:hAnsi="宋体" w:cs="宋体" w:eastAsia="宋体" w:hint="default"/>
                <w:sz w:val="22"/>
                <w:szCs w:val="22"/>
              </w:rPr>
              <w:t>员工借款</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7"/>
              <w:jc w:val="right"/>
              <w:rPr>
                <w:rFonts w:ascii="Arial" w:hAnsi="Arial" w:cs="Arial" w:eastAsia="Arial" w:hint="default"/>
                <w:sz w:val="22"/>
                <w:szCs w:val="22"/>
              </w:rPr>
            </w:pPr>
            <w:r>
              <w:rPr>
                <w:rFonts w:ascii="Arial"/>
                <w:w w:val="95"/>
                <w:sz w:val="22"/>
              </w:rPr>
              <w:t>295,016,051</w:t>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55" w:right="0"/>
              <w:jc w:val="left"/>
              <w:rPr>
                <w:rFonts w:ascii="Arial" w:hAnsi="Arial" w:cs="Arial" w:eastAsia="Arial" w:hint="default"/>
                <w:sz w:val="22"/>
                <w:szCs w:val="22"/>
              </w:rPr>
            </w:pPr>
            <w:r>
              <w:rPr>
                <w:rFonts w:ascii="Arial"/>
                <w:sz w:val="22"/>
              </w:rPr>
              <w:t>331,841,271</w:t>
            </w:r>
          </w:p>
        </w:tc>
      </w:tr>
      <w:tr>
        <w:trPr>
          <w:trHeight w:val="293"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39" w:lineRule="exact"/>
              <w:ind w:left="5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548" w:type="dxa"/>
            <w:tcBorders>
              <w:top w:val="nil" w:sz="6" w:space="0" w:color="auto"/>
              <w:left w:val="nil" w:sz="6" w:space="0" w:color="auto"/>
              <w:bottom w:val="nil" w:sz="6" w:space="0" w:color="auto"/>
              <w:right w:val="nil" w:sz="6" w:space="0" w:color="auto"/>
            </w:tcBorders>
          </w:tcPr>
          <w:p>
            <w:pPr>
              <w:pStyle w:val="TableParagraph"/>
              <w:tabs>
                <w:tab w:pos="1169" w:val="left" w:leader="none"/>
                <w:tab w:pos="253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777,375,441</w:t>
            </w:r>
            <w:r>
              <w:rPr>
                <w:rFonts w:ascii="Arial"/>
                <w:sz w:val="22"/>
                <w:u w:val="single" w:color="000000"/>
              </w:rPr>
              <w:tab/>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tabs>
                <w:tab w:pos="1140" w:val="left" w:leader="none"/>
                <w:tab w:pos="2507"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537,916,062</w:t>
            </w:r>
            <w:r>
              <w:rPr>
                <w:rFonts w:ascii="Arial"/>
                <w:sz w:val="22"/>
                <w:u w:val="single" w:color="000000"/>
              </w:rPr>
              <w:tab/>
            </w:r>
            <w:r>
              <w:rPr>
                <w:rFonts w:ascii="Arial"/>
                <w:sz w:val="22"/>
              </w:rPr>
            </w:r>
          </w:p>
        </w:tc>
      </w:tr>
      <w:tr>
        <w:trPr>
          <w:trHeight w:val="419"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7" w:lineRule="exact"/>
              <w:ind w:left="5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8"/>
              <w:jc w:val="right"/>
              <w:rPr>
                <w:rFonts w:ascii="Arial" w:hAnsi="Arial" w:cs="Arial" w:eastAsia="Arial" w:hint="default"/>
                <w:sz w:val="22"/>
                <w:szCs w:val="22"/>
              </w:rPr>
            </w:pPr>
            <w:r>
              <w:rPr>
                <w:rFonts w:ascii="Arial"/>
                <w:spacing w:val="-1"/>
                <w:sz w:val="22"/>
              </w:rPr>
              <w:t>2,402,766,362</w:t>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71" w:right="0"/>
              <w:jc w:val="left"/>
              <w:rPr>
                <w:rFonts w:ascii="Arial" w:hAnsi="Arial" w:cs="Arial" w:eastAsia="Arial" w:hint="default"/>
                <w:sz w:val="22"/>
                <w:szCs w:val="22"/>
              </w:rPr>
            </w:pPr>
            <w:r>
              <w:rPr>
                <w:rFonts w:ascii="Arial"/>
                <w:sz w:val="22"/>
              </w:rPr>
              <w:t>2,113,264,037</w:t>
            </w:r>
          </w:p>
        </w:tc>
      </w:tr>
      <w:tr>
        <w:trPr>
          <w:trHeight w:val="54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00"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548" w:type="dxa"/>
            <w:tcBorders>
              <w:top w:val="nil" w:sz="6" w:space="0" w:color="auto"/>
              <w:left w:val="nil" w:sz="6" w:space="0" w:color="auto"/>
              <w:bottom w:val="nil" w:sz="6" w:space="0" w:color="auto"/>
              <w:right w:val="nil" w:sz="6" w:space="0" w:color="auto"/>
            </w:tcBorders>
          </w:tcPr>
          <w:p>
            <w:pPr>
              <w:pStyle w:val="TableParagraph"/>
              <w:tabs>
                <w:tab w:pos="1095" w:val="left" w:leader="none"/>
                <w:tab w:pos="2530" w:val="left" w:leader="none"/>
              </w:tabs>
              <w:spacing w:line="240" w:lineRule="auto" w:before="144"/>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(478,155,584)</w:t>
            </w:r>
            <w:r>
              <w:rPr>
                <w:rFonts w:ascii="Arial"/>
                <w:sz w:val="22"/>
                <w:u w:val="single" w:color="000000"/>
              </w:rPr>
              <w:tab/>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tabs>
                <w:tab w:pos="1066" w:val="left" w:leader="none"/>
                <w:tab w:pos="2507" w:val="left" w:leader="none"/>
              </w:tabs>
              <w:spacing w:line="240" w:lineRule="auto" w:before="144"/>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(496,630,893)</w:t>
            </w:r>
            <w:r>
              <w:rPr>
                <w:rFonts w:ascii="Arial"/>
                <w:sz w:val="22"/>
                <w:u w:val="single" w:color="000000"/>
              </w:rPr>
              <w:tab/>
            </w:r>
            <w:r>
              <w:rPr>
                <w:rFonts w:ascii="Arial"/>
                <w:sz w:val="22"/>
              </w:rPr>
            </w:r>
          </w:p>
        </w:tc>
      </w:tr>
      <w:tr>
        <w:trPr>
          <w:trHeight w:val="430"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00" w:right="0"/>
              <w:jc w:val="left"/>
              <w:rPr>
                <w:rFonts w:ascii="宋体" w:hAnsi="宋体" w:cs="宋体" w:eastAsia="宋体" w:hint="default"/>
                <w:sz w:val="22"/>
                <w:szCs w:val="22"/>
              </w:rPr>
            </w:pPr>
            <w:r>
              <w:rPr>
                <w:rFonts w:ascii="宋体" w:hAnsi="宋体" w:cs="宋体" w:eastAsia="宋体" w:hint="default"/>
                <w:sz w:val="22"/>
                <w:szCs w:val="22"/>
              </w:rPr>
              <w:t>其他应收款净额合计</w:t>
            </w:r>
          </w:p>
        </w:tc>
        <w:tc>
          <w:tcPr>
            <w:tcW w:w="254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38"/>
              <w:jc w:val="right"/>
              <w:rPr>
                <w:rFonts w:ascii="Arial" w:hAnsi="Arial" w:cs="Arial" w:eastAsia="Arial" w:hint="default"/>
                <w:sz w:val="22"/>
                <w:szCs w:val="22"/>
              </w:rPr>
            </w:pPr>
            <w:r>
              <w:rPr>
                <w:rFonts w:ascii="Arial"/>
                <w:spacing w:val="-1"/>
                <w:sz w:val="22"/>
              </w:rPr>
              <w:t>1,924,610,778</w:t>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971" w:right="0"/>
              <w:jc w:val="left"/>
              <w:rPr>
                <w:rFonts w:ascii="Arial" w:hAnsi="Arial" w:cs="Arial" w:eastAsia="Arial" w:hint="default"/>
                <w:sz w:val="22"/>
                <w:szCs w:val="22"/>
              </w:rPr>
            </w:pPr>
            <w:r>
              <w:rPr>
                <w:rFonts w:ascii="Arial"/>
                <w:sz w:val="22"/>
              </w:rPr>
              <w:t>1,616,633,144</w:t>
            </w:r>
          </w:p>
        </w:tc>
      </w:tr>
      <w:tr>
        <w:trPr>
          <w:trHeight w:val="612"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186"/>
              <w:ind w:left="35" w:right="0"/>
              <w:jc w:val="left"/>
              <w:rPr>
                <w:rFonts w:ascii="宋体" w:hAnsi="宋体" w:cs="宋体" w:eastAsia="宋体" w:hint="default"/>
                <w:sz w:val="22"/>
                <w:szCs w:val="22"/>
              </w:rPr>
            </w:pPr>
            <w:r>
              <w:rPr>
                <w:rFonts w:ascii="Arial" w:hAnsi="Arial" w:cs="Arial" w:eastAsia="Arial" w:hint="default"/>
                <w:sz w:val="22"/>
                <w:szCs w:val="22"/>
              </w:rPr>
              <w:t>(a) </w:t>
            </w:r>
            <w:r>
              <w:rPr>
                <w:rFonts w:ascii="Arial" w:hAnsi="Arial" w:cs="Arial" w:eastAsia="Arial" w:hint="default"/>
                <w:spacing w:val="52"/>
                <w:sz w:val="22"/>
                <w:szCs w:val="22"/>
              </w:rPr>
              <w:t> </w:t>
            </w:r>
            <w:r>
              <w:rPr>
                <w:rFonts w:ascii="宋体" w:hAnsi="宋体" w:cs="宋体" w:eastAsia="宋体" w:hint="default"/>
                <w:sz w:val="22"/>
                <w:szCs w:val="22"/>
              </w:rPr>
              <w:t>其他应收款账龄分析如下：</w:t>
            </w:r>
          </w:p>
        </w:tc>
        <w:tc>
          <w:tcPr>
            <w:tcW w:w="2548" w:type="dxa"/>
            <w:tcBorders>
              <w:top w:val="single" w:sz="17" w:space="0" w:color="000000"/>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single" w:sz="17" w:space="0" w:color="000000"/>
              <w:left w:val="nil" w:sz="6" w:space="0" w:color="auto"/>
              <w:bottom w:val="nil" w:sz="6" w:space="0" w:color="auto"/>
              <w:right w:val="nil" w:sz="6" w:space="0" w:color="auto"/>
            </w:tcBorders>
          </w:tcPr>
          <w:p>
            <w:pPr/>
          </w:p>
        </w:tc>
      </w:tr>
      <w:tr>
        <w:trPr>
          <w:trHeight w:val="388" w:hRule="exact"/>
        </w:trPr>
        <w:tc>
          <w:tcPr>
            <w:tcW w:w="4164" w:type="dxa"/>
            <w:tcBorders>
              <w:top w:val="nil" w:sz="6" w:space="0" w:color="auto"/>
              <w:left w:val="nil" w:sz="6" w:space="0" w:color="auto"/>
              <w:bottom w:val="nil" w:sz="6" w:space="0" w:color="auto"/>
              <w:right w:val="nil" w:sz="6" w:space="0" w:color="auto"/>
            </w:tcBorders>
          </w:tcPr>
          <w:p>
            <w:pPr/>
          </w:p>
        </w:tc>
        <w:tc>
          <w:tcPr>
            <w:tcW w:w="2548"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7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103"/>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92" w:hRule="exact"/>
        </w:trPr>
        <w:tc>
          <w:tcPr>
            <w:tcW w:w="4164" w:type="dxa"/>
            <w:tcBorders>
              <w:top w:val="nil" w:sz="6" w:space="0" w:color="auto"/>
              <w:left w:val="nil" w:sz="6" w:space="0" w:color="auto"/>
              <w:bottom w:val="nil" w:sz="6" w:space="0" w:color="auto"/>
              <w:right w:val="nil" w:sz="6" w:space="0" w:color="auto"/>
            </w:tcBorders>
          </w:tcPr>
          <w:p>
            <w:pPr/>
          </w:p>
        </w:tc>
        <w:tc>
          <w:tcPr>
            <w:tcW w:w="2548" w:type="dxa"/>
            <w:tcBorders>
              <w:top w:val="single" w:sz="6" w:space="0" w:color="000000"/>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single" w:sz="6" w:space="0" w:color="000000"/>
              <w:left w:val="nil" w:sz="6" w:space="0" w:color="auto"/>
              <w:bottom w:val="nil" w:sz="6" w:space="0" w:color="auto"/>
              <w:right w:val="nil" w:sz="6" w:space="0" w:color="auto"/>
            </w:tcBorders>
          </w:tcPr>
          <w:p>
            <w:pPr>
              <w:pStyle w:val="TableParagraph"/>
              <w:spacing w:line="252" w:lineRule="exact"/>
              <w:ind w:left="1315" w:right="0"/>
              <w:jc w:val="left"/>
              <w:rPr>
                <w:rFonts w:ascii="宋体" w:hAnsi="宋体" w:cs="宋体" w:eastAsia="宋体" w:hint="default"/>
                <w:sz w:val="22"/>
                <w:szCs w:val="22"/>
              </w:rPr>
            </w:pPr>
            <w:r>
              <w:rPr>
                <w:rFonts w:ascii="宋体" w:hAnsi="宋体" w:cs="宋体" w:eastAsia="宋体" w:hint="default"/>
                <w:sz w:val="22"/>
                <w:szCs w:val="22"/>
              </w:rPr>
              <w:t>（经重列）</w:t>
            </w:r>
          </w:p>
        </w:tc>
      </w:tr>
      <w:tr>
        <w:trPr>
          <w:trHeight w:val="299"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68" w:lineRule="exact"/>
              <w:ind w:left="549"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Arial" w:hAnsi="Arial" w:cs="Arial" w:eastAsia="Arial" w:hint="default"/>
                <w:sz w:val="22"/>
                <w:szCs w:val="22"/>
              </w:rPr>
            </w:pPr>
            <w:r>
              <w:rPr>
                <w:rFonts w:ascii="Arial"/>
                <w:spacing w:val="-1"/>
                <w:sz w:val="22"/>
              </w:rPr>
              <w:t>1,901,835,630</w:t>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99" w:right="0"/>
              <w:jc w:val="left"/>
              <w:rPr>
                <w:rFonts w:ascii="Arial" w:hAnsi="Arial" w:cs="Arial" w:eastAsia="Arial" w:hint="default"/>
                <w:sz w:val="22"/>
                <w:szCs w:val="22"/>
              </w:rPr>
            </w:pPr>
            <w:r>
              <w:rPr>
                <w:rFonts w:ascii="Arial"/>
                <w:sz w:val="22"/>
              </w:rPr>
              <w:t>1,601,242,163</w:t>
            </w:r>
          </w:p>
        </w:tc>
      </w:tr>
      <w:tr>
        <w:trPr>
          <w:trHeight w:val="28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49"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w w:val="95"/>
                <w:sz w:val="22"/>
              </w:rPr>
              <w:t>117,870,041</w:t>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2" w:right="0"/>
              <w:jc w:val="left"/>
              <w:rPr>
                <w:rFonts w:ascii="Arial" w:hAnsi="Arial" w:cs="Arial" w:eastAsia="Arial" w:hint="default"/>
                <w:sz w:val="22"/>
                <w:szCs w:val="22"/>
              </w:rPr>
            </w:pPr>
            <w:r>
              <w:rPr>
                <w:rFonts w:ascii="Arial"/>
                <w:sz w:val="22"/>
              </w:rPr>
              <w:t>107,469,828</w:t>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49"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w w:val="95"/>
                <w:sz w:val="22"/>
              </w:rPr>
              <w:t>91,692,353</w:t>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2" w:right="0"/>
              <w:jc w:val="left"/>
              <w:rPr>
                <w:rFonts w:ascii="Arial" w:hAnsi="Arial" w:cs="Arial" w:eastAsia="Arial" w:hint="default"/>
                <w:sz w:val="22"/>
                <w:szCs w:val="22"/>
              </w:rPr>
            </w:pPr>
            <w:r>
              <w:rPr>
                <w:rFonts w:ascii="Arial"/>
                <w:sz w:val="22"/>
              </w:rPr>
              <w:t>126,324,930</w:t>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49"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w w:val="95"/>
                <w:sz w:val="22"/>
              </w:rPr>
              <w:t>61,785,023</w:t>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04" w:right="0"/>
              <w:jc w:val="left"/>
              <w:rPr>
                <w:rFonts w:ascii="Arial" w:hAnsi="Arial" w:cs="Arial" w:eastAsia="Arial" w:hint="default"/>
                <w:sz w:val="22"/>
                <w:szCs w:val="22"/>
              </w:rPr>
            </w:pPr>
            <w:r>
              <w:rPr>
                <w:rFonts w:ascii="Arial"/>
                <w:sz w:val="22"/>
              </w:rPr>
              <w:t>77,245,887</w:t>
            </w:r>
          </w:p>
        </w:tc>
      </w:tr>
      <w:tr>
        <w:trPr>
          <w:trHeight w:val="28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49"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w w:val="95"/>
                <w:sz w:val="22"/>
              </w:rPr>
              <w:t>39,482,420</w:t>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04" w:right="0"/>
              <w:jc w:val="left"/>
              <w:rPr>
                <w:rFonts w:ascii="Arial" w:hAnsi="Arial" w:cs="Arial" w:eastAsia="Arial" w:hint="default"/>
                <w:sz w:val="22"/>
                <w:szCs w:val="22"/>
              </w:rPr>
            </w:pPr>
            <w:r>
              <w:rPr>
                <w:rFonts w:ascii="Arial"/>
                <w:sz w:val="22"/>
              </w:rPr>
              <w:t>21,074,720</w:t>
            </w:r>
          </w:p>
        </w:tc>
      </w:tr>
      <w:tr>
        <w:trPr>
          <w:trHeight w:val="419"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49"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548" w:type="dxa"/>
            <w:tcBorders>
              <w:top w:val="nil" w:sz="6" w:space="0" w:color="auto"/>
              <w:left w:val="nil" w:sz="6" w:space="0" w:color="auto"/>
              <w:bottom w:val="nil" w:sz="6" w:space="0" w:color="auto"/>
              <w:right w:val="nil" w:sz="6" w:space="0" w:color="auto"/>
            </w:tcBorders>
          </w:tcPr>
          <w:p>
            <w:pPr>
              <w:pStyle w:val="TableParagraph"/>
              <w:tabs>
                <w:tab w:pos="1203" w:val="left" w:leader="none"/>
                <w:tab w:pos="253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190,100,895</w:t>
            </w:r>
            <w:r>
              <w:rPr>
                <w:rFonts w:ascii="Arial"/>
                <w:sz w:val="22"/>
                <w:u w:val="single" w:color="000000"/>
              </w:rPr>
              <w:tab/>
            </w:r>
            <w:r>
              <w:rPr>
                <w:rFonts w:ascii="Arial"/>
                <w:sz w:val="22"/>
              </w:rPr>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tabs>
                <w:tab w:pos="1163" w:val="left" w:leader="none"/>
                <w:tab w:pos="2503"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179,906,509</w:t>
            </w:r>
            <w:r>
              <w:rPr>
                <w:rFonts w:ascii="Arial"/>
                <w:sz w:val="22"/>
                <w:u w:val="single" w:color="000000"/>
              </w:rPr>
              <w:tab/>
            </w:r>
            <w:r>
              <w:rPr>
                <w:rFonts w:ascii="Arial"/>
                <w:sz w:val="22"/>
              </w:rPr>
            </w:r>
          </w:p>
        </w:tc>
      </w:tr>
      <w:tr>
        <w:trPr>
          <w:trHeight w:val="430"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4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5"/>
              <w:jc w:val="right"/>
              <w:rPr>
                <w:rFonts w:ascii="Arial" w:hAnsi="Arial" w:cs="Arial" w:eastAsia="Arial" w:hint="default"/>
                <w:sz w:val="22"/>
                <w:szCs w:val="22"/>
              </w:rPr>
            </w:pPr>
            <w:r>
              <w:rPr>
                <w:rFonts w:ascii="Arial"/>
                <w:spacing w:val="-1"/>
                <w:sz w:val="22"/>
              </w:rPr>
              <w:t>2,402,766,362</w:t>
            </w:r>
          </w:p>
        </w:tc>
        <w:tc>
          <w:tcPr>
            <w:tcW w:w="260"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999" w:right="0"/>
              <w:jc w:val="left"/>
              <w:rPr>
                <w:rFonts w:ascii="Arial" w:hAnsi="Arial" w:cs="Arial" w:eastAsia="Arial" w:hint="default"/>
                <w:sz w:val="22"/>
                <w:szCs w:val="22"/>
              </w:rPr>
            </w:pPr>
            <w:r>
              <w:rPr>
                <w:rFonts w:ascii="Arial"/>
                <w:sz w:val="22"/>
              </w:rPr>
              <w:t>2,113,264,037</w:t>
            </w:r>
          </w:p>
        </w:tc>
      </w:tr>
    </w:tbl>
    <w:p>
      <w:pPr>
        <w:spacing w:after="0" w:line="240" w:lineRule="auto"/>
        <w:jc w:val="left"/>
        <w:rPr>
          <w:rFonts w:ascii="Arial" w:hAnsi="Arial" w:cs="Arial" w:eastAsia="Arial" w:hint="default"/>
          <w:sz w:val="22"/>
          <w:szCs w:val="22"/>
        </w:rPr>
        <w:sectPr>
          <w:headerReference w:type="default" r:id="rId88"/>
          <w:pgSz w:w="11900" w:h="16840"/>
          <w:pgMar w:header="1189" w:footer="752" w:top="3600" w:bottom="940" w:left="1200" w:right="860"/>
        </w:sectPr>
      </w:pPr>
    </w:p>
    <w:p>
      <w:pPr>
        <w:spacing w:line="240" w:lineRule="auto" w:before="12"/>
        <w:rPr>
          <w:rFonts w:ascii="宋体" w:hAnsi="宋体" w:cs="宋体" w:eastAsia="宋体" w:hint="default"/>
          <w:sz w:val="15"/>
          <w:szCs w:val="15"/>
        </w:rPr>
      </w:pPr>
    </w:p>
    <w:p>
      <w:pPr>
        <w:pStyle w:val="BodyText"/>
        <w:spacing w:line="240" w:lineRule="auto" w:before="31"/>
        <w:ind w:left="114" w:right="0"/>
        <w:jc w:val="left"/>
      </w:pPr>
      <w:r>
        <w:rPr>
          <w:rFonts w:ascii="Arial" w:hAnsi="Arial" w:cs="Arial" w:eastAsia="Arial" w:hint="default"/>
        </w:rPr>
        <w:t>(b)  </w:t>
      </w:r>
      <w:r>
        <w:rPr>
          <w:rFonts w:ascii="Arial" w:hAnsi="Arial" w:cs="Arial" w:eastAsia="Arial" w:hint="default"/>
          <w:spacing w:val="2"/>
        </w:rPr>
        <w:t> </w:t>
      </w:r>
      <w:r>
        <w:rPr/>
        <w:t>其他应收款按类别分析如下：</w:t>
      </w:r>
    </w:p>
    <w:p>
      <w:pPr>
        <w:spacing w:line="240" w:lineRule="auto" w:before="9"/>
        <w:rPr>
          <w:rFonts w:ascii="宋体" w:hAnsi="宋体" w:cs="宋体" w:eastAsia="宋体" w:hint="default"/>
          <w:sz w:val="18"/>
          <w:szCs w:val="18"/>
        </w:rPr>
      </w:pPr>
    </w:p>
    <w:p>
      <w:pPr>
        <w:tabs>
          <w:tab w:pos="4683" w:val="left" w:leader="none"/>
          <w:tab w:pos="6589" w:val="left" w:leader="none"/>
          <w:tab w:pos="6733" w:val="left" w:leader="none"/>
          <w:tab w:pos="8445" w:val="left" w:leader="none"/>
        </w:tabs>
        <w:spacing w:before="0"/>
        <w:ind w:left="2816" w:right="714" w:firstLine="565"/>
        <w:jc w:val="left"/>
        <w:rPr>
          <w:rFonts w:ascii="宋体" w:hAnsi="宋体" w:cs="宋体" w:eastAsia="宋体" w:hint="default"/>
          <w:sz w:val="16"/>
          <w:szCs w:val="16"/>
        </w:rPr>
      </w:pPr>
      <w:r>
        <w:rPr/>
        <w:pict>
          <v:group style="position:absolute;margin-left:174.540009pt;margin-top:11.684307pt;width:372.85pt;height:.75pt;mso-position-horizontal-relative:page;mso-position-vertical-relative:paragraph;z-index:-821704" coordorigin="3491,234" coordsize="7457,15">
            <v:group style="position:absolute;left:3498;top:241;width:3680;height:2" coordorigin="3498,241" coordsize="3680,2">
              <v:shape style="position:absolute;left:3498;top:241;width:3680;height:2" coordorigin="3498,241" coordsize="3680,0" path="m3498,241l7177,241e" filled="false" stroked="true" strokeweight=".71997pt" strokecolor="#000000">
                <v:path arrowok="t"/>
              </v:shape>
            </v:group>
            <v:group style="position:absolute;left:7237;top:241;width:3704;height:2" coordorigin="7237,241" coordsize="3704,2">
              <v:shape style="position:absolute;left:7237;top:241;width:3704;height:2" coordorigin="7237,241" coordsize="3704,0" path="m7237,241l10940,241e" filled="false" stroked="true" strokeweight=".71997pt" strokecolor="#000000">
                <v:path arrowok="t"/>
              </v:shape>
            </v:group>
            <w10:wrap type="none"/>
          </v:group>
        </w:pict>
      </w:r>
      <w:r>
        <w:rPr/>
        <w:pict>
          <v:group style="position:absolute;margin-left:174.540009pt;margin-top:22.844307pt;width:372.85pt;height:.75pt;mso-position-horizontal-relative:page;mso-position-vertical-relative:paragraph;z-index:-821680" coordorigin="3491,457" coordsize="7457,15">
            <v:group style="position:absolute;left:3498;top:464;width:1748;height:2" coordorigin="3498,464" coordsize="1748,2">
              <v:shape style="position:absolute;left:3498;top:464;width:1748;height:2" coordorigin="3498,464" coordsize="1748,0" path="m3498,464l5245,464e" filled="false" stroked="true" strokeweight=".71997pt" strokecolor="#000000">
                <v:path arrowok="t"/>
              </v:shape>
            </v:group>
            <v:group style="position:absolute;left:5299;top:464;width:1878;height:2" coordorigin="5299,464" coordsize="1878,2">
              <v:shape style="position:absolute;left:5299;top:464;width:1878;height:2" coordorigin="5299,464" coordsize="1878,0" path="m5299,464l7177,464e" filled="false" stroked="true" strokeweight=".71997pt" strokecolor="#000000">
                <v:path arrowok="t"/>
              </v:shape>
            </v:group>
            <v:group style="position:absolute;left:7237;top:464;width:1814;height:2" coordorigin="7237,464" coordsize="1814,2">
              <v:shape style="position:absolute;left:7237;top:464;width:1814;height:2" coordorigin="7237,464" coordsize="1814,0" path="m7237,464l9050,464e" filled="false" stroked="true" strokeweight=".71997pt" strokecolor="#000000">
                <v:path arrowok="t"/>
              </v:shape>
            </v:group>
            <v:group style="position:absolute;left:9109;top:464;width:1832;height:2" coordorigin="9109,464" coordsize="1832,2">
              <v:shape style="position:absolute;left:9109;top:464;width:1832;height:2" coordorigin="9109,464" coordsize="1832,0" path="m9109,464l10940,464e" filled="false" stroked="true" strokeweight=".71997pt" strokecolor="#000000">
                <v:path arrowok="t"/>
              </v:shape>
            </v:group>
            <w10:wrap type="none"/>
          </v:group>
        </w:pict>
      </w: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tab/>
      </w: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日（经重列）</w:t>
      </w:r>
      <w:r>
        <w:rPr>
          <w:rFonts w:ascii="宋体" w:hAnsi="宋体" w:cs="宋体" w:eastAsia="宋体" w:hint="default"/>
          <w:w w:val="99"/>
          <w:sz w:val="16"/>
          <w:szCs w:val="16"/>
        </w:rPr>
        <w:t> </w:t>
      </w:r>
      <w:r>
        <w:rPr>
          <w:rFonts w:ascii="宋体" w:hAnsi="宋体" w:cs="宋体" w:eastAsia="宋体" w:hint="default"/>
          <w:w w:val="95"/>
          <w:sz w:val="16"/>
          <w:szCs w:val="16"/>
        </w:rPr>
        <w:t>账面余额</w:t>
        <w:tab/>
        <w:t>坏账准备</w:t>
        <w:tab/>
        <w:t>账面余额</w:t>
        <w:tab/>
      </w:r>
      <w:r>
        <w:rPr>
          <w:rFonts w:ascii="宋体" w:hAnsi="宋体" w:cs="宋体" w:eastAsia="宋体" w:hint="default"/>
          <w:sz w:val="16"/>
          <w:szCs w:val="16"/>
        </w:rPr>
        <w:t>坏账准备</w:t>
      </w:r>
    </w:p>
    <w:p>
      <w:pPr>
        <w:spacing w:after="0"/>
        <w:jc w:val="left"/>
        <w:rPr>
          <w:rFonts w:ascii="宋体" w:hAnsi="宋体" w:cs="宋体" w:eastAsia="宋体" w:hint="default"/>
          <w:sz w:val="16"/>
          <w:szCs w:val="16"/>
        </w:rPr>
        <w:sectPr>
          <w:headerReference w:type="default" r:id="rId89"/>
          <w:pgSz w:w="11900" w:h="16840"/>
          <w:pgMar w:header="1189" w:footer="752" w:top="3600" w:bottom="940" w:left="1260" w:right="840"/>
        </w:sectPr>
      </w:pPr>
    </w:p>
    <w:p>
      <w:pPr>
        <w:spacing w:line="197" w:lineRule="exact" w:before="12"/>
        <w:ind w:left="0" w:right="907" w:firstLine="0"/>
        <w:jc w:val="right"/>
        <w:rPr>
          <w:rFonts w:ascii="宋体" w:hAnsi="宋体" w:cs="宋体" w:eastAsia="宋体" w:hint="default"/>
          <w:sz w:val="16"/>
          <w:szCs w:val="16"/>
        </w:rPr>
      </w:pPr>
      <w:r>
        <w:rPr>
          <w:rFonts w:ascii="宋体" w:hAnsi="宋体" w:cs="宋体" w:eastAsia="宋体" w:hint="default"/>
          <w:w w:val="95"/>
          <w:sz w:val="16"/>
          <w:szCs w:val="16"/>
        </w:rPr>
        <w:t>比例</w:t>
      </w:r>
      <w:r>
        <w:rPr>
          <w:rFonts w:ascii="宋体" w:hAnsi="宋体" w:cs="宋体" w:eastAsia="宋体" w:hint="default"/>
          <w:sz w:val="16"/>
          <w:szCs w:val="16"/>
        </w:rPr>
      </w:r>
    </w:p>
    <w:p>
      <w:pPr>
        <w:tabs>
          <w:tab w:pos="3598" w:val="left" w:leader="none"/>
          <w:tab w:pos="4447" w:val="left" w:leader="none"/>
        </w:tabs>
        <w:spacing w:line="219" w:lineRule="exact" w:before="0"/>
        <w:ind w:left="2636" w:right="0" w:firstLine="0"/>
        <w:jc w:val="center"/>
        <w:rPr>
          <w:rFonts w:ascii="宋体" w:hAnsi="宋体" w:cs="宋体" w:eastAsia="宋体" w:hint="default"/>
          <w:sz w:val="16"/>
          <w:szCs w:val="16"/>
        </w:rPr>
      </w:pPr>
      <w:r>
        <w:rPr>
          <w:rFonts w:ascii="宋体" w:hAnsi="宋体" w:cs="宋体" w:eastAsia="宋体" w:hint="default"/>
          <w:w w:val="95"/>
          <w:position w:val="1"/>
          <w:sz w:val="16"/>
          <w:szCs w:val="16"/>
        </w:rPr>
        <w:t>金额</w:t>
        <w:tab/>
      </w: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line="197" w:lineRule="exact" w:before="12"/>
        <w:ind w:left="447" w:right="-4" w:firstLine="0"/>
        <w:jc w:val="left"/>
        <w:rPr>
          <w:rFonts w:ascii="宋体" w:hAnsi="宋体" w:cs="宋体" w:eastAsia="宋体" w:hint="default"/>
          <w:sz w:val="16"/>
          <w:szCs w:val="16"/>
        </w:rPr>
      </w:pPr>
      <w:r>
        <w:rPr/>
        <w:br w:type="column"/>
      </w:r>
      <w:r>
        <w:rPr>
          <w:rFonts w:ascii="宋体" w:hAnsi="宋体" w:cs="宋体" w:eastAsia="宋体" w:hint="default"/>
          <w:sz w:val="16"/>
          <w:szCs w:val="16"/>
        </w:rPr>
        <w:t>计提比例</w:t>
      </w:r>
    </w:p>
    <w:p>
      <w:pPr>
        <w:tabs>
          <w:tab w:pos="1596" w:val="left" w:leader="none"/>
        </w:tabs>
        <w:spacing w:line="219" w:lineRule="exact" w:before="0"/>
        <w:ind w:left="642" w:right="-4" w:firstLine="0"/>
        <w:jc w:val="left"/>
        <w:rPr>
          <w:rFonts w:ascii="宋体" w:hAnsi="宋体" w:cs="宋体" w:eastAsia="宋体" w:hint="default"/>
          <w:sz w:val="16"/>
          <w:szCs w:val="16"/>
        </w:rPr>
      </w:pP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line="197" w:lineRule="exact" w:before="12"/>
        <w:ind w:left="591" w:right="-5" w:firstLine="0"/>
        <w:jc w:val="left"/>
        <w:rPr>
          <w:rFonts w:ascii="宋体" w:hAnsi="宋体" w:cs="宋体" w:eastAsia="宋体" w:hint="default"/>
          <w:sz w:val="16"/>
          <w:szCs w:val="16"/>
        </w:rPr>
      </w:pPr>
      <w:r>
        <w:rPr/>
        <w:br w:type="column"/>
      </w:r>
      <w:r>
        <w:rPr>
          <w:rFonts w:ascii="宋体" w:hAnsi="宋体" w:cs="宋体" w:eastAsia="宋体" w:hint="default"/>
          <w:sz w:val="16"/>
          <w:szCs w:val="16"/>
        </w:rPr>
        <w:t>比例</w:t>
      </w:r>
    </w:p>
    <w:p>
      <w:pPr>
        <w:tabs>
          <w:tab w:pos="1475" w:val="left" w:leader="none"/>
        </w:tabs>
        <w:spacing w:line="219" w:lineRule="exact" w:before="0"/>
        <w:ind w:left="652" w:right="-5" w:firstLine="0"/>
        <w:jc w:val="left"/>
        <w:rPr>
          <w:rFonts w:ascii="宋体" w:hAnsi="宋体" w:cs="宋体" w:eastAsia="宋体" w:hint="default"/>
          <w:sz w:val="16"/>
          <w:szCs w:val="16"/>
        </w:rPr>
      </w:pP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before="12"/>
        <w:ind w:left="404" w:right="118" w:firstLine="0"/>
        <w:jc w:val="center"/>
        <w:rPr>
          <w:rFonts w:ascii="宋体" w:hAnsi="宋体" w:cs="宋体" w:eastAsia="宋体" w:hint="default"/>
          <w:sz w:val="16"/>
          <w:szCs w:val="16"/>
        </w:rPr>
      </w:pPr>
      <w:r>
        <w:rPr/>
        <w:br w:type="column"/>
      </w:r>
      <w:r>
        <w:rPr>
          <w:rFonts w:ascii="宋体" w:hAnsi="宋体" w:cs="宋体" w:eastAsia="宋体" w:hint="default"/>
          <w:sz w:val="16"/>
          <w:szCs w:val="16"/>
        </w:rPr>
        <w:t>计提比例</w:t>
      </w:r>
    </w:p>
    <w:p>
      <w:pPr>
        <w:spacing w:before="23"/>
        <w:ind w:left="404" w:right="118" w:firstLine="0"/>
        <w:jc w:val="center"/>
        <w:rPr>
          <w:rFonts w:ascii="Arial" w:hAnsi="Arial" w:cs="Arial" w:eastAsia="Arial" w:hint="default"/>
          <w:sz w:val="16"/>
          <w:szCs w:val="16"/>
        </w:rPr>
      </w:pPr>
      <w:r>
        <w:rPr>
          <w:rFonts w:ascii="Arial"/>
          <w:sz w:val="16"/>
        </w:rPr>
        <w:t>(%)</w:t>
      </w:r>
    </w:p>
    <w:p>
      <w:pPr>
        <w:spacing w:after="0"/>
        <w:jc w:val="center"/>
        <w:rPr>
          <w:rFonts w:ascii="Arial" w:hAnsi="Arial" w:cs="Arial" w:eastAsia="Arial" w:hint="default"/>
          <w:sz w:val="16"/>
          <w:szCs w:val="16"/>
        </w:rPr>
        <w:sectPr>
          <w:type w:val="continuous"/>
          <w:pgSz w:w="11900" w:h="16840"/>
          <w:pgMar w:top="1600" w:bottom="280" w:left="1260" w:right="840"/>
          <w:cols w:num="4" w:equalWidth="0">
            <w:col w:w="4767" w:space="40"/>
            <w:col w:w="1916" w:space="40"/>
            <w:col w:w="1795" w:space="40"/>
            <w:col w:w="1202"/>
          </w:cols>
        </w:sectPr>
      </w:pPr>
    </w:p>
    <w:p>
      <w:pPr>
        <w:spacing w:line="20" w:lineRule="exact"/>
        <w:ind w:left="2230" w:right="0" w:firstLine="0"/>
        <w:rPr>
          <w:rFonts w:ascii="Arial" w:hAnsi="Arial" w:cs="Arial" w:eastAsia="Arial" w:hint="default"/>
          <w:sz w:val="2"/>
          <w:szCs w:val="2"/>
        </w:rPr>
      </w:pPr>
      <w:r>
        <w:rPr>
          <w:rFonts w:ascii="Arial" w:hAnsi="Arial" w:cs="Arial" w:eastAsia="Arial" w:hint="default"/>
          <w:sz w:val="2"/>
          <w:szCs w:val="2"/>
        </w:rPr>
        <w:pict>
          <v:group style="width:372.85pt;height:.75pt;mso-position-horizontal-relative:char;mso-position-vertical-relative:line" coordorigin="0,0" coordsize="7457,15">
            <v:group style="position:absolute;left:7;top:7;width:1118;height:2" coordorigin="7,7" coordsize="1118,2">
              <v:shape style="position:absolute;left:7;top:7;width:1118;height:2" coordorigin="7,7" coordsize="1118,0" path="m7,7l1124,7e" filled="false" stroked="true" strokeweight=".71997pt" strokecolor="#000000">
                <v:path arrowok="t"/>
              </v:shape>
            </v:group>
            <v:group style="position:absolute;left:1178;top:7;width:576;height:2" coordorigin="1178,7" coordsize="576,2">
              <v:shape style="position:absolute;left:1178;top:7;width:576;height:2" coordorigin="1178,7" coordsize="576,0" path="m1178,7l1754,7e" filled="false" stroked="true" strokeweight=".71997pt" strokecolor="#000000">
                <v:path arrowok="t"/>
              </v:shape>
            </v:group>
            <v:group style="position:absolute;left:1808;top:7;width:1086;height:2" coordorigin="1808,7" coordsize="1086,2">
              <v:shape style="position:absolute;left:1808;top:7;width:1086;height:2" coordorigin="1808,7" coordsize="1086,0" path="m1808,7l2894,7e" filled="false" stroked="true" strokeweight=".71997pt" strokecolor="#000000">
                <v:path arrowok="t"/>
              </v:shape>
            </v:group>
            <v:group style="position:absolute;left:2948;top:7;width:738;height:2" coordorigin="2948,7" coordsize="738,2">
              <v:shape style="position:absolute;left:2948;top:7;width:738;height:2" coordorigin="2948,7" coordsize="738,0" path="m2948,7l3686,7e" filled="false" stroked="true" strokeweight=".71997pt" strokecolor="#000000">
                <v:path arrowok="t"/>
              </v:shape>
            </v:group>
            <v:group style="position:absolute;left:3746;top:7;width:1205;height:2" coordorigin="3746,7" coordsize="1205,2">
              <v:shape style="position:absolute;left:3746;top:7;width:1205;height:2" coordorigin="3746,7" coordsize="1205,0" path="m3746,7l4951,7e" filled="false" stroked="true" strokeweight=".71997pt" strokecolor="#000000">
                <v:path arrowok="t"/>
              </v:shape>
            </v:group>
            <v:group style="position:absolute;left:5005;top:7;width:555;height:2" coordorigin="5005,7" coordsize="555,2">
              <v:shape style="position:absolute;left:5005;top:7;width:555;height:2" coordorigin="5005,7" coordsize="555,0" path="m5005,7l5560,7e" filled="false" stroked="true" strokeweight=".71997pt" strokecolor="#000000">
                <v:path arrowok="t"/>
              </v:shape>
            </v:group>
            <v:group style="position:absolute;left:5618;top:7;width:1048;height:2" coordorigin="5618,7" coordsize="1048,2">
              <v:shape style="position:absolute;left:5618;top:7;width:1048;height:2" coordorigin="5618,7" coordsize="1048,0" path="m5618,7l6666,7e" filled="false" stroked="true" strokeweight=".71997pt" strokecolor="#000000">
                <v:path arrowok="t"/>
              </v:shape>
            </v:group>
            <v:group style="position:absolute;left:6725;top:7;width:725;height:2" coordorigin="6725,7" coordsize="725,2">
              <v:shape style="position:absolute;left:6725;top:7;width:725;height:2" coordorigin="6725,7" coordsize="725,0" path="m6725,7l7450,7e" filled="false" stroked="true" strokeweight=".71997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9"/>
          <w:szCs w:val="9"/>
        </w:rPr>
      </w:pPr>
    </w:p>
    <w:p>
      <w:pPr>
        <w:spacing w:before="50"/>
        <w:ind w:left="581" w:right="0" w:firstLine="0"/>
        <w:jc w:val="left"/>
        <w:rPr>
          <w:rFonts w:ascii="宋体" w:hAnsi="宋体" w:cs="宋体" w:eastAsia="宋体" w:hint="default"/>
          <w:sz w:val="16"/>
          <w:szCs w:val="16"/>
        </w:rPr>
      </w:pPr>
      <w:r>
        <w:rPr>
          <w:rFonts w:ascii="宋体" w:hAnsi="宋体" w:cs="宋体" w:eastAsia="宋体" w:hint="default"/>
          <w:spacing w:val="4"/>
          <w:sz w:val="16"/>
          <w:szCs w:val="16"/>
        </w:rPr>
        <w:t>单项金额重大并单独计</w:t>
      </w:r>
      <w:r>
        <w:rPr>
          <w:rFonts w:ascii="宋体" w:hAnsi="宋体" w:cs="宋体" w:eastAsia="宋体" w:hint="default"/>
          <w:sz w:val="16"/>
          <w:szCs w:val="16"/>
        </w:rPr>
      </w:r>
    </w:p>
    <w:p>
      <w:pPr>
        <w:tabs>
          <w:tab w:pos="3237" w:val="left" w:leader="none"/>
          <w:tab w:pos="3652" w:val="left" w:leader="none"/>
          <w:tab w:pos="4975" w:val="left" w:leader="none"/>
          <w:tab w:pos="5830" w:val="left" w:leader="none"/>
          <w:tab w:pos="7041" w:val="left" w:leader="none"/>
          <w:tab w:pos="7468" w:val="left" w:leader="none"/>
          <w:tab w:pos="8764" w:val="left" w:leader="none"/>
          <w:tab w:pos="9565" w:val="left" w:leader="none"/>
        </w:tabs>
        <w:spacing w:line="218" w:lineRule="exact" w:before="0"/>
        <w:ind w:left="743"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提坏账准备</w:t>
        <w:tab/>
      </w:r>
      <w:r>
        <w:rPr>
          <w:rFonts w:ascii="Arial" w:hAnsi="Arial" w:cs="Arial" w:eastAsia="Arial" w:hint="default"/>
          <w:w w:val="95"/>
          <w:sz w:val="16"/>
          <w:szCs w:val="16"/>
        </w:rPr>
        <w:t>-</w:t>
        <w:tab/>
        <w:t>-</w:t>
        <w:tab/>
        <w:t>-</w:t>
        <w:tab/>
        <w:t>-</w:t>
        <w:tab/>
        <w:t>-</w:t>
        <w:tab/>
        <w:t>-</w:t>
        <w:tab/>
        <w:t>-</w:t>
        <w:tab/>
      </w:r>
      <w:r>
        <w:rPr>
          <w:rFonts w:ascii="Arial" w:hAnsi="Arial" w:cs="Arial" w:eastAsia="Arial" w:hint="default"/>
          <w:sz w:val="16"/>
          <w:szCs w:val="16"/>
        </w:rPr>
        <w:t>-</w:t>
      </w:r>
    </w:p>
    <w:p>
      <w:pPr>
        <w:spacing w:line="208" w:lineRule="exact" w:before="8"/>
        <w:ind w:left="753" w:right="7559" w:hanging="172"/>
        <w:jc w:val="left"/>
        <w:rPr>
          <w:rFonts w:ascii="宋体" w:hAnsi="宋体" w:cs="宋体" w:eastAsia="宋体" w:hint="default"/>
          <w:sz w:val="16"/>
          <w:szCs w:val="16"/>
        </w:rPr>
      </w:pPr>
      <w:r>
        <w:rPr>
          <w:rFonts w:ascii="宋体" w:hAnsi="宋体" w:cs="宋体" w:eastAsia="宋体" w:hint="default"/>
          <w:spacing w:val="4"/>
          <w:sz w:val="16"/>
          <w:szCs w:val="16"/>
        </w:rPr>
        <w:t>单项金额不重大但按信</w:t>
      </w:r>
      <w:r>
        <w:rPr>
          <w:rFonts w:ascii="宋体" w:hAnsi="宋体" w:cs="宋体" w:eastAsia="宋体" w:hint="default"/>
          <w:spacing w:val="4"/>
          <w:w w:val="99"/>
          <w:sz w:val="16"/>
          <w:szCs w:val="16"/>
        </w:rPr>
        <w:t> </w:t>
      </w:r>
      <w:r>
        <w:rPr>
          <w:rFonts w:ascii="宋体" w:hAnsi="宋体" w:cs="宋体" w:eastAsia="宋体" w:hint="default"/>
          <w:spacing w:val="2"/>
          <w:sz w:val="16"/>
          <w:szCs w:val="16"/>
        </w:rPr>
        <w:t>用风险特征组合后该</w:t>
      </w:r>
    </w:p>
    <w:p>
      <w:pPr>
        <w:tabs>
          <w:tab w:pos="2266" w:val="left" w:leader="none"/>
          <w:tab w:pos="5452" w:val="left" w:leader="none"/>
          <w:tab w:pos="9199" w:val="left" w:leader="none"/>
        </w:tabs>
        <w:spacing w:line="199" w:lineRule="exact" w:before="0"/>
        <w:ind w:left="753"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组合风险较大</w:t>
        <w:tab/>
      </w:r>
      <w:r>
        <w:rPr>
          <w:rFonts w:ascii="Arial" w:hAnsi="Arial" w:cs="Arial" w:eastAsia="Arial" w:hint="default"/>
          <w:sz w:val="16"/>
          <w:szCs w:val="16"/>
        </w:rPr>
        <w:t>2,402,766,362    100.00  </w:t>
      </w:r>
      <w:r>
        <w:rPr>
          <w:rFonts w:ascii="Arial" w:hAnsi="Arial" w:cs="Arial" w:eastAsia="Arial" w:hint="default"/>
          <w:spacing w:val="19"/>
          <w:sz w:val="16"/>
          <w:szCs w:val="16"/>
        </w:rPr>
        <w:t> </w:t>
      </w:r>
      <w:r>
        <w:rPr>
          <w:rFonts w:ascii="Arial" w:hAnsi="Arial" w:cs="Arial" w:eastAsia="Arial" w:hint="default"/>
          <w:sz w:val="16"/>
          <w:szCs w:val="16"/>
        </w:rPr>
        <w:t>(478,155,584)</w:t>
        <w:tab/>
        <w:t>0~100    2,113,264,037    100.00 </w:t>
      </w:r>
      <w:r>
        <w:rPr>
          <w:rFonts w:ascii="Arial" w:hAnsi="Arial" w:cs="Arial" w:eastAsia="Arial" w:hint="default"/>
          <w:spacing w:val="20"/>
          <w:sz w:val="16"/>
          <w:szCs w:val="16"/>
        </w:rPr>
        <w:t> </w:t>
      </w:r>
      <w:r>
        <w:rPr>
          <w:rFonts w:ascii="Arial" w:hAnsi="Arial" w:cs="Arial" w:eastAsia="Arial" w:hint="default"/>
          <w:sz w:val="16"/>
          <w:szCs w:val="16"/>
        </w:rPr>
        <w:t>(496,630,893)</w:t>
        <w:tab/>
        <w:t>0~100</w:t>
      </w:r>
    </w:p>
    <w:p>
      <w:pPr>
        <w:spacing w:line="197" w:lineRule="exact" w:before="0"/>
        <w:ind w:left="581" w:right="0" w:firstLine="0"/>
        <w:jc w:val="left"/>
        <w:rPr>
          <w:rFonts w:ascii="宋体" w:hAnsi="宋体" w:cs="宋体" w:eastAsia="宋体" w:hint="default"/>
          <w:sz w:val="16"/>
          <w:szCs w:val="16"/>
        </w:rPr>
      </w:pPr>
      <w:r>
        <w:rPr>
          <w:rFonts w:ascii="宋体" w:hAnsi="宋体" w:cs="宋体" w:eastAsia="宋体" w:hint="default"/>
          <w:spacing w:val="4"/>
          <w:sz w:val="16"/>
          <w:szCs w:val="16"/>
        </w:rPr>
        <w:t>单项金额虽不重大但单</w:t>
      </w:r>
      <w:r>
        <w:rPr>
          <w:rFonts w:ascii="宋体" w:hAnsi="宋体" w:cs="宋体" w:eastAsia="宋体" w:hint="default"/>
          <w:sz w:val="16"/>
          <w:szCs w:val="16"/>
        </w:rPr>
      </w:r>
    </w:p>
    <w:p>
      <w:pPr>
        <w:tabs>
          <w:tab w:pos="2237" w:val="left" w:leader="none"/>
          <w:tab w:pos="3237" w:val="left" w:leader="none"/>
          <w:tab w:pos="3985" w:val="left" w:leader="none"/>
          <w:tab w:pos="4975" w:val="left" w:leader="none"/>
          <w:tab w:pos="5830" w:val="left" w:leader="none"/>
          <w:tab w:pos="7041" w:val="left" w:leader="none"/>
          <w:tab w:pos="7790" w:val="left" w:leader="none"/>
          <w:tab w:pos="8764" w:val="left" w:leader="none"/>
          <w:tab w:pos="9565" w:val="left" w:leader="none"/>
          <w:tab w:pos="9680" w:val="left" w:leader="none"/>
        </w:tabs>
        <w:spacing w:before="0"/>
        <w:ind w:left="743"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独计提坏账准备</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       </w:t>
      </w:r>
      <w:r>
        <w:rPr>
          <w:rFonts w:ascii="Arial" w:hAnsi="Arial" w:cs="Arial" w:eastAsia="Arial" w:hint="default"/>
          <w:spacing w:val="5"/>
          <w:sz w:val="16"/>
          <w:szCs w:val="16"/>
          <w:u w:val="single" w:color="000000"/>
        </w:rPr>
        <w:t> </w:t>
      </w:r>
      <w:r>
        <w:rPr>
          <w:rFonts w:ascii="Arial" w:hAnsi="Arial" w:cs="Arial" w:eastAsia="Arial" w:hint="default"/>
          <w:spacing w:val="5"/>
          <w:sz w:val="16"/>
          <w:szCs w:val="16"/>
        </w:rPr>
      </w:r>
      <w:r>
        <w:rPr>
          <w:rFonts w:ascii="Arial" w:hAnsi="Arial" w:cs="Arial" w:eastAsia="Arial" w:hint="default"/>
          <w:spacing w:val="5"/>
          <w:sz w:val="16"/>
          <w:szCs w:val="16"/>
          <w:u w:val="single" w:color="000000"/>
        </w:rPr>
        <w:t> </w:t>
      </w:r>
      <w:r>
        <w:rPr>
          <w:rFonts w:ascii="Arial" w:hAnsi="Arial" w:cs="Arial" w:eastAsia="Arial" w:hint="default"/>
          <w:sz w:val="16"/>
          <w:szCs w:val="16"/>
          <w:u w:val="single" w:color="000000"/>
        </w:rPr>
        <w:t>-</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       </w:t>
      </w:r>
      <w:r>
        <w:rPr>
          <w:rFonts w:ascii="Arial" w:hAnsi="Arial" w:cs="Arial" w:eastAsia="Arial" w:hint="default"/>
          <w:spacing w:val="16"/>
          <w:sz w:val="16"/>
          <w:szCs w:val="16"/>
          <w:u w:val="single" w:color="000000"/>
        </w:rPr>
        <w:t> </w:t>
      </w:r>
      <w:r>
        <w:rPr>
          <w:rFonts w:ascii="Arial" w:hAnsi="Arial" w:cs="Arial" w:eastAsia="Arial" w:hint="default"/>
          <w:spacing w:val="16"/>
          <w:sz w:val="16"/>
          <w:szCs w:val="16"/>
        </w:rPr>
      </w:r>
      <w:r>
        <w:rPr>
          <w:rFonts w:ascii="Arial" w:hAnsi="Arial" w:cs="Arial" w:eastAsia="Arial" w:hint="default"/>
          <w:spacing w:val="16"/>
          <w:sz w:val="16"/>
          <w:szCs w:val="16"/>
          <w:u w:val="single" w:color="000000"/>
        </w:rPr>
        <w:t> </w:t>
      </w:r>
      <w:r>
        <w:rPr>
          <w:rFonts w:ascii="Arial" w:hAnsi="Arial" w:cs="Arial" w:eastAsia="Arial" w:hint="default"/>
          <w:sz w:val="16"/>
          <w:szCs w:val="16"/>
          <w:u w:val="single" w:color="000000"/>
        </w:rPr>
        <w:t>-</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w:t>
        <w:tab/>
      </w:r>
      <w:r>
        <w:rPr>
          <w:rFonts w:ascii="Arial" w:hAnsi="Arial" w:cs="Arial" w:eastAsia="Arial" w:hint="default"/>
          <w:sz w:val="16"/>
          <w:szCs w:val="16"/>
        </w:rPr>
      </w:r>
    </w:p>
    <w:p>
      <w:pPr>
        <w:spacing w:line="240" w:lineRule="auto" w:before="9"/>
        <w:rPr>
          <w:rFonts w:ascii="Arial" w:hAnsi="Arial" w:cs="Arial" w:eastAsia="Arial" w:hint="default"/>
          <w:sz w:val="10"/>
          <w:szCs w:val="10"/>
        </w:rPr>
      </w:pPr>
    </w:p>
    <w:p>
      <w:pPr>
        <w:tabs>
          <w:tab w:pos="2266" w:val="left" w:leader="none"/>
          <w:tab w:pos="5452" w:val="left" w:leader="none"/>
          <w:tab w:pos="9199" w:val="left" w:leader="none"/>
        </w:tabs>
        <w:spacing w:before="51"/>
        <w:ind w:left="581"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sz w:val="16"/>
          <w:szCs w:val="16"/>
        </w:rPr>
        <w:t>2,402,766,362    100.00  </w:t>
      </w:r>
      <w:r>
        <w:rPr>
          <w:rFonts w:ascii="Arial" w:hAnsi="Arial" w:cs="Arial" w:eastAsia="Arial" w:hint="default"/>
          <w:spacing w:val="19"/>
          <w:sz w:val="16"/>
          <w:szCs w:val="16"/>
        </w:rPr>
        <w:t> </w:t>
      </w:r>
      <w:r>
        <w:rPr>
          <w:rFonts w:ascii="Arial" w:hAnsi="Arial" w:cs="Arial" w:eastAsia="Arial" w:hint="default"/>
          <w:sz w:val="16"/>
          <w:szCs w:val="16"/>
        </w:rPr>
        <w:t>(478,155,584)</w:t>
        <w:tab/>
        <w:t>0~100    2,113,264,037    100.00 </w:t>
      </w:r>
      <w:r>
        <w:rPr>
          <w:rFonts w:ascii="Arial" w:hAnsi="Arial" w:cs="Arial" w:eastAsia="Arial" w:hint="default"/>
          <w:spacing w:val="20"/>
          <w:sz w:val="16"/>
          <w:szCs w:val="16"/>
        </w:rPr>
        <w:t> </w:t>
      </w:r>
      <w:r>
        <w:rPr>
          <w:rFonts w:ascii="Arial" w:hAnsi="Arial" w:cs="Arial" w:eastAsia="Arial" w:hint="default"/>
          <w:sz w:val="16"/>
          <w:szCs w:val="16"/>
        </w:rPr>
        <w:t>(496,630,893)</w:t>
        <w:tab/>
        <w:t>0~100</w:t>
      </w:r>
    </w:p>
    <w:p>
      <w:pPr>
        <w:spacing w:line="43" w:lineRule="exact"/>
        <w:ind w:left="2216" w:right="0" w:firstLine="0"/>
        <w:rPr>
          <w:rFonts w:ascii="Arial" w:hAnsi="Arial" w:cs="Arial" w:eastAsia="Arial" w:hint="default"/>
          <w:sz w:val="4"/>
          <w:szCs w:val="4"/>
        </w:rPr>
      </w:pPr>
      <w:r>
        <w:rPr>
          <w:rFonts w:ascii="Arial" w:hAnsi="Arial" w:cs="Arial" w:eastAsia="Arial" w:hint="default"/>
          <w:position w:val="0"/>
          <w:sz w:val="4"/>
          <w:szCs w:val="4"/>
        </w:rPr>
        <w:pict>
          <v:group style="width:373.6pt;height:2.2pt;mso-position-horizontal-relative:char;mso-position-vertical-relative:line" coordorigin="0,0" coordsize="7472,44">
            <v:group style="position:absolute;left:7;top:36;width:1132;height:2" coordorigin="7,36" coordsize="1132,2">
              <v:shape style="position:absolute;left:7;top:36;width:1132;height:2" coordorigin="7,36" coordsize="1132,0" path="m7,36l1139,36e" filled="false" stroked="true" strokeweight=".72pt" strokecolor="#000000">
                <v:path arrowok="t"/>
              </v:shape>
            </v:group>
            <v:group style="position:absolute;left:7;top:7;width:1132;height:2" coordorigin="7,7" coordsize="1132,2">
              <v:shape style="position:absolute;left:7;top:7;width:1132;height:2" coordorigin="7,7" coordsize="1132,0" path="m7,7l1139,7e" filled="false" stroked="true" strokeweight=".72pt" strokecolor="#000000">
                <v:path arrowok="t"/>
              </v:shape>
            </v:group>
            <v:group style="position:absolute;left:1178;top:36;width:591;height:2" coordorigin="1178,36" coordsize="591,2">
              <v:shape style="position:absolute;left:1178;top:36;width:591;height:2" coordorigin="1178,36" coordsize="591,0" path="m1178,36l1769,36e" filled="false" stroked="true" strokeweight=".72pt" strokecolor="#000000">
                <v:path arrowok="t"/>
              </v:shape>
            </v:group>
            <v:group style="position:absolute;left:1178;top:7;width:591;height:2" coordorigin="1178,7" coordsize="591,2">
              <v:shape style="position:absolute;left:1178;top:7;width:591;height:2" coordorigin="1178,7" coordsize="591,0" path="m1178,7l1769,7e" filled="false" stroked="true" strokeweight=".72pt" strokecolor="#000000">
                <v:path arrowok="t"/>
              </v:shape>
            </v:group>
            <v:group style="position:absolute;left:1808;top:36;width:1101;height:2" coordorigin="1808,36" coordsize="1101,2">
              <v:shape style="position:absolute;left:1808;top:36;width:1101;height:2" coordorigin="1808,36" coordsize="1101,0" path="m1808,36l2909,36e" filled="false" stroked="true" strokeweight=".72pt" strokecolor="#000000">
                <v:path arrowok="t"/>
              </v:shape>
            </v:group>
            <v:group style="position:absolute;left:1808;top:7;width:1101;height:2" coordorigin="1808,7" coordsize="1101,2">
              <v:shape style="position:absolute;left:1808;top:7;width:1101;height:2" coordorigin="1808,7" coordsize="1101,0" path="m1808,7l2909,7e" filled="false" stroked="true" strokeweight=".72pt" strokecolor="#000000">
                <v:path arrowok="t"/>
              </v:shape>
            </v:group>
            <v:group style="position:absolute;left:2948;top:36;width:753;height:2" coordorigin="2948,36" coordsize="753,2">
              <v:shape style="position:absolute;left:2948;top:36;width:753;height:2" coordorigin="2948,36" coordsize="753,0" path="m2948,36l3701,36e" filled="false" stroked="true" strokeweight=".72pt" strokecolor="#000000">
                <v:path arrowok="t"/>
              </v:shape>
            </v:group>
            <v:group style="position:absolute;left:2948;top:7;width:753;height:2" coordorigin="2948,7" coordsize="753,2">
              <v:shape style="position:absolute;left:2948;top:7;width:753;height:2" coordorigin="2948,7" coordsize="753,0" path="m2948,7l3701,7e" filled="false" stroked="true" strokeweight=".72pt" strokecolor="#000000">
                <v:path arrowok="t"/>
              </v:shape>
            </v:group>
            <v:group style="position:absolute;left:3746;top:36;width:1220;height:2" coordorigin="3746,36" coordsize="1220,2">
              <v:shape style="position:absolute;left:3746;top:36;width:1220;height:2" coordorigin="3746,36" coordsize="1220,0" path="m3746,36l4966,36e" filled="false" stroked="true" strokeweight=".72pt" strokecolor="#000000">
                <v:path arrowok="t"/>
              </v:shape>
            </v:group>
            <v:group style="position:absolute;left:3746;top:7;width:1220;height:2" coordorigin="3746,7" coordsize="1220,2">
              <v:shape style="position:absolute;left:3746;top:7;width:1220;height:2" coordorigin="3746,7" coordsize="1220,0" path="m3746,7l4966,7e" filled="false" stroked="true" strokeweight=".72pt" strokecolor="#000000">
                <v:path arrowok="t"/>
              </v:shape>
            </v:group>
            <v:group style="position:absolute;left:5005;top:36;width:569;height:2" coordorigin="5005,36" coordsize="569,2">
              <v:shape style="position:absolute;left:5005;top:36;width:569;height:2" coordorigin="5005,36" coordsize="569,0" path="m5005,36l5574,36e" filled="false" stroked="true" strokeweight=".72pt" strokecolor="#000000">
                <v:path arrowok="t"/>
              </v:shape>
            </v:group>
            <v:group style="position:absolute;left:5005;top:7;width:569;height:2" coordorigin="5005,7" coordsize="569,2">
              <v:shape style="position:absolute;left:5005;top:7;width:569;height:2" coordorigin="5005,7" coordsize="569,0" path="m5005,7l5574,7e" filled="false" stroked="true" strokeweight=".72pt" strokecolor="#000000">
                <v:path arrowok="t"/>
              </v:shape>
            </v:group>
            <v:group style="position:absolute;left:5618;top:36;width:1062;height:2" coordorigin="5618,36" coordsize="1062,2">
              <v:shape style="position:absolute;left:5618;top:36;width:1062;height:2" coordorigin="5618,36" coordsize="1062,0" path="m5618,36l6680,36e" filled="false" stroked="true" strokeweight=".72pt" strokecolor="#000000">
                <v:path arrowok="t"/>
              </v:shape>
            </v:group>
            <v:group style="position:absolute;left:5618;top:7;width:1062;height:2" coordorigin="5618,7" coordsize="1062,2">
              <v:shape style="position:absolute;left:5618;top:7;width:1062;height:2" coordorigin="5618,7" coordsize="1062,0" path="m5618,7l6680,7e" filled="false" stroked="true" strokeweight=".72pt" strokecolor="#000000">
                <v:path arrowok="t"/>
              </v:shape>
            </v:group>
            <v:group style="position:absolute;left:6725;top:36;width:740;height:2" coordorigin="6725,36" coordsize="740,2">
              <v:shape style="position:absolute;left:6725;top:36;width:740;height:2" coordorigin="6725,36" coordsize="740,0" path="m6725,36l7464,36e" filled="false" stroked="true" strokeweight=".72pt" strokecolor="#000000">
                <v:path arrowok="t"/>
              </v:shape>
            </v:group>
            <v:group style="position:absolute;left:6725;top:7;width:740;height:2" coordorigin="6725,7" coordsize="740,2">
              <v:shape style="position:absolute;left:6725;top:7;width:740;height:2" coordorigin="6725,7" coordsize="740,0" path="m6725,7l7464,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spacing w:line="286" w:lineRule="exact" w:before="60"/>
        <w:ind w:left="570" w:right="0" w:hanging="456"/>
        <w:jc w:val="left"/>
      </w:pPr>
      <w:r>
        <w:rPr>
          <w:rFonts w:ascii="Arial" w:hAnsi="Arial" w:cs="Arial" w:eastAsia="Arial" w:hint="default"/>
        </w:rPr>
        <w:t>(c)</w:t>
      </w:r>
      <w:r>
        <w:rPr>
          <w:rFonts w:ascii="Arial" w:hAnsi="Arial" w:cs="Arial" w:eastAsia="Arial" w:hint="default"/>
          <w:spacing w:val="14"/>
        </w:rPr>
        <w:t> </w:t>
      </w:r>
      <w:r>
        <w:rPr/>
        <w:t>于</w:t>
      </w:r>
      <w:r>
        <w:rPr>
          <w:spacing w:val="-39"/>
        </w:rPr>
        <w:t> </w:t>
      </w:r>
      <w:r>
        <w:rPr>
          <w:rFonts w:ascii="Arial" w:hAnsi="Arial" w:cs="Arial" w:eastAsia="Arial" w:hint="default"/>
        </w:rPr>
        <w:t>2011</w:t>
      </w:r>
      <w:r>
        <w:rPr>
          <w:rFonts w:ascii="Arial" w:hAnsi="Arial" w:cs="Arial" w:eastAsia="Arial" w:hint="default"/>
          <w:spacing w:val="10"/>
        </w:rPr>
        <w:t> </w:t>
      </w:r>
      <w:r>
        <w:rPr/>
        <w:t>年</w:t>
      </w:r>
      <w:r>
        <w:rPr>
          <w:spacing w:val="-38"/>
        </w:rPr>
        <w:t> </w:t>
      </w:r>
      <w:r>
        <w:rPr>
          <w:rFonts w:ascii="Arial" w:hAnsi="Arial" w:cs="Arial" w:eastAsia="Arial" w:hint="default"/>
        </w:rPr>
        <w:t>12</w:t>
      </w:r>
      <w:r>
        <w:rPr>
          <w:rFonts w:ascii="Arial" w:hAnsi="Arial" w:cs="Arial" w:eastAsia="Arial" w:hint="default"/>
          <w:spacing w:val="10"/>
        </w:rPr>
        <w:t> </w:t>
      </w:r>
      <w:r>
        <w:rPr/>
        <w:t>月</w:t>
      </w:r>
      <w:r>
        <w:rPr>
          <w:spacing w:val="-39"/>
        </w:rPr>
        <w:t> </w:t>
      </w:r>
      <w:r>
        <w:rPr>
          <w:rFonts w:ascii="Arial" w:hAnsi="Arial" w:cs="Arial" w:eastAsia="Arial" w:hint="default"/>
        </w:rPr>
        <w:t>31</w:t>
      </w:r>
      <w:r>
        <w:rPr>
          <w:rFonts w:ascii="Arial" w:hAnsi="Arial" w:cs="Arial" w:eastAsia="Arial" w:hint="default"/>
          <w:spacing w:val="10"/>
        </w:rPr>
        <w:t> </w:t>
      </w:r>
      <w:r>
        <w:rPr/>
        <w:t>日，无单项金额重大并单独计提坏账准备的其他应收款、或虽不重大但单</w:t>
      </w:r>
      <w:r>
        <w:rPr>
          <w:w w:val="99"/>
        </w:rPr>
        <w:t> </w:t>
      </w:r>
      <w:r>
        <w:rPr/>
        <w:t>独计提坏账准备的其他应收款。</w:t>
      </w:r>
    </w:p>
    <w:p>
      <w:pPr>
        <w:spacing w:line="240" w:lineRule="auto" w:before="1"/>
        <w:rPr>
          <w:rFonts w:ascii="宋体" w:hAnsi="宋体" w:cs="宋体" w:eastAsia="宋体" w:hint="default"/>
          <w:sz w:val="17"/>
          <w:szCs w:val="17"/>
        </w:rPr>
      </w:pPr>
    </w:p>
    <w:p>
      <w:pPr>
        <w:pStyle w:val="BodyText"/>
        <w:spacing w:line="240" w:lineRule="auto"/>
        <w:ind w:left="122" w:right="0"/>
        <w:jc w:val="left"/>
      </w:pPr>
      <w:r>
        <w:rPr>
          <w:rFonts w:ascii="Arial" w:hAnsi="Arial" w:cs="Arial" w:eastAsia="Arial" w:hint="default"/>
        </w:rPr>
        <w:t>(d) </w:t>
      </w:r>
      <w:r>
        <w:rPr>
          <w:rFonts w:ascii="Arial" w:hAnsi="Arial" w:cs="Arial" w:eastAsia="Arial" w:hint="default"/>
          <w:spacing w:val="24"/>
        </w:rPr>
        <w:t> </w:t>
      </w:r>
      <w:r>
        <w:rPr/>
        <w:t>按组合计提坏账准备的其他应收款中，采用账龄分析法的组合分析如下：</w:t>
      </w:r>
    </w:p>
    <w:p>
      <w:pPr>
        <w:spacing w:line="240" w:lineRule="auto" w:before="9"/>
        <w:rPr>
          <w:rFonts w:ascii="宋体" w:hAnsi="宋体" w:cs="宋体" w:eastAsia="宋体" w:hint="default"/>
          <w:sz w:val="18"/>
          <w:szCs w:val="18"/>
        </w:rPr>
      </w:pPr>
    </w:p>
    <w:p>
      <w:pPr>
        <w:tabs>
          <w:tab w:pos="6611" w:val="left" w:leader="none"/>
        </w:tabs>
        <w:spacing w:before="0"/>
        <w:ind w:left="2977" w:right="0" w:firstLine="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日（经重列）</w:t>
      </w:r>
    </w:p>
    <w:p>
      <w:pPr>
        <w:spacing w:line="20" w:lineRule="exact"/>
        <w:ind w:left="1683" w:right="0" w:firstLine="0"/>
        <w:rPr>
          <w:rFonts w:ascii="宋体" w:hAnsi="宋体" w:cs="宋体" w:eastAsia="宋体" w:hint="default"/>
          <w:sz w:val="2"/>
          <w:szCs w:val="2"/>
        </w:rPr>
      </w:pPr>
      <w:r>
        <w:rPr>
          <w:rFonts w:ascii="宋体" w:hAnsi="宋体" w:cs="宋体" w:eastAsia="宋体" w:hint="default"/>
          <w:sz w:val="2"/>
          <w:szCs w:val="2"/>
        </w:rPr>
        <w:pict>
          <v:group style="width:400.2pt;height:.75pt;mso-position-horizontal-relative:char;mso-position-vertical-relative:line" coordorigin="0,0" coordsize="8004,15">
            <v:group style="position:absolute;left:7;top:7;width:3968;height:2" coordorigin="7,7" coordsize="3968,2">
              <v:shape style="position:absolute;left:7;top:7;width:3968;height:2" coordorigin="7,7" coordsize="3968,0" path="m7,7l3974,7e" filled="false" stroked="true" strokeweight=".71997pt" strokecolor="#000000">
                <v:path arrowok="t"/>
              </v:shape>
            </v:group>
            <v:group style="position:absolute;left:4050;top:7;width:3947;height:2" coordorigin="4050,7" coordsize="3947,2">
              <v:shape style="position:absolute;left:4050;top:7;width:3947;height:2" coordorigin="4050,7" coordsize="3947,0" path="m4050,7l7997,7e" filled="false" stroked="true" strokeweight=".71997pt" strokecolor="#000000">
                <v:path arrowok="t"/>
              </v:shape>
            </v:group>
          </v:group>
        </w:pict>
      </w:r>
      <w:r>
        <w:rPr>
          <w:rFonts w:ascii="宋体" w:hAnsi="宋体" w:cs="宋体" w:eastAsia="宋体" w:hint="default"/>
          <w:sz w:val="2"/>
          <w:szCs w:val="2"/>
        </w:rPr>
      </w:r>
    </w:p>
    <w:tbl>
      <w:tblPr>
        <w:tblW w:w="0" w:type="auto"/>
        <w:jc w:val="left"/>
        <w:tblInd w:w="547" w:type="dxa"/>
        <w:tblLayout w:type="fixed"/>
        <w:tblCellMar>
          <w:top w:w="0" w:type="dxa"/>
          <w:left w:w="0" w:type="dxa"/>
          <w:bottom w:w="0" w:type="dxa"/>
          <w:right w:w="0" w:type="dxa"/>
        </w:tblCellMar>
        <w:tblLook w:val="01E0"/>
      </w:tblPr>
      <w:tblGrid>
        <w:gridCol w:w="1144"/>
        <w:gridCol w:w="1329"/>
        <w:gridCol w:w="729"/>
        <w:gridCol w:w="1175"/>
        <w:gridCol w:w="805"/>
        <w:gridCol w:w="1286"/>
        <w:gridCol w:w="735"/>
        <w:gridCol w:w="1131"/>
        <w:gridCol w:w="800"/>
      </w:tblGrid>
      <w:tr>
        <w:trPr>
          <w:trHeight w:val="207" w:hRule="exact"/>
        </w:trPr>
        <w:tc>
          <w:tcPr>
            <w:tcW w:w="1144" w:type="dxa"/>
            <w:vMerge w:val="restart"/>
            <w:tcBorders>
              <w:top w:val="nil" w:sz="6" w:space="0" w:color="auto"/>
              <w:left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Style w:val="TableParagraph"/>
              <w:spacing w:line="174" w:lineRule="exact"/>
              <w:ind w:right="23"/>
              <w:jc w:val="right"/>
              <w:rPr>
                <w:rFonts w:ascii="宋体" w:hAnsi="宋体" w:cs="宋体" w:eastAsia="宋体" w:hint="default"/>
                <w:sz w:val="16"/>
                <w:szCs w:val="16"/>
              </w:rPr>
            </w:pPr>
            <w:r>
              <w:rPr>
                <w:rFonts w:ascii="宋体" w:hAnsi="宋体" w:cs="宋体" w:eastAsia="宋体" w:hint="default"/>
                <w:w w:val="95"/>
                <w:sz w:val="16"/>
                <w:szCs w:val="16"/>
              </w:rPr>
              <w:t>账面余额</w:t>
            </w:r>
            <w:r>
              <w:rPr>
                <w:rFonts w:ascii="宋体" w:hAnsi="宋体" w:cs="宋体" w:eastAsia="宋体" w:hint="default"/>
                <w:sz w:val="16"/>
                <w:szCs w:val="16"/>
              </w:rPr>
            </w:r>
          </w:p>
        </w:tc>
        <w:tc>
          <w:tcPr>
            <w:tcW w:w="729" w:type="dxa"/>
            <w:tcBorders>
              <w:top w:val="nil" w:sz="6" w:space="0" w:color="auto"/>
              <w:left w:val="nil" w:sz="6" w:space="0" w:color="auto"/>
              <w:bottom w:val="nil" w:sz="6" w:space="0" w:color="auto"/>
              <w:right w:val="nil" w:sz="6" w:space="0" w:color="auto"/>
            </w:tcBorders>
          </w:tcPr>
          <w:p>
            <w:pPr/>
          </w:p>
        </w:tc>
        <w:tc>
          <w:tcPr>
            <w:tcW w:w="1979"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630"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286" w:type="dxa"/>
            <w:tcBorders>
              <w:top w:val="nil" w:sz="6" w:space="0" w:color="auto"/>
              <w:left w:val="nil" w:sz="6" w:space="0" w:color="auto"/>
              <w:bottom w:val="nil" w:sz="6" w:space="0" w:color="auto"/>
              <w:right w:val="nil" w:sz="6" w:space="0" w:color="auto"/>
            </w:tcBorders>
          </w:tcPr>
          <w:p>
            <w:pPr>
              <w:pStyle w:val="TableParagraph"/>
              <w:spacing w:line="174" w:lineRule="exact"/>
              <w:ind w:left="657" w:right="-11"/>
              <w:jc w:val="left"/>
              <w:rPr>
                <w:rFonts w:ascii="宋体" w:hAnsi="宋体" w:cs="宋体" w:eastAsia="宋体" w:hint="default"/>
                <w:sz w:val="16"/>
                <w:szCs w:val="16"/>
              </w:rPr>
            </w:pPr>
            <w:r>
              <w:rPr>
                <w:rFonts w:ascii="宋体" w:hAnsi="宋体" w:cs="宋体" w:eastAsia="宋体" w:hint="default"/>
                <w:w w:val="95"/>
                <w:sz w:val="16"/>
                <w:szCs w:val="16"/>
              </w:rPr>
              <w:t>账面余额</w:t>
            </w:r>
            <w:r>
              <w:rPr>
                <w:rFonts w:ascii="宋体" w:hAnsi="宋体" w:cs="宋体" w:eastAsia="宋体" w:hint="default"/>
                <w:sz w:val="16"/>
                <w:szCs w:val="16"/>
              </w:rPr>
            </w:r>
          </w:p>
        </w:tc>
        <w:tc>
          <w:tcPr>
            <w:tcW w:w="735" w:type="dxa"/>
            <w:tcBorders>
              <w:top w:val="nil" w:sz="6" w:space="0" w:color="auto"/>
              <w:left w:val="nil" w:sz="6" w:space="0" w:color="auto"/>
              <w:bottom w:val="nil" w:sz="6" w:space="0" w:color="auto"/>
              <w:right w:val="nil" w:sz="6" w:space="0" w:color="auto"/>
            </w:tcBorders>
          </w:tcPr>
          <w:p>
            <w:pPr/>
          </w:p>
        </w:tc>
        <w:tc>
          <w:tcPr>
            <w:tcW w:w="1932"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4" w:right="0"/>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407" w:hRule="exact"/>
        </w:trPr>
        <w:tc>
          <w:tcPr>
            <w:tcW w:w="1144" w:type="dxa"/>
            <w:vMerge/>
            <w:tcBorders>
              <w:left w:val="nil" w:sz="6" w:space="0" w:color="auto"/>
              <w:bottom w:val="nil" w:sz="6" w:space="0" w:color="auto"/>
              <w:right w:val="nil" w:sz="6" w:space="0" w:color="auto"/>
            </w:tcBorders>
          </w:tcPr>
          <w:p>
            <w:pPr/>
          </w:p>
        </w:tc>
        <w:tc>
          <w:tcPr>
            <w:tcW w:w="1329"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729"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296"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368" w:right="0"/>
              <w:jc w:val="left"/>
              <w:rPr>
                <w:rFonts w:ascii="Arial" w:hAnsi="Arial" w:cs="Arial" w:eastAsia="Arial" w:hint="default"/>
                <w:sz w:val="16"/>
                <w:szCs w:val="16"/>
              </w:rPr>
            </w:pPr>
            <w:r>
              <w:rPr>
                <w:rFonts w:ascii="Arial"/>
                <w:sz w:val="16"/>
              </w:rPr>
              <w:t>(%)</w:t>
            </w:r>
          </w:p>
        </w:tc>
        <w:tc>
          <w:tcPr>
            <w:tcW w:w="1175"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805"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67" w:right="0"/>
              <w:jc w:val="left"/>
              <w:rPr>
                <w:rFonts w:ascii="宋体" w:hAnsi="宋体" w:cs="宋体" w:eastAsia="宋体" w:hint="default"/>
                <w:sz w:val="16"/>
                <w:szCs w:val="16"/>
              </w:rPr>
            </w:pPr>
            <w:r>
              <w:rPr>
                <w:rFonts w:ascii="宋体" w:hAnsi="宋体" w:cs="宋体" w:eastAsia="宋体" w:hint="default"/>
                <w:sz w:val="16"/>
                <w:szCs w:val="16"/>
              </w:rPr>
              <w:t>计提比例</w:t>
            </w:r>
          </w:p>
          <w:p>
            <w:pPr>
              <w:pStyle w:val="TableParagraph"/>
              <w:spacing w:line="240" w:lineRule="auto" w:before="23"/>
              <w:ind w:left="458" w:right="0"/>
              <w:jc w:val="left"/>
              <w:rPr>
                <w:rFonts w:ascii="Arial" w:hAnsi="Arial" w:cs="Arial" w:eastAsia="Arial" w:hint="default"/>
                <w:sz w:val="16"/>
                <w:szCs w:val="16"/>
              </w:rPr>
            </w:pPr>
            <w:r>
              <w:rPr>
                <w:rFonts w:ascii="Arial"/>
                <w:sz w:val="16"/>
              </w:rPr>
              <w:t>(%)</w:t>
            </w:r>
          </w:p>
        </w:tc>
        <w:tc>
          <w:tcPr>
            <w:tcW w:w="1286"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820"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35"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316"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388" w:right="0"/>
              <w:jc w:val="left"/>
              <w:rPr>
                <w:rFonts w:ascii="Arial" w:hAnsi="Arial" w:cs="Arial" w:eastAsia="Arial" w:hint="default"/>
                <w:sz w:val="16"/>
                <w:szCs w:val="16"/>
              </w:rPr>
            </w:pPr>
            <w:r>
              <w:rPr>
                <w:rFonts w:ascii="Arial"/>
                <w:sz w:val="16"/>
              </w:rPr>
              <w:t>(%)</w:t>
            </w:r>
          </w:p>
        </w:tc>
        <w:tc>
          <w:tcPr>
            <w:tcW w:w="1131"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80"/>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800"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计提比例</w:t>
            </w:r>
          </w:p>
          <w:p>
            <w:pPr>
              <w:pStyle w:val="TableParagraph"/>
              <w:spacing w:line="240" w:lineRule="auto" w:before="23"/>
              <w:ind w:left="524" w:right="0"/>
              <w:jc w:val="left"/>
              <w:rPr>
                <w:rFonts w:ascii="Arial" w:hAnsi="Arial" w:cs="Arial" w:eastAsia="Arial" w:hint="default"/>
                <w:sz w:val="16"/>
                <w:szCs w:val="16"/>
              </w:rPr>
            </w:pPr>
            <w:r>
              <w:rPr>
                <w:rFonts w:ascii="Arial"/>
                <w:sz w:val="16"/>
              </w:rPr>
              <w:t>(%)</w:t>
            </w:r>
          </w:p>
        </w:tc>
      </w:tr>
      <w:tr>
        <w:trPr>
          <w:trHeight w:val="407"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132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Arial" w:hAnsi="Arial" w:cs="Arial" w:eastAsia="Arial" w:hint="default"/>
                <w:sz w:val="16"/>
                <w:szCs w:val="16"/>
              </w:rPr>
            </w:pPr>
            <w:r>
              <w:rPr>
                <w:rFonts w:ascii="Arial"/>
                <w:sz w:val="16"/>
              </w:rPr>
              <w:t>1,901,835,630</w:t>
            </w:r>
          </w:p>
        </w:tc>
        <w:tc>
          <w:tcPr>
            <w:tcW w:w="72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1"/>
              <w:jc w:val="right"/>
              <w:rPr>
                <w:rFonts w:ascii="Arial" w:hAnsi="Arial" w:cs="Arial" w:eastAsia="Arial" w:hint="default"/>
                <w:sz w:val="16"/>
                <w:szCs w:val="16"/>
              </w:rPr>
            </w:pPr>
            <w:r>
              <w:rPr>
                <w:rFonts w:ascii="Arial"/>
                <w:w w:val="95"/>
                <w:sz w:val="16"/>
              </w:rPr>
              <w:t>79.14</w:t>
            </w:r>
            <w:r>
              <w:rPr>
                <w:rFonts w:ascii="Arial"/>
                <w:sz w:val="16"/>
              </w:rPr>
            </w:r>
          </w:p>
        </w:tc>
        <w:tc>
          <w:tcPr>
            <w:tcW w:w="117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
              <w:jc w:val="right"/>
              <w:rPr>
                <w:rFonts w:ascii="Arial" w:hAnsi="Arial" w:cs="Arial" w:eastAsia="Arial" w:hint="default"/>
                <w:sz w:val="16"/>
                <w:szCs w:val="16"/>
              </w:rPr>
            </w:pPr>
            <w:r>
              <w:rPr>
                <w:rFonts w:ascii="Arial"/>
                <w:w w:val="95"/>
                <w:sz w:val="16"/>
              </w:rPr>
              <w:t>(117,901,453)</w:t>
            </w:r>
            <w:r>
              <w:rPr>
                <w:rFonts w:ascii="Arial"/>
                <w:sz w:val="16"/>
              </w:rPr>
            </w:r>
          </w:p>
        </w:tc>
        <w:tc>
          <w:tcPr>
            <w:tcW w:w="80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Arial" w:hAnsi="Arial" w:cs="Arial" w:eastAsia="Arial" w:hint="default"/>
                <w:sz w:val="16"/>
                <w:szCs w:val="16"/>
              </w:rPr>
            </w:pPr>
            <w:r>
              <w:rPr>
                <w:rFonts w:ascii="Arial"/>
                <w:w w:val="95"/>
                <w:sz w:val="16"/>
              </w:rPr>
              <w:t>0~10</w:t>
            </w:r>
            <w:r>
              <w:rPr>
                <w:rFonts w:ascii="Arial"/>
                <w:sz w:val="16"/>
              </w:rPr>
            </w:r>
          </w:p>
        </w:tc>
        <w:tc>
          <w:tcPr>
            <w:tcW w:w="128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Arial" w:hAnsi="Arial" w:cs="Arial" w:eastAsia="Arial" w:hint="default"/>
                <w:sz w:val="16"/>
                <w:szCs w:val="16"/>
              </w:rPr>
            </w:pPr>
            <w:r>
              <w:rPr>
                <w:rFonts w:ascii="Arial"/>
                <w:sz w:val="16"/>
              </w:rPr>
              <w:t>1,601,242,163</w:t>
            </w:r>
          </w:p>
        </w:tc>
        <w:tc>
          <w:tcPr>
            <w:tcW w:w="73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6"/>
                <w:szCs w:val="16"/>
              </w:rPr>
            </w:pPr>
            <w:r>
              <w:rPr>
                <w:rFonts w:ascii="Arial"/>
                <w:w w:val="95"/>
                <w:sz w:val="16"/>
              </w:rPr>
              <w:t>75.77</w:t>
            </w:r>
            <w:r>
              <w:rPr>
                <w:rFonts w:ascii="Arial"/>
                <w:sz w:val="16"/>
              </w:rPr>
            </w:r>
          </w:p>
        </w:tc>
        <w:tc>
          <w:tcPr>
            <w:tcW w:w="1131"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
              <w:jc w:val="right"/>
              <w:rPr>
                <w:rFonts w:ascii="Arial" w:hAnsi="Arial" w:cs="Arial" w:eastAsia="Arial" w:hint="default"/>
                <w:sz w:val="16"/>
                <w:szCs w:val="16"/>
              </w:rPr>
            </w:pPr>
            <w:r>
              <w:rPr>
                <w:rFonts w:ascii="Arial"/>
                <w:w w:val="95"/>
                <w:sz w:val="16"/>
              </w:rPr>
              <w:t>(134,517,823)</w:t>
            </w:r>
            <w:r>
              <w:rPr>
                <w:rFonts w:ascii="Arial"/>
                <w:sz w:val="16"/>
              </w:rPr>
            </w:r>
          </w:p>
        </w:tc>
        <w:tc>
          <w:tcPr>
            <w:tcW w:w="8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Arial" w:hAnsi="Arial" w:cs="Arial" w:eastAsia="Arial" w:hint="default"/>
                <w:sz w:val="16"/>
                <w:szCs w:val="16"/>
              </w:rPr>
            </w:pPr>
            <w:r>
              <w:rPr>
                <w:rFonts w:ascii="Arial"/>
                <w:w w:val="95"/>
                <w:sz w:val="16"/>
              </w:rPr>
              <w:t>0~10</w:t>
            </w:r>
            <w:r>
              <w:rPr>
                <w:rFonts w:ascii="Arial"/>
                <w:sz w:val="16"/>
              </w:rPr>
            </w:r>
          </w:p>
        </w:tc>
      </w:tr>
      <w:tr>
        <w:trPr>
          <w:trHeight w:val="208"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186" w:lineRule="exact"/>
              <w:ind w:left="62"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5" w:right="0"/>
              <w:jc w:val="left"/>
              <w:rPr>
                <w:rFonts w:ascii="Arial" w:hAnsi="Arial" w:cs="Arial" w:eastAsia="Arial" w:hint="default"/>
                <w:sz w:val="16"/>
                <w:szCs w:val="16"/>
              </w:rPr>
            </w:pPr>
            <w:r>
              <w:rPr>
                <w:rFonts w:ascii="Arial"/>
                <w:sz w:val="16"/>
              </w:rPr>
              <w:t>117,870,041</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Arial" w:hAnsi="Arial" w:cs="Arial" w:eastAsia="Arial" w:hint="default"/>
                <w:sz w:val="16"/>
                <w:szCs w:val="16"/>
              </w:rPr>
            </w:pPr>
            <w:r>
              <w:rPr>
                <w:rFonts w:ascii="Arial"/>
                <w:w w:val="95"/>
                <w:sz w:val="16"/>
              </w:rPr>
              <w:t>4.91</w:t>
            </w:r>
            <w:r>
              <w:rPr>
                <w:rFonts w:ascii="Arial"/>
                <w:sz w:val="16"/>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Arial" w:hAnsi="Arial" w:cs="Arial" w:eastAsia="Arial" w:hint="default"/>
                <w:sz w:val="16"/>
                <w:szCs w:val="16"/>
              </w:rPr>
            </w:pPr>
            <w:r>
              <w:rPr>
                <w:rFonts w:ascii="Arial"/>
                <w:w w:val="95"/>
                <w:sz w:val="16"/>
              </w:rPr>
              <w:t>(23,314,694)</w:t>
            </w:r>
            <w:r>
              <w:rPr>
                <w:rFonts w:ascii="Arial"/>
                <w:sz w:val="16"/>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Arial" w:hAnsi="Arial" w:cs="Arial" w:eastAsia="Arial" w:hint="default"/>
                <w:sz w:val="16"/>
                <w:szCs w:val="16"/>
              </w:rPr>
            </w:pPr>
            <w:r>
              <w:rPr>
                <w:rFonts w:ascii="Arial"/>
                <w:w w:val="95"/>
                <w:sz w:val="16"/>
              </w:rPr>
              <w:t>20</w:t>
            </w:r>
            <w:r>
              <w:rPr>
                <w:rFonts w:ascii="Arial"/>
                <w:sz w:val="16"/>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3" w:right="0"/>
              <w:jc w:val="left"/>
              <w:rPr>
                <w:rFonts w:ascii="Arial" w:hAnsi="Arial" w:cs="Arial" w:eastAsia="Arial" w:hint="default"/>
                <w:sz w:val="16"/>
                <w:szCs w:val="16"/>
              </w:rPr>
            </w:pPr>
            <w:r>
              <w:rPr>
                <w:rFonts w:ascii="Arial"/>
                <w:sz w:val="16"/>
              </w:rPr>
              <w:t>107,469,828</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Arial" w:hAnsi="Arial" w:cs="Arial" w:eastAsia="Arial" w:hint="default"/>
                <w:sz w:val="16"/>
                <w:szCs w:val="16"/>
              </w:rPr>
            </w:pPr>
            <w:r>
              <w:rPr>
                <w:rFonts w:ascii="Arial"/>
                <w:w w:val="95"/>
                <w:sz w:val="16"/>
              </w:rPr>
              <w:t>5.09</w:t>
            </w:r>
            <w:r>
              <w:rPr>
                <w:rFonts w:ascii="Arial"/>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Arial" w:hAnsi="Arial" w:cs="Arial" w:eastAsia="Arial" w:hint="default"/>
                <w:sz w:val="16"/>
                <w:szCs w:val="16"/>
              </w:rPr>
            </w:pPr>
            <w:r>
              <w:rPr>
                <w:rFonts w:ascii="Arial"/>
                <w:w w:val="95"/>
                <w:sz w:val="16"/>
              </w:rPr>
              <w:t>(20,965,210)</w:t>
            </w:r>
            <w:r>
              <w:rPr>
                <w:rFonts w:ascii="Arial"/>
                <w:sz w:val="16"/>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Arial" w:hAnsi="Arial" w:cs="Arial" w:eastAsia="Arial" w:hint="default"/>
                <w:sz w:val="16"/>
                <w:szCs w:val="16"/>
              </w:rPr>
            </w:pPr>
            <w:r>
              <w:rPr>
                <w:rFonts w:ascii="Arial"/>
                <w:w w:val="95"/>
                <w:sz w:val="16"/>
              </w:rPr>
              <w:t>20</w:t>
            </w:r>
            <w:r>
              <w:rPr>
                <w:rFonts w:ascii="Arial"/>
                <w:sz w:val="16"/>
              </w:rPr>
            </w:r>
          </w:p>
        </w:tc>
      </w:tr>
      <w:tr>
        <w:trPr>
          <w:trHeight w:val="207"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186" w:lineRule="exact"/>
              <w:ind w:left="62" w:right="0"/>
              <w:jc w:val="left"/>
              <w:rPr>
                <w:rFonts w:ascii="宋体" w:hAnsi="宋体" w:cs="宋体" w:eastAsia="宋体" w:hint="default"/>
                <w:sz w:val="16"/>
                <w:szCs w:val="16"/>
              </w:rPr>
            </w:pPr>
            <w:r>
              <w:rPr>
                <w:rFonts w:ascii="Arial" w:hAnsi="Arial" w:cs="Arial" w:eastAsia="Arial" w:hint="default"/>
                <w:sz w:val="16"/>
                <w:szCs w:val="16"/>
              </w:rPr>
              <w:t>2-3</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94" w:right="0"/>
              <w:jc w:val="left"/>
              <w:rPr>
                <w:rFonts w:ascii="Arial" w:hAnsi="Arial" w:cs="Arial" w:eastAsia="Arial" w:hint="default"/>
                <w:sz w:val="16"/>
                <w:szCs w:val="16"/>
              </w:rPr>
            </w:pPr>
            <w:r>
              <w:rPr>
                <w:rFonts w:ascii="Arial"/>
                <w:sz w:val="16"/>
              </w:rPr>
              <w:t>91,692,353</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Arial" w:hAnsi="Arial" w:cs="Arial" w:eastAsia="Arial" w:hint="default"/>
                <w:sz w:val="16"/>
                <w:szCs w:val="16"/>
              </w:rPr>
            </w:pPr>
            <w:r>
              <w:rPr>
                <w:rFonts w:ascii="Arial"/>
                <w:w w:val="95"/>
                <w:sz w:val="16"/>
              </w:rPr>
              <w:t>3.82</w:t>
            </w:r>
            <w:r>
              <w:rPr>
                <w:rFonts w:ascii="Arial"/>
                <w:sz w:val="16"/>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Arial" w:hAnsi="Arial" w:cs="Arial" w:eastAsia="Arial" w:hint="default"/>
                <w:sz w:val="16"/>
                <w:szCs w:val="16"/>
              </w:rPr>
            </w:pPr>
            <w:r>
              <w:rPr>
                <w:rFonts w:ascii="Arial"/>
                <w:w w:val="95"/>
                <w:sz w:val="16"/>
              </w:rPr>
              <w:t>(45,571,099)</w:t>
            </w:r>
            <w:r>
              <w:rPr>
                <w:rFonts w:ascii="Arial"/>
                <w:sz w:val="16"/>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Arial" w:hAnsi="Arial" w:cs="Arial" w:eastAsia="Arial" w:hint="default"/>
                <w:sz w:val="16"/>
                <w:szCs w:val="16"/>
              </w:rPr>
            </w:pPr>
            <w:r>
              <w:rPr>
                <w:rFonts w:ascii="Arial"/>
                <w:w w:val="95"/>
                <w:sz w:val="16"/>
              </w:rPr>
              <w:t>50</w:t>
            </w:r>
            <w:r>
              <w:rPr>
                <w:rFonts w:ascii="Arial"/>
                <w:sz w:val="16"/>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3" w:right="0"/>
              <w:jc w:val="left"/>
              <w:rPr>
                <w:rFonts w:ascii="Arial" w:hAnsi="Arial" w:cs="Arial" w:eastAsia="Arial" w:hint="default"/>
                <w:sz w:val="16"/>
                <w:szCs w:val="16"/>
              </w:rPr>
            </w:pPr>
            <w:r>
              <w:rPr>
                <w:rFonts w:ascii="Arial"/>
                <w:sz w:val="16"/>
              </w:rPr>
              <w:t>126,324,930</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Arial" w:hAnsi="Arial" w:cs="Arial" w:eastAsia="Arial" w:hint="default"/>
                <w:sz w:val="16"/>
                <w:szCs w:val="16"/>
              </w:rPr>
            </w:pPr>
            <w:r>
              <w:rPr>
                <w:rFonts w:ascii="Arial"/>
                <w:w w:val="95"/>
                <w:sz w:val="16"/>
              </w:rPr>
              <w:t>5.98</w:t>
            </w:r>
            <w:r>
              <w:rPr>
                <w:rFonts w:ascii="Arial"/>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Arial" w:hAnsi="Arial" w:cs="Arial" w:eastAsia="Arial" w:hint="default"/>
                <w:sz w:val="16"/>
                <w:szCs w:val="16"/>
              </w:rPr>
            </w:pPr>
            <w:r>
              <w:rPr>
                <w:rFonts w:ascii="Arial"/>
                <w:w w:val="95"/>
                <w:sz w:val="16"/>
              </w:rPr>
              <w:t>(62,920,744)</w:t>
            </w:r>
            <w:r>
              <w:rPr>
                <w:rFonts w:ascii="Arial"/>
                <w:sz w:val="16"/>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Arial" w:hAnsi="Arial" w:cs="Arial" w:eastAsia="Arial" w:hint="default"/>
                <w:sz w:val="16"/>
                <w:szCs w:val="16"/>
              </w:rPr>
            </w:pPr>
            <w:r>
              <w:rPr>
                <w:rFonts w:ascii="Arial"/>
                <w:w w:val="95"/>
                <w:sz w:val="16"/>
              </w:rPr>
              <w:t>50</w:t>
            </w:r>
            <w:r>
              <w:rPr>
                <w:rFonts w:ascii="Arial"/>
                <w:sz w:val="16"/>
              </w:rPr>
            </w:r>
          </w:p>
        </w:tc>
      </w:tr>
      <w:tr>
        <w:trPr>
          <w:trHeight w:val="208"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185" w:lineRule="exact"/>
              <w:ind w:left="62" w:right="0"/>
              <w:jc w:val="left"/>
              <w:rPr>
                <w:rFonts w:ascii="宋体" w:hAnsi="宋体" w:cs="宋体" w:eastAsia="宋体" w:hint="default"/>
                <w:sz w:val="16"/>
                <w:szCs w:val="16"/>
              </w:rPr>
            </w:pPr>
            <w:r>
              <w:rPr>
                <w:rFonts w:ascii="Arial" w:hAnsi="Arial" w:cs="Arial" w:eastAsia="Arial" w:hint="default"/>
                <w:sz w:val="16"/>
                <w:szCs w:val="16"/>
              </w:rPr>
              <w:t>3-4</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4" w:right="0"/>
              <w:jc w:val="left"/>
              <w:rPr>
                <w:rFonts w:ascii="Arial" w:hAnsi="Arial" w:cs="Arial" w:eastAsia="Arial" w:hint="default"/>
                <w:sz w:val="16"/>
                <w:szCs w:val="16"/>
              </w:rPr>
            </w:pPr>
            <w:r>
              <w:rPr>
                <w:rFonts w:ascii="Arial"/>
                <w:sz w:val="16"/>
              </w:rPr>
              <w:t>61,785,023</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16"/>
                <w:szCs w:val="16"/>
              </w:rPr>
            </w:pPr>
            <w:r>
              <w:rPr>
                <w:rFonts w:ascii="Arial"/>
                <w:w w:val="95"/>
                <w:sz w:val="16"/>
              </w:rPr>
              <w:t>2.57</w:t>
            </w:r>
            <w:r>
              <w:rPr>
                <w:rFonts w:ascii="Arial"/>
                <w:sz w:val="16"/>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5"/>
              <w:jc w:val="right"/>
              <w:rPr>
                <w:rFonts w:ascii="Arial" w:hAnsi="Arial" w:cs="Arial" w:eastAsia="Arial" w:hint="default"/>
                <w:sz w:val="16"/>
                <w:szCs w:val="16"/>
              </w:rPr>
            </w:pPr>
            <w:r>
              <w:rPr>
                <w:rFonts w:ascii="Arial"/>
                <w:w w:val="95"/>
                <w:sz w:val="16"/>
              </w:rPr>
              <w:t>(61,785,023)</w:t>
            </w:r>
            <w:r>
              <w:rPr>
                <w:rFonts w:ascii="Arial"/>
                <w:sz w:val="16"/>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6"/>
              <w:jc w:val="right"/>
              <w:rPr>
                <w:rFonts w:ascii="Arial" w:hAnsi="Arial" w:cs="Arial" w:eastAsia="Arial" w:hint="default"/>
                <w:sz w:val="16"/>
                <w:szCs w:val="16"/>
              </w:rPr>
            </w:pPr>
            <w:r>
              <w:rPr>
                <w:rFonts w:ascii="Arial"/>
                <w:w w:val="95"/>
                <w:sz w:val="16"/>
              </w:rPr>
              <w:t>100</w:t>
            </w:r>
            <w:r>
              <w:rPr>
                <w:rFonts w:ascii="Arial"/>
                <w:sz w:val="16"/>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21" w:right="0"/>
              <w:jc w:val="left"/>
              <w:rPr>
                <w:rFonts w:ascii="Arial" w:hAnsi="Arial" w:cs="Arial" w:eastAsia="Arial" w:hint="default"/>
                <w:sz w:val="16"/>
                <w:szCs w:val="16"/>
              </w:rPr>
            </w:pPr>
            <w:r>
              <w:rPr>
                <w:rFonts w:ascii="Arial"/>
                <w:sz w:val="16"/>
              </w:rPr>
              <w:t>77,245,887</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6"/>
              <w:jc w:val="right"/>
              <w:rPr>
                <w:rFonts w:ascii="Arial" w:hAnsi="Arial" w:cs="Arial" w:eastAsia="Arial" w:hint="default"/>
                <w:sz w:val="16"/>
                <w:szCs w:val="16"/>
              </w:rPr>
            </w:pPr>
            <w:r>
              <w:rPr>
                <w:rFonts w:ascii="Arial"/>
                <w:w w:val="95"/>
                <w:sz w:val="16"/>
              </w:rPr>
              <w:t>3.66</w:t>
            </w:r>
            <w:r>
              <w:rPr>
                <w:rFonts w:ascii="Arial"/>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
              <w:jc w:val="right"/>
              <w:rPr>
                <w:rFonts w:ascii="Arial" w:hAnsi="Arial" w:cs="Arial" w:eastAsia="Arial" w:hint="default"/>
                <w:sz w:val="16"/>
                <w:szCs w:val="16"/>
              </w:rPr>
            </w:pPr>
            <w:r>
              <w:rPr>
                <w:rFonts w:ascii="Arial"/>
                <w:w w:val="95"/>
                <w:sz w:val="16"/>
              </w:rPr>
              <w:t>(77,245,887)</w:t>
            </w:r>
            <w:r>
              <w:rPr>
                <w:rFonts w:ascii="Arial"/>
                <w:sz w:val="16"/>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
              <w:jc w:val="right"/>
              <w:rPr>
                <w:rFonts w:ascii="Arial" w:hAnsi="Arial" w:cs="Arial" w:eastAsia="Arial" w:hint="default"/>
                <w:sz w:val="16"/>
                <w:szCs w:val="16"/>
              </w:rPr>
            </w:pPr>
            <w:r>
              <w:rPr>
                <w:rFonts w:ascii="Arial"/>
                <w:w w:val="95"/>
                <w:sz w:val="16"/>
              </w:rPr>
              <w:t>100</w:t>
            </w:r>
            <w:r>
              <w:rPr>
                <w:rFonts w:ascii="Arial"/>
                <w:sz w:val="16"/>
              </w:rPr>
            </w:r>
          </w:p>
        </w:tc>
      </w:tr>
      <w:tr>
        <w:trPr>
          <w:trHeight w:val="194"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185" w:lineRule="exact"/>
              <w:ind w:left="62" w:right="0"/>
              <w:jc w:val="left"/>
              <w:rPr>
                <w:rFonts w:ascii="宋体" w:hAnsi="宋体" w:cs="宋体" w:eastAsia="宋体" w:hint="default"/>
                <w:sz w:val="16"/>
                <w:szCs w:val="16"/>
              </w:rPr>
            </w:pPr>
            <w:r>
              <w:rPr>
                <w:rFonts w:ascii="Arial" w:hAnsi="Arial" w:cs="Arial" w:eastAsia="Arial" w:hint="default"/>
                <w:sz w:val="16"/>
                <w:szCs w:val="16"/>
              </w:rPr>
              <w:t>4-5</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4" w:right="0"/>
              <w:jc w:val="left"/>
              <w:rPr>
                <w:rFonts w:ascii="Arial" w:hAnsi="Arial" w:cs="Arial" w:eastAsia="Arial" w:hint="default"/>
                <w:sz w:val="16"/>
                <w:szCs w:val="16"/>
              </w:rPr>
            </w:pPr>
            <w:r>
              <w:rPr>
                <w:rFonts w:ascii="Arial"/>
                <w:sz w:val="16"/>
              </w:rPr>
              <w:t>39,482,420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16"/>
                <w:szCs w:val="16"/>
              </w:rPr>
            </w:pPr>
            <w:r>
              <w:rPr>
                <w:rFonts w:ascii="Arial"/>
                <w:w w:val="95"/>
                <w:sz w:val="16"/>
              </w:rPr>
              <w:t>1.64</w:t>
            </w:r>
            <w:r>
              <w:rPr>
                <w:rFonts w:ascii="Arial"/>
                <w:sz w:val="16"/>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5"/>
              <w:jc w:val="right"/>
              <w:rPr>
                <w:rFonts w:ascii="Arial" w:hAnsi="Arial" w:cs="Arial" w:eastAsia="Arial" w:hint="default"/>
                <w:sz w:val="16"/>
                <w:szCs w:val="16"/>
              </w:rPr>
            </w:pPr>
            <w:r>
              <w:rPr>
                <w:rFonts w:ascii="Arial"/>
                <w:w w:val="95"/>
                <w:sz w:val="16"/>
              </w:rPr>
              <w:t>(39,482,420)</w:t>
            </w:r>
            <w:r>
              <w:rPr>
                <w:rFonts w:ascii="Arial"/>
                <w:sz w:val="16"/>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6"/>
              <w:jc w:val="right"/>
              <w:rPr>
                <w:rFonts w:ascii="Arial" w:hAnsi="Arial" w:cs="Arial" w:eastAsia="Arial" w:hint="default"/>
                <w:sz w:val="16"/>
                <w:szCs w:val="16"/>
              </w:rPr>
            </w:pPr>
            <w:r>
              <w:rPr>
                <w:rFonts w:ascii="Arial"/>
                <w:w w:val="95"/>
                <w:sz w:val="16"/>
              </w:rPr>
              <w:t>100</w:t>
            </w:r>
            <w:r>
              <w:rPr>
                <w:rFonts w:ascii="Arial"/>
                <w:sz w:val="16"/>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21" w:right="0"/>
              <w:jc w:val="left"/>
              <w:rPr>
                <w:rFonts w:ascii="Arial" w:hAnsi="Arial" w:cs="Arial" w:eastAsia="Arial" w:hint="default"/>
                <w:sz w:val="16"/>
                <w:szCs w:val="16"/>
              </w:rPr>
            </w:pPr>
            <w:r>
              <w:rPr>
                <w:rFonts w:ascii="Arial"/>
                <w:sz w:val="16"/>
              </w:rPr>
              <w:t>21,074,720</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6"/>
              <w:jc w:val="right"/>
              <w:rPr>
                <w:rFonts w:ascii="Arial" w:hAnsi="Arial" w:cs="Arial" w:eastAsia="Arial" w:hint="default"/>
                <w:sz w:val="16"/>
                <w:szCs w:val="16"/>
              </w:rPr>
            </w:pPr>
            <w:r>
              <w:rPr>
                <w:rFonts w:ascii="Arial"/>
                <w:w w:val="95"/>
                <w:sz w:val="16"/>
              </w:rPr>
              <w:t>1.00</w:t>
            </w:r>
            <w:r>
              <w:rPr>
                <w:rFonts w:ascii="Arial"/>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
              <w:jc w:val="right"/>
              <w:rPr>
                <w:rFonts w:ascii="Arial" w:hAnsi="Arial" w:cs="Arial" w:eastAsia="Arial" w:hint="default"/>
                <w:sz w:val="16"/>
                <w:szCs w:val="16"/>
              </w:rPr>
            </w:pPr>
            <w:r>
              <w:rPr>
                <w:rFonts w:ascii="Arial"/>
                <w:w w:val="95"/>
                <w:sz w:val="16"/>
              </w:rPr>
              <w:t>(21,074,720)</w:t>
            </w:r>
            <w:r>
              <w:rPr>
                <w:rFonts w:ascii="Arial"/>
                <w:sz w:val="16"/>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
              <w:jc w:val="right"/>
              <w:rPr>
                <w:rFonts w:ascii="Arial" w:hAnsi="Arial" w:cs="Arial" w:eastAsia="Arial" w:hint="default"/>
                <w:sz w:val="16"/>
                <w:szCs w:val="16"/>
              </w:rPr>
            </w:pPr>
            <w:r>
              <w:rPr>
                <w:rFonts w:ascii="Arial"/>
                <w:w w:val="95"/>
                <w:sz w:val="16"/>
              </w:rPr>
              <w:t>100</w:t>
            </w:r>
            <w:r>
              <w:rPr>
                <w:rFonts w:ascii="Arial"/>
                <w:sz w:val="16"/>
              </w:rPr>
            </w:r>
          </w:p>
        </w:tc>
      </w:tr>
      <w:tr>
        <w:trPr>
          <w:trHeight w:val="321" w:hRule="exact"/>
        </w:trPr>
        <w:tc>
          <w:tcPr>
            <w:tcW w:w="9133" w:type="dxa"/>
            <w:gridSpan w:val="9"/>
            <w:tcBorders>
              <w:top w:val="nil" w:sz="6" w:space="0" w:color="auto"/>
              <w:left w:val="nil" w:sz="6" w:space="0" w:color="auto"/>
              <w:bottom w:val="nil" w:sz="6" w:space="0" w:color="auto"/>
              <w:right w:val="nil" w:sz="6" w:space="0" w:color="auto"/>
            </w:tcBorders>
          </w:tcPr>
          <w:p>
            <w:pPr>
              <w:pStyle w:val="TableParagraph"/>
              <w:tabs>
                <w:tab w:pos="1143" w:val="left" w:leader="none"/>
                <w:tab w:pos="1449" w:val="left" w:leader="none"/>
                <w:tab w:pos="2779" w:val="left" w:leader="none"/>
                <w:tab w:pos="4816" w:val="left" w:leader="none"/>
                <w:tab w:pos="6792" w:val="left" w:leader="none"/>
                <w:tab w:pos="8838" w:val="left" w:leader="none"/>
              </w:tabs>
              <w:spacing w:line="211" w:lineRule="exact"/>
              <w:ind w:left="62" w:right="0"/>
              <w:jc w:val="left"/>
              <w:rPr>
                <w:rFonts w:ascii="Arial" w:hAnsi="Arial" w:cs="Arial" w:eastAsia="Arial" w:hint="default"/>
                <w:sz w:val="16"/>
                <w:szCs w:val="16"/>
              </w:rPr>
            </w:pPr>
            <w:r>
              <w:rPr>
                <w:rFonts w:ascii="Arial" w:hAnsi="Arial" w:cs="Arial" w:eastAsia="Arial" w:hint="default"/>
                <w:position w:val="1"/>
                <w:sz w:val="16"/>
                <w:szCs w:val="16"/>
              </w:rPr>
              <w:t>5</w:t>
            </w:r>
            <w:r>
              <w:rPr>
                <w:rFonts w:ascii="Arial" w:hAnsi="Arial" w:cs="Arial" w:eastAsia="Arial" w:hint="default"/>
                <w:spacing w:val="-7"/>
                <w:position w:val="1"/>
                <w:sz w:val="16"/>
                <w:szCs w:val="16"/>
              </w:rPr>
              <w:t> </w:t>
            </w:r>
            <w:r>
              <w:rPr>
                <w:rFonts w:ascii="宋体" w:hAnsi="宋体" w:cs="宋体" w:eastAsia="宋体" w:hint="default"/>
                <w:position w:val="1"/>
                <w:sz w:val="16"/>
                <w:szCs w:val="16"/>
              </w:rPr>
              <w:t>年以上</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190,100,895</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7.92   </w:t>
            </w:r>
            <w:r>
              <w:rPr>
                <w:rFonts w:ascii="Arial" w:hAnsi="Arial" w:cs="Arial" w:eastAsia="Arial" w:hint="default"/>
                <w:spacing w:val="42"/>
                <w:sz w:val="16"/>
                <w:szCs w:val="16"/>
                <w:u w:val="single" w:color="000000"/>
              </w:rPr>
              <w:t> </w:t>
            </w:r>
            <w:r>
              <w:rPr>
                <w:rFonts w:ascii="Arial" w:hAnsi="Arial" w:cs="Arial" w:eastAsia="Arial" w:hint="default"/>
                <w:spacing w:val="42"/>
                <w:sz w:val="16"/>
                <w:szCs w:val="16"/>
              </w:rPr>
            </w:r>
            <w:r>
              <w:rPr>
                <w:rFonts w:ascii="Arial" w:hAnsi="Arial" w:cs="Arial" w:eastAsia="Arial" w:hint="default"/>
                <w:spacing w:val="42"/>
                <w:sz w:val="16"/>
                <w:szCs w:val="16"/>
                <w:u w:val="single" w:color="000000"/>
              </w:rPr>
              <w:t> </w:t>
            </w:r>
            <w:r>
              <w:rPr>
                <w:rFonts w:ascii="Arial" w:hAnsi="Arial" w:cs="Arial" w:eastAsia="Arial" w:hint="default"/>
                <w:sz w:val="16"/>
                <w:szCs w:val="16"/>
                <w:u w:val="single" w:color="000000"/>
              </w:rPr>
              <w:t>(190,100,895)</w:t>
            </w:r>
            <w:r>
              <w:rPr>
                <w:rFonts w:ascii="Arial" w:hAnsi="Arial" w:cs="Arial" w:eastAsia="Arial" w:hint="default"/>
                <w:sz w:val="16"/>
                <w:szCs w:val="16"/>
              </w:rPr>
            </w:r>
            <w:r>
              <w:rPr>
                <w:rFonts w:ascii="Arial" w:hAnsi="Arial" w:cs="Arial" w:eastAsia="Arial" w:hint="default"/>
                <w:sz w:val="16"/>
                <w:szCs w:val="16"/>
                <w:u w:val="single" w:color="000000"/>
              </w:rPr>
              <w:t> </w:t>
              <w:tab/>
              <w:t>100      </w:t>
            </w:r>
            <w:r>
              <w:rPr>
                <w:rFonts w:ascii="Arial" w:hAnsi="Arial" w:cs="Arial" w:eastAsia="Arial" w:hint="default"/>
                <w:spacing w:val="15"/>
                <w:sz w:val="16"/>
                <w:szCs w:val="16"/>
                <w:u w:val="single" w:color="000000"/>
              </w:rPr>
              <w:t> </w:t>
            </w:r>
            <w:r>
              <w:rPr>
                <w:rFonts w:ascii="Arial" w:hAnsi="Arial" w:cs="Arial" w:eastAsia="Arial" w:hint="default"/>
                <w:spacing w:val="15"/>
                <w:sz w:val="16"/>
                <w:szCs w:val="16"/>
              </w:rPr>
            </w:r>
            <w:r>
              <w:rPr>
                <w:rFonts w:ascii="Arial" w:hAnsi="Arial" w:cs="Arial" w:eastAsia="Arial" w:hint="default"/>
                <w:spacing w:val="15"/>
                <w:sz w:val="16"/>
                <w:szCs w:val="16"/>
                <w:u w:val="single" w:color="000000"/>
              </w:rPr>
              <w:t> </w:t>
            </w:r>
            <w:r>
              <w:rPr>
                <w:rFonts w:ascii="Arial" w:hAnsi="Arial" w:cs="Arial" w:eastAsia="Arial" w:hint="default"/>
                <w:sz w:val="16"/>
                <w:szCs w:val="16"/>
                <w:u w:val="single" w:color="000000"/>
              </w:rPr>
              <w:t>179,906,509</w:t>
            </w:r>
            <w:r>
              <w:rPr>
                <w:rFonts w:ascii="Arial" w:hAnsi="Arial" w:cs="Arial" w:eastAsia="Arial" w:hint="default"/>
                <w:sz w:val="16"/>
                <w:szCs w:val="16"/>
              </w:rPr>
            </w:r>
            <w:r>
              <w:rPr>
                <w:rFonts w:ascii="Arial" w:hAnsi="Arial" w:cs="Arial" w:eastAsia="Arial" w:hint="default"/>
                <w:sz w:val="16"/>
                <w:szCs w:val="16"/>
                <w:u w:val="single" w:color="000000"/>
              </w:rPr>
              <w:t> </w:t>
              <w:tab/>
              <w:t>8.50   </w:t>
            </w:r>
            <w:r>
              <w:rPr>
                <w:rFonts w:ascii="Arial" w:hAnsi="Arial" w:cs="Arial" w:eastAsia="Arial" w:hint="default"/>
                <w:spacing w:val="15"/>
                <w:sz w:val="16"/>
                <w:szCs w:val="16"/>
                <w:u w:val="single" w:color="000000"/>
              </w:rPr>
              <w:t> </w:t>
            </w:r>
            <w:r>
              <w:rPr>
                <w:rFonts w:ascii="Arial" w:hAnsi="Arial" w:cs="Arial" w:eastAsia="Arial" w:hint="default"/>
                <w:spacing w:val="15"/>
                <w:sz w:val="16"/>
                <w:szCs w:val="16"/>
              </w:rPr>
            </w:r>
            <w:r>
              <w:rPr>
                <w:rFonts w:ascii="Arial" w:hAnsi="Arial" w:cs="Arial" w:eastAsia="Arial" w:hint="default"/>
                <w:spacing w:val="15"/>
                <w:sz w:val="16"/>
                <w:szCs w:val="16"/>
                <w:u w:val="single" w:color="000000"/>
              </w:rPr>
              <w:t> </w:t>
            </w:r>
            <w:r>
              <w:rPr>
                <w:rFonts w:ascii="Arial" w:hAnsi="Arial" w:cs="Arial" w:eastAsia="Arial" w:hint="default"/>
                <w:sz w:val="16"/>
                <w:szCs w:val="16"/>
                <w:u w:val="single" w:color="000000"/>
              </w:rPr>
              <w:t>(179,906,509)</w:t>
            </w:r>
            <w:r>
              <w:rPr>
                <w:rFonts w:ascii="Arial" w:hAnsi="Arial" w:cs="Arial" w:eastAsia="Arial" w:hint="default"/>
                <w:sz w:val="16"/>
                <w:szCs w:val="16"/>
              </w:rPr>
            </w:r>
            <w:r>
              <w:rPr>
                <w:rFonts w:ascii="Arial" w:hAnsi="Arial" w:cs="Arial" w:eastAsia="Arial" w:hint="default"/>
                <w:sz w:val="16"/>
                <w:szCs w:val="16"/>
                <w:u w:val="single" w:color="000000"/>
              </w:rPr>
              <w:t> </w:t>
              <w:tab/>
              <w:t>100</w:t>
            </w:r>
            <w:r>
              <w:rPr>
                <w:rFonts w:ascii="Arial" w:hAnsi="Arial" w:cs="Arial" w:eastAsia="Arial" w:hint="default"/>
                <w:sz w:val="16"/>
                <w:szCs w:val="16"/>
              </w:rPr>
            </w:r>
          </w:p>
        </w:tc>
      </w:tr>
      <w:tr>
        <w:trPr>
          <w:trHeight w:val="322"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329"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71" w:right="0"/>
              <w:jc w:val="left"/>
              <w:rPr>
                <w:rFonts w:ascii="Arial" w:hAnsi="Arial" w:cs="Arial" w:eastAsia="Arial" w:hint="default"/>
                <w:sz w:val="16"/>
                <w:szCs w:val="16"/>
              </w:rPr>
            </w:pPr>
            <w:r>
              <w:rPr>
                <w:rFonts w:ascii="Arial"/>
                <w:sz w:val="16"/>
              </w:rPr>
              <w:t>2,402,766,362</w:t>
            </w:r>
          </w:p>
        </w:tc>
        <w:tc>
          <w:tcPr>
            <w:tcW w:w="729"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11"/>
              <w:jc w:val="right"/>
              <w:rPr>
                <w:rFonts w:ascii="Arial" w:hAnsi="Arial" w:cs="Arial" w:eastAsia="Arial" w:hint="default"/>
                <w:sz w:val="16"/>
                <w:szCs w:val="16"/>
              </w:rPr>
            </w:pPr>
            <w:r>
              <w:rPr>
                <w:rFonts w:ascii="Arial"/>
                <w:w w:val="95"/>
                <w:sz w:val="16"/>
              </w:rPr>
              <w:t>100.00</w:t>
            </w:r>
            <w:r>
              <w:rPr>
                <w:rFonts w:ascii="Arial"/>
                <w:sz w:val="16"/>
              </w:rPr>
            </w:r>
          </w:p>
        </w:tc>
        <w:tc>
          <w:tcPr>
            <w:tcW w:w="1175"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65"/>
              <w:jc w:val="right"/>
              <w:rPr>
                <w:rFonts w:ascii="Arial" w:hAnsi="Arial" w:cs="Arial" w:eastAsia="Arial" w:hint="default"/>
                <w:sz w:val="16"/>
                <w:szCs w:val="16"/>
              </w:rPr>
            </w:pPr>
            <w:r>
              <w:rPr>
                <w:rFonts w:ascii="Arial"/>
                <w:w w:val="95"/>
                <w:sz w:val="16"/>
              </w:rPr>
              <w:t>(478,155,584)</w:t>
            </w:r>
            <w:r>
              <w:rPr>
                <w:rFonts w:ascii="Arial"/>
                <w:sz w:val="16"/>
              </w:rPr>
            </w:r>
          </w:p>
        </w:tc>
        <w:tc>
          <w:tcPr>
            <w:tcW w:w="805"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96"/>
              <w:jc w:val="right"/>
              <w:rPr>
                <w:rFonts w:ascii="Arial" w:hAnsi="Arial" w:cs="Arial" w:eastAsia="Arial" w:hint="default"/>
                <w:sz w:val="16"/>
                <w:szCs w:val="16"/>
              </w:rPr>
            </w:pPr>
            <w:r>
              <w:rPr>
                <w:rFonts w:ascii="Arial"/>
                <w:w w:val="95"/>
                <w:sz w:val="16"/>
              </w:rPr>
              <w:t>0~100</w:t>
            </w:r>
            <w:r>
              <w:rPr>
                <w:rFonts w:ascii="Arial"/>
                <w:sz w:val="16"/>
              </w:rPr>
            </w:r>
          </w:p>
        </w:tc>
        <w:tc>
          <w:tcPr>
            <w:tcW w:w="1286"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98" w:right="0"/>
              <w:jc w:val="left"/>
              <w:rPr>
                <w:rFonts w:ascii="Arial" w:hAnsi="Arial" w:cs="Arial" w:eastAsia="Arial" w:hint="default"/>
                <w:sz w:val="16"/>
                <w:szCs w:val="16"/>
              </w:rPr>
            </w:pPr>
            <w:r>
              <w:rPr>
                <w:rFonts w:ascii="Arial"/>
                <w:sz w:val="16"/>
              </w:rPr>
              <w:t>2,113,264,037</w:t>
            </w:r>
          </w:p>
        </w:tc>
        <w:tc>
          <w:tcPr>
            <w:tcW w:w="735"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97"/>
              <w:jc w:val="right"/>
              <w:rPr>
                <w:rFonts w:ascii="Arial" w:hAnsi="Arial" w:cs="Arial" w:eastAsia="Arial" w:hint="default"/>
                <w:sz w:val="16"/>
                <w:szCs w:val="16"/>
              </w:rPr>
            </w:pPr>
            <w:r>
              <w:rPr>
                <w:rFonts w:ascii="Arial"/>
                <w:w w:val="95"/>
                <w:sz w:val="16"/>
              </w:rPr>
              <w:t>100.00</w:t>
            </w:r>
            <w:r>
              <w:rPr>
                <w:rFonts w:ascii="Arial"/>
                <w:sz w:val="16"/>
              </w:rPr>
            </w:r>
          </w:p>
        </w:tc>
        <w:tc>
          <w:tcPr>
            <w:tcW w:w="1131"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35"/>
              <w:jc w:val="right"/>
              <w:rPr>
                <w:rFonts w:ascii="Arial" w:hAnsi="Arial" w:cs="Arial" w:eastAsia="Arial" w:hint="default"/>
                <w:sz w:val="16"/>
                <w:szCs w:val="16"/>
              </w:rPr>
            </w:pPr>
            <w:r>
              <w:rPr>
                <w:rFonts w:ascii="Arial"/>
                <w:w w:val="95"/>
                <w:sz w:val="16"/>
              </w:rPr>
              <w:t>(496,630,893)</w:t>
            </w:r>
            <w:r>
              <w:rPr>
                <w:rFonts w:ascii="Arial"/>
                <w:sz w:val="16"/>
              </w:rPr>
            </w:r>
          </w:p>
        </w:tc>
        <w:tc>
          <w:tcPr>
            <w:tcW w:w="80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27"/>
              <w:jc w:val="right"/>
              <w:rPr>
                <w:rFonts w:ascii="Arial" w:hAnsi="Arial" w:cs="Arial" w:eastAsia="Arial" w:hint="default"/>
                <w:sz w:val="16"/>
                <w:szCs w:val="16"/>
              </w:rPr>
            </w:pPr>
            <w:r>
              <w:rPr>
                <w:rFonts w:ascii="Arial"/>
                <w:w w:val="95"/>
                <w:sz w:val="16"/>
              </w:rPr>
              <w:t>0~100</w:t>
            </w:r>
            <w:r>
              <w:rPr>
                <w:rFonts w:ascii="Arial"/>
                <w:sz w:val="16"/>
              </w:rPr>
            </w:r>
          </w:p>
        </w:tc>
      </w:tr>
    </w:tbl>
    <w:p>
      <w:pPr>
        <w:spacing w:line="240" w:lineRule="auto" w:before="10"/>
        <w:rPr>
          <w:rFonts w:ascii="宋体" w:hAnsi="宋体" w:cs="宋体" w:eastAsia="宋体" w:hint="default"/>
          <w:sz w:val="13"/>
          <w:szCs w:val="13"/>
        </w:rPr>
      </w:pPr>
    </w:p>
    <w:p>
      <w:pPr>
        <w:pStyle w:val="BodyText"/>
        <w:spacing w:line="295" w:lineRule="exact" w:before="31"/>
        <w:ind w:left="108" w:right="0"/>
        <w:jc w:val="left"/>
      </w:pPr>
      <w:r>
        <w:rPr>
          <w:rFonts w:ascii="Arial" w:hAnsi="Arial" w:cs="Arial" w:eastAsia="Arial" w:hint="default"/>
        </w:rPr>
        <w:t>(e)   2011</w:t>
      </w:r>
      <w:r>
        <w:rPr>
          <w:rFonts w:ascii="Arial" w:hAnsi="Arial" w:cs="Arial" w:eastAsia="Arial" w:hint="default"/>
          <w:spacing w:val="-9"/>
        </w:rPr>
        <w:t> </w:t>
      </w:r>
      <w:r>
        <w:rPr/>
        <w:t>年度，本集团对有确凿证据表明无法收回的约人民币</w:t>
      </w:r>
      <w:r>
        <w:rPr>
          <w:spacing w:val="-57"/>
        </w:rPr>
        <w:t> </w:t>
      </w:r>
      <w:r>
        <w:rPr>
          <w:rFonts w:ascii="Arial" w:hAnsi="Arial" w:cs="Arial" w:eastAsia="Arial" w:hint="default"/>
        </w:rPr>
        <w:t>2,065</w:t>
      </w:r>
      <w:r>
        <w:rPr>
          <w:rFonts w:ascii="Arial" w:hAnsi="Arial" w:cs="Arial" w:eastAsia="Arial" w:hint="default"/>
          <w:spacing w:val="-9"/>
        </w:rPr>
        <w:t> </w:t>
      </w:r>
      <w:r>
        <w:rPr/>
        <w:t>万元的其他应收款进行了核销</w:t>
      </w:r>
    </w:p>
    <w:p>
      <w:pPr>
        <w:pStyle w:val="BodyText"/>
        <w:spacing w:line="286" w:lineRule="exact" w:before="19"/>
        <w:ind w:left="570" w:right="105" w:hanging="1"/>
        <w:jc w:val="left"/>
      </w:pPr>
      <w:r>
        <w:rPr/>
        <w:t>（</w:t>
      </w:r>
      <w:r>
        <w:rPr>
          <w:rFonts w:ascii="Arial" w:hAnsi="Arial" w:cs="Arial" w:eastAsia="Arial" w:hint="default"/>
        </w:rPr>
        <w:t>2010</w:t>
      </w:r>
      <w:r>
        <w:rPr>
          <w:rFonts w:ascii="Arial" w:hAnsi="Arial" w:cs="Arial" w:eastAsia="Arial" w:hint="default"/>
          <w:spacing w:val="-13"/>
        </w:rPr>
        <w:t> </w:t>
      </w:r>
      <w:r>
        <w:rPr/>
        <w:t>年度：约人民币</w:t>
      </w:r>
      <w:r>
        <w:rPr>
          <w:spacing w:val="-61"/>
        </w:rPr>
        <w:t> </w:t>
      </w:r>
      <w:r>
        <w:rPr>
          <w:rFonts w:ascii="Arial" w:hAnsi="Arial" w:cs="Arial" w:eastAsia="Arial" w:hint="default"/>
        </w:rPr>
        <w:t>4,253</w:t>
      </w:r>
      <w:r>
        <w:rPr>
          <w:rFonts w:ascii="Arial" w:hAnsi="Arial" w:cs="Arial" w:eastAsia="Arial" w:hint="default"/>
          <w:spacing w:val="-13"/>
        </w:rPr>
        <w:t> </w:t>
      </w:r>
      <w:r>
        <w:rPr/>
        <w:t>万元），同时冲销已计提的坏账准备。此外，本集团本年核销的</w:t>
      </w:r>
      <w:r>
        <w:rPr>
          <w:w w:val="99"/>
        </w:rPr>
        <w:t> </w:t>
      </w:r>
      <w:r>
        <w:rPr/>
        <w:t>其他应收款中无应收关联公司款项。</w:t>
      </w:r>
    </w:p>
    <w:p>
      <w:pPr>
        <w:spacing w:line="240" w:lineRule="auto" w:before="3"/>
        <w:rPr>
          <w:rFonts w:ascii="宋体" w:hAnsi="宋体" w:cs="宋体" w:eastAsia="宋体" w:hint="default"/>
          <w:sz w:val="19"/>
          <w:szCs w:val="19"/>
        </w:rPr>
      </w:pPr>
    </w:p>
    <w:p>
      <w:pPr>
        <w:pStyle w:val="BodyText"/>
        <w:tabs>
          <w:tab w:pos="569" w:val="left" w:leader="none"/>
        </w:tabs>
        <w:spacing w:line="286" w:lineRule="exact"/>
        <w:ind w:left="570" w:right="113" w:hanging="462"/>
        <w:jc w:val="left"/>
      </w:pPr>
      <w:r>
        <w:rPr>
          <w:rFonts w:ascii="Arial" w:hAnsi="Arial" w:cs="Arial" w:eastAsia="Arial" w:hint="default"/>
          <w:w w:val="95"/>
        </w:rPr>
        <w:t>(f)</w:t>
        <w:tab/>
      </w:r>
      <w:r>
        <w:rPr/>
        <w:t>于</w:t>
      </w:r>
      <w:r>
        <w:rPr>
          <w:spacing w:val="-54"/>
        </w:rPr>
        <w:t> </w:t>
      </w:r>
      <w:r>
        <w:rPr>
          <w:rFonts w:ascii="Arial" w:hAnsi="Arial" w:cs="Arial" w:eastAsia="Arial" w:hint="default"/>
        </w:rPr>
        <w:t>2011</w:t>
      </w:r>
      <w:r>
        <w:rPr>
          <w:rFonts w:ascii="Arial" w:hAnsi="Arial" w:cs="Arial" w:eastAsia="Arial" w:hint="default"/>
          <w:spacing w:val="-5"/>
        </w:rPr>
        <w:t> </w:t>
      </w:r>
      <w:r>
        <w:rPr/>
        <w:t>年</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5"/>
        </w:rPr>
        <w:t> </w:t>
      </w:r>
      <w:r>
        <w:rPr/>
        <w:t>日，其他应收款中无应收持有本公司</w:t>
      </w:r>
      <w:r>
        <w:rPr>
          <w:spacing w:val="-54"/>
        </w:rPr>
        <w:t> </w:t>
      </w:r>
      <w:r>
        <w:rPr>
          <w:rFonts w:ascii="Arial" w:hAnsi="Arial" w:cs="Arial" w:eastAsia="Arial" w:hint="default"/>
        </w:rPr>
        <w:t>5%</w:t>
      </w:r>
      <w:r>
        <w:rPr/>
        <w:t>（含</w:t>
      </w:r>
      <w:r>
        <w:rPr>
          <w:spacing w:val="-54"/>
        </w:rPr>
        <w:t> </w:t>
      </w:r>
      <w:r>
        <w:rPr>
          <w:rFonts w:ascii="Arial" w:hAnsi="Arial" w:cs="Arial" w:eastAsia="Arial" w:hint="default"/>
        </w:rPr>
        <w:t>5%</w:t>
      </w:r>
      <w:r>
        <w:rPr/>
        <w:t>）以上表决权股份股东的</w:t>
      </w:r>
      <w:r>
        <w:rPr>
          <w:w w:val="99"/>
        </w:rPr>
        <w:t> </w:t>
      </w:r>
      <w:r>
        <w:rPr/>
        <w:t>款项。</w:t>
      </w:r>
    </w:p>
    <w:p>
      <w:pPr>
        <w:spacing w:after="0" w:line="286" w:lineRule="exact"/>
        <w:jc w:val="left"/>
        <w:sectPr>
          <w:type w:val="continuous"/>
          <w:pgSz w:w="11900" w:h="16840"/>
          <w:pgMar w:top="1600" w:bottom="280" w:left="1260" w:right="840"/>
        </w:sectPr>
      </w:pPr>
    </w:p>
    <w:p>
      <w:pPr>
        <w:spacing w:line="240" w:lineRule="auto" w:before="12"/>
        <w:rPr>
          <w:rFonts w:ascii="宋体" w:hAnsi="宋体" w:cs="宋体" w:eastAsia="宋体" w:hint="default"/>
          <w:sz w:val="15"/>
          <w:szCs w:val="15"/>
        </w:rPr>
      </w:pPr>
    </w:p>
    <w:p>
      <w:pPr>
        <w:pStyle w:val="BodyText"/>
        <w:spacing w:line="240" w:lineRule="auto" w:before="31"/>
        <w:ind w:left="102" w:right="0"/>
        <w:jc w:val="left"/>
      </w:pPr>
      <w:r>
        <w:rPr>
          <w:rFonts w:ascii="Arial" w:hAnsi="Arial" w:cs="Arial" w:eastAsia="Arial" w:hint="default"/>
        </w:rPr>
        <w:t>(g) </w:t>
      </w:r>
      <w:r>
        <w:rPr>
          <w:rFonts w:ascii="Arial" w:hAnsi="Arial" w:cs="Arial" w:eastAsia="Arial" w:hint="default"/>
          <w:spacing w:val="24"/>
        </w:rPr>
        <w:t> </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日，余额前五名的其他应收款分析如下：</w:t>
      </w:r>
    </w:p>
    <w:p>
      <w:pPr>
        <w:spacing w:line="240" w:lineRule="auto" w:before="7"/>
        <w:rPr>
          <w:rFonts w:ascii="宋体" w:hAnsi="宋体" w:cs="宋体" w:eastAsia="宋体" w:hint="default"/>
          <w:sz w:val="15"/>
          <w:szCs w:val="15"/>
        </w:rPr>
      </w:pPr>
    </w:p>
    <w:tbl>
      <w:tblPr>
        <w:tblW w:w="0" w:type="auto"/>
        <w:jc w:val="left"/>
        <w:tblInd w:w="500" w:type="dxa"/>
        <w:tblLayout w:type="fixed"/>
        <w:tblCellMar>
          <w:top w:w="0" w:type="dxa"/>
          <w:left w:w="0" w:type="dxa"/>
          <w:bottom w:w="0" w:type="dxa"/>
          <w:right w:w="0" w:type="dxa"/>
        </w:tblCellMar>
        <w:tblLook w:val="01E0"/>
      </w:tblPr>
      <w:tblGrid>
        <w:gridCol w:w="1729"/>
        <w:gridCol w:w="1751"/>
        <w:gridCol w:w="126"/>
        <w:gridCol w:w="1748"/>
        <w:gridCol w:w="108"/>
        <w:gridCol w:w="1740"/>
        <w:gridCol w:w="239"/>
        <w:gridCol w:w="1691"/>
      </w:tblGrid>
      <w:tr>
        <w:trPr>
          <w:trHeight w:val="645" w:hRule="exact"/>
        </w:trPr>
        <w:tc>
          <w:tcPr>
            <w:tcW w:w="1729"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与本集团关系</w:t>
            </w:r>
          </w:p>
        </w:tc>
        <w:tc>
          <w:tcPr>
            <w:tcW w:w="126"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right"/>
              <w:rPr>
                <w:rFonts w:ascii="宋体" w:hAnsi="宋体" w:cs="宋体" w:eastAsia="宋体" w:hint="default"/>
                <w:sz w:val="22"/>
                <w:szCs w:val="22"/>
              </w:rPr>
            </w:pPr>
            <w:r>
              <w:rPr>
                <w:rFonts w:ascii="宋体" w:hAnsi="宋体" w:cs="宋体" w:eastAsia="宋体" w:hint="default"/>
                <w:w w:val="95"/>
                <w:sz w:val="22"/>
                <w:szCs w:val="22"/>
              </w:rPr>
              <w:t>账龄</w:t>
            </w:r>
            <w:r>
              <w:rPr>
                <w:rFonts w:ascii="宋体" w:hAnsi="宋体" w:cs="宋体" w:eastAsia="宋体" w:hint="default"/>
                <w:sz w:val="22"/>
                <w:szCs w:val="22"/>
              </w:rPr>
            </w:r>
          </w:p>
        </w:tc>
        <w:tc>
          <w:tcPr>
            <w:tcW w:w="239"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single" w:sz="6" w:space="0" w:color="000000"/>
              <w:right w:val="nil" w:sz="6" w:space="0" w:color="auto"/>
            </w:tcBorders>
          </w:tcPr>
          <w:p>
            <w:pPr>
              <w:pStyle w:val="TableParagraph"/>
              <w:spacing w:line="286" w:lineRule="exact" w:before="31"/>
              <w:ind w:left="308" w:right="0"/>
              <w:jc w:val="left"/>
              <w:rPr>
                <w:rFonts w:ascii="宋体" w:hAnsi="宋体" w:cs="宋体" w:eastAsia="宋体" w:hint="default"/>
                <w:sz w:val="22"/>
                <w:szCs w:val="22"/>
              </w:rPr>
            </w:pPr>
            <w:r>
              <w:rPr>
                <w:rFonts w:ascii="宋体" w:hAnsi="宋体" w:cs="宋体" w:eastAsia="宋体" w:hint="default"/>
                <w:sz w:val="22"/>
                <w:szCs w:val="22"/>
              </w:rPr>
              <w:t>占其他应收款</w:t>
            </w:r>
          </w:p>
          <w:p>
            <w:pPr>
              <w:pStyle w:val="TableParagraph"/>
              <w:spacing w:line="286" w:lineRule="exact"/>
              <w:ind w:left="748" w:right="0"/>
              <w:jc w:val="left"/>
              <w:rPr>
                <w:rFonts w:ascii="宋体" w:hAnsi="宋体" w:cs="宋体" w:eastAsia="宋体" w:hint="default"/>
                <w:sz w:val="22"/>
                <w:szCs w:val="22"/>
              </w:rPr>
            </w:pPr>
            <w:r>
              <w:rPr>
                <w:rFonts w:ascii="宋体" w:hAnsi="宋体" w:cs="宋体" w:eastAsia="宋体" w:hint="default"/>
                <w:sz w:val="22"/>
                <w:szCs w:val="22"/>
              </w:rPr>
              <w:t>总额比例</w:t>
            </w:r>
          </w:p>
        </w:tc>
      </w:tr>
      <w:tr>
        <w:trPr>
          <w:trHeight w:val="558"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第一名</w:t>
            </w:r>
          </w:p>
        </w:tc>
        <w:tc>
          <w:tcPr>
            <w:tcW w:w="175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26" w:type="dxa"/>
            <w:tcBorders>
              <w:top w:val="nil" w:sz="6" w:space="0" w:color="auto"/>
              <w:left w:val="nil" w:sz="6" w:space="0" w:color="auto"/>
              <w:bottom w:val="nil" w:sz="6" w:space="0" w:color="auto"/>
              <w:right w:val="nil" w:sz="6" w:space="0" w:color="auto"/>
            </w:tcBorders>
          </w:tcPr>
          <w:p>
            <w:pPr/>
          </w:p>
        </w:tc>
        <w:tc>
          <w:tcPr>
            <w:tcW w:w="174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w w:val="95"/>
                <w:sz w:val="22"/>
              </w:rPr>
              <w:t>101,959,819</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2"/>
              <w:jc w:val="right"/>
              <w:rPr>
                <w:rFonts w:ascii="宋体" w:hAnsi="宋体" w:cs="宋体" w:eastAsia="宋体" w:hint="default"/>
                <w:sz w:val="22"/>
                <w:szCs w:val="22"/>
              </w:rPr>
            </w:pPr>
            <w:r>
              <w:rPr>
                <w:rFonts w:ascii="宋体" w:hAnsi="宋体" w:cs="宋体" w:eastAsia="宋体" w:hint="default"/>
                <w:w w:val="95"/>
                <w:sz w:val="22"/>
                <w:szCs w:val="22"/>
              </w:rPr>
              <w:t>一至五年</w:t>
            </w:r>
            <w:r>
              <w:rPr>
                <w:rFonts w:ascii="宋体" w:hAnsi="宋体" w:cs="宋体" w:eastAsia="宋体" w:hint="default"/>
                <w:sz w:val="22"/>
                <w:szCs w:val="22"/>
              </w:rPr>
            </w:r>
          </w:p>
        </w:tc>
        <w:tc>
          <w:tcPr>
            <w:tcW w:w="239" w:type="dxa"/>
            <w:tcBorders>
              <w:top w:val="nil" w:sz="6" w:space="0" w:color="auto"/>
              <w:left w:val="nil" w:sz="6" w:space="0" w:color="auto"/>
              <w:bottom w:val="nil" w:sz="6" w:space="0" w:color="auto"/>
              <w:right w:val="nil" w:sz="6" w:space="0" w:color="auto"/>
            </w:tcBorders>
          </w:tcPr>
          <w:p>
            <w:pPr/>
          </w:p>
        </w:tc>
        <w:tc>
          <w:tcPr>
            <w:tcW w:w="169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2"/>
                <w:szCs w:val="22"/>
              </w:rPr>
            </w:pPr>
            <w:r>
              <w:rPr>
                <w:rFonts w:ascii="Arial"/>
                <w:w w:val="95"/>
                <w:sz w:val="22"/>
              </w:rPr>
              <w:t>4.24%</w:t>
            </w:r>
            <w:r>
              <w:rPr>
                <w:rFonts w:ascii="Arial"/>
                <w:sz w:val="22"/>
              </w:rPr>
            </w:r>
          </w:p>
        </w:tc>
      </w:tr>
      <w:tr>
        <w:trPr>
          <w:trHeight w:val="286"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第二名</w:t>
            </w:r>
          </w:p>
        </w:tc>
        <w:tc>
          <w:tcPr>
            <w:tcW w:w="1751"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26"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w w:val="95"/>
                <w:sz w:val="22"/>
              </w:rPr>
              <w:t>59,222,763</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39" w:lineRule="exact"/>
              <w:ind w:right="72"/>
              <w:jc w:val="right"/>
              <w:rPr>
                <w:rFonts w:ascii="宋体" w:hAnsi="宋体" w:cs="宋体" w:eastAsia="宋体" w:hint="default"/>
                <w:sz w:val="22"/>
                <w:szCs w:val="22"/>
              </w:rPr>
            </w:pPr>
            <w:r>
              <w:rPr>
                <w:rFonts w:ascii="宋体" w:hAnsi="宋体" w:cs="宋体" w:eastAsia="宋体" w:hint="default"/>
                <w:w w:val="95"/>
                <w:sz w:val="22"/>
                <w:szCs w:val="22"/>
              </w:rPr>
              <w:t>一至五年</w:t>
            </w:r>
            <w:r>
              <w:rPr>
                <w:rFonts w:ascii="宋体" w:hAnsi="宋体" w:cs="宋体" w:eastAsia="宋体" w:hint="default"/>
                <w:sz w:val="22"/>
                <w:szCs w:val="22"/>
              </w:rPr>
            </w:r>
          </w:p>
        </w:tc>
        <w:tc>
          <w:tcPr>
            <w:tcW w:w="239"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2"/>
                <w:szCs w:val="22"/>
              </w:rPr>
            </w:pPr>
            <w:r>
              <w:rPr>
                <w:rFonts w:ascii="Arial"/>
                <w:w w:val="95"/>
                <w:sz w:val="22"/>
              </w:rPr>
              <w:t>2.46%</w:t>
            </w:r>
            <w:r>
              <w:rPr>
                <w:rFonts w:ascii="Arial"/>
                <w:sz w:val="22"/>
              </w:rPr>
            </w:r>
          </w:p>
        </w:tc>
      </w:tr>
      <w:tr>
        <w:trPr>
          <w:trHeight w:val="286"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第三名</w:t>
            </w:r>
          </w:p>
        </w:tc>
        <w:tc>
          <w:tcPr>
            <w:tcW w:w="1751"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26"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w w:val="95"/>
                <w:sz w:val="22"/>
              </w:rPr>
              <w:t>35,874,813</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39" w:lineRule="exact"/>
              <w:ind w:right="72"/>
              <w:jc w:val="right"/>
              <w:rPr>
                <w:rFonts w:ascii="宋体" w:hAnsi="宋体" w:cs="宋体" w:eastAsia="宋体" w:hint="default"/>
                <w:sz w:val="22"/>
                <w:szCs w:val="22"/>
              </w:rPr>
            </w:pPr>
            <w:r>
              <w:rPr>
                <w:rFonts w:ascii="宋体" w:hAnsi="宋体" w:cs="宋体" w:eastAsia="宋体" w:hint="default"/>
                <w:w w:val="95"/>
                <w:sz w:val="22"/>
                <w:szCs w:val="22"/>
              </w:rPr>
              <w:t>一至五年</w:t>
            </w:r>
            <w:r>
              <w:rPr>
                <w:rFonts w:ascii="宋体" w:hAnsi="宋体" w:cs="宋体" w:eastAsia="宋体" w:hint="default"/>
                <w:sz w:val="22"/>
                <w:szCs w:val="22"/>
              </w:rPr>
            </w:r>
          </w:p>
        </w:tc>
        <w:tc>
          <w:tcPr>
            <w:tcW w:w="239"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2"/>
                <w:szCs w:val="22"/>
              </w:rPr>
            </w:pPr>
            <w:r>
              <w:rPr>
                <w:rFonts w:ascii="Arial"/>
                <w:w w:val="95"/>
                <w:sz w:val="22"/>
              </w:rPr>
              <w:t>1.49%</w:t>
            </w:r>
            <w:r>
              <w:rPr>
                <w:rFonts w:ascii="Arial"/>
                <w:sz w:val="22"/>
              </w:rPr>
            </w:r>
          </w:p>
        </w:tc>
      </w:tr>
      <w:tr>
        <w:trPr>
          <w:trHeight w:val="285"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第四名</w:t>
            </w:r>
          </w:p>
        </w:tc>
        <w:tc>
          <w:tcPr>
            <w:tcW w:w="1751"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26"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w w:val="95"/>
                <w:sz w:val="22"/>
              </w:rPr>
              <w:t>32,878,000</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39" w:lineRule="exact"/>
              <w:ind w:right="72"/>
              <w:jc w:val="right"/>
              <w:rPr>
                <w:rFonts w:ascii="宋体" w:hAnsi="宋体" w:cs="宋体" w:eastAsia="宋体" w:hint="default"/>
                <w:sz w:val="22"/>
                <w:szCs w:val="22"/>
              </w:rPr>
            </w:pPr>
            <w:r>
              <w:rPr>
                <w:rFonts w:ascii="宋体" w:hAnsi="宋体" w:cs="宋体" w:eastAsia="宋体" w:hint="default"/>
                <w:w w:val="95"/>
                <w:sz w:val="22"/>
                <w:szCs w:val="22"/>
              </w:rPr>
              <w:t>二年以内</w:t>
            </w:r>
            <w:r>
              <w:rPr>
                <w:rFonts w:ascii="宋体" w:hAnsi="宋体" w:cs="宋体" w:eastAsia="宋体" w:hint="default"/>
                <w:sz w:val="22"/>
                <w:szCs w:val="22"/>
              </w:rPr>
            </w:r>
          </w:p>
        </w:tc>
        <w:tc>
          <w:tcPr>
            <w:tcW w:w="239"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2"/>
                <w:szCs w:val="22"/>
              </w:rPr>
            </w:pPr>
            <w:r>
              <w:rPr>
                <w:rFonts w:ascii="Arial"/>
                <w:w w:val="95"/>
                <w:sz w:val="22"/>
              </w:rPr>
              <w:t>1.37%</w:t>
            </w:r>
            <w:r>
              <w:rPr>
                <w:rFonts w:ascii="Arial"/>
                <w:sz w:val="22"/>
              </w:rPr>
            </w:r>
          </w:p>
        </w:tc>
      </w:tr>
      <w:tr>
        <w:trPr>
          <w:trHeight w:val="365"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第五名</w:t>
            </w:r>
          </w:p>
        </w:tc>
        <w:tc>
          <w:tcPr>
            <w:tcW w:w="1751"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26"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tabs>
                <w:tab w:pos="686" w:val="left" w:leader="none"/>
                <w:tab w:pos="1748"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8,000,000</w:t>
            </w:r>
            <w:r>
              <w:rPr>
                <w:rFonts w:ascii="Arial"/>
                <w:sz w:val="22"/>
                <w:u w:val="single" w:color="000000"/>
              </w:rPr>
              <w:tab/>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39" w:lineRule="exact"/>
              <w:ind w:right="72"/>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9"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tabs>
                <w:tab w:pos="1032"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0.33%</w:t>
            </w:r>
            <w:r>
              <w:rPr>
                <w:rFonts w:ascii="Arial"/>
                <w:w w:val="95"/>
                <w:sz w:val="22"/>
              </w:rPr>
            </w:r>
            <w:r>
              <w:rPr>
                <w:rFonts w:ascii="Arial"/>
                <w:sz w:val="22"/>
              </w:rPr>
            </w:r>
          </w:p>
        </w:tc>
      </w:tr>
    </w:tbl>
    <w:p>
      <w:pPr>
        <w:spacing w:line="240" w:lineRule="auto" w:before="4"/>
        <w:rPr>
          <w:rFonts w:ascii="宋体" w:hAnsi="宋体" w:cs="宋体" w:eastAsia="宋体" w:hint="default"/>
          <w:sz w:val="8"/>
          <w:szCs w:val="8"/>
        </w:rPr>
      </w:pPr>
    </w:p>
    <w:p>
      <w:pPr>
        <w:pStyle w:val="BodyText"/>
        <w:tabs>
          <w:tab w:pos="4549" w:val="left" w:leader="none"/>
          <w:tab w:pos="8973" w:val="left" w:leader="none"/>
        </w:tabs>
        <w:spacing w:line="240" w:lineRule="auto" w:before="36"/>
        <w:ind w:left="535" w:right="0"/>
        <w:jc w:val="left"/>
        <w:rPr>
          <w:rFonts w:ascii="Arial" w:hAnsi="Arial" w:cs="Arial" w:eastAsia="Arial" w:hint="default"/>
        </w:rPr>
      </w:pPr>
      <w:r>
        <w:rPr>
          <w:w w:val="95"/>
          <w:position w:val="1"/>
        </w:rPr>
        <w:t>合计</w:t>
        <w:tab/>
      </w:r>
      <w:r>
        <w:rPr>
          <w:rFonts w:ascii="Arial" w:hAnsi="Arial" w:cs="Arial" w:eastAsia="Arial" w:hint="default"/>
          <w:w w:val="95"/>
        </w:rPr>
        <w:t>237,935,395</w:t>
        <w:tab/>
      </w:r>
      <w:r>
        <w:rPr>
          <w:rFonts w:ascii="Arial" w:hAnsi="Arial" w:cs="Arial" w:eastAsia="Arial" w:hint="default"/>
        </w:rPr>
        <w:t>9.89%</w:t>
      </w:r>
    </w:p>
    <w:p>
      <w:pPr>
        <w:tabs>
          <w:tab w:pos="7920" w:val="left" w:leader="none"/>
        </w:tabs>
        <w:spacing w:line="43" w:lineRule="exact"/>
        <w:ind w:left="4085" w:right="0" w:firstLine="0"/>
        <w:rPr>
          <w:rFonts w:ascii="Arial" w:hAnsi="Arial" w:cs="Arial" w:eastAsia="Arial" w:hint="default"/>
          <w:sz w:val="4"/>
          <w:szCs w:val="4"/>
        </w:rPr>
      </w:pPr>
      <w:r>
        <w:rPr>
          <w:rFonts w:ascii="Arial"/>
          <w:position w:val="0"/>
          <w:sz w:val="4"/>
        </w:rPr>
        <w:pict>
          <v:group style="width:88.9pt;height:2.2pt;mso-position-horizontal-relative:char;mso-position-vertical-relative:line" coordorigin="0,0" coordsize="1778,44">
            <v:group style="position:absolute;left:7;top:36;width:1763;height:2" coordorigin="7,36" coordsize="1763,2">
              <v:shape style="position:absolute;left:7;top:36;width:1763;height:2" coordorigin="7,36" coordsize="1763,0" path="m7,36l1770,36e" filled="false" stroked="true" strokeweight=".72pt" strokecolor="#000000">
                <v:path arrowok="t"/>
              </v:shape>
            </v:group>
            <v:group style="position:absolute;left:7;top:7;width:1763;height:2" coordorigin="7,7" coordsize="1763,2">
              <v:shape style="position:absolute;left:7;top:7;width:1763;height:2" coordorigin="7,7" coordsize="1763,0" path="m7,7l1770,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84.25pt;height:2.2pt;mso-position-horizontal-relative:char;mso-position-vertical-relative:line" coordorigin="0,0" coordsize="1685,44">
            <v:group style="position:absolute;left:7;top:36;width:1671;height:2" coordorigin="7,36" coordsize="1671,2">
              <v:shape style="position:absolute;left:7;top:36;width:1671;height:2" coordorigin="7,36" coordsize="1671,0" path="m7,36l1678,36e" filled="false" stroked="true" strokeweight=".72pt" strokecolor="#000000">
                <v:path arrowok="t"/>
              </v:shape>
            </v:group>
            <v:group style="position:absolute;left:7;top:7;width:1671;height:2" coordorigin="7,7" coordsize="1671,2">
              <v:shape style="position:absolute;left:7;top:7;width:1671;height:2" coordorigin="7,7" coordsize="1671,0" path="m7,7l1678,7e" filled="false" stroked="true" strokeweight=".72pt" strokecolor="#000000">
                <v:path arrowok="t"/>
              </v:shape>
            </v:group>
          </v:group>
        </w:pict>
      </w:r>
      <w:r>
        <w:rPr>
          <w:rFonts w:ascii="Arial"/>
          <w:position w:val="0"/>
          <w:sz w:val="4"/>
        </w:rPr>
      </w:r>
    </w:p>
    <w:p>
      <w:pPr>
        <w:spacing w:line="240" w:lineRule="auto" w:before="6"/>
        <w:rPr>
          <w:rFonts w:ascii="Arial" w:hAnsi="Arial" w:cs="Arial" w:eastAsia="Arial" w:hint="default"/>
          <w:sz w:val="16"/>
          <w:szCs w:val="16"/>
        </w:rPr>
      </w:pPr>
    </w:p>
    <w:p>
      <w:pPr>
        <w:pStyle w:val="BodyText"/>
        <w:spacing w:line="240" w:lineRule="auto" w:before="31"/>
        <w:ind w:left="102" w:right="0"/>
        <w:jc w:val="left"/>
      </w:pPr>
      <w:r>
        <w:rPr>
          <w:rFonts w:ascii="Arial" w:hAnsi="Arial" w:cs="Arial" w:eastAsia="Arial" w:hint="default"/>
        </w:rPr>
        <w:t>(h) </w:t>
      </w:r>
      <w:r>
        <w:rPr>
          <w:rFonts w:ascii="Arial" w:hAnsi="Arial" w:cs="Arial" w:eastAsia="Arial" w:hint="default"/>
          <w:spacing w:val="25"/>
        </w:rPr>
        <w:t> </w:t>
      </w:r>
      <w:r>
        <w:rPr/>
        <w:t>应收关联方的其他应收款分析如下：</w:t>
      </w:r>
    </w:p>
    <w:p>
      <w:pPr>
        <w:spacing w:line="240" w:lineRule="auto" w:before="6"/>
        <w:rPr>
          <w:rFonts w:ascii="宋体" w:hAnsi="宋体" w:cs="宋体" w:eastAsia="宋体" w:hint="default"/>
          <w:sz w:val="15"/>
          <w:szCs w:val="15"/>
        </w:rPr>
      </w:pPr>
    </w:p>
    <w:p>
      <w:pPr>
        <w:pStyle w:val="BodyText"/>
        <w:tabs>
          <w:tab w:pos="7212" w:val="left" w:leader="none"/>
        </w:tabs>
        <w:spacing w:line="240" w:lineRule="auto" w:before="31"/>
        <w:ind w:left="4229" w:right="0"/>
        <w:jc w:val="left"/>
      </w:pPr>
      <w:r>
        <w:rPr/>
        <w:pict>
          <v:group style="position:absolute;margin-left:253.679993pt;margin-top:17.998999pt;width:140.6pt;height:.1pt;mso-position-horizontal-relative:page;mso-position-vertical-relative:paragraph;z-index:-821296" coordorigin="5074,360" coordsize="2812,2">
            <v:shape style="position:absolute;left:5074;top:360;width:2812;height:2" coordorigin="5074,360" coordsize="2812,0" path="m5074,360l7885,360e" filled="false" stroked="true" strokeweight=".72pt" strokecolor="#000000">
              <v:path arrowok="t"/>
            </v:shape>
            <w10:wrap type="none"/>
          </v:group>
        </w:pict>
      </w:r>
      <w:r>
        <w:rPr/>
        <w:pict>
          <v:group style="position:absolute;margin-left:401.040009pt;margin-top:17.998999pt;width:142.9pt;height:.1pt;mso-position-horizontal-relative:page;mso-position-vertical-relative:paragraph;z-index:-821272" coordorigin="8021,360" coordsize="2858,2">
            <v:shape style="position:absolute;left:8021;top:360;width:2858;height:2" coordorigin="8021,360" coordsize="2858,0" path="m8021,360l10878,360e" filled="false" stroked="true" strokeweight=".72pt" strokecolor="#000000">
              <v:path arrowok="t"/>
            </v:shape>
            <w10:wrap type="none"/>
          </v:group>
        </w:pic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after="0" w:line="240" w:lineRule="auto"/>
        <w:jc w:val="left"/>
        <w:sectPr>
          <w:headerReference w:type="default" r:id="rId90"/>
          <w:pgSz w:w="11900" w:h="16840"/>
          <w:pgMar w:header="1189" w:footer="752" w:top="3600" w:bottom="940" w:left="1280" w:right="880"/>
        </w:sectPr>
      </w:pPr>
    </w:p>
    <w:p>
      <w:pPr>
        <w:spacing w:line="240" w:lineRule="auto" w:before="7"/>
        <w:rPr>
          <w:rFonts w:ascii="宋体" w:hAnsi="宋体" w:cs="宋体" w:eastAsia="宋体" w:hint="default"/>
          <w:sz w:val="21"/>
          <w:szCs w:val="21"/>
        </w:rPr>
      </w:pPr>
    </w:p>
    <w:p>
      <w:pPr>
        <w:pStyle w:val="BodyText"/>
        <w:spacing w:line="240" w:lineRule="auto"/>
        <w:ind w:left="1833" w:right="-20"/>
        <w:jc w:val="left"/>
      </w:pPr>
      <w:r>
        <w:rPr/>
        <w:t>与本集团关系</w:t>
      </w:r>
    </w:p>
    <w:p>
      <w:pPr>
        <w:pStyle w:val="BodyText"/>
        <w:spacing w:line="283" w:lineRule="exact"/>
        <w:ind w:left="0" w:right="0"/>
        <w:jc w:val="right"/>
      </w:pPr>
      <w:r>
        <w:rPr>
          <w:w w:val="95"/>
        </w:rPr>
        <w:br w:type="column"/>
      </w:r>
      <w:r>
        <w:rPr>
          <w:w w:val="95"/>
        </w:rPr>
        <w:t>占其他应</w:t>
      </w:r>
      <w:r>
        <w:rPr/>
      </w:r>
    </w:p>
    <w:p>
      <w:pPr>
        <w:pStyle w:val="BodyText"/>
        <w:tabs>
          <w:tab w:pos="897" w:val="left" w:leader="none"/>
        </w:tabs>
        <w:spacing w:line="287" w:lineRule="exact"/>
        <w:ind w:left="0" w:right="0"/>
        <w:jc w:val="right"/>
      </w:pPr>
      <w:r>
        <w:rPr>
          <w:w w:val="95"/>
        </w:rPr>
        <w:t>金额</w:t>
        <w:tab/>
        <w:t>收款比例</w:t>
      </w:r>
      <w:r>
        <w:rPr/>
      </w:r>
    </w:p>
    <w:p>
      <w:pPr>
        <w:spacing w:line="283" w:lineRule="exact" w:before="0"/>
        <w:ind w:left="210" w:right="0" w:firstLine="0"/>
        <w:jc w:val="left"/>
        <w:rPr>
          <w:rFonts w:ascii="宋体" w:hAnsi="宋体" w:cs="宋体" w:eastAsia="宋体" w:hint="default"/>
          <w:sz w:val="22"/>
          <w:szCs w:val="22"/>
        </w:rPr>
      </w:pPr>
      <w:r>
        <w:rPr/>
        <w:br w:type="column"/>
      </w:r>
      <w:r>
        <w:rPr>
          <w:rFonts w:ascii="宋体" w:hAnsi="宋体" w:cs="宋体" w:eastAsia="宋体" w:hint="default"/>
          <w:sz w:val="22"/>
          <w:szCs w:val="22"/>
        </w:rPr>
        <w:t>坏账</w:t>
      </w:r>
    </w:p>
    <w:p>
      <w:pPr>
        <w:pStyle w:val="BodyText"/>
        <w:tabs>
          <w:tab w:pos="1161" w:val="left" w:leader="none"/>
        </w:tabs>
        <w:spacing w:line="287" w:lineRule="exact"/>
        <w:ind w:left="210" w:right="0"/>
        <w:jc w:val="left"/>
      </w:pPr>
      <w:r>
        <w:rPr>
          <w:w w:val="95"/>
        </w:rPr>
        <w:t>准备</w:t>
        <w:tab/>
        <w:t>金额</w:t>
      </w:r>
      <w:r>
        <w:rPr/>
      </w:r>
    </w:p>
    <w:p>
      <w:pPr>
        <w:pStyle w:val="BodyText"/>
        <w:tabs>
          <w:tab w:pos="1571" w:val="left" w:leader="none"/>
        </w:tabs>
        <w:spacing w:line="286" w:lineRule="exact" w:before="24"/>
        <w:ind w:left="425" w:right="193"/>
        <w:jc w:val="left"/>
      </w:pPr>
      <w:r>
        <w:rPr>
          <w:w w:val="95"/>
        </w:rPr>
        <w:br w:type="column"/>
      </w:r>
      <w:r>
        <w:rPr>
          <w:w w:val="95"/>
        </w:rPr>
        <w:t>占其他应</w:t>
        <w:tab/>
      </w:r>
      <w:r>
        <w:rPr/>
        <w:t>坏账</w:t>
      </w:r>
      <w:r>
        <w:rPr>
          <w:w w:val="99"/>
        </w:rPr>
        <w:t> </w:t>
      </w:r>
      <w:r>
        <w:rPr>
          <w:w w:val="95"/>
        </w:rPr>
        <w:t>收款比例</w:t>
        <w:tab/>
      </w:r>
      <w:r>
        <w:rPr/>
        <w:t>准备</w:t>
      </w:r>
    </w:p>
    <w:p>
      <w:pPr>
        <w:spacing w:after="0" w:line="286" w:lineRule="exact"/>
        <w:jc w:val="left"/>
        <w:sectPr>
          <w:type w:val="continuous"/>
          <w:pgSz w:w="11900" w:h="16840"/>
          <w:pgMar w:top="1600" w:bottom="280" w:left="1280" w:right="880"/>
          <w:cols w:num="4" w:equalWidth="0">
            <w:col w:w="3154" w:space="40"/>
            <w:col w:w="2659" w:space="40"/>
            <w:col w:w="1601" w:space="40"/>
            <w:col w:w="2206"/>
          </w:cols>
        </w:sectPr>
      </w:pPr>
    </w:p>
    <w:p>
      <w:pPr>
        <w:spacing w:line="20" w:lineRule="exact"/>
        <w:ind w:left="1769" w:right="0" w:firstLine="0"/>
        <w:rPr>
          <w:rFonts w:ascii="宋体" w:hAnsi="宋体" w:cs="宋体" w:eastAsia="宋体" w:hint="default"/>
          <w:sz w:val="2"/>
          <w:szCs w:val="2"/>
        </w:rPr>
      </w:pPr>
      <w:r>
        <w:rPr>
          <w:rFonts w:ascii="宋体"/>
          <w:sz w:val="2"/>
        </w:rPr>
        <w:pict>
          <v:group style="width:94.6pt;height:.75pt;mso-position-horizontal-relative:char;mso-position-vertical-relative:line" coordorigin="0,0" coordsize="1892,15">
            <v:group style="position:absolute;left:7;top:7;width:1877;height:2" coordorigin="7,7" coordsize="1877,2">
              <v:shape style="position:absolute;left:7;top:7;width:1877;height:2" coordorigin="7,7" coordsize="1877,0" path="m7,7l1884,7e" filled="false" stroked="true" strokeweight=".72pt" strokecolor="#000000">
                <v:path arrowok="t"/>
              </v:shape>
            </v:group>
          </v:group>
        </w:pict>
      </w:r>
      <w:r>
        <w:rPr>
          <w:rFonts w:ascii="宋体"/>
          <w:sz w:val="2"/>
        </w:rPr>
      </w:r>
      <w:r>
        <w:rPr>
          <w:rFonts w:ascii="Times New Roman"/>
          <w:spacing w:val="117"/>
          <w:sz w:val="2"/>
        </w:rPr>
        <w:t> </w:t>
      </w:r>
      <w:r>
        <w:rPr>
          <w:rFonts w:ascii="宋体"/>
          <w:spacing w:val="117"/>
          <w:sz w:val="2"/>
        </w:rPr>
        <w:pict>
          <v:group style="width:51.1pt;height:.75pt;mso-position-horizontal-relative:char;mso-position-vertical-relative:line" coordorigin="0,0" coordsize="1022,15">
            <v:group style="position:absolute;left:7;top:7;width:1007;height:2" coordorigin="7,7" coordsize="1007,2">
              <v:shape style="position:absolute;left:7;top:7;width:1007;height:2" coordorigin="7,7" coordsize="1007,0" path="m7,7l1014,7e" filled="false" stroked="true" strokeweight=".72pt" strokecolor="#000000">
                <v:path arrowok="t"/>
              </v:shape>
            </v:group>
          </v:group>
        </w:pict>
      </w:r>
      <w:r>
        <w:rPr>
          <w:rFonts w:ascii="宋体"/>
          <w:spacing w:val="117"/>
          <w:sz w:val="2"/>
        </w:rPr>
      </w:r>
      <w:r>
        <w:rPr>
          <w:rFonts w:ascii="Times New Roman"/>
          <w:spacing w:val="117"/>
          <w:sz w:val="2"/>
        </w:rPr>
        <w:t> </w:t>
      </w:r>
      <w:r>
        <w:rPr>
          <w:rFonts w:ascii="宋体"/>
          <w:spacing w:val="117"/>
          <w:sz w:val="2"/>
        </w:rPr>
        <w:pict>
          <v:group style="width:49.1pt;height:.75pt;mso-position-horizontal-relative:char;mso-position-vertical-relative:line" coordorigin="0,0" coordsize="982,15">
            <v:group style="position:absolute;left:7;top:7;width:968;height:2" coordorigin="7,7" coordsize="968,2">
              <v:shape style="position:absolute;left:7;top:7;width:968;height:2" coordorigin="7,7" coordsize="968,0" path="m7,7l974,7e" filled="false" stroked="true" strokeweight=".72pt" strokecolor="#000000">
                <v:path arrowok="t"/>
              </v:shape>
            </v:group>
          </v:group>
        </w:pict>
      </w:r>
      <w:r>
        <w:rPr>
          <w:rFonts w:ascii="宋体"/>
          <w:spacing w:val="117"/>
          <w:sz w:val="2"/>
        </w:rPr>
      </w:r>
      <w:r>
        <w:rPr>
          <w:rFonts w:ascii="Times New Roman"/>
          <w:spacing w:val="110"/>
          <w:sz w:val="2"/>
        </w:rPr>
        <w:t> </w:t>
      </w:r>
      <w:r>
        <w:rPr>
          <w:rFonts w:ascii="宋体"/>
          <w:spacing w:val="110"/>
          <w:sz w:val="2"/>
        </w:rPr>
        <w:pict>
          <v:group style="width:28.95pt;height:.75pt;mso-position-horizontal-relative:char;mso-position-vertical-relative:line" coordorigin="0,0" coordsize="579,15">
            <v:group style="position:absolute;left:7;top:7;width:564;height:2" coordorigin="7,7" coordsize="564,2">
              <v:shape style="position:absolute;left:7;top:7;width:564;height:2" coordorigin="7,7" coordsize="564,0" path="m7,7l571,7e" filled="false" stroked="true" strokeweight=".72pt" strokecolor="#000000">
                <v:path arrowok="t"/>
              </v:shape>
            </v:group>
          </v:group>
        </w:pict>
      </w:r>
      <w:r>
        <w:rPr>
          <w:rFonts w:ascii="宋体"/>
          <w:spacing w:val="110"/>
          <w:sz w:val="2"/>
        </w:rPr>
      </w:r>
      <w:r>
        <w:rPr>
          <w:rFonts w:ascii="Times New Roman"/>
          <w:spacing w:val="113"/>
          <w:sz w:val="2"/>
        </w:rPr>
        <w:t> </w:t>
      </w:r>
      <w:r>
        <w:rPr>
          <w:rFonts w:ascii="宋体"/>
          <w:spacing w:val="113"/>
          <w:sz w:val="2"/>
        </w:rPr>
        <w:pict>
          <v:group style="width:54pt;height:.75pt;mso-position-horizontal-relative:char;mso-position-vertical-relative:line" coordorigin="0,0" coordsize="1080,15">
            <v:group style="position:absolute;left:7;top:7;width:1066;height:2" coordorigin="7,7" coordsize="1066,2">
              <v:shape style="position:absolute;left:7;top:7;width:1066;height:2" coordorigin="7,7" coordsize="1066,0" path="m7,7l1073,7e" filled="false" stroked="true" strokeweight=".72pt" strokecolor="#000000">
                <v:path arrowok="t"/>
              </v:shape>
            </v:group>
          </v:group>
        </w:pict>
      </w:r>
      <w:r>
        <w:rPr>
          <w:rFonts w:ascii="宋体"/>
          <w:spacing w:val="113"/>
          <w:sz w:val="2"/>
        </w:rPr>
      </w:r>
      <w:r>
        <w:rPr>
          <w:rFonts w:ascii="Times New Roman"/>
          <w:spacing w:val="112"/>
          <w:sz w:val="2"/>
        </w:rPr>
        <w:t> </w:t>
      </w:r>
      <w:r>
        <w:rPr>
          <w:rFonts w:ascii="宋体"/>
          <w:spacing w:val="112"/>
          <w:sz w:val="2"/>
        </w:rPr>
        <w:pict>
          <v:group style="width:48.9pt;height:.75pt;mso-position-horizontal-relative:char;mso-position-vertical-relative:line" coordorigin="0,0" coordsize="978,15">
            <v:group style="position:absolute;left:7;top:7;width:964;height:2" coordorigin="7,7" coordsize="964,2">
              <v:shape style="position:absolute;left:7;top:7;width:964;height:2" coordorigin="7,7" coordsize="964,0" path="m7,7l971,7e" filled="false" stroked="true" strokeweight=".72pt" strokecolor="#000000">
                <v:path arrowok="t"/>
              </v:shape>
            </v:group>
          </v:group>
        </w:pict>
      </w:r>
      <w:r>
        <w:rPr>
          <w:rFonts w:ascii="宋体"/>
          <w:spacing w:val="112"/>
          <w:sz w:val="2"/>
        </w:rPr>
      </w:r>
      <w:r>
        <w:rPr>
          <w:rFonts w:ascii="Times New Roman"/>
          <w:spacing w:val="113"/>
          <w:sz w:val="2"/>
        </w:rPr>
        <w:t> </w:t>
      </w:r>
      <w:r>
        <w:rPr>
          <w:rFonts w:ascii="宋体"/>
          <w:spacing w:val="113"/>
          <w:sz w:val="2"/>
        </w:rPr>
        <w:pict>
          <v:group style="width:28.65pt;height:.75pt;mso-position-horizontal-relative:char;mso-position-vertical-relative:line" coordorigin="0,0" coordsize="573,15">
            <v:group style="position:absolute;left:7;top:7;width:558;height:2" coordorigin="7,7" coordsize="558,2">
              <v:shape style="position:absolute;left:7;top:7;width:558;height:2" coordorigin="7,7" coordsize="558,0" path="m7,7l565,7e" filled="false" stroked="true" strokeweight=".72pt" strokecolor="#000000">
                <v:path arrowok="t"/>
              </v:shape>
            </v:group>
          </v:group>
        </w:pict>
      </w:r>
      <w:r>
        <w:rPr>
          <w:rFonts w:ascii="宋体"/>
          <w:spacing w:val="113"/>
          <w:sz w:val="2"/>
        </w:rPr>
      </w:r>
    </w:p>
    <w:p>
      <w:pPr>
        <w:spacing w:line="240" w:lineRule="auto" w:before="4"/>
        <w:rPr>
          <w:rFonts w:ascii="宋体" w:hAnsi="宋体" w:cs="宋体" w:eastAsia="宋体" w:hint="default"/>
          <w:sz w:val="14"/>
          <w:szCs w:val="14"/>
        </w:rPr>
      </w:pPr>
    </w:p>
    <w:p>
      <w:pPr>
        <w:pStyle w:val="BodyText"/>
        <w:tabs>
          <w:tab w:pos="4646" w:val="left" w:leader="none"/>
          <w:tab w:pos="5510" w:val="left" w:leader="none"/>
          <w:tab w:pos="6423" w:val="left" w:leader="none"/>
          <w:tab w:pos="6798" w:val="left" w:leader="none"/>
          <w:tab w:pos="8223" w:val="left" w:leader="none"/>
          <w:tab w:pos="9411" w:val="left" w:leader="none"/>
        </w:tabs>
        <w:spacing w:line="240" w:lineRule="auto" w:before="27"/>
        <w:ind w:left="561" w:right="0"/>
        <w:jc w:val="left"/>
        <w:rPr>
          <w:rFonts w:ascii="Arial" w:hAnsi="Arial" w:cs="Arial" w:eastAsia="Arial" w:hint="default"/>
        </w:rPr>
      </w:pPr>
      <w:r>
        <w:rPr>
          <w:position w:val="2"/>
        </w:rPr>
        <w:t>联通新时空</w:t>
      </w:r>
      <w:r>
        <w:rPr>
          <w:spacing w:val="62"/>
          <w:position w:val="2"/>
        </w:rPr>
        <w:t> </w:t>
      </w:r>
      <w:r>
        <w:rPr>
          <w:position w:val="2"/>
        </w:rPr>
        <w:t>同受联通集团控制</w:t>
        <w:tab/>
      </w:r>
      <w:r>
        <w:rPr>
          <w:rFonts w:ascii="Arial" w:hAnsi="Arial" w:cs="Arial" w:eastAsia="Arial" w:hint="default"/>
          <w:w w:val="95"/>
        </w:rPr>
        <w:t>-</w:t>
        <w:tab/>
        <w:t>-</w:t>
        <w:tab/>
        <w:t>-</w:t>
        <w:tab/>
        <w:t>2,500,000</w:t>
        <w:tab/>
        <w:t>0.12%</w:t>
        <w:tab/>
      </w:r>
      <w:r>
        <w:rPr>
          <w:rFonts w:ascii="Arial" w:hAnsi="Arial" w:cs="Arial" w:eastAsia="Arial" w:hint="default"/>
        </w:rPr>
        <w:t>-</w:t>
      </w:r>
    </w:p>
    <w:p>
      <w:pPr>
        <w:spacing w:line="43" w:lineRule="exact"/>
        <w:ind w:left="3772" w:right="0" w:firstLine="0"/>
        <w:rPr>
          <w:rFonts w:ascii="Arial" w:hAnsi="Arial" w:cs="Arial" w:eastAsia="Arial" w:hint="default"/>
          <w:sz w:val="4"/>
          <w:szCs w:val="4"/>
        </w:rPr>
      </w:pPr>
      <w:r>
        <w:rPr>
          <w:rFonts w:ascii="Arial"/>
          <w:position w:val="0"/>
          <w:sz w:val="4"/>
        </w:rPr>
        <w:pict>
          <v:group style="width:51.8pt;height:2.2pt;mso-position-horizontal-relative:char;mso-position-vertical-relative:line" coordorigin="0,0" coordsize="1036,44">
            <v:group style="position:absolute;left:7;top:36;width:1022;height:2" coordorigin="7,36" coordsize="1022,2">
              <v:shape style="position:absolute;left:7;top:36;width:1022;height:2" coordorigin="7,36" coordsize="1022,0" path="m7,36l1028,36e" filled="false" stroked="true" strokeweight=".72pt" strokecolor="#000000">
                <v:path arrowok="t"/>
              </v:shape>
            </v:group>
            <v:group style="position:absolute;left:7;top:7;width:1022;height:2" coordorigin="7,7" coordsize="1022,2">
              <v:shape style="position:absolute;left:7;top:7;width:1022;height:2" coordorigin="7,7" coordsize="1022,0" path="m7,7l1028,7e" filled="false" stroked="true" strokeweight=".72pt" strokecolor="#000000">
                <v:path arrowok="t"/>
              </v:shape>
            </v:group>
          </v:group>
        </w:pict>
      </w:r>
      <w:r>
        <w:rPr>
          <w:rFonts w:ascii="Arial"/>
          <w:position w:val="0"/>
          <w:sz w:val="4"/>
        </w:rPr>
      </w:r>
      <w:r>
        <w:rPr>
          <w:rFonts w:ascii="Times New Roman"/>
          <w:spacing w:val="96"/>
          <w:position w:val="0"/>
          <w:sz w:val="4"/>
        </w:rPr>
        <w:t> </w:t>
      </w:r>
      <w:r>
        <w:rPr>
          <w:rFonts w:ascii="Arial"/>
          <w:spacing w:val="96"/>
          <w:position w:val="0"/>
          <w:sz w:val="4"/>
        </w:rPr>
        <w:pict>
          <v:group style="width:49.8pt;height:2.2pt;mso-position-horizontal-relative:char;mso-position-vertical-relative:line" coordorigin="0,0" coordsize="996,44">
            <v:group style="position:absolute;left:7;top:36;width:982;height:2" coordorigin="7,36" coordsize="982,2">
              <v:shape style="position:absolute;left:7;top:36;width:982;height:2" coordorigin="7,36" coordsize="982,0" path="m7,36l989,36e" filled="false" stroked="true" strokeweight=".72pt" strokecolor="#000000">
                <v:path arrowok="t"/>
              </v:shape>
            </v:group>
            <v:group style="position:absolute;left:7;top:7;width:982;height:2" coordorigin="7,7" coordsize="982,2">
              <v:shape style="position:absolute;left:7;top:7;width:982;height:2" coordorigin="7,7" coordsize="982,0" path="m7,7l989,7e" filled="false" stroked="true" strokeweight=".72pt" strokecolor="#000000">
                <v:path arrowok="t"/>
              </v:shape>
            </v:group>
          </v:group>
        </w:pict>
      </w:r>
      <w:r>
        <w:rPr>
          <w:rFonts w:ascii="Arial"/>
          <w:spacing w:val="96"/>
          <w:position w:val="0"/>
          <w:sz w:val="4"/>
        </w:rPr>
      </w:r>
      <w:r>
        <w:rPr>
          <w:rFonts w:ascii="Times New Roman"/>
          <w:spacing w:val="89"/>
          <w:position w:val="0"/>
          <w:sz w:val="4"/>
        </w:rPr>
        <w:t> </w:t>
      </w:r>
      <w:r>
        <w:rPr>
          <w:rFonts w:ascii="Arial"/>
          <w:spacing w:val="89"/>
          <w:position w:val="0"/>
          <w:sz w:val="4"/>
        </w:rPr>
        <w:pict>
          <v:group style="width:29.65pt;height:2.2pt;mso-position-horizontal-relative:char;mso-position-vertical-relative:line" coordorigin="0,0" coordsize="593,44">
            <v:group style="position:absolute;left:7;top:36;width:579;height:2" coordorigin="7,36" coordsize="579,2">
              <v:shape style="position:absolute;left:7;top:36;width:579;height:2" coordorigin="7,36" coordsize="579,0" path="m7,36l586,36e" filled="false" stroked="true" strokeweight=".72pt" strokecolor="#000000">
                <v:path arrowok="t"/>
              </v:shape>
            </v:group>
            <v:group style="position:absolute;left:7;top:7;width:579;height:2" coordorigin="7,7" coordsize="579,2">
              <v:shape style="position:absolute;left:7;top:7;width:579;height:2" coordorigin="7,7" coordsize="579,0" path="m7,7l586,7e" filled="false" stroked="true" strokeweight=".72pt" strokecolor="#000000">
                <v:path arrowok="t"/>
              </v:shape>
            </v:group>
          </v:group>
        </w:pict>
      </w:r>
      <w:r>
        <w:rPr>
          <w:rFonts w:ascii="Arial"/>
          <w:spacing w:val="89"/>
          <w:position w:val="0"/>
          <w:sz w:val="4"/>
        </w:rPr>
      </w:r>
      <w:r>
        <w:rPr>
          <w:rFonts w:ascii="Times New Roman"/>
          <w:spacing w:val="91"/>
          <w:position w:val="0"/>
          <w:sz w:val="4"/>
        </w:rPr>
        <w:t> </w:t>
      </w:r>
      <w:r>
        <w:rPr>
          <w:rFonts w:ascii="Arial"/>
          <w:spacing w:val="91"/>
          <w:position w:val="0"/>
          <w:sz w:val="4"/>
        </w:rPr>
        <w:pict>
          <v:group style="width:54.75pt;height:2.2pt;mso-position-horizontal-relative:char;mso-position-vertical-relative:line" coordorigin="0,0" coordsize="1095,44">
            <v:group style="position:absolute;left:7;top:36;width:1080;height:2" coordorigin="7,36" coordsize="1080,2">
              <v:shape style="position:absolute;left:7;top:36;width:1080;height:2" coordorigin="7,36" coordsize="1080,0" path="m7,36l1087,36e" filled="false" stroked="true" strokeweight=".72pt" strokecolor="#000000">
                <v:path arrowok="t"/>
              </v:shape>
            </v:group>
            <v:group style="position:absolute;left:7;top:7;width:1080;height:2" coordorigin="7,7" coordsize="1080,2">
              <v:shape style="position:absolute;left:7;top:7;width:1080;height:2" coordorigin="7,7" coordsize="1080,0" path="m7,7l1087,7e" filled="false" stroked="true" strokeweight=".72pt" strokecolor="#000000">
                <v:path arrowok="t"/>
              </v:shape>
            </v:group>
          </v:group>
        </w:pict>
      </w:r>
      <w:r>
        <w:rPr>
          <w:rFonts w:ascii="Arial"/>
          <w:spacing w:val="91"/>
          <w:position w:val="0"/>
          <w:sz w:val="4"/>
        </w:rPr>
      </w:r>
      <w:r>
        <w:rPr>
          <w:rFonts w:ascii="Times New Roman"/>
          <w:spacing w:val="90"/>
          <w:position w:val="0"/>
          <w:sz w:val="4"/>
        </w:rPr>
        <w:t> </w:t>
      </w:r>
      <w:r>
        <w:rPr>
          <w:rFonts w:ascii="Arial"/>
          <w:spacing w:val="90"/>
          <w:position w:val="0"/>
          <w:sz w:val="4"/>
        </w:rPr>
        <w:pict>
          <v:group style="width:49.65pt;height:2.2pt;mso-position-horizontal-relative:char;mso-position-vertical-relative:line" coordorigin="0,0" coordsize="993,44">
            <v:group style="position:absolute;left:7;top:36;width:978;height:2" coordorigin="7,36" coordsize="978,2">
              <v:shape style="position:absolute;left:7;top:36;width:978;height:2" coordorigin="7,36" coordsize="978,0" path="m7,36l985,36e" filled="false" stroked="true" strokeweight=".72pt" strokecolor="#000000">
                <v:path arrowok="t"/>
              </v:shape>
            </v:group>
            <v:group style="position:absolute;left:7;top:7;width:978;height:2" coordorigin="7,7" coordsize="978,2">
              <v:shape style="position:absolute;left:7;top:7;width:978;height:2" coordorigin="7,7" coordsize="978,0" path="m7,7l985,7e" filled="false" stroked="true" strokeweight=".72pt" strokecolor="#000000">
                <v:path arrowok="t"/>
              </v:shape>
            </v:group>
          </v:group>
        </w:pict>
      </w:r>
      <w:r>
        <w:rPr>
          <w:rFonts w:ascii="Arial"/>
          <w:spacing w:val="90"/>
          <w:position w:val="0"/>
          <w:sz w:val="4"/>
        </w:rPr>
      </w:r>
      <w:r>
        <w:rPr>
          <w:rFonts w:ascii="Times New Roman"/>
          <w:spacing w:val="91"/>
          <w:position w:val="0"/>
          <w:sz w:val="4"/>
        </w:rPr>
        <w:t> </w:t>
      </w:r>
      <w:r>
        <w:rPr>
          <w:rFonts w:ascii="Arial"/>
          <w:spacing w:val="91"/>
          <w:position w:val="0"/>
          <w:sz w:val="4"/>
        </w:rPr>
        <w:pict>
          <v:group style="width:29.35pt;height:2.2pt;mso-position-horizontal-relative:char;mso-position-vertical-relative:line" coordorigin="0,0" coordsize="587,44">
            <v:group style="position:absolute;left:7;top:36;width:573;height:2" coordorigin="7,36" coordsize="573,2">
              <v:shape style="position:absolute;left:7;top:36;width:573;height:2" coordorigin="7,36" coordsize="573,0" path="m7,36l580,36e" filled="false" stroked="true" strokeweight=".72pt" strokecolor="#000000">
                <v:path arrowok="t"/>
              </v:shape>
            </v:group>
            <v:group style="position:absolute;left:7;top:7;width:573;height:2" coordorigin="7,7" coordsize="573,2">
              <v:shape style="position:absolute;left:7;top:7;width:573;height:2" coordorigin="7,7" coordsize="573,0" path="m7,7l580,7e" filled="false" stroked="true" strokeweight=".72pt" strokecolor="#000000">
                <v:path arrowok="t"/>
              </v:shape>
            </v:group>
          </v:group>
        </w:pict>
      </w:r>
      <w:r>
        <w:rPr>
          <w:rFonts w:ascii="Arial"/>
          <w:spacing w:val="91"/>
          <w:position w:val="0"/>
          <w:sz w:val="4"/>
        </w:rPr>
      </w:r>
    </w:p>
    <w:p>
      <w:pPr>
        <w:spacing w:line="240" w:lineRule="auto" w:before="5"/>
        <w:rPr>
          <w:rFonts w:ascii="Arial" w:hAnsi="Arial" w:cs="Arial" w:eastAsia="Arial" w:hint="default"/>
          <w:sz w:val="16"/>
          <w:szCs w:val="16"/>
        </w:rPr>
      </w:pPr>
    </w:p>
    <w:p>
      <w:pPr>
        <w:pStyle w:val="BodyText"/>
        <w:tabs>
          <w:tab w:pos="522" w:val="left" w:leader="none"/>
        </w:tabs>
        <w:spacing w:line="286" w:lineRule="exact" w:before="60"/>
        <w:ind w:left="522" w:right="144" w:hanging="420"/>
        <w:jc w:val="left"/>
      </w:pPr>
      <w:r>
        <w:rPr>
          <w:rFonts w:ascii="Arial" w:hAnsi="Arial" w:cs="Arial" w:eastAsia="Arial" w:hint="default"/>
          <w:w w:val="95"/>
        </w:rPr>
        <w:t>(i)</w:t>
        <w:tab/>
      </w:r>
      <w:r>
        <w:rPr/>
        <w:t>于</w:t>
      </w:r>
      <w:r>
        <w:rPr>
          <w:spacing w:val="-50"/>
        </w:rPr>
        <w:t> </w:t>
      </w:r>
      <w:r>
        <w:rPr>
          <w:rFonts w:ascii="Arial" w:hAnsi="Arial" w:cs="Arial" w:eastAsia="Arial" w:hint="default"/>
        </w:rPr>
        <w:t>2011</w:t>
      </w:r>
      <w:r>
        <w:rPr>
          <w:rFonts w:ascii="Arial" w:hAnsi="Arial" w:cs="Arial" w:eastAsia="Arial" w:hint="default"/>
          <w:spacing w:val="-1"/>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日及</w:t>
      </w:r>
      <w:r>
        <w:rPr>
          <w:spacing w:val="-50"/>
        </w:rPr>
        <w:t> </w:t>
      </w:r>
      <w:r>
        <w:rPr>
          <w:rFonts w:ascii="Arial" w:hAnsi="Arial" w:cs="Arial" w:eastAsia="Arial" w:hint="default"/>
        </w:rPr>
        <w:t>2010</w:t>
      </w:r>
      <w:r>
        <w:rPr>
          <w:rFonts w:ascii="Arial" w:hAnsi="Arial" w:cs="Arial" w:eastAsia="Arial" w:hint="default"/>
          <w:spacing w:val="-1"/>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日，本集团其他应收款中以外币计价的余额并不重</w:t>
      </w:r>
      <w:r>
        <w:rPr>
          <w:w w:val="99"/>
        </w:rPr>
        <w:t> </w:t>
      </w:r>
      <w:r>
        <w:rPr/>
        <w:t>大。</w:t>
      </w:r>
    </w:p>
    <w:p>
      <w:pPr>
        <w:spacing w:line="240" w:lineRule="auto" w:before="2"/>
        <w:rPr>
          <w:rFonts w:ascii="宋体" w:hAnsi="宋体" w:cs="宋体" w:eastAsia="宋体" w:hint="default"/>
          <w:sz w:val="17"/>
          <w:szCs w:val="17"/>
        </w:rPr>
      </w:pPr>
    </w:p>
    <w:p>
      <w:pPr>
        <w:pStyle w:val="BodyText"/>
        <w:spacing w:line="240" w:lineRule="auto"/>
        <w:ind w:left="116" w:right="0"/>
        <w:jc w:val="left"/>
      </w:pPr>
      <w:r>
        <w:rPr>
          <w:rFonts w:ascii="Arial" w:hAnsi="Arial" w:cs="Arial" w:eastAsia="Arial" w:hint="default"/>
        </w:rPr>
        <w:t>5</w:t>
      </w:r>
      <w:r>
        <w:rPr/>
        <w:t>、</w:t>
      </w:r>
      <w:r>
        <w:rPr>
          <w:spacing w:val="-52"/>
        </w:rPr>
        <w:t> </w:t>
      </w:r>
      <w:r>
        <w:rPr/>
        <w:t>预付款项</w:t>
      </w:r>
    </w:p>
    <w:p>
      <w:pPr>
        <w:spacing w:line="240" w:lineRule="auto" w:before="12"/>
        <w:rPr>
          <w:rFonts w:ascii="宋体" w:hAnsi="宋体" w:cs="宋体" w:eastAsia="宋体" w:hint="default"/>
          <w:sz w:val="17"/>
          <w:szCs w:val="17"/>
        </w:rPr>
      </w:pPr>
    </w:p>
    <w:p>
      <w:pPr>
        <w:pStyle w:val="BodyText"/>
        <w:spacing w:line="240" w:lineRule="auto"/>
        <w:ind w:left="116" w:right="0"/>
        <w:jc w:val="left"/>
      </w:pPr>
      <w:r>
        <w:rPr>
          <w:rFonts w:ascii="Arial" w:hAnsi="Arial" w:cs="Arial" w:eastAsia="Arial" w:hint="default"/>
        </w:rPr>
        <w:t>(a) </w:t>
      </w:r>
      <w:r>
        <w:rPr>
          <w:rFonts w:ascii="Arial" w:hAnsi="Arial" w:cs="Arial" w:eastAsia="Arial" w:hint="default"/>
          <w:spacing w:val="9"/>
        </w:rPr>
        <w:t> </w:t>
      </w:r>
      <w:r>
        <w:rPr/>
        <w:t>本集团预付款项账龄分析如下：</w:t>
      </w:r>
    </w:p>
    <w:p>
      <w:pPr>
        <w:spacing w:line="240" w:lineRule="auto" w:before="13"/>
        <w:rPr>
          <w:rFonts w:ascii="宋体" w:hAnsi="宋体" w:cs="宋体" w:eastAsia="宋体" w:hint="default"/>
          <w:sz w:val="17"/>
          <w:szCs w:val="17"/>
        </w:rPr>
      </w:pPr>
    </w:p>
    <w:p>
      <w:pPr>
        <w:pStyle w:val="BodyText"/>
        <w:tabs>
          <w:tab w:pos="6456" w:val="left" w:leader="none"/>
        </w:tabs>
        <w:spacing w:line="240" w:lineRule="auto"/>
        <w:ind w:left="3540"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日（经重列）</w:t>
      </w:r>
    </w:p>
    <w:p>
      <w:pPr>
        <w:spacing w:line="240" w:lineRule="auto" w:before="0"/>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2322"/>
        <w:gridCol w:w="133"/>
        <w:gridCol w:w="1636"/>
        <w:gridCol w:w="126"/>
        <w:gridCol w:w="1409"/>
        <w:gridCol w:w="167"/>
        <w:gridCol w:w="1568"/>
        <w:gridCol w:w="146"/>
        <w:gridCol w:w="1600"/>
      </w:tblGrid>
      <w:tr>
        <w:trPr>
          <w:trHeight w:val="300" w:hRule="exact"/>
        </w:trPr>
        <w:tc>
          <w:tcPr>
            <w:tcW w:w="2322" w:type="dxa"/>
            <w:tcBorders>
              <w:top w:val="nil" w:sz="6" w:space="0" w:color="auto"/>
              <w:left w:val="nil" w:sz="6" w:space="0" w:color="auto"/>
              <w:bottom w:val="single" w:sz="6" w:space="0" w:color="000000"/>
              <w:right w:val="nil" w:sz="6" w:space="0" w:color="auto"/>
            </w:tcBorders>
          </w:tcPr>
          <w:p>
            <w:pPr>
              <w:pStyle w:val="TableParagraph"/>
              <w:spacing w:line="259" w:lineRule="exact"/>
              <w:ind w:left="35" w:right="0"/>
              <w:jc w:val="left"/>
              <w:rPr>
                <w:rFonts w:ascii="宋体" w:hAnsi="宋体" w:cs="宋体" w:eastAsia="宋体" w:hint="default"/>
                <w:sz w:val="22"/>
                <w:szCs w:val="22"/>
              </w:rPr>
            </w:pPr>
            <w:r>
              <w:rPr>
                <w:rFonts w:ascii="宋体" w:hAnsi="宋体" w:cs="宋体" w:eastAsia="宋体" w:hint="default"/>
                <w:sz w:val="22"/>
                <w:szCs w:val="22"/>
              </w:rPr>
              <w:t>账龄</w:t>
            </w:r>
          </w:p>
        </w:tc>
        <w:tc>
          <w:tcPr>
            <w:tcW w:w="133" w:type="dxa"/>
            <w:tcBorders>
              <w:top w:val="nil" w:sz="6" w:space="0" w:color="auto"/>
              <w:left w:val="nil" w:sz="6" w:space="0" w:color="auto"/>
              <w:bottom w:val="nil" w:sz="6" w:space="0" w:color="auto"/>
              <w:right w:val="nil" w:sz="6" w:space="0" w:color="auto"/>
            </w:tcBorders>
          </w:tcPr>
          <w:p>
            <w:pPr/>
          </w:p>
        </w:tc>
        <w:tc>
          <w:tcPr>
            <w:tcW w:w="1636" w:type="dxa"/>
            <w:tcBorders>
              <w:top w:val="single" w:sz="6" w:space="0" w:color="000000"/>
              <w:left w:val="nil" w:sz="6" w:space="0" w:color="auto"/>
              <w:bottom w:val="single" w:sz="6" w:space="0" w:color="000000"/>
              <w:right w:val="nil" w:sz="6" w:space="0" w:color="auto"/>
            </w:tcBorders>
          </w:tcPr>
          <w:p>
            <w:pPr>
              <w:pStyle w:val="TableParagraph"/>
              <w:spacing w:line="252" w:lineRule="exact"/>
              <w:ind w:left="1077"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26" w:type="dxa"/>
            <w:tcBorders>
              <w:top w:val="single" w:sz="6" w:space="0" w:color="000000"/>
              <w:left w:val="nil" w:sz="6" w:space="0" w:color="auto"/>
              <w:bottom w:val="nil" w:sz="6" w:space="0" w:color="auto"/>
              <w:right w:val="nil" w:sz="6" w:space="0" w:color="auto"/>
            </w:tcBorders>
          </w:tcPr>
          <w:p>
            <w:pPr/>
          </w:p>
        </w:tc>
        <w:tc>
          <w:tcPr>
            <w:tcW w:w="1409" w:type="dxa"/>
            <w:tcBorders>
              <w:top w:val="single" w:sz="6" w:space="0" w:color="000000"/>
              <w:left w:val="nil" w:sz="6" w:space="0" w:color="auto"/>
              <w:bottom w:val="single" w:sz="6" w:space="0" w:color="000000"/>
              <w:right w:val="nil" w:sz="6" w:space="0" w:color="auto"/>
            </w:tcBorders>
          </w:tcPr>
          <w:p>
            <w:pPr>
              <w:pStyle w:val="TableParagraph"/>
              <w:spacing w:line="267" w:lineRule="exact"/>
              <w:ind w:right="68"/>
              <w:jc w:val="right"/>
              <w:rPr>
                <w:rFonts w:ascii="Tahoma" w:hAnsi="Tahoma" w:cs="Tahoma" w:eastAsia="Tahoma" w:hint="default"/>
                <w:sz w:val="22"/>
                <w:szCs w:val="22"/>
              </w:rPr>
            </w:pPr>
            <w:r>
              <w:rPr>
                <w:rFonts w:ascii="宋体" w:hAnsi="宋体" w:cs="宋体" w:eastAsia="宋体" w:hint="default"/>
                <w:spacing w:val="-1"/>
                <w:sz w:val="22"/>
                <w:szCs w:val="22"/>
              </w:rPr>
              <w:t>比例</w:t>
            </w:r>
            <w:r>
              <w:rPr>
                <w:rFonts w:ascii="Tahoma" w:hAnsi="Tahoma" w:cs="Tahoma" w:eastAsia="Tahoma" w:hint="default"/>
                <w:spacing w:val="-1"/>
                <w:sz w:val="22"/>
                <w:szCs w:val="22"/>
              </w:rPr>
              <w:t>(</w:t>
            </w:r>
            <w:r>
              <w:rPr>
                <w:rFonts w:ascii="Arial" w:hAnsi="Arial" w:cs="Arial" w:eastAsia="Arial" w:hint="default"/>
                <w:spacing w:val="-1"/>
                <w:sz w:val="22"/>
                <w:szCs w:val="22"/>
              </w:rPr>
              <w:t>%</w:t>
            </w:r>
            <w:r>
              <w:rPr>
                <w:rFonts w:ascii="Tahoma" w:hAnsi="Tahoma" w:cs="Tahoma" w:eastAsia="Tahoma" w:hint="default"/>
                <w:spacing w:val="-1"/>
                <w:sz w:val="22"/>
                <w:szCs w:val="22"/>
              </w:rPr>
              <w:t>)</w:t>
            </w:r>
          </w:p>
        </w:tc>
        <w:tc>
          <w:tcPr>
            <w:tcW w:w="167" w:type="dxa"/>
            <w:tcBorders>
              <w:top w:val="nil" w:sz="6" w:space="0" w:color="auto"/>
              <w:left w:val="nil" w:sz="6" w:space="0" w:color="auto"/>
              <w:bottom w:val="nil" w:sz="6" w:space="0" w:color="auto"/>
              <w:right w:val="nil" w:sz="6" w:space="0" w:color="auto"/>
            </w:tcBorders>
          </w:tcPr>
          <w:p>
            <w:pPr/>
          </w:p>
        </w:tc>
        <w:tc>
          <w:tcPr>
            <w:tcW w:w="1568"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47"/>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146" w:type="dxa"/>
            <w:tcBorders>
              <w:top w:val="single" w:sz="6" w:space="0" w:color="000000"/>
              <w:left w:val="nil" w:sz="6" w:space="0" w:color="auto"/>
              <w:bottom w:val="nil" w:sz="6" w:space="0" w:color="auto"/>
              <w:right w:val="nil" w:sz="6" w:space="0" w:color="auto"/>
            </w:tcBorders>
          </w:tcPr>
          <w:p>
            <w:pPr/>
          </w:p>
        </w:tc>
        <w:tc>
          <w:tcPr>
            <w:tcW w:w="1600" w:type="dxa"/>
            <w:tcBorders>
              <w:top w:val="single" w:sz="6" w:space="0" w:color="000000"/>
              <w:left w:val="nil" w:sz="6" w:space="0" w:color="auto"/>
              <w:bottom w:val="single" w:sz="6" w:space="0" w:color="000000"/>
              <w:right w:val="nil" w:sz="6" w:space="0" w:color="auto"/>
            </w:tcBorders>
          </w:tcPr>
          <w:p>
            <w:pPr>
              <w:pStyle w:val="TableParagraph"/>
              <w:spacing w:line="267" w:lineRule="exact"/>
              <w:ind w:right="108"/>
              <w:jc w:val="right"/>
              <w:rPr>
                <w:rFonts w:ascii="Tahoma" w:hAnsi="Tahoma" w:cs="Tahoma" w:eastAsia="Tahoma" w:hint="default"/>
                <w:sz w:val="22"/>
                <w:szCs w:val="22"/>
              </w:rPr>
            </w:pPr>
            <w:r>
              <w:rPr>
                <w:rFonts w:ascii="宋体" w:hAnsi="宋体" w:cs="宋体" w:eastAsia="宋体" w:hint="default"/>
                <w:spacing w:val="-1"/>
                <w:sz w:val="22"/>
                <w:szCs w:val="22"/>
              </w:rPr>
              <w:t>比例</w:t>
            </w:r>
            <w:r>
              <w:rPr>
                <w:rFonts w:ascii="Tahoma" w:hAnsi="Tahoma" w:cs="Tahoma" w:eastAsia="Tahoma" w:hint="default"/>
                <w:spacing w:val="-1"/>
                <w:sz w:val="22"/>
                <w:szCs w:val="22"/>
              </w:rPr>
              <w:t>(</w:t>
            </w:r>
            <w:r>
              <w:rPr>
                <w:rFonts w:ascii="Arial" w:hAnsi="Arial" w:cs="Arial" w:eastAsia="Arial" w:hint="default"/>
                <w:spacing w:val="-1"/>
                <w:sz w:val="22"/>
                <w:szCs w:val="22"/>
              </w:rPr>
              <w:t>%</w:t>
            </w:r>
            <w:r>
              <w:rPr>
                <w:rFonts w:ascii="Tahoma" w:hAnsi="Tahoma" w:cs="Tahoma" w:eastAsia="Tahoma" w:hint="default"/>
                <w:spacing w:val="-1"/>
                <w:sz w:val="22"/>
                <w:szCs w:val="22"/>
              </w:rPr>
              <w:t>)</w:t>
            </w:r>
          </w:p>
        </w:tc>
      </w:tr>
      <w:tr>
        <w:trPr>
          <w:trHeight w:val="571" w:hRule="exact"/>
        </w:trPr>
        <w:tc>
          <w:tcPr>
            <w:tcW w:w="232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133" w:type="dxa"/>
            <w:tcBorders>
              <w:top w:val="nil" w:sz="6" w:space="0" w:color="auto"/>
              <w:left w:val="nil" w:sz="6" w:space="0" w:color="auto"/>
              <w:bottom w:val="nil" w:sz="6" w:space="0" w:color="auto"/>
              <w:right w:val="nil" w:sz="6" w:space="0" w:color="auto"/>
            </w:tcBorders>
          </w:tcPr>
          <w:p>
            <w:pPr/>
          </w:p>
        </w:tc>
        <w:tc>
          <w:tcPr>
            <w:tcW w:w="163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2" w:right="0"/>
              <w:jc w:val="left"/>
              <w:rPr>
                <w:rFonts w:ascii="Arial" w:hAnsi="Arial" w:cs="Arial" w:eastAsia="Arial" w:hint="default"/>
                <w:sz w:val="22"/>
                <w:szCs w:val="22"/>
              </w:rPr>
            </w:pPr>
            <w:r>
              <w:rPr>
                <w:rFonts w:ascii="Arial"/>
                <w:sz w:val="22"/>
              </w:rPr>
              <w:t>3,612,272,838</w:t>
            </w:r>
          </w:p>
        </w:tc>
        <w:tc>
          <w:tcPr>
            <w:tcW w:w="126" w:type="dxa"/>
            <w:tcBorders>
              <w:top w:val="nil" w:sz="6" w:space="0" w:color="auto"/>
              <w:left w:val="nil" w:sz="6" w:space="0" w:color="auto"/>
              <w:bottom w:val="nil" w:sz="6" w:space="0" w:color="auto"/>
              <w:right w:val="nil" w:sz="6" w:space="0" w:color="auto"/>
            </w:tcBorders>
          </w:tcPr>
          <w:p>
            <w:pPr/>
          </w:p>
        </w:tc>
        <w:tc>
          <w:tcPr>
            <w:tcW w:w="140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2"/>
              <w:jc w:val="right"/>
              <w:rPr>
                <w:rFonts w:ascii="Arial" w:hAnsi="Arial" w:cs="Arial" w:eastAsia="Arial" w:hint="default"/>
                <w:sz w:val="22"/>
                <w:szCs w:val="22"/>
              </w:rPr>
            </w:pPr>
            <w:r>
              <w:rPr>
                <w:rFonts w:ascii="Arial"/>
                <w:w w:val="95"/>
                <w:sz w:val="22"/>
              </w:rPr>
              <w:t>97.91</w:t>
            </w:r>
            <w:r>
              <w:rPr>
                <w:rFonts w:ascii="Arial"/>
                <w:sz w:val="22"/>
              </w:rPr>
            </w:r>
          </w:p>
        </w:tc>
        <w:tc>
          <w:tcPr>
            <w:tcW w:w="167" w:type="dxa"/>
            <w:tcBorders>
              <w:top w:val="nil" w:sz="6" w:space="0" w:color="auto"/>
              <w:left w:val="nil" w:sz="6" w:space="0" w:color="auto"/>
              <w:bottom w:val="nil" w:sz="6" w:space="0" w:color="auto"/>
              <w:right w:val="nil" w:sz="6" w:space="0" w:color="auto"/>
            </w:tcBorders>
          </w:tcPr>
          <w:p>
            <w:pPr/>
          </w:p>
        </w:tc>
        <w:tc>
          <w:tcPr>
            <w:tcW w:w="156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5"/>
              <w:jc w:val="right"/>
              <w:rPr>
                <w:rFonts w:ascii="Arial" w:hAnsi="Arial" w:cs="Arial" w:eastAsia="Arial" w:hint="default"/>
                <w:sz w:val="22"/>
                <w:szCs w:val="22"/>
              </w:rPr>
            </w:pPr>
            <w:r>
              <w:rPr>
                <w:rFonts w:ascii="Arial"/>
                <w:spacing w:val="-1"/>
                <w:sz w:val="22"/>
              </w:rPr>
              <w:t>3,005,298,523</w:t>
            </w:r>
          </w:p>
        </w:tc>
        <w:tc>
          <w:tcPr>
            <w:tcW w:w="146" w:type="dxa"/>
            <w:tcBorders>
              <w:top w:val="nil" w:sz="6" w:space="0" w:color="auto"/>
              <w:left w:val="nil" w:sz="6" w:space="0" w:color="auto"/>
              <w:bottom w:val="nil" w:sz="6" w:space="0" w:color="auto"/>
              <w:right w:val="nil" w:sz="6" w:space="0" w:color="auto"/>
            </w:tcBorders>
          </w:tcPr>
          <w:p>
            <w:pPr/>
          </w:p>
        </w:tc>
        <w:tc>
          <w:tcPr>
            <w:tcW w:w="16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51"/>
              <w:jc w:val="right"/>
              <w:rPr>
                <w:rFonts w:ascii="Arial" w:hAnsi="Arial" w:cs="Arial" w:eastAsia="Arial" w:hint="default"/>
                <w:sz w:val="22"/>
                <w:szCs w:val="22"/>
              </w:rPr>
            </w:pPr>
            <w:r>
              <w:rPr>
                <w:rFonts w:ascii="Arial"/>
                <w:w w:val="95"/>
                <w:sz w:val="22"/>
              </w:rPr>
              <w:t>97.98</w:t>
            </w:r>
            <w:r>
              <w:rPr>
                <w:rFonts w:ascii="Arial"/>
                <w:sz w:val="22"/>
              </w:rPr>
            </w:r>
          </w:p>
        </w:tc>
      </w:tr>
      <w:tr>
        <w:trPr>
          <w:trHeight w:val="285"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55" w:lineRule="exact"/>
              <w:ind w:left="36"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33"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66" w:right="0"/>
              <w:jc w:val="left"/>
              <w:rPr>
                <w:rFonts w:ascii="Arial" w:hAnsi="Arial" w:cs="Arial" w:eastAsia="Arial" w:hint="default"/>
                <w:sz w:val="22"/>
                <w:szCs w:val="22"/>
              </w:rPr>
            </w:pPr>
            <w:r>
              <w:rPr>
                <w:rFonts w:ascii="Arial"/>
                <w:sz w:val="22"/>
              </w:rPr>
              <w:t>45,862,804</w:t>
            </w:r>
          </w:p>
        </w:tc>
        <w:tc>
          <w:tcPr>
            <w:tcW w:w="12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1"/>
              <w:jc w:val="right"/>
              <w:rPr>
                <w:rFonts w:ascii="Arial" w:hAnsi="Arial" w:cs="Arial" w:eastAsia="Arial" w:hint="default"/>
                <w:sz w:val="22"/>
                <w:szCs w:val="22"/>
              </w:rPr>
            </w:pPr>
            <w:r>
              <w:rPr>
                <w:rFonts w:ascii="Arial"/>
                <w:w w:val="95"/>
                <w:sz w:val="22"/>
              </w:rPr>
              <w:t>1.25</w:t>
            </w:r>
            <w:r>
              <w:rPr>
                <w:rFonts w:ascii="Arial"/>
                <w:sz w:val="22"/>
              </w:rPr>
            </w:r>
          </w:p>
        </w:tc>
        <w:tc>
          <w:tcPr>
            <w:tcW w:w="16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22"/>
                <w:szCs w:val="22"/>
              </w:rPr>
            </w:pPr>
            <w:r>
              <w:rPr>
                <w:rFonts w:ascii="Arial"/>
                <w:w w:val="95"/>
                <w:sz w:val="22"/>
              </w:rPr>
              <w:t>46,005,320</w:t>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1"/>
              <w:jc w:val="right"/>
              <w:rPr>
                <w:rFonts w:ascii="Arial" w:hAnsi="Arial" w:cs="Arial" w:eastAsia="Arial" w:hint="default"/>
                <w:sz w:val="22"/>
                <w:szCs w:val="22"/>
              </w:rPr>
            </w:pPr>
            <w:r>
              <w:rPr>
                <w:rFonts w:ascii="Arial"/>
                <w:w w:val="95"/>
                <w:sz w:val="22"/>
              </w:rPr>
              <w:t>1.50</w:t>
            </w:r>
            <w:r>
              <w:rPr>
                <w:rFonts w:ascii="Arial"/>
                <w:sz w:val="22"/>
              </w:rPr>
            </w:r>
          </w:p>
        </w:tc>
      </w:tr>
      <w:tr>
        <w:trPr>
          <w:trHeight w:val="286"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55" w:lineRule="exact"/>
              <w:ind w:left="36"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33"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66" w:right="0"/>
              <w:jc w:val="left"/>
              <w:rPr>
                <w:rFonts w:ascii="Arial" w:hAnsi="Arial" w:cs="Arial" w:eastAsia="Arial" w:hint="default"/>
                <w:sz w:val="22"/>
                <w:szCs w:val="22"/>
              </w:rPr>
            </w:pPr>
            <w:r>
              <w:rPr>
                <w:rFonts w:ascii="Arial"/>
                <w:sz w:val="22"/>
              </w:rPr>
              <w:t>17,098,827</w:t>
            </w:r>
          </w:p>
        </w:tc>
        <w:tc>
          <w:tcPr>
            <w:tcW w:w="12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1"/>
              <w:jc w:val="right"/>
              <w:rPr>
                <w:rFonts w:ascii="Arial" w:hAnsi="Arial" w:cs="Arial" w:eastAsia="Arial" w:hint="default"/>
                <w:sz w:val="22"/>
                <w:szCs w:val="22"/>
              </w:rPr>
            </w:pPr>
            <w:r>
              <w:rPr>
                <w:rFonts w:ascii="Arial"/>
                <w:w w:val="95"/>
                <w:sz w:val="22"/>
              </w:rPr>
              <w:t>0.46</w:t>
            </w:r>
            <w:r>
              <w:rPr>
                <w:rFonts w:ascii="Arial"/>
                <w:sz w:val="22"/>
              </w:rPr>
            </w:r>
          </w:p>
        </w:tc>
        <w:tc>
          <w:tcPr>
            <w:tcW w:w="16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22"/>
                <w:szCs w:val="22"/>
              </w:rPr>
            </w:pPr>
            <w:r>
              <w:rPr>
                <w:rFonts w:ascii="Arial"/>
                <w:w w:val="95"/>
                <w:sz w:val="22"/>
              </w:rPr>
              <w:t>4,630,567</w:t>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1"/>
              <w:jc w:val="right"/>
              <w:rPr>
                <w:rFonts w:ascii="Arial" w:hAnsi="Arial" w:cs="Arial" w:eastAsia="Arial" w:hint="default"/>
                <w:sz w:val="22"/>
                <w:szCs w:val="22"/>
              </w:rPr>
            </w:pPr>
            <w:r>
              <w:rPr>
                <w:rFonts w:ascii="Arial"/>
                <w:w w:val="95"/>
                <w:sz w:val="22"/>
              </w:rPr>
              <w:t>0.15</w:t>
            </w:r>
            <w:r>
              <w:rPr>
                <w:rFonts w:ascii="Arial"/>
                <w:sz w:val="22"/>
              </w:rPr>
            </w:r>
          </w:p>
        </w:tc>
      </w:tr>
      <w:tr>
        <w:trPr>
          <w:trHeight w:val="425"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55" w:lineRule="exact"/>
              <w:ind w:left="36"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133"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tabs>
                <w:tab w:pos="466" w:val="left" w:leader="none"/>
                <w:tab w:pos="1635"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13,879,927</w:t>
              <w:tab/>
            </w:r>
            <w:r>
              <w:rPr>
                <w:rFonts w:ascii="Arial"/>
                <w:sz w:val="22"/>
              </w:rPr>
            </w:r>
          </w:p>
        </w:tc>
        <w:tc>
          <w:tcPr>
            <w:tcW w:w="12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tabs>
                <w:tab w:pos="902" w:val="left" w:leader="none"/>
                <w:tab w:pos="139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0.38</w:t>
            </w:r>
            <w:r>
              <w:rPr>
                <w:rFonts w:ascii="Arial"/>
                <w:sz w:val="22"/>
                <w:u w:val="single" w:color="000000"/>
              </w:rPr>
              <w:tab/>
            </w:r>
            <w:r>
              <w:rPr>
                <w:rFonts w:ascii="Arial"/>
                <w:sz w:val="22"/>
              </w:rPr>
            </w:r>
          </w:p>
        </w:tc>
        <w:tc>
          <w:tcPr>
            <w:tcW w:w="16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tabs>
                <w:tab w:pos="395" w:val="left" w:leader="none"/>
              </w:tabs>
              <w:spacing w:line="240" w:lineRule="auto" w:before="17"/>
              <w:ind w:right="5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11,309,073</w:t>
            </w:r>
            <w:r>
              <w:rPr>
                <w:rFonts w:ascii="Arial"/>
                <w:w w:val="95"/>
                <w:sz w:val="22"/>
              </w:rPr>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tabs>
                <w:tab w:pos="1011" w:val="left" w:leader="none"/>
                <w:tab w:pos="1557"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0.37</w:t>
            </w:r>
            <w:r>
              <w:rPr>
                <w:rFonts w:ascii="Arial"/>
                <w:sz w:val="22"/>
                <w:u w:val="single" w:color="000000"/>
              </w:rPr>
              <w:tab/>
            </w:r>
            <w:r>
              <w:rPr>
                <w:rFonts w:ascii="Arial"/>
                <w:sz w:val="22"/>
              </w:rPr>
            </w:r>
          </w:p>
        </w:tc>
      </w:tr>
      <w:tr>
        <w:trPr>
          <w:trHeight w:val="437"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33"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left="162" w:right="0"/>
              <w:jc w:val="left"/>
              <w:rPr>
                <w:rFonts w:ascii="Arial" w:hAnsi="Arial" w:cs="Arial" w:eastAsia="Arial" w:hint="default"/>
                <w:sz w:val="22"/>
                <w:szCs w:val="22"/>
              </w:rPr>
            </w:pPr>
            <w:r>
              <w:rPr>
                <w:rFonts w:ascii="Arial"/>
                <w:sz w:val="22"/>
              </w:rPr>
              <w:t>3,689,114,396</w:t>
            </w:r>
          </w:p>
        </w:tc>
        <w:tc>
          <w:tcPr>
            <w:tcW w:w="12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right="62"/>
              <w:jc w:val="right"/>
              <w:rPr>
                <w:rFonts w:ascii="Arial" w:hAnsi="Arial" w:cs="Arial" w:eastAsia="Arial" w:hint="default"/>
                <w:sz w:val="22"/>
                <w:szCs w:val="22"/>
              </w:rPr>
            </w:pPr>
            <w:r>
              <w:rPr>
                <w:rFonts w:ascii="Arial"/>
                <w:w w:val="95"/>
                <w:sz w:val="22"/>
              </w:rPr>
              <w:t>100.00</w:t>
            </w:r>
            <w:r>
              <w:rPr>
                <w:rFonts w:ascii="Arial"/>
                <w:sz w:val="22"/>
              </w:rPr>
            </w:r>
          </w:p>
        </w:tc>
        <w:tc>
          <w:tcPr>
            <w:tcW w:w="16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right="55"/>
              <w:jc w:val="right"/>
              <w:rPr>
                <w:rFonts w:ascii="Arial" w:hAnsi="Arial" w:cs="Arial" w:eastAsia="Arial" w:hint="default"/>
                <w:sz w:val="22"/>
                <w:szCs w:val="22"/>
              </w:rPr>
            </w:pPr>
            <w:r>
              <w:rPr>
                <w:rFonts w:ascii="Arial"/>
                <w:spacing w:val="-1"/>
                <w:sz w:val="22"/>
              </w:rPr>
              <w:t>3,067,243,483</w:t>
            </w:r>
          </w:p>
        </w:tc>
        <w:tc>
          <w:tcPr>
            <w:tcW w:w="1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right="151"/>
              <w:jc w:val="right"/>
              <w:rPr>
                <w:rFonts w:ascii="Arial" w:hAnsi="Arial" w:cs="Arial" w:eastAsia="Arial" w:hint="default"/>
                <w:sz w:val="22"/>
                <w:szCs w:val="22"/>
              </w:rPr>
            </w:pPr>
            <w:r>
              <w:rPr>
                <w:rFonts w:ascii="Arial"/>
                <w:w w:val="95"/>
                <w:sz w:val="22"/>
              </w:rPr>
              <w:t>100.00</w:t>
            </w:r>
            <w:r>
              <w:rPr>
                <w:rFonts w:ascii="Arial"/>
                <w:sz w:val="22"/>
              </w:rPr>
            </w:r>
          </w:p>
        </w:tc>
      </w:tr>
    </w:tbl>
    <w:p>
      <w:pPr>
        <w:spacing w:after="0" w:line="240" w:lineRule="auto"/>
        <w:jc w:val="right"/>
        <w:rPr>
          <w:rFonts w:ascii="Arial" w:hAnsi="Arial" w:cs="Arial" w:eastAsia="Arial" w:hint="default"/>
          <w:sz w:val="22"/>
          <w:szCs w:val="22"/>
        </w:rPr>
        <w:sectPr>
          <w:type w:val="continuous"/>
          <w:pgSz w:w="11900" w:h="16840"/>
          <w:pgMar w:top="1600" w:bottom="280" w:left="1280" w:right="880"/>
        </w:sectPr>
      </w:pPr>
    </w:p>
    <w:p>
      <w:pPr>
        <w:spacing w:line="240" w:lineRule="auto" w:before="9"/>
        <w:rPr>
          <w:rFonts w:ascii="宋体" w:hAnsi="宋体" w:cs="宋体" w:eastAsia="宋体" w:hint="default"/>
          <w:sz w:val="16"/>
          <w:szCs w:val="16"/>
        </w:rPr>
      </w:pPr>
    </w:p>
    <w:p>
      <w:pPr>
        <w:pStyle w:val="BodyText"/>
        <w:spacing w:line="240" w:lineRule="auto" w:before="31"/>
        <w:ind w:left="116" w:right="0"/>
        <w:jc w:val="left"/>
      </w:pPr>
      <w:r>
        <w:rPr>
          <w:rFonts w:ascii="Arial" w:hAnsi="Arial" w:cs="Arial" w:eastAsia="Arial" w:hint="default"/>
        </w:rPr>
        <w:t>5</w:t>
      </w:r>
      <w:r>
        <w:rPr/>
        <w:t>、</w:t>
      </w:r>
      <w:r>
        <w:rPr>
          <w:spacing w:val="-51"/>
        </w:rPr>
        <w:t> </w:t>
      </w:r>
      <w:r>
        <w:rPr/>
        <w:t>预付款项（续）</w:t>
      </w:r>
    </w:p>
    <w:p>
      <w:pPr>
        <w:spacing w:line="240" w:lineRule="auto" w:before="13"/>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(a) </w:t>
      </w:r>
      <w:r>
        <w:rPr>
          <w:rFonts w:ascii="Arial" w:hAnsi="Arial" w:cs="Arial" w:eastAsia="Arial" w:hint="default"/>
          <w:spacing w:val="24"/>
        </w:rPr>
        <w:t> </w:t>
      </w:r>
      <w:r>
        <w:rPr/>
        <w:t>本集团预付款项账龄分析如下（续）：</w:t>
      </w:r>
    </w:p>
    <w:p>
      <w:pPr>
        <w:spacing w:line="240" w:lineRule="auto" w:before="13"/>
        <w:rPr>
          <w:rFonts w:ascii="宋体" w:hAnsi="宋体" w:cs="宋体" w:eastAsia="宋体" w:hint="default"/>
          <w:sz w:val="17"/>
          <w:szCs w:val="17"/>
        </w:rPr>
      </w:pPr>
    </w:p>
    <w:p>
      <w:pPr>
        <w:pStyle w:val="BodyText"/>
        <w:spacing w:line="294" w:lineRule="exact"/>
        <w:ind w:left="550"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4"/>
        </w:rPr>
        <w:t>日，账龄超过</w:t>
      </w:r>
      <w:r>
        <w:rPr>
          <w:spacing w:val="-56"/>
        </w:rPr>
        <w:t> </w:t>
      </w:r>
      <w:r>
        <w:rPr>
          <w:rFonts w:ascii="Arial" w:hAnsi="Arial" w:cs="Arial" w:eastAsia="Arial" w:hint="default"/>
        </w:rPr>
        <w:t>1</w:t>
      </w:r>
      <w:r>
        <w:rPr>
          <w:rFonts w:ascii="Arial" w:hAnsi="Arial" w:cs="Arial" w:eastAsia="Arial" w:hint="default"/>
          <w:spacing w:val="-6"/>
        </w:rPr>
        <w:t> </w:t>
      </w:r>
      <w:r>
        <w:rPr/>
        <w:t>年的预付款项约人民币</w:t>
      </w:r>
      <w:r>
        <w:rPr>
          <w:spacing w:val="-55"/>
        </w:rPr>
        <w:t> </w:t>
      </w:r>
      <w:r>
        <w:rPr>
          <w:rFonts w:ascii="Arial" w:hAnsi="Arial" w:cs="Arial" w:eastAsia="Arial" w:hint="default"/>
        </w:rPr>
        <w:t>7,684</w:t>
      </w:r>
      <w:r>
        <w:rPr>
          <w:rFonts w:ascii="Arial" w:hAnsi="Arial" w:cs="Arial" w:eastAsia="Arial" w:hint="default"/>
          <w:spacing w:val="-7"/>
        </w:rPr>
        <w:t> </w:t>
      </w:r>
      <w:r>
        <w:rPr>
          <w:spacing w:val="-3"/>
        </w:rPr>
        <w:t>万元（</w:t>
      </w:r>
      <w:r>
        <w:rPr>
          <w:rFonts w:ascii="Arial" w:hAnsi="Arial" w:cs="Arial" w:eastAsia="Arial" w:hint="default"/>
          <w:spacing w:val="-3"/>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6" w:lineRule="exact" w:before="18"/>
        <w:ind w:left="550" w:right="228"/>
        <w:jc w:val="left"/>
      </w:pPr>
      <w:r>
        <w:rPr/>
        <w:t>约人民币</w:t>
      </w:r>
      <w:r>
        <w:rPr>
          <w:spacing w:val="-58"/>
        </w:rPr>
        <w:t> </w:t>
      </w:r>
      <w:r>
        <w:rPr>
          <w:rFonts w:ascii="Arial" w:hAnsi="Arial" w:cs="Arial" w:eastAsia="Arial" w:hint="default"/>
        </w:rPr>
        <w:t>6,194</w:t>
      </w:r>
      <w:r>
        <w:rPr>
          <w:rFonts w:ascii="Arial" w:hAnsi="Arial" w:cs="Arial" w:eastAsia="Arial" w:hint="default"/>
          <w:spacing w:val="-9"/>
        </w:rPr>
        <w:t> </w:t>
      </w:r>
      <w:r>
        <w:rPr/>
        <w:t>万元），主要为一些执行期限超过</w:t>
      </w:r>
      <w:r>
        <w:rPr>
          <w:spacing w:val="-58"/>
        </w:rPr>
        <w:t> </w:t>
      </w:r>
      <w:r>
        <w:rPr>
          <w:rFonts w:ascii="Arial" w:hAnsi="Arial" w:cs="Arial" w:eastAsia="Arial" w:hint="default"/>
        </w:rPr>
        <w:t>1</w:t>
      </w:r>
      <w:r>
        <w:rPr>
          <w:rFonts w:ascii="Arial" w:hAnsi="Arial" w:cs="Arial" w:eastAsia="Arial" w:hint="default"/>
          <w:spacing w:val="-9"/>
        </w:rPr>
        <w:t> </w:t>
      </w:r>
      <w:r>
        <w:rPr/>
        <w:t>年的预付购货款等，因为合同执行期限超</w:t>
      </w:r>
      <w:r>
        <w:rPr>
          <w:w w:val="99"/>
        </w:rPr>
        <w:t> </w:t>
      </w:r>
      <w:r>
        <w:rPr/>
        <w:t>过一年，该款项尚未结清。</w:t>
      </w:r>
    </w:p>
    <w:p>
      <w:pPr>
        <w:spacing w:line="240" w:lineRule="auto" w:before="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(b) </w:t>
      </w:r>
      <w:r>
        <w:rPr>
          <w:rFonts w:ascii="Arial" w:hAnsi="Arial" w:cs="Arial" w:eastAsia="Arial" w:hint="default"/>
          <w:spacing w:val="24"/>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日，余额前五名的预付款项分析如下：</w:t>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91"/>
          <w:pgSz w:w="11900" w:h="16840"/>
          <w:pgMar w:header="1189" w:footer="752" w:top="3040" w:bottom="940" w:left="1280" w:right="800"/>
        </w:sectPr>
      </w:pPr>
    </w:p>
    <w:p>
      <w:pPr>
        <w:spacing w:line="240" w:lineRule="auto" w:before="4"/>
        <w:rPr>
          <w:rFonts w:ascii="宋体" w:hAnsi="宋体" w:cs="宋体" w:eastAsia="宋体" w:hint="default"/>
          <w:sz w:val="21"/>
          <w:szCs w:val="21"/>
        </w:rPr>
      </w:pPr>
    </w:p>
    <w:p>
      <w:pPr>
        <w:tabs>
          <w:tab w:pos="4141" w:val="left" w:leader="none"/>
        </w:tabs>
        <w:spacing w:before="0"/>
        <w:ind w:left="1823" w:right="-20" w:firstLine="0"/>
        <w:jc w:val="left"/>
        <w:rPr>
          <w:rFonts w:ascii="宋体" w:hAnsi="宋体" w:cs="宋体" w:eastAsia="宋体" w:hint="default"/>
          <w:sz w:val="18"/>
          <w:szCs w:val="18"/>
        </w:rPr>
      </w:pPr>
      <w:r>
        <w:rPr>
          <w:rFonts w:ascii="宋体" w:hAnsi="宋体" w:cs="宋体" w:eastAsia="宋体" w:hint="default"/>
          <w:sz w:val="18"/>
          <w:szCs w:val="18"/>
        </w:rPr>
        <w:t>与本集团关系</w:t>
        <w:tab/>
        <w:t>金额</w:t>
      </w:r>
    </w:p>
    <w:p>
      <w:pPr>
        <w:spacing w:line="235" w:lineRule="exact" w:before="44"/>
        <w:ind w:left="31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占预付账款</w:t>
      </w:r>
    </w:p>
    <w:p>
      <w:pPr>
        <w:tabs>
          <w:tab w:pos="2173" w:val="left" w:leader="none"/>
          <w:tab w:pos="4203" w:val="left" w:leader="none"/>
        </w:tabs>
        <w:spacing w:line="235" w:lineRule="exact" w:before="0"/>
        <w:ind w:left="499" w:right="0" w:firstLine="0"/>
        <w:jc w:val="left"/>
        <w:rPr>
          <w:rFonts w:ascii="宋体" w:hAnsi="宋体" w:cs="宋体" w:eastAsia="宋体" w:hint="default"/>
          <w:sz w:val="18"/>
          <w:szCs w:val="18"/>
        </w:rPr>
      </w:pPr>
      <w:r>
        <w:rPr>
          <w:rFonts w:ascii="宋体" w:hAnsi="宋体" w:cs="宋体" w:eastAsia="宋体" w:hint="default"/>
          <w:sz w:val="18"/>
          <w:szCs w:val="18"/>
        </w:rPr>
        <w:t>总额比例</w:t>
        <w:tab/>
        <w:t>预付时间</w:t>
        <w:tab/>
        <w:t>未结算原因</w:t>
      </w:r>
    </w:p>
    <w:p>
      <w:pPr>
        <w:spacing w:after="0" w:line="235" w:lineRule="exact"/>
        <w:jc w:val="left"/>
        <w:rPr>
          <w:rFonts w:ascii="宋体" w:hAnsi="宋体" w:cs="宋体" w:eastAsia="宋体" w:hint="default"/>
          <w:sz w:val="18"/>
          <w:szCs w:val="18"/>
        </w:rPr>
        <w:sectPr>
          <w:type w:val="continuous"/>
          <w:pgSz w:w="11900" w:h="16840"/>
          <w:pgMar w:top="1600" w:bottom="280" w:left="1280" w:right="800"/>
          <w:cols w:num="2" w:equalWidth="0">
            <w:col w:w="4502" w:space="40"/>
            <w:col w:w="5278"/>
          </w:cols>
        </w:sectPr>
      </w:pPr>
    </w:p>
    <w:p>
      <w:pPr>
        <w:spacing w:line="240" w:lineRule="auto" w:before="1"/>
        <w:rPr>
          <w:rFonts w:ascii="宋体" w:hAnsi="宋体" w:cs="宋体" w:eastAsia="宋体" w:hint="default"/>
          <w:sz w:val="2"/>
          <w:szCs w:val="2"/>
        </w:rPr>
      </w:pPr>
    </w:p>
    <w:p>
      <w:pPr>
        <w:spacing w:line="20" w:lineRule="exact"/>
        <w:ind w:left="1544" w:right="0" w:firstLine="0"/>
        <w:rPr>
          <w:rFonts w:ascii="宋体" w:hAnsi="宋体" w:cs="宋体" w:eastAsia="宋体" w:hint="default"/>
          <w:sz w:val="2"/>
          <w:szCs w:val="2"/>
        </w:rPr>
      </w:pPr>
      <w:r>
        <w:rPr>
          <w:rFonts w:ascii="宋体"/>
          <w:sz w:val="2"/>
        </w:rPr>
        <w:pict>
          <v:group style="width:81.75pt;height:.75pt;mso-position-horizontal-relative:char;mso-position-vertical-relative:line" coordorigin="0,0" coordsize="1635,15">
            <v:group style="position:absolute;left:7;top:7;width:1620;height:2" coordorigin="7,7" coordsize="1620,2">
              <v:shape style="position:absolute;left:7;top:7;width:1620;height:2" coordorigin="7,7" coordsize="1620,0" path="m7,7l1627,7e" filled="false" stroked="true" strokeweight=".72003pt" strokecolor="#000000">
                <v:path arrowok="t"/>
              </v:shape>
            </v:group>
          </v:group>
        </w:pict>
      </w:r>
      <w:r>
        <w:rPr>
          <w:rFonts w:ascii="宋体"/>
          <w:sz w:val="2"/>
        </w:rPr>
      </w:r>
      <w:r>
        <w:rPr>
          <w:rFonts w:ascii="Times New Roman"/>
          <w:spacing w:val="61"/>
          <w:sz w:val="2"/>
        </w:rPr>
        <w:t> </w:t>
      </w:r>
      <w:r>
        <w:rPr>
          <w:rFonts w:ascii="宋体"/>
          <w:spacing w:val="61"/>
          <w:sz w:val="2"/>
        </w:rPr>
        <w:pict>
          <v:group style="width:68.6pt;height:.75pt;mso-position-horizontal-relative:char;mso-position-vertical-relative:line" coordorigin="0,0" coordsize="1372,15">
            <v:group style="position:absolute;left:7;top:7;width:1358;height:2" coordorigin="7,7" coordsize="1358,2">
              <v:shape style="position:absolute;left:7;top:7;width:1358;height:2" coordorigin="7,7" coordsize="1358,0" path="m7,7l1364,7e" filled="false" stroked="true" strokeweight=".72003pt" strokecolor="#000000">
                <v:path arrowok="t"/>
              </v:shape>
            </v:group>
          </v:group>
        </w:pict>
      </w:r>
      <w:r>
        <w:rPr>
          <w:rFonts w:ascii="宋体"/>
          <w:spacing w:val="61"/>
          <w:sz w:val="2"/>
        </w:rPr>
      </w:r>
      <w:r>
        <w:rPr>
          <w:rFonts w:ascii="Times New Roman"/>
          <w:spacing w:val="67"/>
          <w:sz w:val="2"/>
        </w:rPr>
        <w:t> </w:t>
      </w:r>
      <w:r>
        <w:rPr>
          <w:rFonts w:ascii="宋体"/>
          <w:spacing w:val="67"/>
          <w:sz w:val="2"/>
        </w:rPr>
        <w:pict>
          <v:group style="width:251.2pt;height:.75pt;mso-position-horizontal-relative:char;mso-position-vertical-relative:line" coordorigin="0,0" coordsize="5024,15">
            <v:group style="position:absolute;left:7;top:7;width:1103;height:2" coordorigin="7,7" coordsize="1103,2">
              <v:shape style="position:absolute;left:7;top:7;width:1103;height:2" coordorigin="7,7" coordsize="1103,0" path="m7,7l1110,7e" filled="false" stroked="true" strokeweight=".72003pt" strokecolor="#000000">
                <v:path arrowok="t"/>
              </v:shape>
            </v:group>
            <v:group style="position:absolute;left:1187;top:7;width:2327;height:2" coordorigin="1187,7" coordsize="2327,2">
              <v:shape style="position:absolute;left:1187;top:7;width:2327;height:2" coordorigin="1187,7" coordsize="2327,0" path="m1187,7l3514,7e" filled="false" stroked="true" strokeweight=".72003pt" strokecolor="#000000">
                <v:path arrowok="t"/>
              </v:shape>
            </v:group>
            <v:group style="position:absolute;left:3589;top:7;width:1427;height:2" coordorigin="3589,7" coordsize="1427,2">
              <v:shape style="position:absolute;left:3589;top:7;width:1427;height:2" coordorigin="3589,7" coordsize="1427,0" path="m3589,7l5016,7e" filled="false" stroked="true" strokeweight=".72003pt" strokecolor="#000000">
                <v:path arrowok="t"/>
              </v:shape>
            </v:group>
          </v:group>
        </w:pict>
      </w:r>
      <w:r>
        <w:rPr>
          <w:rFonts w:ascii="宋体"/>
          <w:spacing w:val="67"/>
          <w:sz w:val="2"/>
        </w:rPr>
      </w:r>
    </w:p>
    <w:p>
      <w:pPr>
        <w:spacing w:line="240" w:lineRule="auto" w:before="10"/>
        <w:rPr>
          <w:rFonts w:ascii="宋体" w:hAnsi="宋体" w:cs="宋体" w:eastAsia="宋体" w:hint="default"/>
          <w:sz w:val="9"/>
          <w:szCs w:val="9"/>
        </w:rPr>
      </w:pPr>
    </w:p>
    <w:p>
      <w:pPr>
        <w:tabs>
          <w:tab w:pos="2069" w:val="left" w:leader="none"/>
          <w:tab w:pos="3600" w:val="left" w:leader="none"/>
          <w:tab w:pos="5218" w:val="left" w:leader="none"/>
          <w:tab w:pos="7098" w:val="left" w:leader="none"/>
        </w:tabs>
        <w:spacing w:line="246" w:lineRule="exact" w:before="47"/>
        <w:ind w:left="561" w:right="0" w:firstLine="0"/>
        <w:jc w:val="left"/>
        <w:rPr>
          <w:rFonts w:ascii="宋体" w:hAnsi="宋体" w:cs="宋体" w:eastAsia="宋体" w:hint="default"/>
          <w:sz w:val="18"/>
          <w:szCs w:val="18"/>
        </w:rPr>
      </w:pPr>
      <w:r>
        <w:rPr>
          <w:rFonts w:ascii="宋体" w:hAnsi="宋体" w:cs="宋体" w:eastAsia="宋体" w:hint="default"/>
          <w:position w:val="1"/>
          <w:sz w:val="18"/>
          <w:szCs w:val="18"/>
        </w:rPr>
        <w:t>第一名</w:t>
        <w:tab/>
        <w:t>第三方</w:t>
        <w:tab/>
      </w:r>
      <w:r>
        <w:rPr>
          <w:rFonts w:ascii="Arial" w:hAnsi="Arial" w:cs="Arial" w:eastAsia="Arial" w:hint="default"/>
          <w:spacing w:val="-1"/>
          <w:sz w:val="18"/>
          <w:szCs w:val="18"/>
        </w:rPr>
        <w:t>26,873,644</w:t>
        <w:tab/>
        <w:t>0.73%</w:t>
        <w:tab/>
      </w:r>
      <w:r>
        <w:rPr>
          <w:rFonts w:ascii="Arial" w:hAnsi="Arial" w:cs="Arial" w:eastAsia="Arial" w:hint="default"/>
          <w:spacing w:val="-1"/>
          <w:position w:val="1"/>
          <w:sz w:val="18"/>
          <w:szCs w:val="18"/>
        </w:rPr>
        <w:t>2011</w:t>
      </w:r>
      <w:r>
        <w:rPr>
          <w:rFonts w:ascii="Arial" w:hAnsi="Arial" w:cs="Arial" w:eastAsia="Arial" w:hint="default"/>
          <w:position w:val="1"/>
          <w:sz w:val="18"/>
          <w:szCs w:val="18"/>
        </w:rPr>
        <w:t> </w:t>
      </w:r>
      <w:r>
        <w:rPr>
          <w:rFonts w:ascii="宋体" w:hAnsi="宋体" w:cs="宋体" w:eastAsia="宋体" w:hint="default"/>
          <w:position w:val="1"/>
          <w:sz w:val="18"/>
          <w:szCs w:val="18"/>
        </w:rPr>
        <w:t>年 </w:t>
      </w:r>
      <w:r>
        <w:rPr>
          <w:rFonts w:ascii="Arial" w:hAnsi="Arial" w:cs="Arial" w:eastAsia="Arial" w:hint="default"/>
          <w:position w:val="1"/>
          <w:sz w:val="18"/>
          <w:szCs w:val="18"/>
        </w:rPr>
        <w:t>12 </w:t>
      </w:r>
      <w:r>
        <w:rPr>
          <w:rFonts w:ascii="宋体" w:hAnsi="宋体" w:cs="宋体" w:eastAsia="宋体" w:hint="default"/>
          <w:position w:val="1"/>
          <w:sz w:val="18"/>
          <w:szCs w:val="18"/>
        </w:rPr>
        <w:t>月</w:t>
      </w:r>
      <w:r>
        <w:rPr>
          <w:rFonts w:ascii="宋体" w:hAnsi="宋体" w:cs="宋体" w:eastAsia="宋体" w:hint="default"/>
          <w:spacing w:val="31"/>
          <w:position w:val="1"/>
          <w:sz w:val="18"/>
          <w:szCs w:val="18"/>
        </w:rPr>
        <w:t> </w:t>
      </w:r>
      <w:r>
        <w:rPr>
          <w:rFonts w:ascii="宋体" w:hAnsi="宋体" w:cs="宋体" w:eastAsia="宋体" w:hint="default"/>
          <w:position w:val="1"/>
          <w:sz w:val="18"/>
          <w:szCs w:val="18"/>
        </w:rPr>
        <w:t>约定业务未完成</w:t>
      </w:r>
      <w:r>
        <w:rPr>
          <w:rFonts w:ascii="宋体" w:hAnsi="宋体" w:cs="宋体" w:eastAsia="宋体" w:hint="default"/>
          <w:sz w:val="18"/>
          <w:szCs w:val="18"/>
        </w:rPr>
      </w:r>
    </w:p>
    <w:p>
      <w:pPr>
        <w:tabs>
          <w:tab w:pos="3600" w:val="left" w:leader="none"/>
          <w:tab w:pos="5218" w:val="left" w:leader="none"/>
          <w:tab w:pos="6042" w:val="left" w:leader="none"/>
        </w:tabs>
        <w:spacing w:line="233" w:lineRule="exact" w:before="0"/>
        <w:ind w:left="562" w:right="0" w:firstLine="0"/>
        <w:jc w:val="left"/>
        <w:rPr>
          <w:rFonts w:ascii="宋体" w:hAnsi="宋体" w:cs="宋体" w:eastAsia="宋体" w:hint="default"/>
          <w:sz w:val="18"/>
          <w:szCs w:val="18"/>
        </w:rPr>
      </w:pPr>
      <w:r>
        <w:rPr>
          <w:rFonts w:ascii="宋体" w:hAnsi="宋体" w:cs="宋体" w:eastAsia="宋体" w:hint="default"/>
          <w:position w:val="1"/>
          <w:sz w:val="18"/>
          <w:szCs w:val="18"/>
        </w:rPr>
        <w:t>联通进出口</w:t>
      </w:r>
      <w:r>
        <w:rPr>
          <w:rFonts w:ascii="宋体" w:hAnsi="宋体" w:cs="宋体" w:eastAsia="宋体" w:hint="default"/>
          <w:spacing w:val="67"/>
          <w:position w:val="1"/>
          <w:sz w:val="18"/>
          <w:szCs w:val="18"/>
        </w:rPr>
        <w:t> </w:t>
      </w:r>
      <w:r>
        <w:rPr>
          <w:rFonts w:ascii="宋体" w:hAnsi="宋体" w:cs="宋体" w:eastAsia="宋体" w:hint="default"/>
          <w:position w:val="1"/>
          <w:sz w:val="18"/>
          <w:szCs w:val="18"/>
        </w:rPr>
        <w:t>同受联通集团控制</w:t>
        <w:tab/>
      </w:r>
      <w:r>
        <w:rPr>
          <w:rFonts w:ascii="Arial" w:hAnsi="Arial" w:cs="Arial" w:eastAsia="Arial" w:hint="default"/>
          <w:spacing w:val="-1"/>
          <w:sz w:val="18"/>
          <w:szCs w:val="18"/>
        </w:rPr>
        <w:t>25,238,469</w:t>
        <w:tab/>
        <w:t>0.68%</w:t>
        <w:tab/>
      </w:r>
      <w:r>
        <w:rPr>
          <w:rFonts w:ascii="Arial" w:hAnsi="Arial" w:cs="Arial" w:eastAsia="Arial" w:hint="default"/>
          <w:spacing w:val="-1"/>
          <w:position w:val="1"/>
          <w:sz w:val="18"/>
          <w:szCs w:val="18"/>
        </w:rPr>
        <w:t>2010</w:t>
      </w:r>
      <w:r>
        <w:rPr>
          <w:rFonts w:ascii="Arial" w:hAnsi="Arial" w:cs="Arial" w:eastAsia="Arial" w:hint="default"/>
          <w:position w:val="1"/>
          <w:sz w:val="18"/>
          <w:szCs w:val="18"/>
        </w:rPr>
        <w:t> </w:t>
      </w:r>
      <w:r>
        <w:rPr>
          <w:rFonts w:ascii="宋体" w:hAnsi="宋体" w:cs="宋体" w:eastAsia="宋体" w:hint="default"/>
          <w:position w:val="1"/>
          <w:sz w:val="18"/>
          <w:szCs w:val="18"/>
        </w:rPr>
        <w:t>年 </w:t>
      </w:r>
      <w:r>
        <w:rPr>
          <w:rFonts w:ascii="Arial" w:hAnsi="Arial" w:cs="Arial" w:eastAsia="Arial" w:hint="default"/>
          <w:position w:val="1"/>
          <w:sz w:val="18"/>
          <w:szCs w:val="18"/>
        </w:rPr>
        <w:t>1 </w:t>
      </w:r>
      <w:r>
        <w:rPr>
          <w:rFonts w:ascii="宋体" w:hAnsi="宋体" w:cs="宋体" w:eastAsia="宋体" w:hint="default"/>
          <w:position w:val="1"/>
          <w:sz w:val="18"/>
          <w:szCs w:val="18"/>
        </w:rPr>
        <w:t>月</w:t>
      </w:r>
      <w:r>
        <w:rPr>
          <w:rFonts w:ascii="Arial" w:hAnsi="Arial" w:cs="Arial" w:eastAsia="Arial" w:hint="default"/>
          <w:position w:val="1"/>
          <w:sz w:val="18"/>
          <w:szCs w:val="18"/>
        </w:rPr>
        <w:t>-2011 </w:t>
      </w:r>
      <w:r>
        <w:rPr>
          <w:rFonts w:ascii="宋体" w:hAnsi="宋体" w:cs="宋体" w:eastAsia="宋体" w:hint="default"/>
          <w:position w:val="1"/>
          <w:sz w:val="18"/>
          <w:szCs w:val="18"/>
        </w:rPr>
        <w:t>年 </w:t>
      </w:r>
      <w:r>
        <w:rPr>
          <w:rFonts w:ascii="Arial" w:hAnsi="Arial" w:cs="Arial" w:eastAsia="Arial" w:hint="default"/>
          <w:position w:val="1"/>
          <w:sz w:val="18"/>
          <w:szCs w:val="18"/>
        </w:rPr>
        <w:t>12 </w:t>
      </w:r>
      <w:r>
        <w:rPr>
          <w:rFonts w:ascii="宋体" w:hAnsi="宋体" w:cs="宋体" w:eastAsia="宋体" w:hint="default"/>
          <w:position w:val="1"/>
          <w:sz w:val="18"/>
          <w:szCs w:val="18"/>
        </w:rPr>
        <w:t>月</w:t>
      </w:r>
      <w:r>
        <w:rPr>
          <w:rFonts w:ascii="宋体" w:hAnsi="宋体" w:cs="宋体" w:eastAsia="宋体" w:hint="default"/>
          <w:spacing w:val="-26"/>
          <w:position w:val="1"/>
          <w:sz w:val="18"/>
          <w:szCs w:val="18"/>
        </w:rPr>
        <w:t> </w:t>
      </w:r>
      <w:r>
        <w:rPr>
          <w:rFonts w:ascii="宋体" w:hAnsi="宋体" w:cs="宋体" w:eastAsia="宋体" w:hint="default"/>
          <w:position w:val="1"/>
          <w:sz w:val="18"/>
          <w:szCs w:val="18"/>
        </w:rPr>
        <w:t>约定业务未完成</w:t>
      </w:r>
      <w:r>
        <w:rPr>
          <w:rFonts w:ascii="宋体" w:hAnsi="宋体" w:cs="宋体" w:eastAsia="宋体" w:hint="default"/>
          <w:sz w:val="18"/>
          <w:szCs w:val="18"/>
        </w:rPr>
      </w:r>
    </w:p>
    <w:p>
      <w:pPr>
        <w:tabs>
          <w:tab w:pos="2069" w:val="left" w:leader="none"/>
          <w:tab w:pos="3600" w:val="left" w:leader="none"/>
          <w:tab w:pos="5218" w:val="left" w:leader="none"/>
          <w:tab w:pos="6837" w:val="left" w:leader="none"/>
        </w:tabs>
        <w:spacing w:line="233" w:lineRule="exact" w:before="0"/>
        <w:ind w:left="561" w:right="0" w:firstLine="0"/>
        <w:jc w:val="left"/>
        <w:rPr>
          <w:rFonts w:ascii="宋体" w:hAnsi="宋体" w:cs="宋体" w:eastAsia="宋体" w:hint="default"/>
          <w:sz w:val="18"/>
          <w:szCs w:val="18"/>
        </w:rPr>
      </w:pPr>
      <w:r>
        <w:rPr>
          <w:rFonts w:ascii="宋体" w:hAnsi="宋体" w:cs="宋体" w:eastAsia="宋体" w:hint="default"/>
          <w:position w:val="1"/>
          <w:sz w:val="18"/>
          <w:szCs w:val="18"/>
        </w:rPr>
        <w:t>第三名</w:t>
        <w:tab/>
        <w:t>第三方</w:t>
        <w:tab/>
      </w:r>
      <w:r>
        <w:rPr>
          <w:rFonts w:ascii="Arial" w:hAnsi="Arial" w:cs="Arial" w:eastAsia="Arial" w:hint="default"/>
          <w:spacing w:val="-1"/>
          <w:sz w:val="18"/>
          <w:szCs w:val="18"/>
        </w:rPr>
        <w:t>13,180,966</w:t>
        <w:tab/>
        <w:t>0.36%</w:t>
        <w:tab/>
      </w:r>
      <w:r>
        <w:rPr>
          <w:rFonts w:ascii="Arial" w:hAnsi="Arial" w:cs="Arial" w:eastAsia="Arial" w:hint="default"/>
          <w:spacing w:val="-1"/>
          <w:position w:val="1"/>
          <w:sz w:val="18"/>
          <w:szCs w:val="18"/>
        </w:rPr>
        <w:t>2011</w:t>
      </w:r>
      <w:r>
        <w:rPr>
          <w:rFonts w:ascii="Arial" w:hAnsi="Arial" w:cs="Arial" w:eastAsia="Arial" w:hint="default"/>
          <w:position w:val="1"/>
          <w:sz w:val="18"/>
          <w:szCs w:val="18"/>
        </w:rPr>
        <w:t> </w:t>
      </w:r>
      <w:r>
        <w:rPr>
          <w:rFonts w:ascii="宋体" w:hAnsi="宋体" w:cs="宋体" w:eastAsia="宋体" w:hint="default"/>
          <w:position w:val="1"/>
          <w:sz w:val="18"/>
          <w:szCs w:val="18"/>
        </w:rPr>
        <w:t>年 </w:t>
      </w:r>
      <w:r>
        <w:rPr>
          <w:rFonts w:ascii="Arial" w:hAnsi="Arial" w:cs="Arial" w:eastAsia="Arial" w:hint="default"/>
          <w:spacing w:val="-1"/>
          <w:position w:val="1"/>
          <w:sz w:val="18"/>
          <w:szCs w:val="18"/>
        </w:rPr>
        <w:t>11-12</w:t>
      </w:r>
      <w:r>
        <w:rPr>
          <w:rFonts w:ascii="Arial" w:hAnsi="Arial" w:cs="Arial" w:eastAsia="Arial" w:hint="default"/>
          <w:position w:val="1"/>
          <w:sz w:val="18"/>
          <w:szCs w:val="18"/>
        </w:rPr>
        <w:t> </w:t>
      </w:r>
      <w:r>
        <w:rPr>
          <w:rFonts w:ascii="宋体" w:hAnsi="宋体" w:cs="宋体" w:eastAsia="宋体" w:hint="default"/>
          <w:position w:val="1"/>
          <w:sz w:val="18"/>
          <w:szCs w:val="18"/>
        </w:rPr>
        <w:t>月</w:t>
      </w:r>
      <w:r>
        <w:rPr>
          <w:rFonts w:ascii="宋体" w:hAnsi="宋体" w:cs="宋体" w:eastAsia="宋体" w:hint="default"/>
          <w:spacing w:val="36"/>
          <w:position w:val="1"/>
          <w:sz w:val="18"/>
          <w:szCs w:val="18"/>
        </w:rPr>
        <w:t> </w:t>
      </w:r>
      <w:r>
        <w:rPr>
          <w:rFonts w:ascii="宋体" w:hAnsi="宋体" w:cs="宋体" w:eastAsia="宋体" w:hint="default"/>
          <w:position w:val="1"/>
          <w:sz w:val="18"/>
          <w:szCs w:val="18"/>
        </w:rPr>
        <w:t>约定业务未完成</w:t>
      </w:r>
      <w:r>
        <w:rPr>
          <w:rFonts w:ascii="宋体" w:hAnsi="宋体" w:cs="宋体" w:eastAsia="宋体" w:hint="default"/>
          <w:sz w:val="18"/>
          <w:szCs w:val="18"/>
        </w:rPr>
      </w:r>
    </w:p>
    <w:p>
      <w:pPr>
        <w:tabs>
          <w:tab w:pos="2069" w:val="left" w:leader="none"/>
          <w:tab w:pos="3255" w:val="left" w:leader="none"/>
          <w:tab w:pos="3701" w:val="left" w:leader="none"/>
          <w:tab w:pos="5218" w:val="left" w:leader="none"/>
          <w:tab w:pos="7098" w:val="left" w:leader="none"/>
        </w:tabs>
        <w:spacing w:line="232" w:lineRule="exact" w:before="22"/>
        <w:ind w:left="561" w:right="186" w:firstLine="0"/>
        <w:jc w:val="left"/>
        <w:rPr>
          <w:rFonts w:ascii="宋体" w:hAnsi="宋体" w:cs="宋体" w:eastAsia="宋体" w:hint="default"/>
          <w:sz w:val="18"/>
          <w:szCs w:val="18"/>
        </w:rPr>
      </w:pPr>
      <w:r>
        <w:rPr>
          <w:rFonts w:ascii="宋体" w:hAnsi="宋体" w:cs="宋体" w:eastAsia="宋体" w:hint="default"/>
          <w:position w:val="1"/>
          <w:sz w:val="18"/>
          <w:szCs w:val="18"/>
        </w:rPr>
        <w:t>第四名</w:t>
        <w:tab/>
        <w:t>第三方</w:t>
        <w:tab/>
        <w:tab/>
      </w:r>
      <w:r>
        <w:rPr>
          <w:rFonts w:ascii="Arial" w:hAnsi="Arial" w:cs="Arial" w:eastAsia="Arial" w:hint="default"/>
          <w:spacing w:val="-1"/>
          <w:sz w:val="18"/>
          <w:szCs w:val="18"/>
        </w:rPr>
        <w:t>8,813,224</w:t>
        <w:tab/>
        <w:t>0.24%</w:t>
        <w:tab/>
      </w:r>
      <w:r>
        <w:rPr>
          <w:rFonts w:ascii="Arial" w:hAnsi="Arial" w:cs="Arial" w:eastAsia="Arial" w:hint="default"/>
          <w:spacing w:val="-1"/>
          <w:position w:val="1"/>
          <w:sz w:val="18"/>
          <w:szCs w:val="18"/>
        </w:rPr>
        <w:t>2011</w:t>
      </w:r>
      <w:r>
        <w:rPr>
          <w:rFonts w:ascii="Arial" w:hAnsi="Arial" w:cs="Arial" w:eastAsia="Arial" w:hint="default"/>
          <w:position w:val="1"/>
          <w:sz w:val="18"/>
          <w:szCs w:val="18"/>
        </w:rPr>
        <w:t> </w:t>
      </w:r>
      <w:r>
        <w:rPr>
          <w:rFonts w:ascii="宋体" w:hAnsi="宋体" w:cs="宋体" w:eastAsia="宋体" w:hint="default"/>
          <w:position w:val="1"/>
          <w:sz w:val="18"/>
          <w:szCs w:val="18"/>
        </w:rPr>
        <w:t>年 </w:t>
      </w:r>
      <w:r>
        <w:rPr>
          <w:rFonts w:ascii="Arial" w:hAnsi="Arial" w:cs="Arial" w:eastAsia="Arial" w:hint="default"/>
          <w:position w:val="1"/>
          <w:sz w:val="18"/>
          <w:szCs w:val="18"/>
        </w:rPr>
        <w:t>12 </w:t>
      </w:r>
      <w:r>
        <w:rPr>
          <w:rFonts w:ascii="宋体" w:hAnsi="宋体" w:cs="宋体" w:eastAsia="宋体" w:hint="default"/>
          <w:position w:val="1"/>
          <w:sz w:val="18"/>
          <w:szCs w:val="18"/>
        </w:rPr>
        <w:t>月</w:t>
      </w:r>
      <w:r>
        <w:rPr>
          <w:rFonts w:ascii="宋体" w:hAnsi="宋体" w:cs="宋体" w:eastAsia="宋体" w:hint="default"/>
          <w:spacing w:val="31"/>
          <w:position w:val="1"/>
          <w:sz w:val="18"/>
          <w:szCs w:val="18"/>
        </w:rPr>
        <w:t> </w:t>
      </w:r>
      <w:r>
        <w:rPr>
          <w:rFonts w:ascii="宋体" w:hAnsi="宋体" w:cs="宋体" w:eastAsia="宋体" w:hint="default"/>
          <w:position w:val="1"/>
          <w:sz w:val="18"/>
          <w:szCs w:val="18"/>
        </w:rPr>
        <w:t>约定业务未完成</w:t>
      </w:r>
      <w:r>
        <w:rPr>
          <w:rFonts w:ascii="宋体" w:hAnsi="宋体" w:cs="宋体" w:eastAsia="宋体" w:hint="default"/>
          <w:position w:val="1"/>
          <w:sz w:val="18"/>
          <w:szCs w:val="18"/>
        </w:rPr>
        <w:t> 第五名</w:t>
        <w:tab/>
        <w:t>第三方</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5,817,720</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0.16%</w:t>
      </w:r>
      <w:r>
        <w:rPr>
          <w:rFonts w:ascii="Arial" w:hAnsi="Arial" w:cs="Arial" w:eastAsia="Arial" w:hint="default"/>
          <w:sz w:val="18"/>
          <w:szCs w:val="18"/>
          <w:u w:val="single" w:color="000000"/>
        </w:rPr>
        <w:t>    </w:t>
      </w:r>
      <w:r>
        <w:rPr>
          <w:rFonts w:ascii="Arial" w:hAnsi="Arial" w:cs="Arial" w:eastAsia="Arial" w:hint="default"/>
          <w:sz w:val="18"/>
          <w:szCs w:val="18"/>
        </w:rPr>
      </w:r>
      <w:r>
        <w:rPr>
          <w:rFonts w:ascii="Arial" w:hAnsi="Arial" w:cs="Arial" w:eastAsia="Arial" w:hint="default"/>
          <w:spacing w:val="-1"/>
          <w:position w:val="1"/>
          <w:sz w:val="18"/>
          <w:szCs w:val="18"/>
        </w:rPr>
        <w:t>2011</w:t>
      </w:r>
      <w:r>
        <w:rPr>
          <w:rFonts w:ascii="Arial" w:hAnsi="Arial" w:cs="Arial" w:eastAsia="Arial" w:hint="default"/>
          <w:position w:val="1"/>
          <w:sz w:val="18"/>
          <w:szCs w:val="18"/>
        </w:rPr>
        <w:t> </w:t>
      </w:r>
      <w:r>
        <w:rPr>
          <w:rFonts w:ascii="宋体" w:hAnsi="宋体" w:cs="宋体" w:eastAsia="宋体" w:hint="default"/>
          <w:position w:val="1"/>
          <w:sz w:val="18"/>
          <w:szCs w:val="18"/>
        </w:rPr>
        <w:t>年 </w:t>
      </w:r>
      <w:r>
        <w:rPr>
          <w:rFonts w:ascii="Arial" w:hAnsi="Arial" w:cs="Arial" w:eastAsia="Arial" w:hint="default"/>
          <w:position w:val="1"/>
          <w:sz w:val="18"/>
          <w:szCs w:val="18"/>
        </w:rPr>
        <w:t>10 </w:t>
      </w:r>
      <w:r>
        <w:rPr>
          <w:rFonts w:ascii="宋体" w:hAnsi="宋体" w:cs="宋体" w:eastAsia="宋体" w:hint="default"/>
          <w:spacing w:val="-1"/>
          <w:position w:val="1"/>
          <w:sz w:val="18"/>
          <w:szCs w:val="18"/>
        </w:rPr>
        <w:t>月</w:t>
      </w:r>
      <w:r>
        <w:rPr>
          <w:rFonts w:ascii="Arial" w:hAnsi="Arial" w:cs="Arial" w:eastAsia="Arial" w:hint="default"/>
          <w:spacing w:val="-1"/>
          <w:position w:val="1"/>
          <w:sz w:val="18"/>
          <w:szCs w:val="18"/>
        </w:rPr>
        <w:t>-2011</w:t>
      </w:r>
      <w:r>
        <w:rPr>
          <w:rFonts w:ascii="Arial" w:hAnsi="Arial" w:cs="Arial" w:eastAsia="Arial" w:hint="default"/>
          <w:position w:val="1"/>
          <w:sz w:val="18"/>
          <w:szCs w:val="18"/>
        </w:rPr>
        <w:t> </w:t>
      </w:r>
      <w:r>
        <w:rPr>
          <w:rFonts w:ascii="宋体" w:hAnsi="宋体" w:cs="宋体" w:eastAsia="宋体" w:hint="default"/>
          <w:position w:val="1"/>
          <w:sz w:val="18"/>
          <w:szCs w:val="18"/>
        </w:rPr>
        <w:t>年 </w:t>
      </w:r>
      <w:r>
        <w:rPr>
          <w:rFonts w:ascii="Arial" w:hAnsi="Arial" w:cs="Arial" w:eastAsia="Arial" w:hint="default"/>
          <w:position w:val="1"/>
          <w:sz w:val="18"/>
          <w:szCs w:val="18"/>
        </w:rPr>
        <w:t>12 </w:t>
      </w:r>
      <w:r>
        <w:rPr>
          <w:rFonts w:ascii="宋体" w:hAnsi="宋体" w:cs="宋体" w:eastAsia="宋体" w:hint="default"/>
          <w:position w:val="1"/>
          <w:sz w:val="18"/>
          <w:szCs w:val="18"/>
        </w:rPr>
        <w:t>月</w:t>
      </w:r>
      <w:r>
        <w:rPr>
          <w:rFonts w:ascii="宋体" w:hAnsi="宋体" w:cs="宋体" w:eastAsia="宋体" w:hint="default"/>
          <w:spacing w:val="-8"/>
          <w:position w:val="1"/>
          <w:sz w:val="18"/>
          <w:szCs w:val="18"/>
        </w:rPr>
        <w:t> </w:t>
      </w:r>
      <w:r>
        <w:rPr>
          <w:rFonts w:ascii="宋体" w:hAnsi="宋体" w:cs="宋体" w:eastAsia="宋体" w:hint="default"/>
          <w:position w:val="1"/>
          <w:sz w:val="18"/>
          <w:szCs w:val="18"/>
        </w:rPr>
        <w:t>约定业务未完成</w:t>
      </w:r>
      <w:r>
        <w:rPr>
          <w:rFonts w:ascii="宋体" w:hAnsi="宋体" w:cs="宋体" w:eastAsia="宋体" w:hint="default"/>
          <w:sz w:val="18"/>
          <w:szCs w:val="18"/>
        </w:rPr>
      </w:r>
    </w:p>
    <w:p>
      <w:pPr>
        <w:spacing w:line="240" w:lineRule="auto" w:before="6"/>
        <w:rPr>
          <w:rFonts w:ascii="宋体" w:hAnsi="宋体" w:cs="宋体" w:eastAsia="宋体" w:hint="default"/>
          <w:sz w:val="10"/>
          <w:szCs w:val="10"/>
        </w:rPr>
      </w:pPr>
    </w:p>
    <w:p>
      <w:pPr>
        <w:tabs>
          <w:tab w:pos="3600" w:val="left" w:leader="none"/>
          <w:tab w:pos="5218" w:val="left" w:leader="none"/>
        </w:tabs>
        <w:spacing w:before="47"/>
        <w:ind w:left="561" w:right="0"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79,924,023</w:t>
        <w:tab/>
        <w:t>2.17%</w:t>
      </w:r>
      <w:r>
        <w:rPr>
          <w:rFonts w:ascii="Arial" w:hAnsi="Arial" w:cs="Arial" w:eastAsia="Arial" w:hint="default"/>
          <w:sz w:val="18"/>
          <w:szCs w:val="18"/>
        </w:rPr>
      </w:r>
    </w:p>
    <w:p>
      <w:pPr>
        <w:spacing w:line="43" w:lineRule="exact"/>
        <w:ind w:left="3234" w:right="0" w:firstLine="0"/>
        <w:rPr>
          <w:rFonts w:ascii="Arial" w:hAnsi="Arial" w:cs="Arial" w:eastAsia="Arial" w:hint="default"/>
          <w:sz w:val="4"/>
          <w:szCs w:val="4"/>
        </w:rPr>
      </w:pPr>
      <w:r>
        <w:rPr>
          <w:rFonts w:ascii="Arial" w:hAnsi="Arial" w:cs="Arial" w:eastAsia="Arial" w:hint="default"/>
          <w:position w:val="0"/>
          <w:sz w:val="4"/>
          <w:szCs w:val="4"/>
        </w:rPr>
        <w:pict>
          <v:group style="width:128.9500pt;height:2.2pt;mso-position-horizontal-relative:char;mso-position-vertical-relative:line" coordorigin="0,0" coordsize="2579,44">
            <v:group style="position:absolute;left:7;top:36;width:1372;height:2" coordorigin="7,36" coordsize="1372,2">
              <v:shape style="position:absolute;left:7;top:36;width:1372;height:2" coordorigin="7,36" coordsize="1372,0" path="m7,36l1379,36e" filled="false" stroked="true" strokeweight=".72pt" strokecolor="#000000">
                <v:path arrowok="t"/>
              </v:shape>
            </v:group>
            <v:group style="position:absolute;left:7;top:7;width:1372;height:2" coordorigin="7,7" coordsize="1372,2">
              <v:shape style="position:absolute;left:7;top:7;width:1372;height:2" coordorigin="7,7" coordsize="1372,0" path="m7,7l1379,7e" filled="false" stroked="true" strokeweight=".72pt" strokecolor="#000000">
                <v:path arrowok="t"/>
              </v:shape>
            </v:group>
            <v:group style="position:absolute;left:1454;top:36;width:1118;height:2" coordorigin="1454,36" coordsize="1118,2">
              <v:shape style="position:absolute;left:1454;top:36;width:1118;height:2" coordorigin="1454,36" coordsize="1118,0" path="m1454,36l2572,36e" filled="false" stroked="true" strokeweight=".72pt" strokecolor="#000000">
                <v:path arrowok="t"/>
              </v:shape>
            </v:group>
            <v:group style="position:absolute;left:1454;top:7;width:1118;height:2" coordorigin="1454,7" coordsize="1118,2">
              <v:shape style="position:absolute;left:1454;top:7;width:1118;height:2" coordorigin="1454,7" coordsize="1118,0" path="m1454,7l2572,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84" w:lineRule="exact" w:before="61"/>
        <w:ind w:left="534" w:right="0" w:hanging="433"/>
        <w:jc w:val="left"/>
      </w:pPr>
      <w:r>
        <w:rPr>
          <w:rFonts w:ascii="Arial" w:hAnsi="Arial" w:cs="Arial" w:eastAsia="Arial" w:hint="default"/>
        </w:rPr>
        <w:t>(c)</w:t>
      </w:r>
      <w:r>
        <w:rPr>
          <w:rFonts w:ascii="Arial" w:hAnsi="Arial" w:cs="Arial" w:eastAsia="Arial" w:hint="default"/>
          <w:spacing w:val="48"/>
        </w:rPr>
        <w:t> </w:t>
      </w:r>
      <w:r>
        <w:rPr/>
        <w:t>于</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日及</w:t>
      </w:r>
      <w:r>
        <w:rPr>
          <w:spacing w:val="-57"/>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日，预付款项中无预付持有本公司</w:t>
      </w:r>
      <w:r>
        <w:rPr>
          <w:spacing w:val="-57"/>
        </w:rPr>
        <w:t> </w:t>
      </w:r>
      <w:r>
        <w:rPr>
          <w:rFonts w:ascii="Arial" w:hAnsi="Arial" w:cs="Arial" w:eastAsia="Arial" w:hint="default"/>
        </w:rPr>
        <w:t>5%</w:t>
      </w:r>
      <w:r>
        <w:rPr/>
        <w:t>（含</w:t>
      </w:r>
      <w:r>
        <w:rPr>
          <w:spacing w:val="-57"/>
        </w:rPr>
        <w:t> </w:t>
      </w:r>
      <w:r>
        <w:rPr>
          <w:rFonts w:ascii="Arial" w:hAnsi="Arial" w:cs="Arial" w:eastAsia="Arial" w:hint="default"/>
          <w:spacing w:val="-4"/>
        </w:rPr>
        <w:t>5%</w:t>
      </w:r>
      <w:r>
        <w:rPr>
          <w:spacing w:val="-4"/>
        </w:rPr>
        <w:t>）以</w:t>
      </w:r>
      <w:r>
        <w:rPr>
          <w:spacing w:val="-8"/>
          <w:w w:val="99"/>
        </w:rPr>
        <w:t> </w:t>
      </w:r>
      <w:r>
        <w:rPr/>
        <w:t>上表决权股份股东的款项。</w:t>
      </w:r>
    </w:p>
    <w:p>
      <w:pPr>
        <w:spacing w:line="240" w:lineRule="auto" w:before="3"/>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(d) </w:t>
      </w:r>
      <w:r>
        <w:rPr>
          <w:rFonts w:ascii="Arial" w:hAnsi="Arial" w:cs="Arial" w:eastAsia="Arial" w:hint="default"/>
          <w:spacing w:val="24"/>
        </w:rPr>
        <w:t> </w:t>
      </w:r>
      <w:r>
        <w:rPr/>
        <w:t>预付关联方的预付款项分析如下：</w:t>
      </w:r>
    </w:p>
    <w:p>
      <w:pPr>
        <w:spacing w:line="240" w:lineRule="auto" w:before="2"/>
        <w:rPr>
          <w:rFonts w:ascii="宋体" w:hAnsi="宋体" w:cs="宋体" w:eastAsia="宋体" w:hint="default"/>
          <w:sz w:val="20"/>
          <w:szCs w:val="20"/>
        </w:rPr>
      </w:pPr>
    </w:p>
    <w:p>
      <w:pPr>
        <w:tabs>
          <w:tab w:pos="7487" w:val="left" w:leader="none"/>
        </w:tabs>
        <w:spacing w:before="0"/>
        <w:ind w:left="4681"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44"/>
        <w:ind w:left="566" w:right="0" w:firstLine="0"/>
        <w:jc w:val="left"/>
        <w:rPr>
          <w:rFonts w:ascii="宋体" w:hAnsi="宋体" w:cs="宋体" w:eastAsia="宋体" w:hint="default"/>
          <w:sz w:val="18"/>
          <w:szCs w:val="18"/>
        </w:rPr>
      </w:pPr>
      <w:r>
        <w:rPr/>
        <w:pict>
          <v:shape style="position:absolute;margin-left:186.720001pt;margin-top:-41.467911pt;width:358.1pt;height:56.55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4"/>
                    <w:gridCol w:w="1091"/>
                    <w:gridCol w:w="1088"/>
                    <w:gridCol w:w="682"/>
                    <w:gridCol w:w="1120"/>
                    <w:gridCol w:w="1023"/>
                    <w:gridCol w:w="535"/>
                  </w:tblGrid>
                  <w:tr>
                    <w:trPr>
                      <w:trHeight w:val="482" w:hRule="exact"/>
                    </w:trPr>
                    <w:tc>
                      <w:tcPr>
                        <w:tcW w:w="1624"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091"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金额</w:t>
                        </w:r>
                      </w:p>
                    </w:tc>
                    <w:tc>
                      <w:tcPr>
                        <w:tcW w:w="108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14" w:right="0" w:hanging="180"/>
                          <w:jc w:val="left"/>
                          <w:rPr>
                            <w:rFonts w:ascii="宋体" w:hAnsi="宋体" w:cs="宋体" w:eastAsia="宋体" w:hint="default"/>
                            <w:sz w:val="18"/>
                            <w:szCs w:val="18"/>
                          </w:rPr>
                        </w:pPr>
                        <w:r>
                          <w:rPr>
                            <w:rFonts w:ascii="宋体" w:hAnsi="宋体" w:cs="宋体" w:eastAsia="宋体" w:hint="default"/>
                            <w:sz w:val="18"/>
                            <w:szCs w:val="18"/>
                          </w:rPr>
                          <w:t>占预付账</w:t>
                        </w:r>
                      </w:p>
                      <w:p>
                        <w:pPr>
                          <w:pStyle w:val="TableParagraph"/>
                          <w:spacing w:line="234" w:lineRule="exact"/>
                          <w:ind w:left="314"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682"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233"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23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120"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金额</w:t>
                        </w:r>
                      </w:p>
                    </w:tc>
                    <w:tc>
                      <w:tcPr>
                        <w:tcW w:w="1023"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09" w:right="0" w:hanging="180"/>
                          <w:jc w:val="left"/>
                          <w:rPr>
                            <w:rFonts w:ascii="宋体" w:hAnsi="宋体" w:cs="宋体" w:eastAsia="宋体" w:hint="default"/>
                            <w:sz w:val="18"/>
                            <w:szCs w:val="18"/>
                          </w:rPr>
                        </w:pPr>
                        <w:r>
                          <w:rPr>
                            <w:rFonts w:ascii="宋体" w:hAnsi="宋体" w:cs="宋体" w:eastAsia="宋体" w:hint="default"/>
                            <w:sz w:val="18"/>
                            <w:szCs w:val="18"/>
                          </w:rPr>
                          <w:t>占预付账</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535"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173"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649" w:hRule="exact"/>
                    </w:trPr>
                    <w:tc>
                      <w:tcPr>
                        <w:tcW w:w="162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8"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09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6"/>
                          <w:jc w:val="center"/>
                          <w:rPr>
                            <w:rFonts w:ascii="Arial" w:hAnsi="Arial" w:cs="Arial" w:eastAsia="Arial" w:hint="default"/>
                            <w:sz w:val="18"/>
                            <w:szCs w:val="18"/>
                          </w:rPr>
                        </w:pPr>
                        <w:r>
                          <w:rPr>
                            <w:rFonts w:ascii="Arial"/>
                            <w:sz w:val="18"/>
                          </w:rPr>
                          <w:t>25,238,469</w:t>
                        </w:r>
                      </w:p>
                    </w:tc>
                    <w:tc>
                      <w:tcPr>
                        <w:tcW w:w="108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2" w:right="0"/>
                          <w:jc w:val="left"/>
                          <w:rPr>
                            <w:rFonts w:ascii="Arial" w:hAnsi="Arial" w:cs="Arial" w:eastAsia="Arial" w:hint="default"/>
                            <w:sz w:val="18"/>
                            <w:szCs w:val="18"/>
                          </w:rPr>
                        </w:pPr>
                        <w:r>
                          <w:rPr>
                            <w:rFonts w:ascii="Arial"/>
                            <w:sz w:val="18"/>
                          </w:rPr>
                          <w:t>0.68%</w:t>
                        </w:r>
                      </w:p>
                    </w:tc>
                    <w:tc>
                      <w:tcPr>
                        <w:tcW w:w="68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3" w:right="0"/>
                          <w:jc w:val="left"/>
                          <w:rPr>
                            <w:rFonts w:ascii="Arial" w:hAnsi="Arial" w:cs="Arial" w:eastAsia="Arial" w:hint="default"/>
                            <w:sz w:val="18"/>
                            <w:szCs w:val="18"/>
                          </w:rPr>
                        </w:pPr>
                        <w:r>
                          <w:rPr>
                            <w:rFonts w:ascii="Arial"/>
                            <w:w w:val="99"/>
                            <w:sz w:val="18"/>
                          </w:rPr>
                          <w:t>-</w:t>
                        </w:r>
                        <w:r>
                          <w:rPr>
                            <w:rFonts w:ascii="Arial"/>
                            <w:sz w:val="18"/>
                          </w:rPr>
                        </w:r>
                      </w:p>
                    </w:tc>
                    <w:tc>
                      <w:tcPr>
                        <w:tcW w:w="112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9"/>
                          <w:jc w:val="center"/>
                          <w:rPr>
                            <w:rFonts w:ascii="Arial" w:hAnsi="Arial" w:cs="Arial" w:eastAsia="Arial" w:hint="default"/>
                            <w:sz w:val="18"/>
                            <w:szCs w:val="18"/>
                          </w:rPr>
                        </w:pPr>
                        <w:r>
                          <w:rPr>
                            <w:rFonts w:ascii="Arial"/>
                            <w:sz w:val="18"/>
                          </w:rPr>
                          <w:t>54,521,710</w:t>
                        </w:r>
                      </w:p>
                    </w:tc>
                    <w:tc>
                      <w:tcPr>
                        <w:tcW w:w="102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9" w:right="0"/>
                          <w:jc w:val="left"/>
                          <w:rPr>
                            <w:rFonts w:ascii="Arial" w:hAnsi="Arial" w:cs="Arial" w:eastAsia="Arial" w:hint="default"/>
                            <w:sz w:val="18"/>
                            <w:szCs w:val="18"/>
                          </w:rPr>
                        </w:pPr>
                        <w:r>
                          <w:rPr>
                            <w:rFonts w:ascii="Arial"/>
                            <w:sz w:val="18"/>
                          </w:rPr>
                          <w:t>1.78%</w:t>
                        </w:r>
                      </w:p>
                    </w:tc>
                    <w:tc>
                      <w:tcPr>
                        <w:tcW w:w="53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宋体" w:hAnsi="宋体" w:cs="宋体" w:eastAsia="宋体" w:hint="default"/>
          <w:sz w:val="18"/>
          <w:szCs w:val="18"/>
        </w:rPr>
        <w:t>联通进出口</w:t>
      </w:r>
    </w:p>
    <w:p>
      <w:pPr>
        <w:tabs>
          <w:tab w:pos="4385" w:val="left" w:leader="none"/>
          <w:tab w:pos="5491" w:val="left" w:leader="none"/>
          <w:tab w:pos="6691" w:val="left" w:leader="none"/>
          <w:tab w:pos="7278" w:val="left" w:leader="none"/>
          <w:tab w:pos="8397" w:val="left" w:leader="none"/>
          <w:tab w:pos="9447" w:val="left" w:leader="none"/>
          <w:tab w:pos="9615" w:val="left" w:leader="none"/>
        </w:tabs>
        <w:spacing w:before="1"/>
        <w:ind w:left="566" w:right="0" w:firstLine="0"/>
        <w:jc w:val="left"/>
        <w:rPr>
          <w:rFonts w:ascii="Arial" w:hAnsi="Arial" w:cs="Arial" w:eastAsia="Arial" w:hint="default"/>
          <w:sz w:val="18"/>
          <w:szCs w:val="18"/>
        </w:rPr>
      </w:pPr>
      <w:r>
        <w:rPr>
          <w:rFonts w:ascii="宋体" w:hAnsi="宋体" w:cs="宋体" w:eastAsia="宋体" w:hint="default"/>
          <w:position w:val="1"/>
          <w:sz w:val="18"/>
          <w:szCs w:val="18"/>
        </w:rPr>
        <w:t>联通集团其他附属公司</w:t>
      </w:r>
      <w:r>
        <w:rPr>
          <w:rFonts w:ascii="宋体" w:hAnsi="宋体" w:cs="宋体" w:eastAsia="宋体" w:hint="default"/>
          <w:spacing w:val="26"/>
          <w:position w:val="1"/>
          <w:sz w:val="18"/>
          <w:szCs w:val="18"/>
        </w:rPr>
        <w:t> </w:t>
      </w:r>
      <w:r>
        <w:rPr>
          <w:rFonts w:ascii="宋体" w:hAnsi="宋体" w:cs="宋体" w:eastAsia="宋体" w:hint="default"/>
          <w:position w:val="1"/>
          <w:sz w:val="18"/>
          <w:szCs w:val="18"/>
        </w:rPr>
        <w:t>同受联通集团控制</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462,500</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0.01%</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482,500</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0.02%</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tab/>
      </w:r>
      <w:r>
        <w:rPr>
          <w:rFonts w:ascii="Arial" w:hAnsi="Arial" w:cs="Arial" w:eastAsia="Arial" w:hint="default"/>
          <w:sz w:val="18"/>
          <w:szCs w:val="18"/>
        </w:rPr>
      </w:r>
    </w:p>
    <w:p>
      <w:pPr>
        <w:spacing w:line="240" w:lineRule="auto" w:before="11"/>
        <w:rPr>
          <w:rFonts w:ascii="Arial" w:hAnsi="Arial" w:cs="Arial" w:eastAsia="Arial" w:hint="default"/>
          <w:sz w:val="12"/>
          <w:szCs w:val="12"/>
        </w:rPr>
      </w:pPr>
    </w:p>
    <w:p>
      <w:pPr>
        <w:tabs>
          <w:tab w:pos="4134" w:val="left" w:leader="none"/>
          <w:tab w:pos="5490" w:val="left" w:leader="none"/>
          <w:tab w:pos="6690" w:val="left" w:leader="none"/>
          <w:tab w:pos="7026" w:val="left" w:leader="none"/>
          <w:tab w:pos="8397" w:val="left" w:leader="none"/>
          <w:tab w:pos="9447" w:val="left" w:leader="none"/>
        </w:tabs>
        <w:spacing w:before="47"/>
        <w:ind w:left="566" w:right="0"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25,700,969</w:t>
        <w:tab/>
        <w:t>0.69%</w:t>
        <w:tab/>
      </w:r>
      <w:r>
        <w:rPr>
          <w:rFonts w:ascii="Arial" w:hAnsi="Arial" w:cs="Arial" w:eastAsia="Arial" w:hint="default"/>
          <w:sz w:val="18"/>
          <w:szCs w:val="18"/>
        </w:rPr>
        <w:t>-</w:t>
        <w:tab/>
      </w:r>
      <w:r>
        <w:rPr>
          <w:rFonts w:ascii="Arial" w:hAnsi="Arial" w:cs="Arial" w:eastAsia="Arial" w:hint="default"/>
          <w:spacing w:val="-1"/>
          <w:sz w:val="18"/>
          <w:szCs w:val="18"/>
        </w:rPr>
        <w:t>55,004,210</w:t>
        <w:tab/>
        <w:t>1.80%</w:t>
        <w:tab/>
      </w:r>
      <w:r>
        <w:rPr>
          <w:rFonts w:ascii="Arial" w:hAnsi="Arial" w:cs="Arial" w:eastAsia="Arial" w:hint="default"/>
          <w:sz w:val="18"/>
          <w:szCs w:val="18"/>
        </w:rPr>
        <w:t>-</w:t>
      </w:r>
    </w:p>
    <w:p>
      <w:pPr>
        <w:spacing w:line="43" w:lineRule="exact"/>
        <w:ind w:left="4056" w:right="0" w:firstLine="0"/>
        <w:rPr>
          <w:rFonts w:ascii="Arial" w:hAnsi="Arial" w:cs="Arial" w:eastAsia="Arial" w:hint="default"/>
          <w:sz w:val="4"/>
          <w:szCs w:val="4"/>
        </w:rPr>
      </w:pPr>
      <w:r>
        <w:rPr>
          <w:rFonts w:ascii="Arial" w:hAnsi="Arial" w:cs="Arial" w:eastAsia="Arial" w:hint="default"/>
          <w:position w:val="0"/>
          <w:sz w:val="4"/>
          <w:szCs w:val="4"/>
        </w:rPr>
        <w:pict>
          <v:group style="width:278.350pt;height:2.2pt;mso-position-horizontal-relative:char;mso-position-vertical-relative:line" coordorigin="0,0" coordsize="5567,44">
            <v:group style="position:absolute;left:7;top:36;width:1037;height:2" coordorigin="7,36" coordsize="1037,2">
              <v:shape style="position:absolute;left:7;top:36;width:1037;height:2" coordorigin="7,36" coordsize="1037,0" path="m7,36l1044,36e" filled="false" stroked="true" strokeweight=".72pt" strokecolor="#000000">
                <v:path arrowok="t"/>
              </v:shape>
            </v:group>
            <v:group style="position:absolute;left:7;top:7;width:1037;height:2" coordorigin="7,7" coordsize="1037,2">
              <v:shape style="position:absolute;left:7;top:7;width:1037;height:2" coordorigin="7,7" coordsize="1037,0" path="m7,7l1044,7e" filled="false" stroked="true" strokeweight=".72pt" strokecolor="#000000">
                <v:path arrowok="t"/>
              </v:shape>
            </v:group>
            <v:group style="position:absolute;left:1086;top:36;width:923;height:2" coordorigin="1086,36" coordsize="923,2">
              <v:shape style="position:absolute;left:1086;top:36;width:923;height:2" coordorigin="1086,36" coordsize="923,0" path="m1086,36l2009,36e" filled="false" stroked="true" strokeweight=".72pt" strokecolor="#000000">
                <v:path arrowok="t"/>
              </v:shape>
            </v:group>
            <v:group style="position:absolute;left:1086;top:7;width:923;height:2" coordorigin="1086,7" coordsize="923,2">
              <v:shape style="position:absolute;left:1086;top:7;width:923;height:2" coordorigin="1086,7" coordsize="923,0" path="m1086,7l2009,7e" filled="false" stroked="true" strokeweight=".72pt" strokecolor="#000000">
                <v:path arrowok="t"/>
              </v:shape>
            </v:group>
            <v:group style="position:absolute;left:2065;top:36;width:729;height:2" coordorigin="2065,36" coordsize="729,2">
              <v:shape style="position:absolute;left:2065;top:36;width:729;height:2" coordorigin="2065,36" coordsize="729,0" path="m2065,36l2794,36e" filled="false" stroked="true" strokeweight=".72pt" strokecolor="#000000">
                <v:path arrowok="t"/>
              </v:shape>
            </v:group>
            <v:group style="position:absolute;left:2065;top:7;width:729;height:2" coordorigin="2065,7" coordsize="729,2">
              <v:shape style="position:absolute;left:2065;top:7;width:729;height:2" coordorigin="2065,7" coordsize="729,0" path="m2065,7l2794,7e" filled="false" stroked="true" strokeweight=".72pt" strokecolor="#000000">
                <v:path arrowok="t"/>
              </v:shape>
            </v:group>
            <v:group style="position:absolute;left:2852;top:36;width:1089;height:2" coordorigin="2852,36" coordsize="1089,2">
              <v:shape style="position:absolute;left:2852;top:36;width:1089;height:2" coordorigin="2852,36" coordsize="1089,0" path="m2852,36l3941,36e" filled="false" stroked="true" strokeweight=".72pt" strokecolor="#000000">
                <v:path arrowok="t"/>
              </v:shape>
            </v:group>
            <v:group style="position:absolute;left:2852;top:7;width:1089;height:2" coordorigin="2852,7" coordsize="1089,2">
              <v:shape style="position:absolute;left:2852;top:7;width:1089;height:2" coordorigin="2852,7" coordsize="1089,0" path="m2852,7l3941,7e" filled="false" stroked="true" strokeweight=".72pt" strokecolor="#000000">
                <v:path arrowok="t"/>
              </v:shape>
            </v:group>
            <v:group style="position:absolute;left:3978;top:36;width:903;height:2" coordorigin="3978,36" coordsize="903,2">
              <v:shape style="position:absolute;left:3978;top:36;width:903;height:2" coordorigin="3978,36" coordsize="903,0" path="m3978,36l4880,36e" filled="false" stroked="true" strokeweight=".72pt" strokecolor="#000000">
                <v:path arrowok="t"/>
              </v:shape>
            </v:group>
            <v:group style="position:absolute;left:3978;top:7;width:903;height:2" coordorigin="3978,7" coordsize="903,2">
              <v:shape style="position:absolute;left:3978;top:7;width:903;height:2" coordorigin="3978,7" coordsize="903,0" path="m3978,7l4880,7e" filled="false" stroked="true" strokeweight=".72pt" strokecolor="#000000">
                <v:path arrowok="t"/>
              </v:shape>
            </v:group>
            <v:group style="position:absolute;left:4942;top:36;width:618;height:2" coordorigin="4942,36" coordsize="618,2">
              <v:shape style="position:absolute;left:4942;top:36;width:618;height:2" coordorigin="4942,36" coordsize="618,0" path="m4942,36l5560,36e" filled="false" stroked="true" strokeweight=".72pt" strokecolor="#000000">
                <v:path arrowok="t"/>
              </v:shape>
            </v:group>
            <v:group style="position:absolute;left:4942;top:7;width:618;height:2" coordorigin="4942,7" coordsize="618,2">
              <v:shape style="position:absolute;left:4942;top:7;width:618;height:2" coordorigin="4942,7" coordsize="618,0" path="m4942,7l5560,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40" w:lineRule="auto" w:before="31"/>
        <w:ind w:left="102" w:right="0"/>
        <w:jc w:val="left"/>
      </w:pPr>
      <w:r>
        <w:rPr>
          <w:rFonts w:ascii="Arial" w:hAnsi="Arial" w:cs="Arial" w:eastAsia="Arial" w:hint="default"/>
        </w:rPr>
        <w:t>(e) </w:t>
      </w:r>
      <w:r>
        <w:rPr>
          <w:rFonts w:ascii="Arial" w:hAnsi="Arial" w:cs="Arial" w:eastAsia="Arial" w:hint="default"/>
          <w:spacing w:val="17"/>
        </w:rPr>
        <w:t> </w:t>
      </w:r>
      <w:r>
        <w:rPr/>
        <w:t>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日及</w:t>
      </w:r>
      <w:r>
        <w:rPr>
          <w:spacing w:val="-58"/>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日，本集团预付款项中以外币计价的余额并不重大。</w:t>
      </w:r>
    </w:p>
    <w:p>
      <w:pPr>
        <w:spacing w:after="0" w:line="240" w:lineRule="auto"/>
        <w:jc w:val="left"/>
        <w:sectPr>
          <w:type w:val="continuous"/>
          <w:pgSz w:w="11900" w:h="16840"/>
          <w:pgMar w:top="1600" w:bottom="280" w:left="1280" w:right="800"/>
        </w:sectPr>
      </w:pPr>
    </w:p>
    <w:p>
      <w:pPr>
        <w:spacing w:line="240" w:lineRule="auto" w:before="9"/>
        <w:rPr>
          <w:rFonts w:ascii="宋体" w:hAnsi="宋体" w:cs="宋体" w:eastAsia="宋体" w:hint="default"/>
          <w:sz w:val="16"/>
          <w:szCs w:val="16"/>
        </w:rPr>
      </w:pPr>
    </w:p>
    <w:p>
      <w:pPr>
        <w:pStyle w:val="BodyText"/>
        <w:spacing w:line="240" w:lineRule="auto" w:before="31"/>
        <w:ind w:left="196" w:right="0"/>
        <w:jc w:val="left"/>
      </w:pPr>
      <w:r>
        <w:rPr>
          <w:rFonts w:ascii="Arial" w:hAnsi="Arial" w:cs="Arial" w:eastAsia="Arial" w:hint="default"/>
        </w:rPr>
        <w:t>6</w:t>
      </w:r>
      <w:r>
        <w:rPr/>
        <w:t>、存货</w:t>
      </w:r>
    </w:p>
    <w:p>
      <w:pPr>
        <w:spacing w:line="240" w:lineRule="auto" w:before="13"/>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(a)</w:t>
      </w:r>
      <w:r>
        <w:rPr>
          <w:rFonts w:ascii="Arial" w:hAnsi="Arial" w:cs="Arial" w:eastAsia="Arial" w:hint="default"/>
          <w:spacing w:val="55"/>
        </w:rPr>
        <w:t> </w:t>
      </w:r>
      <w:r>
        <w:rPr/>
        <w:t>存货分类如下：</w:t>
      </w:r>
    </w:p>
    <w:p>
      <w:pPr>
        <w:spacing w:line="240" w:lineRule="auto" w:before="0"/>
        <w:rPr>
          <w:rFonts w:ascii="宋体" w:hAnsi="宋体" w:cs="宋体" w:eastAsia="宋体" w:hint="default"/>
          <w:sz w:val="15"/>
          <w:szCs w:val="15"/>
        </w:rPr>
      </w:pPr>
    </w:p>
    <w:p>
      <w:pPr>
        <w:tabs>
          <w:tab w:pos="6501" w:val="left" w:leader="none"/>
        </w:tabs>
        <w:spacing w:before="44"/>
        <w:ind w:left="3052"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日（经重列）</w:t>
      </w:r>
    </w:p>
    <w:tbl>
      <w:tblPr>
        <w:tblW w:w="0" w:type="auto"/>
        <w:jc w:val="left"/>
        <w:tblInd w:w="107" w:type="dxa"/>
        <w:tblLayout w:type="fixed"/>
        <w:tblCellMar>
          <w:top w:w="0" w:type="dxa"/>
          <w:left w:w="0" w:type="dxa"/>
          <w:bottom w:w="0" w:type="dxa"/>
          <w:right w:w="0" w:type="dxa"/>
        </w:tblCellMar>
        <w:tblLook w:val="01E0"/>
      </w:tblPr>
      <w:tblGrid>
        <w:gridCol w:w="367"/>
        <w:gridCol w:w="2711"/>
        <w:gridCol w:w="5206"/>
        <w:gridCol w:w="1246"/>
      </w:tblGrid>
      <w:tr>
        <w:trPr>
          <w:trHeight w:val="248" w:hRule="exact"/>
        </w:trPr>
        <w:tc>
          <w:tcPr>
            <w:tcW w:w="367" w:type="dxa"/>
            <w:vMerge w:val="restart"/>
            <w:tcBorders>
              <w:top w:val="nil" w:sz="6" w:space="0" w:color="auto"/>
              <w:left w:val="nil" w:sz="6" w:space="0" w:color="auto"/>
              <w:right w:val="nil" w:sz="6" w:space="0" w:color="auto"/>
            </w:tcBorders>
          </w:tcPr>
          <w:p>
            <w:pPr/>
          </w:p>
        </w:tc>
        <w:tc>
          <w:tcPr>
            <w:tcW w:w="2711"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8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5206" w:type="dxa"/>
            <w:tcBorders>
              <w:top w:val="single" w:sz="6" w:space="0" w:color="000000"/>
              <w:left w:val="nil" w:sz="6" w:space="0" w:color="auto"/>
              <w:bottom w:val="single" w:sz="6" w:space="0" w:color="000000"/>
              <w:right w:val="nil" w:sz="6" w:space="0" w:color="auto"/>
            </w:tcBorders>
          </w:tcPr>
          <w:p>
            <w:pPr>
              <w:pStyle w:val="TableParagraph"/>
              <w:tabs>
                <w:tab w:pos="1838" w:val="left" w:leader="none"/>
                <w:tab w:pos="3094" w:val="left" w:leader="none"/>
                <w:tab w:pos="4089" w:val="left" w:leader="none"/>
              </w:tabs>
              <w:spacing w:line="207" w:lineRule="exact"/>
              <w:ind w:left="183" w:right="0"/>
              <w:jc w:val="left"/>
              <w:rPr>
                <w:rFonts w:ascii="宋体" w:hAnsi="宋体" w:cs="宋体" w:eastAsia="宋体" w:hint="default"/>
                <w:sz w:val="18"/>
                <w:szCs w:val="18"/>
              </w:rPr>
            </w:pPr>
            <w:r>
              <w:rPr>
                <w:rFonts w:ascii="宋体" w:hAnsi="宋体" w:cs="宋体" w:eastAsia="宋体" w:hint="default"/>
                <w:sz w:val="18"/>
                <w:szCs w:val="18"/>
              </w:rPr>
              <w:t>存货跌价准备</w:t>
              <w:tab/>
              <w:t>账面价值</w:t>
              <w:tab/>
              <w:t>账面余额</w:t>
              <w:tab/>
              <w:t>存货跌价准备</w:t>
            </w:r>
          </w:p>
        </w:tc>
        <w:tc>
          <w:tcPr>
            <w:tcW w:w="1246"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42"/>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85" w:hRule="exact"/>
        </w:trPr>
        <w:tc>
          <w:tcPr>
            <w:tcW w:w="367" w:type="dxa"/>
            <w:vMerge/>
            <w:tcBorders>
              <w:left w:val="nil" w:sz="6" w:space="0" w:color="auto"/>
              <w:right w:val="nil" w:sz="6" w:space="0" w:color="auto"/>
            </w:tcBorders>
          </w:tcPr>
          <w:p>
            <w:pPr/>
          </w:p>
        </w:tc>
        <w:tc>
          <w:tcPr>
            <w:tcW w:w="271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20" w:lineRule="exact"/>
              <w:ind w:left="100" w:right="54"/>
              <w:jc w:val="left"/>
              <w:rPr>
                <w:rFonts w:ascii="宋体" w:hAnsi="宋体" w:cs="宋体" w:eastAsia="宋体" w:hint="default"/>
                <w:sz w:val="18"/>
                <w:szCs w:val="18"/>
              </w:rPr>
            </w:pPr>
            <w:r>
              <w:rPr>
                <w:rFonts w:ascii="宋体" w:hAnsi="宋体" w:cs="宋体" w:eastAsia="宋体" w:hint="default"/>
                <w:position w:val="1"/>
                <w:sz w:val="18"/>
                <w:szCs w:val="18"/>
              </w:rPr>
              <w:t>手机及通信终端</w:t>
            </w:r>
            <w:r>
              <w:rPr>
                <w:rFonts w:ascii="宋体" w:hAnsi="宋体" w:cs="宋体" w:eastAsia="宋体" w:hint="default"/>
                <w:spacing w:val="44"/>
                <w:position w:val="1"/>
                <w:sz w:val="18"/>
                <w:szCs w:val="18"/>
              </w:rPr>
              <w:t> </w:t>
            </w:r>
            <w:r>
              <w:rPr>
                <w:rFonts w:ascii="Arial" w:hAnsi="Arial" w:cs="Arial" w:eastAsia="Arial" w:hint="default"/>
                <w:sz w:val="18"/>
                <w:szCs w:val="18"/>
              </w:rPr>
              <w:t>3,580,610,422</w:t>
            </w:r>
            <w:r>
              <w:rPr>
                <w:rFonts w:ascii="Arial" w:hAnsi="Arial" w:cs="Arial" w:eastAsia="Arial" w:hint="default"/>
                <w:w w:val="99"/>
                <w:sz w:val="18"/>
                <w:szCs w:val="18"/>
              </w:rPr>
              <w:t> </w:t>
            </w:r>
            <w:r>
              <w:rPr>
                <w:rFonts w:ascii="Arial" w:hAnsi="Arial" w:cs="Arial" w:eastAsia="Arial" w:hint="default"/>
                <w:w w:val="100"/>
                <w:sz w:val="18"/>
                <w:szCs w:val="18"/>
              </w:rPr>
              <w:t>SIM </w:t>
            </w:r>
            <w:r>
              <w:rPr>
                <w:rFonts w:ascii="宋体" w:hAnsi="宋体" w:cs="宋体" w:eastAsia="宋体" w:hint="default"/>
                <w:spacing w:val="-15"/>
                <w:w w:val="100"/>
                <w:sz w:val="18"/>
                <w:szCs w:val="18"/>
              </w:rPr>
              <w:t>卡、</w:t>
            </w:r>
            <w:r>
              <w:rPr>
                <w:rFonts w:ascii="Arial" w:hAnsi="Arial" w:cs="Arial" w:eastAsia="Arial" w:hint="default"/>
                <w:spacing w:val="-15"/>
                <w:w w:val="100"/>
                <w:sz w:val="18"/>
                <w:szCs w:val="18"/>
              </w:rPr>
              <w:t>USIM</w:t>
            </w:r>
            <w:r>
              <w:rPr>
                <w:rFonts w:ascii="Arial" w:hAnsi="Arial" w:cs="Arial" w:eastAsia="Arial" w:hint="default"/>
                <w:spacing w:val="-12"/>
                <w:w w:val="100"/>
                <w:sz w:val="18"/>
                <w:szCs w:val="18"/>
              </w:rPr>
              <w:t> </w:t>
            </w:r>
            <w:r>
              <w:rPr>
                <w:rFonts w:ascii="宋体" w:hAnsi="宋体" w:cs="宋体" w:eastAsia="宋体" w:hint="default"/>
                <w:w w:val="100"/>
                <w:sz w:val="18"/>
                <w:szCs w:val="18"/>
              </w:rPr>
              <w:t>卡</w:t>
            </w:r>
          </w:p>
        </w:tc>
        <w:tc>
          <w:tcPr>
            <w:tcW w:w="520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6" w:right="0"/>
              <w:jc w:val="left"/>
              <w:rPr>
                <w:rFonts w:ascii="Arial" w:hAnsi="Arial" w:cs="Arial" w:eastAsia="Arial" w:hint="default"/>
                <w:sz w:val="18"/>
                <w:szCs w:val="18"/>
              </w:rPr>
            </w:pPr>
            <w:r>
              <w:rPr>
                <w:rFonts w:ascii="Arial"/>
                <w:sz w:val="18"/>
              </w:rPr>
              <w:t>(193,649,216)  3,386,961,206   2,587,226,112  </w:t>
            </w:r>
            <w:r>
              <w:rPr>
                <w:rFonts w:ascii="Arial"/>
                <w:spacing w:val="9"/>
                <w:sz w:val="18"/>
              </w:rPr>
              <w:t> </w:t>
            </w:r>
            <w:r>
              <w:rPr>
                <w:rFonts w:ascii="Arial"/>
                <w:sz w:val="18"/>
              </w:rPr>
              <w:t>(126,031,717)</w:t>
            </w:r>
          </w:p>
        </w:tc>
        <w:tc>
          <w:tcPr>
            <w:tcW w:w="124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1"/>
                <w:sz w:val="18"/>
              </w:rPr>
              <w:t>2,461,194,395</w:t>
            </w:r>
          </w:p>
        </w:tc>
      </w:tr>
      <w:tr>
        <w:trPr>
          <w:trHeight w:val="240" w:hRule="exact"/>
        </w:trPr>
        <w:tc>
          <w:tcPr>
            <w:tcW w:w="367" w:type="dxa"/>
            <w:vMerge/>
            <w:tcBorders>
              <w:left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28" w:lineRule="exact"/>
              <w:ind w:right="54"/>
              <w:jc w:val="right"/>
              <w:rPr>
                <w:rFonts w:ascii="Arial" w:hAnsi="Arial" w:cs="Arial" w:eastAsia="Arial" w:hint="default"/>
                <w:sz w:val="18"/>
                <w:szCs w:val="18"/>
              </w:rPr>
            </w:pPr>
            <w:r>
              <w:rPr>
                <w:rFonts w:ascii="宋体" w:hAnsi="宋体" w:cs="宋体" w:eastAsia="宋体" w:hint="default"/>
                <w:position w:val="1"/>
                <w:sz w:val="18"/>
                <w:szCs w:val="18"/>
              </w:rPr>
              <w:t>及预付电话卡</w:t>
              <w:tab/>
            </w:r>
            <w:r>
              <w:rPr>
                <w:rFonts w:ascii="Arial" w:hAnsi="Arial" w:cs="Arial" w:eastAsia="Arial" w:hint="default"/>
                <w:spacing w:val="-1"/>
                <w:sz w:val="18"/>
                <w:szCs w:val="18"/>
              </w:rPr>
              <w:t>298,568,797</w:t>
            </w:r>
          </w:p>
        </w:tc>
        <w:tc>
          <w:tcPr>
            <w:tcW w:w="5206" w:type="dxa"/>
            <w:tcBorders>
              <w:top w:val="nil" w:sz="6" w:space="0" w:color="auto"/>
              <w:left w:val="nil" w:sz="6" w:space="0" w:color="auto"/>
              <w:bottom w:val="nil" w:sz="6" w:space="0" w:color="auto"/>
              <w:right w:val="nil" w:sz="6" w:space="0" w:color="auto"/>
            </w:tcBorders>
          </w:tcPr>
          <w:p>
            <w:pPr>
              <w:pStyle w:val="TableParagraph"/>
              <w:tabs>
                <w:tab w:pos="1518" w:val="left" w:leader="none"/>
                <w:tab w:pos="2814" w:val="left" w:leader="none"/>
                <w:tab w:pos="4197" w:val="left" w:leader="none"/>
              </w:tabs>
              <w:spacing w:line="240" w:lineRule="auto" w:before="21"/>
              <w:ind w:left="327" w:right="0"/>
              <w:jc w:val="left"/>
              <w:rPr>
                <w:rFonts w:ascii="Arial" w:hAnsi="Arial" w:cs="Arial" w:eastAsia="Arial" w:hint="default"/>
                <w:sz w:val="18"/>
                <w:szCs w:val="18"/>
              </w:rPr>
            </w:pPr>
            <w:r>
              <w:rPr>
                <w:rFonts w:ascii="Arial"/>
                <w:spacing w:val="-1"/>
                <w:sz w:val="18"/>
              </w:rPr>
              <w:t>(2,341,417)</w:t>
              <w:tab/>
              <w:t>296,227,380</w:t>
              <w:tab/>
              <w:t>309,758,098</w:t>
              <w:tab/>
              <w:t>(1,591,942)</w:t>
            </w:r>
            <w:r>
              <w:rPr>
                <w:rFonts w:ascii="Arial"/>
                <w:sz w:val="18"/>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
              <w:jc w:val="right"/>
              <w:rPr>
                <w:rFonts w:ascii="Arial" w:hAnsi="Arial" w:cs="Arial" w:eastAsia="Arial" w:hint="default"/>
                <w:sz w:val="18"/>
                <w:szCs w:val="18"/>
              </w:rPr>
            </w:pPr>
            <w:r>
              <w:rPr>
                <w:rFonts w:ascii="Arial"/>
                <w:spacing w:val="-1"/>
                <w:sz w:val="18"/>
              </w:rPr>
              <w:t>308,166,156</w:t>
            </w:r>
          </w:p>
        </w:tc>
      </w:tr>
      <w:tr>
        <w:trPr>
          <w:trHeight w:val="233" w:hRule="exact"/>
        </w:trPr>
        <w:tc>
          <w:tcPr>
            <w:tcW w:w="367" w:type="dxa"/>
            <w:vMerge/>
            <w:tcBorders>
              <w:left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tabs>
                <w:tab w:pos="1553" w:val="left" w:leader="none"/>
              </w:tabs>
              <w:spacing w:line="222" w:lineRule="exact"/>
              <w:ind w:right="54"/>
              <w:jc w:val="right"/>
              <w:rPr>
                <w:rFonts w:ascii="Arial" w:hAnsi="Arial" w:cs="Arial" w:eastAsia="Arial" w:hint="default"/>
                <w:sz w:val="18"/>
                <w:szCs w:val="18"/>
              </w:rPr>
            </w:pPr>
            <w:r>
              <w:rPr>
                <w:rFonts w:ascii="宋体" w:hAnsi="宋体" w:cs="宋体" w:eastAsia="宋体" w:hint="default"/>
                <w:position w:val="1"/>
                <w:sz w:val="18"/>
                <w:szCs w:val="18"/>
              </w:rPr>
              <w:t>备品备件</w:t>
              <w:tab/>
            </w:r>
            <w:r>
              <w:rPr>
                <w:rFonts w:ascii="Arial" w:hAnsi="Arial" w:cs="Arial" w:eastAsia="Arial" w:hint="default"/>
                <w:spacing w:val="-1"/>
                <w:sz w:val="18"/>
                <w:szCs w:val="18"/>
              </w:rPr>
              <w:t>340,055,314</w:t>
            </w:r>
          </w:p>
        </w:tc>
        <w:tc>
          <w:tcPr>
            <w:tcW w:w="5206" w:type="dxa"/>
            <w:tcBorders>
              <w:top w:val="nil" w:sz="6" w:space="0" w:color="auto"/>
              <w:left w:val="nil" w:sz="6" w:space="0" w:color="auto"/>
              <w:bottom w:val="nil" w:sz="6" w:space="0" w:color="auto"/>
              <w:right w:val="nil" w:sz="6" w:space="0" w:color="auto"/>
            </w:tcBorders>
          </w:tcPr>
          <w:p>
            <w:pPr>
              <w:pStyle w:val="TableParagraph"/>
              <w:tabs>
                <w:tab w:pos="942" w:val="left" w:leader="none"/>
                <w:tab w:pos="2238" w:val="left" w:leader="none"/>
                <w:tab w:pos="3971" w:val="left" w:leader="none"/>
              </w:tabs>
              <w:spacing w:line="240" w:lineRule="auto" w:before="15"/>
              <w:ind w:right="86"/>
              <w:jc w:val="right"/>
              <w:rPr>
                <w:rFonts w:ascii="Arial" w:hAnsi="Arial" w:cs="Arial" w:eastAsia="Arial" w:hint="default"/>
                <w:sz w:val="18"/>
                <w:szCs w:val="18"/>
              </w:rPr>
            </w:pPr>
            <w:r>
              <w:rPr>
                <w:rFonts w:ascii="Arial"/>
                <w:spacing w:val="-1"/>
                <w:sz w:val="18"/>
              </w:rPr>
              <w:t>(51,841)</w:t>
              <w:tab/>
              <w:t>340,003,473</w:t>
              <w:tab/>
              <w:t>389,384,244</w:t>
              <w:tab/>
              <w:t>(5,705)</w:t>
            </w:r>
            <w:r>
              <w:rPr>
                <w:rFonts w:ascii="Arial"/>
                <w:sz w:val="18"/>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sz w:val="18"/>
              </w:rPr>
              <w:t>389,378,539</w:t>
            </w:r>
          </w:p>
        </w:tc>
      </w:tr>
      <w:tr>
        <w:trPr>
          <w:trHeight w:val="233" w:hRule="exact"/>
        </w:trPr>
        <w:tc>
          <w:tcPr>
            <w:tcW w:w="367" w:type="dxa"/>
            <w:vMerge/>
            <w:tcBorders>
              <w:left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tabs>
                <w:tab w:pos="1553" w:val="left" w:leader="none"/>
              </w:tabs>
              <w:spacing w:line="221" w:lineRule="exact"/>
              <w:ind w:right="54"/>
              <w:jc w:val="right"/>
              <w:rPr>
                <w:rFonts w:ascii="Arial" w:hAnsi="Arial" w:cs="Arial" w:eastAsia="Arial" w:hint="default"/>
                <w:sz w:val="18"/>
                <w:szCs w:val="18"/>
              </w:rPr>
            </w:pPr>
            <w:r>
              <w:rPr>
                <w:rFonts w:ascii="宋体" w:hAnsi="宋体" w:cs="宋体" w:eastAsia="宋体" w:hint="default"/>
                <w:position w:val="1"/>
                <w:sz w:val="18"/>
                <w:szCs w:val="18"/>
              </w:rPr>
              <w:t>低值易耗品</w:t>
              <w:tab/>
            </w:r>
            <w:r>
              <w:rPr>
                <w:rFonts w:ascii="Arial" w:hAnsi="Arial" w:cs="Arial" w:eastAsia="Arial" w:hint="default"/>
                <w:spacing w:val="-1"/>
                <w:sz w:val="18"/>
                <w:szCs w:val="18"/>
              </w:rPr>
              <w:t>546,590,033</w:t>
            </w:r>
          </w:p>
        </w:tc>
        <w:tc>
          <w:tcPr>
            <w:tcW w:w="5206" w:type="dxa"/>
            <w:tcBorders>
              <w:top w:val="nil" w:sz="6" w:space="0" w:color="auto"/>
              <w:left w:val="nil" w:sz="6" w:space="0" w:color="auto"/>
              <w:bottom w:val="nil" w:sz="6" w:space="0" w:color="auto"/>
              <w:right w:val="nil" w:sz="6" w:space="0" w:color="auto"/>
            </w:tcBorders>
          </w:tcPr>
          <w:p>
            <w:pPr>
              <w:pStyle w:val="TableParagraph"/>
              <w:tabs>
                <w:tab w:pos="392" w:val="left" w:leader="none"/>
                <w:tab w:pos="1688" w:val="left" w:leader="none"/>
                <w:tab w:pos="3871" w:val="left" w:leader="none"/>
              </w:tabs>
              <w:spacing w:line="240" w:lineRule="auto" w:before="14"/>
              <w:ind w:right="146"/>
              <w:jc w:val="right"/>
              <w:rPr>
                <w:rFonts w:ascii="Arial" w:hAnsi="Arial" w:cs="Arial" w:eastAsia="Arial" w:hint="default"/>
                <w:sz w:val="18"/>
                <w:szCs w:val="18"/>
              </w:rPr>
            </w:pPr>
            <w:r>
              <w:rPr>
                <w:rFonts w:ascii="Arial"/>
                <w:sz w:val="18"/>
              </w:rPr>
              <w:t>-</w:t>
              <w:tab/>
            </w:r>
            <w:r>
              <w:rPr>
                <w:rFonts w:ascii="Arial"/>
                <w:spacing w:val="-1"/>
                <w:sz w:val="18"/>
              </w:rPr>
              <w:t>546,590,033</w:t>
              <w:tab/>
              <w:t>470,687,262</w:t>
              <w:tab/>
            </w:r>
            <w:r>
              <w:rPr>
                <w:rFonts w:ascii="Arial"/>
                <w:sz w:val="18"/>
              </w:rPr>
              <w:t>-</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
              <w:jc w:val="right"/>
              <w:rPr>
                <w:rFonts w:ascii="Arial" w:hAnsi="Arial" w:cs="Arial" w:eastAsia="Arial" w:hint="default"/>
                <w:sz w:val="18"/>
                <w:szCs w:val="18"/>
              </w:rPr>
            </w:pPr>
            <w:r>
              <w:rPr>
                <w:rFonts w:ascii="Arial"/>
                <w:spacing w:val="-1"/>
                <w:sz w:val="18"/>
              </w:rPr>
              <w:t>470,687,262</w:t>
            </w:r>
          </w:p>
        </w:tc>
      </w:tr>
      <w:tr>
        <w:trPr>
          <w:trHeight w:val="344" w:hRule="exact"/>
        </w:trPr>
        <w:tc>
          <w:tcPr>
            <w:tcW w:w="367" w:type="dxa"/>
            <w:vMerge/>
            <w:tcBorders>
              <w:left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tabs>
                <w:tab w:pos="1340" w:val="left" w:leader="none"/>
                <w:tab w:pos="1653" w:val="left" w:leader="none"/>
              </w:tabs>
              <w:spacing w:line="222" w:lineRule="exact"/>
              <w:ind w:right="54"/>
              <w:jc w:val="right"/>
              <w:rPr>
                <w:rFonts w:ascii="Arial" w:hAnsi="Arial" w:cs="Arial" w:eastAsia="Arial" w:hint="default"/>
                <w:sz w:val="18"/>
                <w:szCs w:val="18"/>
              </w:rPr>
            </w:pPr>
            <w:r>
              <w:rPr>
                <w:rFonts w:ascii="宋体" w:hAnsi="宋体" w:cs="宋体" w:eastAsia="宋体" w:hint="default"/>
                <w:position w:val="1"/>
                <w:sz w:val="18"/>
                <w:szCs w:val="18"/>
              </w:rPr>
              <w:t>其他</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81,592,638</w:t>
            </w:r>
            <w:r>
              <w:rPr>
                <w:rFonts w:ascii="Arial" w:hAnsi="Arial" w:cs="Arial" w:eastAsia="Arial" w:hint="default"/>
                <w:spacing w:val="-1"/>
                <w:sz w:val="18"/>
                <w:szCs w:val="18"/>
              </w:rPr>
            </w:r>
          </w:p>
        </w:tc>
        <w:tc>
          <w:tcPr>
            <w:tcW w:w="5206" w:type="dxa"/>
            <w:tcBorders>
              <w:top w:val="nil" w:sz="6" w:space="0" w:color="auto"/>
              <w:left w:val="nil" w:sz="6" w:space="0" w:color="auto"/>
              <w:bottom w:val="nil" w:sz="6" w:space="0" w:color="auto"/>
              <w:right w:val="nil" w:sz="6" w:space="0" w:color="auto"/>
            </w:tcBorders>
          </w:tcPr>
          <w:p>
            <w:pPr>
              <w:pStyle w:val="TableParagraph"/>
              <w:tabs>
                <w:tab w:pos="1069" w:val="left" w:leader="none"/>
                <w:tab w:pos="1561" w:val="left" w:leader="none"/>
                <w:tab w:pos="2858" w:val="left" w:leader="none"/>
                <w:tab w:pos="4941" w:val="left" w:leader="none"/>
                <w:tab w:pos="5117" w:val="left" w:leader="none"/>
              </w:tabs>
              <w:spacing w:line="240" w:lineRule="auto" w:before="15"/>
              <w:ind w:right="3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r>
            <w:r>
              <w:rPr>
                <w:rFonts w:ascii="Arial"/>
                <w:spacing w:val="-1"/>
                <w:sz w:val="18"/>
                <w:u w:val="single" w:color="000000"/>
              </w:rPr>
              <w:t>81,592,638</w:t>
            </w:r>
            <w:r>
              <w:rPr>
                <w:rFonts w:ascii="Arial"/>
                <w:spacing w:val="-1"/>
                <w:sz w:val="18"/>
              </w:rPr>
            </w:r>
            <w:r>
              <w:rPr>
                <w:rFonts w:ascii="Arial"/>
                <w:spacing w:val="-1"/>
                <w:sz w:val="18"/>
                <w:u w:val="single" w:color="000000"/>
              </w:rPr>
              <w:t> </w:t>
              <w:tab/>
              <w:t>98,997,948</w:t>
            </w:r>
            <w:r>
              <w:rPr>
                <w:rFonts w:ascii="Arial"/>
                <w:spacing w:val="-1"/>
                <w:sz w:val="18"/>
              </w:rPr>
            </w:r>
            <w:r>
              <w:rPr>
                <w:rFonts w:ascii="Arial"/>
                <w:spacing w:val="-1"/>
                <w:sz w:val="18"/>
                <w:u w:val="single" w:color="000000"/>
              </w:rPr>
              <w:t> </w:t>
              <w:tab/>
            </w:r>
            <w:r>
              <w:rPr>
                <w:rFonts w:ascii="Arial"/>
                <w:sz w:val="18"/>
                <w:u w:val="single" w:color="000000"/>
              </w:rPr>
              <w:t>-</w:t>
              <w:tab/>
            </w:r>
            <w:r>
              <w:rPr>
                <w:rFonts w:ascii="Arial"/>
                <w:sz w:val="18"/>
              </w:rPr>
            </w:r>
          </w:p>
        </w:tc>
        <w:tc>
          <w:tcPr>
            <w:tcW w:w="1246" w:type="dxa"/>
            <w:tcBorders>
              <w:top w:val="nil" w:sz="6" w:space="0" w:color="auto"/>
              <w:left w:val="nil" w:sz="6" w:space="0" w:color="auto"/>
              <w:bottom w:val="nil" w:sz="6" w:space="0" w:color="auto"/>
              <w:right w:val="nil" w:sz="6" w:space="0" w:color="auto"/>
            </w:tcBorders>
          </w:tcPr>
          <w:p>
            <w:pPr>
              <w:pStyle w:val="TableParagraph"/>
              <w:tabs>
                <w:tab w:pos="256" w:val="left" w:leader="none"/>
              </w:tabs>
              <w:spacing w:line="240" w:lineRule="auto" w:before="15"/>
              <w:ind w:right="4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98,997,948</w:t>
            </w:r>
            <w:r>
              <w:rPr>
                <w:rFonts w:ascii="Arial"/>
                <w:spacing w:val="-1"/>
                <w:sz w:val="18"/>
              </w:rPr>
            </w:r>
          </w:p>
        </w:tc>
      </w:tr>
      <w:tr>
        <w:trPr>
          <w:trHeight w:val="351" w:hRule="exact"/>
        </w:trPr>
        <w:tc>
          <w:tcPr>
            <w:tcW w:w="367" w:type="dxa"/>
            <w:vMerge/>
            <w:tcBorders>
              <w:left w:val="nil" w:sz="6" w:space="0" w:color="auto"/>
              <w:bottom w:val="nil" w:sz="6" w:space="0" w:color="auto"/>
              <w:right w:val="nil" w:sz="6" w:space="0" w:color="auto"/>
            </w:tcBorders>
          </w:tcPr>
          <w:p>
            <w:pPr/>
          </w:p>
        </w:tc>
        <w:tc>
          <w:tcPr>
            <w:tcW w:w="2711" w:type="dxa"/>
            <w:tcBorders>
              <w:top w:val="nil" w:sz="6" w:space="0" w:color="auto"/>
              <w:left w:val="nil" w:sz="6" w:space="0" w:color="auto"/>
              <w:bottom w:val="single" w:sz="12" w:space="0" w:color="000000"/>
              <w:right w:val="nil" w:sz="6" w:space="0" w:color="auto"/>
            </w:tcBorders>
          </w:tcPr>
          <w:p>
            <w:pPr>
              <w:pStyle w:val="TableParagraph"/>
              <w:tabs>
                <w:tab w:pos="1403" w:val="left" w:leader="none"/>
              </w:tabs>
              <w:spacing w:line="240" w:lineRule="auto" w:before="74"/>
              <w:ind w:right="54"/>
              <w:jc w:val="righ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4,847,417,204</w:t>
            </w:r>
          </w:p>
        </w:tc>
        <w:tc>
          <w:tcPr>
            <w:tcW w:w="5206" w:type="dxa"/>
            <w:tcBorders>
              <w:top w:val="nil" w:sz="6" w:space="0" w:color="auto"/>
              <w:left w:val="nil" w:sz="6" w:space="0" w:color="auto"/>
              <w:bottom w:val="single" w:sz="12" w:space="0" w:color="000000"/>
              <w:right w:val="nil" w:sz="6" w:space="0" w:color="auto"/>
            </w:tcBorders>
          </w:tcPr>
          <w:p>
            <w:pPr>
              <w:pStyle w:val="TableParagraph"/>
              <w:spacing w:line="240" w:lineRule="auto" w:before="125"/>
              <w:ind w:left="126" w:right="0"/>
              <w:jc w:val="left"/>
              <w:rPr>
                <w:rFonts w:ascii="Arial" w:hAnsi="Arial" w:cs="Arial" w:eastAsia="Arial" w:hint="default"/>
                <w:sz w:val="18"/>
                <w:szCs w:val="18"/>
              </w:rPr>
            </w:pPr>
            <w:r>
              <w:rPr>
                <w:rFonts w:ascii="Arial"/>
                <w:sz w:val="18"/>
              </w:rPr>
              <w:t>(196,042,474)  4,651,374,730   3,856,053,664  </w:t>
            </w:r>
            <w:r>
              <w:rPr>
                <w:rFonts w:ascii="Arial"/>
                <w:spacing w:val="10"/>
                <w:sz w:val="18"/>
              </w:rPr>
              <w:t> </w:t>
            </w:r>
            <w:r>
              <w:rPr>
                <w:rFonts w:ascii="Arial"/>
                <w:sz w:val="18"/>
              </w:rPr>
              <w:t>(127,629,364)</w:t>
            </w:r>
          </w:p>
        </w:tc>
        <w:tc>
          <w:tcPr>
            <w:tcW w:w="1246" w:type="dxa"/>
            <w:tcBorders>
              <w:top w:val="nil" w:sz="6" w:space="0" w:color="auto"/>
              <w:left w:val="nil" w:sz="6" w:space="0" w:color="auto"/>
              <w:bottom w:val="single" w:sz="12" w:space="0" w:color="000000"/>
              <w:right w:val="nil" w:sz="6" w:space="0" w:color="auto"/>
            </w:tcBorders>
          </w:tcPr>
          <w:p>
            <w:pPr>
              <w:pStyle w:val="TableParagraph"/>
              <w:spacing w:line="240" w:lineRule="auto" w:before="125"/>
              <w:ind w:right="21"/>
              <w:jc w:val="right"/>
              <w:rPr>
                <w:rFonts w:ascii="Arial" w:hAnsi="Arial" w:cs="Arial" w:eastAsia="Arial" w:hint="default"/>
                <w:sz w:val="18"/>
                <w:szCs w:val="18"/>
              </w:rPr>
            </w:pPr>
            <w:r>
              <w:rPr>
                <w:rFonts w:ascii="Arial"/>
                <w:spacing w:val="-1"/>
                <w:sz w:val="18"/>
              </w:rPr>
              <w:t>3,728,424,300</w:t>
            </w:r>
          </w:p>
        </w:tc>
      </w:tr>
      <w:tr>
        <w:trPr>
          <w:trHeight w:val="713" w:hRule="exact"/>
        </w:trPr>
        <w:tc>
          <w:tcPr>
            <w:tcW w:w="36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5" w:right="0"/>
              <w:jc w:val="left"/>
              <w:rPr>
                <w:rFonts w:ascii="Arial" w:hAnsi="Arial" w:cs="Arial" w:eastAsia="Arial" w:hint="default"/>
                <w:sz w:val="22"/>
                <w:szCs w:val="22"/>
              </w:rPr>
            </w:pPr>
            <w:r>
              <w:rPr>
                <w:rFonts w:ascii="Arial"/>
                <w:sz w:val="22"/>
              </w:rPr>
              <w:t>(b)</w:t>
            </w:r>
          </w:p>
        </w:tc>
        <w:tc>
          <w:tcPr>
            <w:tcW w:w="2711"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 w:right="0"/>
              <w:jc w:val="left"/>
              <w:rPr>
                <w:rFonts w:ascii="宋体" w:hAnsi="宋体" w:cs="宋体" w:eastAsia="宋体" w:hint="default"/>
                <w:sz w:val="22"/>
                <w:szCs w:val="22"/>
              </w:rPr>
            </w:pPr>
            <w:r>
              <w:rPr>
                <w:rFonts w:ascii="宋体" w:hAnsi="宋体" w:cs="宋体" w:eastAsia="宋体" w:hint="default"/>
                <w:sz w:val="22"/>
                <w:szCs w:val="22"/>
              </w:rPr>
              <w:t>存货跌价准备分析如下：</w:t>
            </w:r>
          </w:p>
        </w:tc>
        <w:tc>
          <w:tcPr>
            <w:tcW w:w="5206" w:type="dxa"/>
            <w:tcBorders>
              <w:top w:val="single" w:sz="12" w:space="0" w:color="000000"/>
              <w:left w:val="nil" w:sz="6" w:space="0" w:color="auto"/>
              <w:bottom w:val="nil" w:sz="6" w:space="0" w:color="auto"/>
              <w:right w:val="nil" w:sz="6" w:space="0" w:color="auto"/>
            </w:tcBorders>
          </w:tcPr>
          <w:p>
            <w:pPr/>
          </w:p>
        </w:tc>
        <w:tc>
          <w:tcPr>
            <w:tcW w:w="1246" w:type="dxa"/>
            <w:tcBorders>
              <w:top w:val="single" w:sz="12" w:space="0" w:color="000000"/>
              <w:left w:val="nil" w:sz="6" w:space="0" w:color="auto"/>
              <w:bottom w:val="nil" w:sz="6" w:space="0" w:color="auto"/>
              <w:right w:val="nil" w:sz="6" w:space="0" w:color="auto"/>
            </w:tcBorders>
          </w:tcPr>
          <w:p>
            <w:pPr/>
          </w:p>
        </w:tc>
      </w:tr>
      <w:tr>
        <w:trPr>
          <w:trHeight w:val="362" w:hRule="exact"/>
        </w:trPr>
        <w:tc>
          <w:tcPr>
            <w:tcW w:w="367"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6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7" w:hRule="exact"/>
        </w:trPr>
        <w:tc>
          <w:tcPr>
            <w:tcW w:w="367"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single" w:sz="6" w:space="0" w:color="000000"/>
              <w:right w:val="nil" w:sz="6" w:space="0" w:color="auto"/>
            </w:tcBorders>
          </w:tcPr>
          <w:p>
            <w:pPr>
              <w:pStyle w:val="TableParagraph"/>
              <w:tabs>
                <w:tab w:pos="2510" w:val="left" w:leader="none"/>
                <w:tab w:pos="4091" w:val="left" w:leader="none"/>
              </w:tabs>
              <w:spacing w:line="215" w:lineRule="exact"/>
              <w:ind w:left="89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本年计提</w:t>
              <w:tab/>
              <w:t>本年转销</w:t>
            </w:r>
          </w:p>
        </w:tc>
        <w:tc>
          <w:tcPr>
            <w:tcW w:w="1246" w:type="dxa"/>
            <w:tcBorders>
              <w:top w:val="nil" w:sz="6" w:space="0" w:color="auto"/>
              <w:left w:val="nil" w:sz="6" w:space="0" w:color="auto"/>
              <w:bottom w:val="single" w:sz="6" w:space="0" w:color="000000"/>
              <w:right w:val="nil" w:sz="6" w:space="0" w:color="auto"/>
            </w:tcBorders>
          </w:tcPr>
          <w:p>
            <w:pPr>
              <w:pStyle w:val="TableParagraph"/>
              <w:spacing w:line="215" w:lineRule="exact"/>
              <w:ind w:right="23"/>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28" w:hRule="exact"/>
        </w:trPr>
        <w:tc>
          <w:tcPr>
            <w:tcW w:w="367"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
        </w:tc>
        <w:tc>
          <w:tcPr>
            <w:tcW w:w="5206" w:type="dxa"/>
            <w:tcBorders>
              <w:top w:val="single" w:sz="6" w:space="0" w:color="000000"/>
              <w:left w:val="nil" w:sz="6" w:space="0" w:color="auto"/>
              <w:bottom w:val="nil" w:sz="6" w:space="0" w:color="auto"/>
              <w:right w:val="nil" w:sz="6" w:space="0" w:color="auto"/>
            </w:tcBorders>
          </w:tcPr>
          <w:p>
            <w:pPr>
              <w:pStyle w:val="TableParagraph"/>
              <w:spacing w:line="20" w:lineRule="exact"/>
              <w:ind w:left="171" w:right="0"/>
              <w:jc w:val="left"/>
              <w:rPr>
                <w:rFonts w:ascii="宋体" w:hAnsi="宋体" w:cs="宋体" w:eastAsia="宋体" w:hint="default"/>
                <w:sz w:val="2"/>
                <w:szCs w:val="2"/>
              </w:rPr>
            </w:pPr>
            <w:r>
              <w:rPr>
                <w:rFonts w:ascii="宋体"/>
                <w:sz w:val="2"/>
              </w:rPr>
              <w:pict>
                <v:group style="width:82.65pt;height:.75pt;mso-position-horizontal-relative:char;mso-position-vertical-relative:line" coordorigin="0,0" coordsize="1653,15">
                  <v:group style="position:absolute;left:7;top:7;width:1638;height:2" coordorigin="7,7" coordsize="1638,2">
                    <v:shape style="position:absolute;left:7;top:7;width:1638;height:2" coordorigin="7,7" coordsize="1638,0" path="m7,7l1645,7e" filled="false" stroked="true" strokeweight=".72pt" strokecolor="#000000">
                      <v:path arrowok="t"/>
                    </v:shape>
                  </v:group>
                </v:group>
              </w:pict>
            </w:r>
            <w:r>
              <w:rPr>
                <w:rFonts w:ascii="宋体"/>
                <w:sz w:val="2"/>
              </w:rPr>
            </w:r>
            <w:r>
              <w:rPr>
                <w:rFonts w:ascii="Times New Roman"/>
                <w:spacing w:val="67"/>
                <w:sz w:val="2"/>
              </w:rPr>
              <w:t> </w:t>
            </w:r>
            <w:r>
              <w:rPr>
                <w:rFonts w:ascii="宋体"/>
                <w:spacing w:val="67"/>
                <w:sz w:val="2"/>
              </w:rPr>
              <w:pict>
                <v:group style="width:69pt;height:.75pt;mso-position-horizontal-relative:char;mso-position-vertical-relative:line" coordorigin="0,0" coordsize="1380,15">
                  <v:group style="position:absolute;left:7;top:7;width:1366;height:2" coordorigin="7,7" coordsize="1366,2">
                    <v:shape style="position:absolute;left:7;top:7;width:1366;height:2" coordorigin="7,7" coordsize="1366,0" path="m7,7l1373,7e" filled="false" stroked="true" strokeweight=".72pt" strokecolor="#000000">
                      <v:path arrowok="t"/>
                    </v:shape>
                  </v:group>
                </v:group>
              </w:pict>
            </w:r>
            <w:r>
              <w:rPr>
                <w:rFonts w:ascii="宋体"/>
                <w:spacing w:val="67"/>
                <w:sz w:val="2"/>
              </w:rPr>
            </w:r>
            <w:r>
              <w:rPr>
                <w:rFonts w:ascii="Times New Roman"/>
                <w:spacing w:val="98"/>
                <w:sz w:val="2"/>
              </w:rPr>
              <w:t> </w:t>
            </w:r>
            <w:r>
              <w:rPr>
                <w:rFonts w:ascii="宋体"/>
                <w:spacing w:val="98"/>
                <w:sz w:val="2"/>
              </w:rPr>
              <w:pict>
                <v:group style="width:72.850pt;height:.75pt;mso-position-horizontal-relative:char;mso-position-vertical-relative:line" coordorigin="0,0" coordsize="1457,15">
                  <v:group style="position:absolute;left:7;top:7;width:1443;height:2" coordorigin="7,7" coordsize="1443,2">
                    <v:shape style="position:absolute;left:7;top:7;width:1443;height:2" coordorigin="7,7" coordsize="1443,0" path="m7,7l1450,7e" filled="false" stroked="true" strokeweight=".72pt" strokecolor="#000000">
                      <v:path arrowok="t"/>
                    </v:shape>
                  </v:group>
                </v:group>
              </w:pict>
            </w:r>
            <w:r>
              <w:rPr>
                <w:rFonts w:ascii="宋体"/>
                <w:spacing w:val="98"/>
                <w:sz w:val="2"/>
              </w:rPr>
            </w:r>
          </w:p>
          <w:p>
            <w:pPr>
              <w:pStyle w:val="TableParagraph"/>
              <w:spacing w:line="240" w:lineRule="auto" w:before="18"/>
              <w:ind w:left="895" w:right="0"/>
              <w:jc w:val="left"/>
              <w:rPr>
                <w:rFonts w:ascii="宋体" w:hAnsi="宋体" w:cs="宋体" w:eastAsia="宋体" w:hint="default"/>
                <w:sz w:val="18"/>
                <w:szCs w:val="18"/>
              </w:rPr>
            </w:pPr>
            <w:r>
              <w:rPr>
                <w:rFonts w:ascii="宋体" w:hAnsi="宋体" w:cs="宋体" w:eastAsia="宋体" w:hint="default"/>
                <w:sz w:val="18"/>
                <w:szCs w:val="18"/>
              </w:rPr>
              <w:t>（经重列）</w:t>
            </w:r>
          </w:p>
        </w:tc>
        <w:tc>
          <w:tcPr>
            <w:tcW w:w="1246" w:type="dxa"/>
            <w:tcBorders>
              <w:top w:val="single" w:sz="6" w:space="0" w:color="000000"/>
              <w:left w:val="nil" w:sz="6" w:space="0" w:color="auto"/>
              <w:bottom w:val="nil" w:sz="6" w:space="0" w:color="auto"/>
              <w:right w:val="nil" w:sz="6" w:space="0" w:color="auto"/>
            </w:tcBorders>
          </w:tcPr>
          <w:p>
            <w:pPr/>
          </w:p>
        </w:tc>
      </w:tr>
      <w:tr>
        <w:trPr>
          <w:trHeight w:val="298" w:hRule="exact"/>
        </w:trPr>
        <w:tc>
          <w:tcPr>
            <w:tcW w:w="367"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7" w:right="0"/>
              <w:jc w:val="left"/>
              <w:rPr>
                <w:rFonts w:ascii="宋体" w:hAnsi="宋体" w:cs="宋体" w:eastAsia="宋体" w:hint="default"/>
                <w:sz w:val="18"/>
                <w:szCs w:val="18"/>
              </w:rPr>
            </w:pPr>
            <w:r>
              <w:rPr>
                <w:rFonts w:ascii="宋体" w:hAnsi="宋体" w:cs="宋体" w:eastAsia="宋体" w:hint="default"/>
                <w:sz w:val="18"/>
                <w:szCs w:val="18"/>
              </w:rPr>
              <w:t>手机及通信终端</w:t>
            </w:r>
          </w:p>
        </w:tc>
        <w:tc>
          <w:tcPr>
            <w:tcW w:w="5206" w:type="dxa"/>
            <w:tcBorders>
              <w:top w:val="nil" w:sz="6" w:space="0" w:color="auto"/>
              <w:left w:val="nil" w:sz="6" w:space="0" w:color="auto"/>
              <w:bottom w:val="nil" w:sz="6" w:space="0" w:color="auto"/>
              <w:right w:val="nil" w:sz="6" w:space="0" w:color="auto"/>
            </w:tcBorders>
          </w:tcPr>
          <w:p>
            <w:pPr>
              <w:pStyle w:val="TableParagraph"/>
              <w:tabs>
                <w:tab w:pos="2088" w:val="left" w:leader="none"/>
                <w:tab w:pos="3868" w:val="left" w:leader="none"/>
              </w:tabs>
              <w:spacing w:line="240" w:lineRule="auto" w:before="60"/>
              <w:ind w:left="622" w:right="0"/>
              <w:jc w:val="left"/>
              <w:rPr>
                <w:rFonts w:ascii="Arial" w:hAnsi="Arial" w:cs="Arial" w:eastAsia="Arial" w:hint="default"/>
                <w:sz w:val="18"/>
                <w:szCs w:val="18"/>
              </w:rPr>
            </w:pPr>
            <w:r>
              <w:rPr>
                <w:rFonts w:ascii="Arial"/>
                <w:spacing w:val="-1"/>
                <w:sz w:val="18"/>
              </w:rPr>
              <w:t>(126,031,717)</w:t>
              <w:tab/>
              <w:t>(118,364,625)</w:t>
              <w:tab/>
              <w:t>50,747,126</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2"/>
              <w:jc w:val="right"/>
              <w:rPr>
                <w:rFonts w:ascii="Arial" w:hAnsi="Arial" w:cs="Arial" w:eastAsia="Arial" w:hint="default"/>
                <w:sz w:val="18"/>
                <w:szCs w:val="18"/>
              </w:rPr>
            </w:pPr>
            <w:r>
              <w:rPr>
                <w:rFonts w:ascii="Arial"/>
                <w:spacing w:val="-1"/>
                <w:sz w:val="18"/>
              </w:rPr>
              <w:t>(193,649,216)</w:t>
            </w:r>
            <w:r>
              <w:rPr>
                <w:rFonts w:ascii="Arial"/>
                <w:sz w:val="18"/>
              </w:rPr>
            </w:r>
          </w:p>
        </w:tc>
      </w:tr>
      <w:tr>
        <w:trPr>
          <w:trHeight w:val="297" w:hRule="exact"/>
        </w:trPr>
        <w:tc>
          <w:tcPr>
            <w:tcW w:w="367"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27" w:lineRule="exact"/>
              <w:ind w:left="127" w:right="0"/>
              <w:jc w:val="left"/>
              <w:rPr>
                <w:rFonts w:ascii="宋体" w:hAnsi="宋体" w:cs="宋体" w:eastAsia="宋体" w:hint="default"/>
                <w:sz w:val="18"/>
                <w:szCs w:val="18"/>
              </w:rPr>
            </w:pPr>
            <w:r>
              <w:rPr>
                <w:rFonts w:ascii="Arial" w:hAnsi="Arial" w:cs="Arial" w:eastAsia="Arial" w:hint="default"/>
                <w:sz w:val="18"/>
                <w:szCs w:val="18"/>
              </w:rPr>
              <w:t>SIM </w:t>
            </w:r>
            <w:r>
              <w:rPr>
                <w:rFonts w:ascii="宋体" w:hAnsi="宋体" w:cs="宋体" w:eastAsia="宋体" w:hint="default"/>
                <w:sz w:val="18"/>
                <w:szCs w:val="18"/>
              </w:rPr>
              <w:t>卡、</w:t>
            </w:r>
            <w:r>
              <w:rPr>
                <w:rFonts w:ascii="Arial" w:hAnsi="Arial" w:cs="Arial" w:eastAsia="Arial" w:hint="default"/>
                <w:sz w:val="18"/>
                <w:szCs w:val="18"/>
              </w:rPr>
              <w:t>UIM</w:t>
            </w:r>
            <w:r>
              <w:rPr>
                <w:rFonts w:ascii="Arial" w:hAnsi="Arial" w:cs="Arial" w:eastAsia="Arial" w:hint="default"/>
                <w:spacing w:val="-11"/>
                <w:sz w:val="18"/>
                <w:szCs w:val="18"/>
              </w:rPr>
              <w:t> </w:t>
            </w:r>
            <w:r>
              <w:rPr>
                <w:rFonts w:ascii="宋体" w:hAnsi="宋体" w:cs="宋体" w:eastAsia="宋体" w:hint="default"/>
                <w:sz w:val="18"/>
                <w:szCs w:val="18"/>
              </w:rPr>
              <w:t>卡及预付电话卡</w:t>
            </w:r>
          </w:p>
        </w:tc>
        <w:tc>
          <w:tcPr>
            <w:tcW w:w="5206" w:type="dxa"/>
            <w:tcBorders>
              <w:top w:val="nil" w:sz="6" w:space="0" w:color="auto"/>
              <w:left w:val="nil" w:sz="6" w:space="0" w:color="auto"/>
              <w:bottom w:val="nil" w:sz="6" w:space="0" w:color="auto"/>
              <w:right w:val="nil" w:sz="6" w:space="0" w:color="auto"/>
            </w:tcBorders>
          </w:tcPr>
          <w:p>
            <w:pPr>
              <w:pStyle w:val="TableParagraph"/>
              <w:tabs>
                <w:tab w:pos="2288" w:val="left" w:leader="none"/>
                <w:tab w:pos="3969" w:val="left" w:leader="none"/>
              </w:tabs>
              <w:spacing w:line="240" w:lineRule="auto" w:before="33"/>
              <w:ind w:left="823" w:right="0"/>
              <w:jc w:val="left"/>
              <w:rPr>
                <w:rFonts w:ascii="Arial" w:hAnsi="Arial" w:cs="Arial" w:eastAsia="Arial" w:hint="default"/>
                <w:sz w:val="18"/>
                <w:szCs w:val="18"/>
              </w:rPr>
            </w:pPr>
            <w:r>
              <w:rPr>
                <w:rFonts w:ascii="Arial"/>
                <w:spacing w:val="-1"/>
                <w:sz w:val="18"/>
              </w:rPr>
              <w:t>(1,591,942)</w:t>
              <w:tab/>
              <w:t>(8,180,352)</w:t>
              <w:tab/>
              <w:t>7,430,877</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2"/>
              <w:jc w:val="right"/>
              <w:rPr>
                <w:rFonts w:ascii="Arial" w:hAnsi="Arial" w:cs="Arial" w:eastAsia="Arial" w:hint="default"/>
                <w:sz w:val="18"/>
                <w:szCs w:val="18"/>
              </w:rPr>
            </w:pPr>
            <w:r>
              <w:rPr>
                <w:rFonts w:ascii="Arial"/>
                <w:spacing w:val="-1"/>
                <w:sz w:val="18"/>
              </w:rPr>
              <w:t>(2,341,417)</w:t>
            </w:r>
            <w:r>
              <w:rPr>
                <w:rFonts w:ascii="Arial"/>
                <w:sz w:val="18"/>
              </w:rPr>
            </w:r>
          </w:p>
        </w:tc>
      </w:tr>
    </w:tbl>
    <w:p>
      <w:pPr>
        <w:tabs>
          <w:tab w:pos="3364" w:val="left" w:leader="none"/>
          <w:tab w:pos="4359" w:val="left" w:leader="none"/>
          <w:tab w:pos="5724" w:val="left" w:leader="none"/>
          <w:tab w:pos="7894" w:val="left" w:leader="none"/>
          <w:tab w:pos="8873" w:val="left" w:leader="none"/>
          <w:tab w:pos="9637" w:val="left" w:leader="none"/>
        </w:tabs>
        <w:spacing w:before="9"/>
        <w:ind w:left="601" w:right="0" w:firstLine="0"/>
        <w:jc w:val="left"/>
        <w:rPr>
          <w:rFonts w:ascii="Arial" w:hAnsi="Arial" w:cs="Arial" w:eastAsia="Arial" w:hint="default"/>
          <w:sz w:val="18"/>
          <w:szCs w:val="18"/>
        </w:rPr>
      </w:pPr>
      <w:r>
        <w:rPr>
          <w:rFonts w:ascii="宋体" w:hAnsi="宋体" w:cs="宋体" w:eastAsia="宋体" w:hint="default"/>
          <w:position w:val="1"/>
          <w:sz w:val="18"/>
          <w:szCs w:val="18"/>
        </w:rPr>
        <w:t>备品备件</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(5,705)</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(46,136)</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(51,841)</w:t>
        <w:tab/>
      </w:r>
      <w:r>
        <w:rPr>
          <w:rFonts w:ascii="Arial" w:hAnsi="Arial" w:cs="Arial" w:eastAsia="Arial" w:hint="default"/>
          <w:spacing w:val="-1"/>
          <w:sz w:val="18"/>
          <w:szCs w:val="18"/>
        </w:rPr>
      </w:r>
    </w:p>
    <w:p>
      <w:pPr>
        <w:spacing w:line="240" w:lineRule="auto" w:before="3"/>
        <w:rPr>
          <w:rFonts w:ascii="Arial" w:hAnsi="Arial" w:cs="Arial" w:eastAsia="Arial" w:hint="default"/>
          <w:sz w:val="26"/>
          <w:szCs w:val="26"/>
        </w:rPr>
      </w:pPr>
    </w:p>
    <w:p>
      <w:pPr>
        <w:tabs>
          <w:tab w:pos="3808" w:val="left" w:leader="none"/>
          <w:tab w:pos="5274" w:val="left" w:leader="none"/>
          <w:tab w:pos="7054" w:val="left" w:leader="none"/>
          <w:tab w:pos="8424" w:val="left" w:leader="none"/>
        </w:tabs>
        <w:spacing w:before="47"/>
        <w:ind w:left="601" w:right="0"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(127,629,364)</w:t>
        <w:tab/>
        <w:t>(126,591,113)</w:t>
        <w:tab/>
        <w:t>58,178,003</w:t>
        <w:tab/>
        <w:t>(196,042,474)</w:t>
      </w:r>
      <w:r>
        <w:rPr>
          <w:rFonts w:ascii="Arial" w:hAnsi="Arial" w:cs="Arial" w:eastAsia="Arial" w:hint="default"/>
          <w:sz w:val="18"/>
          <w:szCs w:val="18"/>
        </w:rPr>
      </w:r>
    </w:p>
    <w:p>
      <w:pPr>
        <w:spacing w:line="43" w:lineRule="exact"/>
        <w:ind w:left="3342" w:right="0" w:firstLine="0"/>
        <w:rPr>
          <w:rFonts w:ascii="Arial" w:hAnsi="Arial" w:cs="Arial" w:eastAsia="Arial" w:hint="default"/>
          <w:sz w:val="4"/>
          <w:szCs w:val="4"/>
        </w:rPr>
      </w:pPr>
      <w:r>
        <w:rPr>
          <w:rFonts w:ascii="Arial"/>
          <w:position w:val="0"/>
          <w:sz w:val="4"/>
        </w:rPr>
        <w:pict>
          <v:group style="width:156.15pt;height:2.2pt;mso-position-horizontal-relative:char;mso-position-vertical-relative:line" coordorigin="0,0" coordsize="3123,44">
            <v:group style="position:absolute;left:7;top:36;width:1653;height:2" coordorigin="7,36" coordsize="1653,2">
              <v:shape style="position:absolute;left:7;top:36;width:1653;height:2" coordorigin="7,36" coordsize="1653,0" path="m7,36l1660,36e" filled="false" stroked="true" strokeweight=".72pt" strokecolor="#000000">
                <v:path arrowok="t"/>
              </v:shape>
            </v:group>
            <v:group style="position:absolute;left:7;top:7;width:1653;height:2" coordorigin="7,7" coordsize="1653,2">
              <v:shape style="position:absolute;left:7;top:7;width:1653;height:2" coordorigin="7,7" coordsize="1653,0" path="m7,7l1660,7e" filled="false" stroked="true" strokeweight=".72pt" strokecolor="#000000">
                <v:path arrowok="t"/>
              </v:shape>
            </v:group>
            <v:group style="position:absolute;left:1735;top:36;width:1380;height:2" coordorigin="1735,36" coordsize="1380,2">
              <v:shape style="position:absolute;left:1735;top:36;width:1380;height:2" coordorigin="1735,36" coordsize="1380,0" path="m1735,36l3115,36e" filled="false" stroked="true" strokeweight=".72pt" strokecolor="#000000">
                <v:path arrowok="t"/>
              </v:shape>
            </v:group>
            <v:group style="position:absolute;left:1735;top:7;width:1380;height:2" coordorigin="1735,7" coordsize="1380,2">
              <v:shape style="position:absolute;left:1735;top:7;width:1380;height:2" coordorigin="1735,7" coordsize="1380,0" path="m1735,7l3115,7e" filled="false" stroked="true" strokeweight=".72pt" strokecolor="#000000">
                <v:path arrowok="t"/>
              </v:shape>
            </v:group>
          </v:group>
        </w:pict>
      </w:r>
      <w:r>
        <w:rPr>
          <w:rFonts w:ascii="Arial"/>
          <w:position w:val="0"/>
          <w:sz w:val="4"/>
        </w:rPr>
      </w:r>
      <w:r>
        <w:rPr>
          <w:rFonts w:ascii="Times New Roman"/>
          <w:spacing w:val="75"/>
          <w:position w:val="0"/>
          <w:sz w:val="4"/>
        </w:rPr>
        <w:t> </w:t>
      </w:r>
      <w:r>
        <w:rPr>
          <w:rFonts w:ascii="Arial"/>
          <w:spacing w:val="75"/>
          <w:position w:val="0"/>
          <w:sz w:val="4"/>
        </w:rPr>
        <w:pict>
          <v:group style="width:73.6pt;height:2.2pt;mso-position-horizontal-relative:char;mso-position-vertical-relative:line" coordorigin="0,0" coordsize="1472,44">
            <v:group style="position:absolute;left:7;top:36;width:1457;height:2" coordorigin="7,36" coordsize="1457,2">
              <v:shape style="position:absolute;left:7;top:36;width:1457;height:2" coordorigin="7,36" coordsize="1457,0" path="m7,36l1464,36e" filled="false" stroked="true" strokeweight=".72pt" strokecolor="#000000">
                <v:path arrowok="t"/>
              </v:shape>
            </v:group>
            <v:group style="position:absolute;left:7;top:7;width:1457;height:2" coordorigin="7,7" coordsize="1457,2">
              <v:shape style="position:absolute;left:7;top:7;width:1457;height:2" coordorigin="7,7" coordsize="1457,0" path="m7,7l1464,7e" filled="false" stroked="true" strokeweight=".72pt" strokecolor="#000000">
                <v:path arrowok="t"/>
              </v:shape>
            </v:group>
          </v:group>
        </w:pict>
      </w:r>
      <w:r>
        <w:rPr>
          <w:rFonts w:ascii="Arial"/>
          <w:spacing w:val="75"/>
          <w:position w:val="0"/>
          <w:sz w:val="4"/>
        </w:rPr>
      </w:r>
      <w:r>
        <w:rPr>
          <w:rFonts w:ascii="Times New Roman"/>
          <w:spacing w:val="51"/>
          <w:position w:val="0"/>
          <w:sz w:val="4"/>
        </w:rPr>
        <w:t> </w:t>
      </w:r>
      <w:r>
        <w:rPr>
          <w:rFonts w:ascii="Arial"/>
          <w:spacing w:val="51"/>
          <w:position w:val="0"/>
          <w:sz w:val="4"/>
        </w:rPr>
        <w:pict>
          <v:group style="width:77.55pt;height:2.2pt;mso-position-horizontal-relative:char;mso-position-vertical-relative:line" coordorigin="0,0" coordsize="1551,44">
            <v:group style="position:absolute;left:7;top:36;width:1536;height:2" coordorigin="7,36" coordsize="1536,2">
              <v:shape style="position:absolute;left:7;top:36;width:1536;height:2" coordorigin="7,36" coordsize="1536,0" path="m7,36l1543,36e" filled="false" stroked="true" strokeweight=".72pt" strokecolor="#000000">
                <v:path arrowok="t"/>
              </v:shape>
            </v:group>
            <v:group style="position:absolute;left:7;top:7;width:1536;height:2" coordorigin="7,7" coordsize="1536,2">
              <v:shape style="position:absolute;left:7;top:7;width:1536;height:2" coordorigin="7,7" coordsize="1536,0" path="m7,7l1543,7e" filled="false" stroked="true" strokeweight=".72pt" strokecolor="#000000">
                <v:path arrowok="t"/>
              </v:shape>
            </v:group>
          </v:group>
        </w:pict>
      </w:r>
      <w:r>
        <w:rPr>
          <w:rFonts w:ascii="Arial"/>
          <w:spacing w:val="51"/>
          <w:position w:val="0"/>
          <w:sz w:val="4"/>
        </w:rPr>
      </w:r>
    </w:p>
    <w:p>
      <w:pPr>
        <w:spacing w:line="240" w:lineRule="auto" w:before="5"/>
        <w:rPr>
          <w:rFonts w:ascii="Arial" w:hAnsi="Arial" w:cs="Arial" w:eastAsia="Arial" w:hint="default"/>
          <w:sz w:val="16"/>
          <w:szCs w:val="16"/>
        </w:rPr>
      </w:pPr>
    </w:p>
    <w:p>
      <w:pPr>
        <w:pStyle w:val="BodyText"/>
        <w:spacing w:line="230" w:lineRule="auto" w:before="42"/>
        <w:ind w:left="547" w:right="139" w:hanging="406"/>
        <w:jc w:val="both"/>
      </w:pPr>
      <w:r>
        <w:rPr>
          <w:rFonts w:ascii="Arial" w:hAnsi="Arial" w:cs="Arial" w:eastAsia="Arial" w:hint="default"/>
        </w:rPr>
        <w:t>(c) </w:t>
      </w:r>
      <w:r>
        <w:rPr/>
        <w:t>存货跌价准备的计提主要是因为存货陈旧过时或销售价格下降。本年原计提的存货跌价准备的</w:t>
      </w:r>
      <w:r>
        <w:rPr>
          <w:spacing w:val="-94"/>
        </w:rPr>
        <w:t> </w:t>
      </w:r>
      <w:r>
        <w:rPr>
          <w:spacing w:val="-94"/>
        </w:rPr>
      </w:r>
      <w:r>
        <w:rPr>
          <w:spacing w:val="7"/>
        </w:rPr>
        <w:t>转销是由于部分在以前年度已计提跌价准备的存货于本年因出售而转出相应已计提的跌价准</w:t>
      </w:r>
      <w:r>
        <w:rPr>
          <w:spacing w:val="7"/>
          <w:w w:val="99"/>
        </w:rPr>
        <w:t> </w:t>
      </w:r>
      <w:r>
        <w:rPr/>
        <w:t>备。</w:t>
      </w:r>
    </w:p>
    <w:p>
      <w:pPr>
        <w:spacing w:line="240" w:lineRule="auto" w:before="4"/>
        <w:rPr>
          <w:rFonts w:ascii="宋体" w:hAnsi="宋体" w:cs="宋体" w:eastAsia="宋体" w:hint="default"/>
          <w:sz w:val="19"/>
          <w:szCs w:val="19"/>
        </w:rPr>
      </w:pPr>
    </w:p>
    <w:p>
      <w:pPr>
        <w:pStyle w:val="BodyText"/>
        <w:spacing w:line="240" w:lineRule="auto"/>
        <w:ind w:left="156" w:right="0"/>
        <w:jc w:val="left"/>
      </w:pPr>
      <w:r>
        <w:rPr>
          <w:rFonts w:ascii="Arial" w:hAnsi="Arial" w:cs="Arial" w:eastAsia="Arial" w:hint="default"/>
        </w:rPr>
        <w:t>7</w:t>
      </w:r>
      <w:r>
        <w:rPr/>
        <w:t>、</w:t>
      </w:r>
      <w:r>
        <w:rPr>
          <w:spacing w:val="-51"/>
        </w:rPr>
        <w:t> </w:t>
      </w:r>
      <w:r>
        <w:rPr/>
        <w:t>可供出售金融资产</w:t>
      </w:r>
    </w:p>
    <w:p>
      <w:pPr>
        <w:spacing w:line="240" w:lineRule="auto" w:before="7"/>
        <w:rPr>
          <w:rFonts w:ascii="宋体" w:hAnsi="宋体" w:cs="宋体" w:eastAsia="宋体" w:hint="default"/>
          <w:sz w:val="15"/>
          <w:szCs w:val="15"/>
        </w:rPr>
      </w:pPr>
    </w:p>
    <w:tbl>
      <w:tblPr>
        <w:tblW w:w="0" w:type="auto"/>
        <w:jc w:val="left"/>
        <w:tblInd w:w="567" w:type="dxa"/>
        <w:tblLayout w:type="fixed"/>
        <w:tblCellMar>
          <w:top w:w="0" w:type="dxa"/>
          <w:left w:w="0" w:type="dxa"/>
          <w:bottom w:w="0" w:type="dxa"/>
          <w:right w:w="0" w:type="dxa"/>
        </w:tblCellMar>
        <w:tblLook w:val="01E0"/>
      </w:tblPr>
      <w:tblGrid>
        <w:gridCol w:w="4279"/>
        <w:gridCol w:w="2316"/>
        <w:gridCol w:w="256"/>
        <w:gridCol w:w="2255"/>
      </w:tblGrid>
      <w:tr>
        <w:trPr>
          <w:trHeight w:val="360" w:hRule="exact"/>
        </w:trPr>
        <w:tc>
          <w:tcPr>
            <w:tcW w:w="4279"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93"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56"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6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2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对交通银行的股票投资（注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1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13"/>
              <w:jc w:val="right"/>
              <w:rPr>
                <w:rFonts w:ascii="Arial" w:hAnsi="Arial" w:cs="Arial" w:eastAsia="Arial" w:hint="default"/>
                <w:sz w:val="22"/>
                <w:szCs w:val="22"/>
              </w:rPr>
            </w:pPr>
            <w:r>
              <w:rPr>
                <w:rFonts w:ascii="Arial"/>
                <w:w w:val="95"/>
                <w:sz w:val="22"/>
              </w:rPr>
              <w:t>113,721,803</w:t>
            </w:r>
            <w:r>
              <w:rPr>
                <w:rFonts w:ascii="Arial"/>
                <w:sz w:val="22"/>
              </w:rPr>
            </w:r>
          </w:p>
        </w:tc>
        <w:tc>
          <w:tcPr>
            <w:tcW w:w="256" w:type="dxa"/>
            <w:tcBorders>
              <w:top w:val="nil" w:sz="6" w:space="0" w:color="auto"/>
              <w:left w:val="nil" w:sz="6" w:space="0" w:color="auto"/>
              <w:bottom w:val="nil" w:sz="6" w:space="0" w:color="auto"/>
              <w:right w:val="nil" w:sz="6" w:space="0" w:color="auto"/>
            </w:tcBorders>
          </w:tcPr>
          <w:p>
            <w:pPr/>
          </w:p>
        </w:tc>
        <w:tc>
          <w:tcPr>
            <w:tcW w:w="225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61" w:right="0"/>
              <w:jc w:val="left"/>
              <w:rPr>
                <w:rFonts w:ascii="Arial" w:hAnsi="Arial" w:cs="Arial" w:eastAsia="Arial" w:hint="default"/>
                <w:sz w:val="22"/>
                <w:szCs w:val="22"/>
              </w:rPr>
            </w:pPr>
            <w:r>
              <w:rPr>
                <w:rFonts w:ascii="Arial"/>
                <w:sz w:val="22"/>
              </w:rPr>
              <w:t>126,460,124</w:t>
            </w:r>
          </w:p>
        </w:tc>
      </w:tr>
      <w:tr>
        <w:trPr>
          <w:trHeight w:val="293" w:hRule="exact"/>
        </w:trPr>
        <w:tc>
          <w:tcPr>
            <w:tcW w:w="4279"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对西班牙电信的股票投资（注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316" w:type="dxa"/>
            <w:tcBorders>
              <w:top w:val="nil" w:sz="6" w:space="0" w:color="auto"/>
              <w:left w:val="nil" w:sz="6" w:space="0" w:color="auto"/>
              <w:bottom w:val="nil" w:sz="6" w:space="0" w:color="auto"/>
              <w:right w:val="nil" w:sz="6" w:space="0" w:color="auto"/>
            </w:tcBorders>
          </w:tcPr>
          <w:p>
            <w:pPr>
              <w:pStyle w:val="TableParagraph"/>
              <w:tabs>
                <w:tab w:pos="778" w:val="left" w:leader="none"/>
                <w:tab w:pos="230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6,837,384,523</w:t>
              <w:tab/>
            </w:r>
            <w:r>
              <w:rPr>
                <w:rFonts w:ascii="Arial"/>
                <w:spacing w:val="-1"/>
                <w:sz w:val="22"/>
              </w:rPr>
            </w:r>
          </w:p>
        </w:tc>
        <w:tc>
          <w:tcPr>
            <w:tcW w:w="256"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tabs>
                <w:tab w:pos="663" w:val="left" w:leader="none"/>
                <w:tab w:pos="2205"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6,087,078,479</w:t>
              <w:tab/>
            </w:r>
            <w:r>
              <w:rPr>
                <w:rFonts w:ascii="Arial"/>
                <w:spacing w:val="-1"/>
                <w:sz w:val="22"/>
              </w:rPr>
            </w:r>
          </w:p>
        </w:tc>
      </w:tr>
      <w:tr>
        <w:trPr>
          <w:trHeight w:val="419" w:hRule="exact"/>
        </w:trPr>
        <w:tc>
          <w:tcPr>
            <w:tcW w:w="4279"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可供出售权益工具小计</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4"/>
              <w:jc w:val="right"/>
              <w:rPr>
                <w:rFonts w:ascii="Arial" w:hAnsi="Arial" w:cs="Arial" w:eastAsia="Arial" w:hint="default"/>
                <w:sz w:val="22"/>
                <w:szCs w:val="22"/>
              </w:rPr>
            </w:pPr>
            <w:r>
              <w:rPr>
                <w:rFonts w:ascii="Arial"/>
                <w:spacing w:val="-1"/>
                <w:sz w:val="22"/>
              </w:rPr>
              <w:t>6,951,106,326</w:t>
            </w:r>
          </w:p>
        </w:tc>
        <w:tc>
          <w:tcPr>
            <w:tcW w:w="256"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77" w:right="0"/>
              <w:jc w:val="left"/>
              <w:rPr>
                <w:rFonts w:ascii="Arial" w:hAnsi="Arial" w:cs="Arial" w:eastAsia="Arial" w:hint="default"/>
                <w:sz w:val="22"/>
                <w:szCs w:val="22"/>
              </w:rPr>
            </w:pPr>
            <w:r>
              <w:rPr>
                <w:rFonts w:ascii="Arial"/>
                <w:sz w:val="22"/>
              </w:rPr>
              <w:t>6,213,538,603</w:t>
            </w:r>
          </w:p>
        </w:tc>
      </w:tr>
      <w:tr>
        <w:trPr>
          <w:trHeight w:val="545" w:hRule="exact"/>
        </w:trPr>
        <w:tc>
          <w:tcPr>
            <w:tcW w:w="427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2"/>
                <w:szCs w:val="22"/>
              </w:rPr>
            </w:pPr>
            <w:r>
              <w:rPr>
                <w:rFonts w:ascii="宋体" w:hAnsi="宋体" w:cs="宋体" w:eastAsia="宋体" w:hint="default"/>
                <w:sz w:val="22"/>
                <w:szCs w:val="22"/>
              </w:rPr>
              <w:t>减：减值准备</w:t>
            </w:r>
          </w:p>
        </w:tc>
        <w:tc>
          <w:tcPr>
            <w:tcW w:w="2316" w:type="dxa"/>
            <w:tcBorders>
              <w:top w:val="nil" w:sz="6" w:space="0" w:color="auto"/>
              <w:left w:val="nil" w:sz="6" w:space="0" w:color="auto"/>
              <w:bottom w:val="nil" w:sz="6" w:space="0" w:color="auto"/>
              <w:right w:val="nil" w:sz="6" w:space="0" w:color="auto"/>
            </w:tcBorders>
          </w:tcPr>
          <w:p>
            <w:pPr>
              <w:pStyle w:val="TableParagraph"/>
              <w:tabs>
                <w:tab w:pos="2111" w:val="left" w:leader="none"/>
                <w:tab w:pos="2301" w:val="left" w:leader="none"/>
              </w:tabs>
              <w:spacing w:line="240" w:lineRule="auto" w:before="143"/>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56"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tabs>
                <w:tab w:pos="1996" w:val="left" w:leader="none"/>
                <w:tab w:pos="2205" w:val="left" w:leader="none"/>
              </w:tabs>
              <w:spacing w:line="240" w:lineRule="auto" w:before="143"/>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31" w:hRule="exact"/>
        </w:trPr>
        <w:tc>
          <w:tcPr>
            <w:tcW w:w="427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1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4"/>
              <w:jc w:val="right"/>
              <w:rPr>
                <w:rFonts w:ascii="Arial" w:hAnsi="Arial" w:cs="Arial" w:eastAsia="Arial" w:hint="default"/>
                <w:sz w:val="22"/>
                <w:szCs w:val="22"/>
              </w:rPr>
            </w:pPr>
            <w:r>
              <w:rPr>
                <w:rFonts w:ascii="Arial"/>
                <w:spacing w:val="-1"/>
                <w:sz w:val="22"/>
              </w:rPr>
              <w:t>6,951,106,326</w:t>
            </w:r>
          </w:p>
        </w:tc>
        <w:tc>
          <w:tcPr>
            <w:tcW w:w="256"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677" w:right="0"/>
              <w:jc w:val="left"/>
              <w:rPr>
                <w:rFonts w:ascii="Arial" w:hAnsi="Arial" w:cs="Arial" w:eastAsia="Arial" w:hint="default"/>
                <w:sz w:val="22"/>
                <w:szCs w:val="22"/>
              </w:rPr>
            </w:pPr>
            <w:r>
              <w:rPr>
                <w:rFonts w:ascii="Arial"/>
                <w:sz w:val="22"/>
              </w:rPr>
              <w:t>6,213,538,603</w:t>
            </w:r>
          </w:p>
        </w:tc>
      </w:tr>
    </w:tbl>
    <w:p>
      <w:pPr>
        <w:spacing w:after="0" w:line="240" w:lineRule="auto"/>
        <w:jc w:val="left"/>
        <w:rPr>
          <w:rFonts w:ascii="Arial" w:hAnsi="Arial" w:cs="Arial" w:eastAsia="Arial" w:hint="default"/>
          <w:sz w:val="22"/>
          <w:szCs w:val="22"/>
        </w:rPr>
        <w:sectPr>
          <w:headerReference w:type="default" r:id="rId92"/>
          <w:pgSz w:w="11900" w:h="16840"/>
          <w:pgMar w:header="1189" w:footer="752" w:top="3040" w:bottom="940" w:left="1240" w:right="880"/>
        </w:sectPr>
      </w:pPr>
    </w:p>
    <w:p>
      <w:pPr>
        <w:spacing w:line="240" w:lineRule="auto" w:before="9"/>
        <w:rPr>
          <w:rFonts w:ascii="宋体" w:hAnsi="宋体" w:cs="宋体" w:eastAsia="宋体" w:hint="default"/>
          <w:sz w:val="16"/>
          <w:szCs w:val="16"/>
        </w:rPr>
      </w:pPr>
    </w:p>
    <w:p>
      <w:pPr>
        <w:pStyle w:val="BodyText"/>
        <w:spacing w:line="240" w:lineRule="auto" w:before="31"/>
        <w:ind w:left="116" w:right="251"/>
        <w:jc w:val="left"/>
      </w:pPr>
      <w:r>
        <w:rPr>
          <w:rFonts w:ascii="Arial" w:hAnsi="Arial" w:cs="Arial" w:eastAsia="Arial" w:hint="default"/>
        </w:rPr>
        <w:t>7</w:t>
      </w:r>
      <w:r>
        <w:rPr/>
        <w:t>、</w:t>
      </w:r>
      <w:r>
        <w:rPr>
          <w:spacing w:val="-51"/>
        </w:rPr>
        <w:t> </w:t>
      </w:r>
      <w:r>
        <w:rPr/>
        <w:t>可供出售金融资产（续）</w:t>
      </w:r>
    </w:p>
    <w:p>
      <w:pPr>
        <w:spacing w:line="240" w:lineRule="auto" w:before="11"/>
        <w:rPr>
          <w:rFonts w:ascii="宋体" w:hAnsi="宋体" w:cs="宋体" w:eastAsia="宋体" w:hint="default"/>
          <w:sz w:val="16"/>
          <w:szCs w:val="16"/>
        </w:rPr>
      </w:pPr>
    </w:p>
    <w:p>
      <w:pPr>
        <w:pStyle w:val="BodyText"/>
        <w:spacing w:line="232" w:lineRule="auto"/>
        <w:ind w:left="1190" w:right="104" w:hanging="666"/>
        <w:jc w:val="both"/>
      </w:pPr>
      <w:r>
        <w:rPr/>
        <w:t>注</w:t>
      </w:r>
      <w:r>
        <w:rPr>
          <w:spacing w:val="22"/>
        </w:rPr>
        <w:t> </w:t>
      </w:r>
      <w:r>
        <w:rPr>
          <w:rFonts w:ascii="Arial" w:hAnsi="Arial" w:cs="Arial" w:eastAsia="Arial" w:hint="default"/>
        </w:rPr>
        <w:t>1</w:t>
      </w:r>
      <w:r>
        <w:rPr/>
        <w:t>：本公司子公司中讯设计院持有的交通银行的股票在上海证券交易所上市交易，故其股票</w:t>
      </w:r>
      <w:r>
        <w:rPr>
          <w:spacing w:val="-108"/>
        </w:rPr>
        <w:t> </w:t>
      </w:r>
      <w:r>
        <w:rPr>
          <w:spacing w:val="-108"/>
        </w:rPr>
      </w:r>
      <w:r>
        <w:rPr/>
        <w:t>有活跃市场之报价，其股票的公允价值也能够可靠计量。另外，本集团并非为短期交易</w:t>
      </w:r>
      <w:r>
        <w:rPr>
          <w:spacing w:val="1"/>
          <w:w w:val="99"/>
        </w:rPr>
        <w:t> </w:t>
      </w:r>
      <w:r>
        <w:rPr/>
        <w:t>目的而持有该股票，所以本集团将持有的对交通银行股票的投资划分为可供出售金融资</w:t>
      </w:r>
      <w:r>
        <w:rPr>
          <w:spacing w:val="1"/>
          <w:w w:val="99"/>
        </w:rPr>
        <w:t> </w:t>
      </w:r>
      <w:r>
        <w:rPr/>
        <w:t>产。</w:t>
      </w:r>
    </w:p>
    <w:p>
      <w:pPr>
        <w:spacing w:line="240" w:lineRule="auto" w:before="9"/>
        <w:rPr>
          <w:rFonts w:ascii="宋体" w:hAnsi="宋体" w:cs="宋体" w:eastAsia="宋体" w:hint="default"/>
          <w:sz w:val="15"/>
          <w:szCs w:val="15"/>
        </w:rPr>
      </w:pPr>
    </w:p>
    <w:p>
      <w:pPr>
        <w:pStyle w:val="BodyText"/>
        <w:spacing w:line="295" w:lineRule="exact"/>
        <w:ind w:left="1190" w:right="0"/>
        <w:jc w:val="left"/>
      </w:pPr>
      <w:r>
        <w:rPr/>
        <w:t>于 </w:t>
      </w:r>
      <w:r>
        <w:rPr>
          <w:rFonts w:ascii="Arial" w:hAnsi="Arial" w:cs="Arial" w:eastAsia="Arial" w:hint="default"/>
        </w:rPr>
        <w:t>2011 </w:t>
      </w:r>
      <w:r>
        <w:rPr/>
        <w:t>年 </w:t>
      </w:r>
      <w:r>
        <w:rPr>
          <w:rFonts w:ascii="Arial" w:hAnsi="Arial" w:cs="Arial" w:eastAsia="Arial" w:hint="default"/>
        </w:rPr>
        <w:t>12 </w:t>
      </w:r>
      <w:r>
        <w:rPr/>
        <w:t>月 </w:t>
      </w:r>
      <w:r>
        <w:rPr>
          <w:rFonts w:ascii="Arial" w:hAnsi="Arial" w:cs="Arial" w:eastAsia="Arial" w:hint="default"/>
        </w:rPr>
        <w:t>31 </w:t>
      </w:r>
      <w:r>
        <w:rPr/>
        <w:t>日，中讯设计院持有交通银行普通股股票 </w:t>
      </w:r>
      <w:r>
        <w:rPr>
          <w:rFonts w:ascii="Arial" w:hAnsi="Arial" w:cs="Arial" w:eastAsia="Arial" w:hint="default"/>
        </w:rPr>
        <w:t>25,384,331  </w:t>
      </w:r>
      <w:r>
        <w:rPr>
          <w:rFonts w:ascii="Arial" w:hAnsi="Arial" w:cs="Arial" w:eastAsia="Arial" w:hint="default"/>
          <w:spacing w:val="8"/>
        </w:rPr>
        <w:t> </w:t>
      </w:r>
      <w:r>
        <w:rPr/>
        <w:t>股，其中</w:t>
      </w:r>
    </w:p>
    <w:p>
      <w:pPr>
        <w:pStyle w:val="BodyText"/>
        <w:spacing w:line="286" w:lineRule="exact"/>
        <w:ind w:left="1190" w:right="0"/>
        <w:jc w:val="left"/>
        <w:rPr>
          <w:rFonts w:ascii="Arial" w:hAnsi="Arial" w:cs="Arial" w:eastAsia="Arial" w:hint="default"/>
        </w:rPr>
      </w:pPr>
      <w:r>
        <w:rPr>
          <w:rFonts w:ascii="Arial" w:hAnsi="Arial" w:cs="Arial" w:eastAsia="Arial" w:hint="default"/>
        </w:rPr>
        <w:t>20,066,665</w:t>
      </w:r>
      <w:r>
        <w:rPr>
          <w:rFonts w:ascii="Arial" w:hAnsi="Arial" w:cs="Arial" w:eastAsia="Arial" w:hint="default"/>
          <w:spacing w:val="-7"/>
        </w:rPr>
        <w:t> </w:t>
      </w:r>
      <w:r>
        <w:rPr/>
        <w:t>股为初始投资，投资成本为每股人民币</w:t>
      </w:r>
      <w:r>
        <w:rPr>
          <w:spacing w:val="-55"/>
        </w:rPr>
        <w:t> </w:t>
      </w:r>
      <w:r>
        <w:rPr>
          <w:rFonts w:ascii="Arial" w:hAnsi="Arial" w:cs="Arial" w:eastAsia="Arial" w:hint="default"/>
        </w:rPr>
        <w:t>1.83</w:t>
      </w:r>
      <w:r>
        <w:rPr>
          <w:rFonts w:ascii="Arial" w:hAnsi="Arial" w:cs="Arial" w:eastAsia="Arial" w:hint="default"/>
          <w:spacing w:val="-6"/>
        </w:rPr>
        <w:t> </w:t>
      </w:r>
      <w:r>
        <w:rPr/>
        <w:t>元；另外</w:t>
      </w:r>
      <w:r>
        <w:rPr>
          <w:spacing w:val="-55"/>
        </w:rPr>
        <w:t> </w:t>
      </w:r>
      <w:r>
        <w:rPr>
          <w:rFonts w:ascii="Arial" w:hAnsi="Arial" w:cs="Arial" w:eastAsia="Arial" w:hint="default"/>
        </w:rPr>
        <w:t>3,010,000</w:t>
      </w:r>
      <w:r>
        <w:rPr>
          <w:rFonts w:ascii="Arial" w:hAnsi="Arial" w:cs="Arial" w:eastAsia="Arial" w:hint="default"/>
          <w:spacing w:val="-6"/>
        </w:rPr>
        <w:t> </w:t>
      </w:r>
      <w:r>
        <w:rPr/>
        <w:t>股为</w:t>
      </w:r>
      <w:r>
        <w:rPr>
          <w:spacing w:val="-55"/>
        </w:rPr>
        <w:t> </w:t>
      </w:r>
      <w:r>
        <w:rPr>
          <w:rFonts w:ascii="Arial" w:hAnsi="Arial" w:cs="Arial" w:eastAsia="Arial" w:hint="default"/>
        </w:rPr>
        <w:t>2010</w:t>
      </w:r>
    </w:p>
    <w:p>
      <w:pPr>
        <w:pStyle w:val="BodyText"/>
        <w:spacing w:line="286" w:lineRule="exact"/>
        <w:ind w:left="1190" w:right="0"/>
        <w:jc w:val="left"/>
      </w:pPr>
      <w:r>
        <w:rPr/>
        <w:t>年度中讯设计院因交通银行配股获得的股份，配股价为每股人民币 </w:t>
      </w:r>
      <w:r>
        <w:rPr>
          <w:rFonts w:ascii="Arial" w:hAnsi="Arial" w:cs="Arial" w:eastAsia="Arial" w:hint="default"/>
        </w:rPr>
        <w:t>4.5</w:t>
      </w:r>
      <w:r>
        <w:rPr>
          <w:rFonts w:ascii="Arial" w:hAnsi="Arial" w:cs="Arial" w:eastAsia="Arial" w:hint="default"/>
          <w:spacing w:val="-1"/>
        </w:rPr>
        <w:t> </w:t>
      </w:r>
      <w:r>
        <w:rPr/>
        <w:t>元；剩余的股份</w:t>
      </w:r>
    </w:p>
    <w:p>
      <w:pPr>
        <w:pStyle w:val="BodyText"/>
        <w:spacing w:line="285" w:lineRule="exact"/>
        <w:ind w:left="1190" w:right="0"/>
        <w:jc w:val="left"/>
      </w:pPr>
      <w:r>
        <w:rPr/>
        <w:t>为</w:t>
      </w:r>
      <w:r>
        <w:rPr>
          <w:spacing w:val="-64"/>
        </w:rPr>
        <w:t> </w:t>
      </w:r>
      <w:r>
        <w:rPr>
          <w:rFonts w:ascii="Arial" w:hAnsi="Arial" w:cs="Arial" w:eastAsia="Arial" w:hint="default"/>
        </w:rPr>
        <w:t>2011</w:t>
      </w:r>
      <w:r>
        <w:rPr>
          <w:rFonts w:ascii="Arial" w:hAnsi="Arial" w:cs="Arial" w:eastAsia="Arial" w:hint="default"/>
          <w:spacing w:val="-15"/>
        </w:rPr>
        <w:t> </w:t>
      </w:r>
      <w:r>
        <w:rPr/>
        <w:t>年度中讯设计院获得的交通银行按每</w:t>
      </w:r>
      <w:r>
        <w:rPr>
          <w:spacing w:val="-63"/>
        </w:rPr>
        <w:t> </w:t>
      </w:r>
      <w:r>
        <w:rPr>
          <w:rFonts w:ascii="Arial" w:hAnsi="Arial" w:cs="Arial" w:eastAsia="Arial" w:hint="default"/>
        </w:rPr>
        <w:t>10</w:t>
      </w:r>
      <w:r>
        <w:rPr>
          <w:rFonts w:ascii="Arial" w:hAnsi="Arial" w:cs="Arial" w:eastAsia="Arial" w:hint="default"/>
          <w:spacing w:val="-15"/>
        </w:rPr>
        <w:t> </w:t>
      </w:r>
      <w:r>
        <w:rPr/>
        <w:t>股送</w:t>
      </w:r>
      <w:r>
        <w:rPr>
          <w:spacing w:val="-64"/>
        </w:rPr>
        <w:t> </w:t>
      </w:r>
      <w:r>
        <w:rPr>
          <w:rFonts w:ascii="Arial" w:hAnsi="Arial" w:cs="Arial" w:eastAsia="Arial" w:hint="default"/>
        </w:rPr>
        <w:t>1</w:t>
      </w:r>
      <w:r>
        <w:rPr>
          <w:rFonts w:ascii="Arial" w:hAnsi="Arial" w:cs="Arial" w:eastAsia="Arial" w:hint="default"/>
          <w:spacing w:val="-15"/>
        </w:rPr>
        <w:t> </w:t>
      </w:r>
      <w:r>
        <w:rPr/>
        <w:t>股的比例向全体股东派发的股票</w:t>
      </w:r>
    </w:p>
    <w:p>
      <w:pPr>
        <w:pStyle w:val="BodyText"/>
        <w:spacing w:line="285" w:lineRule="exact"/>
        <w:ind w:left="1190" w:right="0"/>
        <w:jc w:val="left"/>
        <w:rPr>
          <w:rFonts w:ascii="Arial" w:hAnsi="Arial" w:cs="Arial" w:eastAsia="Arial" w:hint="default"/>
        </w:rPr>
      </w:pPr>
      <w:r>
        <w:rPr/>
        <w:t>股利 </w:t>
      </w:r>
      <w:r>
        <w:rPr>
          <w:rFonts w:ascii="Arial" w:hAnsi="Arial" w:cs="Arial" w:eastAsia="Arial" w:hint="default"/>
        </w:rPr>
        <w:t>2,307,666  </w:t>
      </w:r>
      <w:r>
        <w:rPr/>
        <w:t>股交通银行普通股。中讯设计院年初持有的交通银行股票市价从</w:t>
      </w:r>
      <w:r>
        <w:rPr>
          <w:spacing w:val="-17"/>
        </w:rPr>
        <w:t> </w:t>
      </w:r>
      <w:r>
        <w:rPr>
          <w:rFonts w:ascii="Arial" w:hAnsi="Arial" w:cs="Arial" w:eastAsia="Arial" w:hint="default"/>
        </w:rPr>
        <w:t>2011</w:t>
      </w:r>
    </w:p>
    <w:p>
      <w:pPr>
        <w:pStyle w:val="BodyText"/>
        <w:spacing w:line="286" w:lineRule="exact"/>
        <w:ind w:left="1190" w:right="0"/>
        <w:jc w:val="left"/>
      </w:pPr>
      <w:r>
        <w:rPr>
          <w:w w:val="99"/>
        </w:rPr>
        <w:t>年初每</w:t>
      </w:r>
      <w:r>
        <w:rPr>
          <w:spacing w:val="1"/>
          <w:w w:val="99"/>
        </w:rPr>
        <w:t>股人</w:t>
      </w:r>
      <w:r>
        <w:rPr>
          <w:w w:val="99"/>
        </w:rPr>
        <w:t>民币</w:t>
      </w:r>
      <w:r>
        <w:rPr>
          <w:spacing w:val="-55"/>
        </w:rPr>
        <w:t> </w:t>
      </w:r>
      <w:r>
        <w:rPr>
          <w:rFonts w:ascii="Arial" w:hAnsi="Arial" w:cs="Arial" w:eastAsia="Arial" w:hint="default"/>
          <w:w w:val="99"/>
        </w:rPr>
        <w:t>5.48</w:t>
      </w:r>
      <w:r>
        <w:rPr>
          <w:rFonts w:ascii="Arial" w:hAnsi="Arial" w:cs="Arial" w:eastAsia="Arial" w:hint="default"/>
          <w:spacing w:val="-6"/>
        </w:rPr>
        <w:t> </w:t>
      </w:r>
      <w:r>
        <w:rPr>
          <w:w w:val="99"/>
        </w:rPr>
        <w:t>元下降至</w:t>
      </w:r>
      <w:r>
        <w:rPr>
          <w:spacing w:val="-55"/>
        </w:rPr>
        <w:t> </w:t>
      </w:r>
      <w:r>
        <w:rPr>
          <w:rFonts w:ascii="Arial" w:hAnsi="Arial" w:cs="Arial" w:eastAsia="Arial" w:hint="default"/>
          <w:w w:val="99"/>
        </w:rPr>
        <w:t>20</w:t>
      </w:r>
      <w:r>
        <w:rPr>
          <w:rFonts w:ascii="Arial" w:hAnsi="Arial" w:cs="Arial" w:eastAsia="Arial" w:hint="default"/>
          <w:spacing w:val="1"/>
          <w:w w:val="99"/>
        </w:rPr>
        <w:t>1</w:t>
      </w:r>
      <w:r>
        <w:rPr>
          <w:rFonts w:ascii="Arial" w:hAnsi="Arial" w:cs="Arial" w:eastAsia="Arial" w:hint="default"/>
          <w:w w:val="99"/>
        </w:rPr>
        <w:t>1</w:t>
      </w:r>
      <w:r>
        <w:rPr>
          <w:rFonts w:ascii="Arial" w:hAnsi="Arial" w:cs="Arial" w:eastAsia="Arial" w:hint="default"/>
          <w:spacing w:val="-6"/>
        </w:rPr>
        <w:t> </w:t>
      </w:r>
      <w:r>
        <w:rPr>
          <w:w w:val="99"/>
        </w:rPr>
        <w:t>年末的</w:t>
      </w:r>
      <w:r>
        <w:rPr>
          <w:spacing w:val="1"/>
          <w:w w:val="99"/>
        </w:rPr>
        <w:t>每</w:t>
      </w:r>
      <w:r>
        <w:rPr>
          <w:w w:val="99"/>
        </w:rPr>
        <w:t>股人民币</w:t>
      </w:r>
      <w:r>
        <w:rPr>
          <w:spacing w:val="-55"/>
        </w:rPr>
        <w:t> </w:t>
      </w:r>
      <w:r>
        <w:rPr>
          <w:rFonts w:ascii="Arial" w:hAnsi="Arial" w:cs="Arial" w:eastAsia="Arial" w:hint="default"/>
          <w:w w:val="99"/>
        </w:rPr>
        <w:t>4</w:t>
      </w:r>
      <w:r>
        <w:rPr>
          <w:rFonts w:ascii="Arial" w:hAnsi="Arial" w:cs="Arial" w:eastAsia="Arial" w:hint="default"/>
          <w:spacing w:val="1"/>
          <w:w w:val="99"/>
        </w:rPr>
        <w:t>.</w:t>
      </w:r>
      <w:r>
        <w:rPr>
          <w:rFonts w:ascii="Arial" w:hAnsi="Arial" w:cs="Arial" w:eastAsia="Arial" w:hint="default"/>
          <w:w w:val="99"/>
        </w:rPr>
        <w:t>48</w:t>
      </w:r>
      <w:r>
        <w:rPr>
          <w:rFonts w:ascii="Arial" w:hAnsi="Arial" w:cs="Arial" w:eastAsia="Arial" w:hint="default"/>
          <w:spacing w:val="-6"/>
        </w:rPr>
        <w:t> </w:t>
      </w:r>
      <w:r>
        <w:rPr>
          <w:w w:val="99"/>
        </w:rPr>
        <w:t>元</w:t>
      </w:r>
      <w:r>
        <w:rPr>
          <w:spacing w:val="-94"/>
          <w:w w:val="99"/>
        </w:rPr>
        <w:t>，</w:t>
      </w:r>
      <w:r>
        <w:rPr>
          <w:w w:val="99"/>
        </w:rPr>
        <w:t>导</w:t>
      </w:r>
      <w:r>
        <w:rPr>
          <w:spacing w:val="1"/>
          <w:w w:val="99"/>
        </w:rPr>
        <w:t>致</w:t>
      </w:r>
      <w:r>
        <w:rPr>
          <w:w w:val="99"/>
        </w:rPr>
        <w:t>公允价</w:t>
      </w:r>
      <w:r>
        <w:rPr>
          <w:spacing w:val="1"/>
          <w:w w:val="99"/>
        </w:rPr>
        <w:t>值下</w:t>
      </w:r>
      <w:r>
        <w:rPr>
          <w:w w:val="99"/>
        </w:rPr>
        <w:t>降约人</w:t>
      </w:r>
      <w:r>
        <w:rPr/>
      </w:r>
    </w:p>
    <w:p>
      <w:pPr>
        <w:pStyle w:val="BodyText"/>
        <w:spacing w:line="286" w:lineRule="exact"/>
        <w:ind w:left="1190" w:right="0"/>
        <w:jc w:val="left"/>
      </w:pPr>
      <w:r>
        <w:rPr/>
        <w:t>民币 </w:t>
      </w:r>
      <w:r>
        <w:rPr>
          <w:rFonts w:ascii="Arial" w:hAnsi="Arial" w:cs="Arial" w:eastAsia="Arial" w:hint="default"/>
        </w:rPr>
        <w:t>2,308 </w:t>
      </w:r>
      <w:r>
        <w:rPr/>
        <w:t>万元，与 </w:t>
      </w:r>
      <w:r>
        <w:rPr>
          <w:rFonts w:ascii="Arial" w:hAnsi="Arial" w:cs="Arial" w:eastAsia="Arial" w:hint="default"/>
        </w:rPr>
        <w:t>2011</w:t>
      </w:r>
      <w:r>
        <w:rPr>
          <w:rFonts w:ascii="Arial" w:hAnsi="Arial" w:cs="Arial" w:eastAsia="Arial" w:hint="default"/>
          <w:spacing w:val="-27"/>
        </w:rPr>
        <w:t> </w:t>
      </w:r>
      <w:r>
        <w:rPr/>
        <w:t>年度收到的股票股利根据年末股价确认的投资成本的增加相</w:t>
      </w:r>
    </w:p>
    <w:p>
      <w:pPr>
        <w:pStyle w:val="BodyText"/>
        <w:spacing w:line="285" w:lineRule="exact"/>
        <w:ind w:left="1190" w:right="0"/>
        <w:jc w:val="left"/>
      </w:pPr>
      <w:r>
        <w:rPr/>
        <w:t>抵后，导致可供出售权益工具账面价值余额下降约人民币 </w:t>
      </w:r>
      <w:r>
        <w:rPr>
          <w:rFonts w:ascii="Arial" w:hAnsi="Arial" w:cs="Arial" w:eastAsia="Arial" w:hint="default"/>
        </w:rPr>
        <w:t>1,274</w:t>
      </w:r>
      <w:r>
        <w:rPr>
          <w:rFonts w:ascii="Arial" w:hAnsi="Arial" w:cs="Arial" w:eastAsia="Arial" w:hint="default"/>
          <w:spacing w:val="-26"/>
        </w:rPr>
        <w:t> </w:t>
      </w:r>
      <w:r>
        <w:rPr/>
        <w:t>万元。该等公允价值变</w:t>
      </w:r>
    </w:p>
    <w:p>
      <w:pPr>
        <w:pStyle w:val="BodyText"/>
        <w:spacing w:line="286" w:lineRule="exact" w:before="18"/>
        <w:ind w:left="1190" w:right="92"/>
        <w:jc w:val="left"/>
      </w:pPr>
      <w:r>
        <w:rPr/>
        <w:t>动金额在扣除所得税影响后的净额按持股比例计算约人民币</w:t>
      </w:r>
      <w:r>
        <w:rPr>
          <w:spacing w:val="-55"/>
        </w:rPr>
        <w:t> </w:t>
      </w:r>
      <w:r>
        <w:rPr>
          <w:rFonts w:ascii="Arial" w:hAnsi="Arial" w:cs="Arial" w:eastAsia="Arial" w:hint="default"/>
        </w:rPr>
        <w:t>367</w:t>
      </w:r>
      <w:r>
        <w:rPr>
          <w:rFonts w:ascii="Arial" w:hAnsi="Arial" w:cs="Arial" w:eastAsia="Arial" w:hint="default"/>
          <w:spacing w:val="-6"/>
        </w:rPr>
        <w:t> </w:t>
      </w:r>
      <w:r>
        <w:rPr/>
        <w:t>万元被计入本集团的资</w:t>
      </w:r>
      <w:r>
        <w:rPr>
          <w:w w:val="99"/>
        </w:rPr>
        <w:t> </w:t>
      </w:r>
      <w:r>
        <w:rPr/>
        <w:t>本公积（见附注五</w:t>
      </w:r>
      <w:r>
        <w:rPr>
          <w:rFonts w:ascii="Arial" w:hAnsi="Arial" w:cs="Arial" w:eastAsia="Arial" w:hint="default"/>
        </w:rPr>
        <w:t>(31)</w:t>
      </w:r>
      <w:r>
        <w:rPr/>
        <w:t>）。</w:t>
      </w:r>
    </w:p>
    <w:p>
      <w:pPr>
        <w:spacing w:line="240" w:lineRule="auto" w:before="10"/>
        <w:rPr>
          <w:rFonts w:ascii="宋体" w:hAnsi="宋体" w:cs="宋体" w:eastAsia="宋体" w:hint="default"/>
          <w:sz w:val="15"/>
          <w:szCs w:val="15"/>
        </w:rPr>
      </w:pPr>
    </w:p>
    <w:p>
      <w:pPr>
        <w:pStyle w:val="BodyText"/>
        <w:spacing w:line="286" w:lineRule="exact"/>
        <w:ind w:left="1164" w:right="104" w:hanging="604"/>
        <w:jc w:val="both"/>
      </w:pPr>
      <w:r>
        <w:rPr/>
        <w:t>注</w:t>
      </w:r>
      <w:r>
        <w:rPr>
          <w:spacing w:val="-77"/>
        </w:rPr>
        <w:t> </w:t>
      </w:r>
      <w:r>
        <w:rPr>
          <w:rFonts w:ascii="Arial" w:hAnsi="Arial" w:cs="Arial" w:eastAsia="Arial" w:hint="default"/>
        </w:rPr>
        <w:t>2</w:t>
      </w:r>
      <w:r>
        <w:rPr/>
        <w:t>：如附注二</w:t>
      </w:r>
      <w:r>
        <w:rPr>
          <w:rFonts w:ascii="Arial" w:hAnsi="Arial" w:cs="Arial" w:eastAsia="Arial" w:hint="default"/>
        </w:rPr>
        <w:t>(32)(b)(iii)</w:t>
      </w:r>
      <w:r>
        <w:rPr/>
        <w:t>所述，联通红筹公司持有的西班牙电信股票在马德里证券交易所上市</w:t>
      </w:r>
      <w:r>
        <w:rPr>
          <w:w w:val="99"/>
        </w:rPr>
        <w:t> </w:t>
      </w:r>
      <w:r>
        <w:rPr/>
        <w:t>交易，故其股票有活跃市场之报价，其股票的公允价值也能够可靠计量。另外，本集团</w:t>
      </w:r>
      <w:r>
        <w:rPr>
          <w:w w:val="99"/>
        </w:rPr>
        <w:t> </w:t>
      </w:r>
      <w:r>
        <w:rPr/>
        <w:t>并非为短期交易目的而持有该股票，所以本集团将持有的对西班牙电信股票的投资划分</w:t>
      </w:r>
      <w:r>
        <w:rPr>
          <w:w w:val="99"/>
        </w:rPr>
        <w:t> </w:t>
      </w:r>
      <w:r>
        <w:rPr/>
        <w:t>为非货币性外币可供出售金融资产。其中第一次投资的初始投资成本约人民币 </w:t>
      </w:r>
      <w:r>
        <w:rPr>
          <w:rFonts w:ascii="Arial" w:hAnsi="Arial" w:cs="Arial" w:eastAsia="Arial" w:hint="default"/>
        </w:rPr>
        <w:t>79.52</w:t>
      </w:r>
      <w:r>
        <w:rPr>
          <w:rFonts w:ascii="Arial" w:hAnsi="Arial" w:cs="Arial" w:eastAsia="Arial" w:hint="default"/>
          <w:spacing w:val="1"/>
        </w:rPr>
        <w:t> </w:t>
      </w:r>
      <w:r>
        <w:rPr/>
        <w:t>亿</w:t>
      </w:r>
    </w:p>
    <w:p>
      <w:pPr>
        <w:pStyle w:val="BodyText"/>
        <w:spacing w:line="274" w:lineRule="exact"/>
        <w:ind w:left="1164" w:right="251"/>
        <w:jc w:val="left"/>
      </w:pPr>
      <w:r>
        <w:rPr/>
        <w:t>元，第二次投资的初始投资成本约人民币</w:t>
      </w:r>
      <w:r>
        <w:rPr>
          <w:spacing w:val="-57"/>
        </w:rPr>
        <w:t> </w:t>
      </w:r>
      <w:r>
        <w:rPr>
          <w:rFonts w:ascii="Arial" w:hAnsi="Arial" w:cs="Arial" w:eastAsia="Arial" w:hint="default"/>
        </w:rPr>
        <w:t>33.67</w:t>
      </w:r>
      <w:r>
        <w:rPr>
          <w:rFonts w:ascii="Arial" w:hAnsi="Arial" w:cs="Arial" w:eastAsia="Arial" w:hint="default"/>
          <w:spacing w:val="-8"/>
        </w:rPr>
        <w:t> </w:t>
      </w:r>
      <w:r>
        <w:rPr/>
        <w:t>亿元。</w:t>
      </w:r>
    </w:p>
    <w:p>
      <w:pPr>
        <w:pStyle w:val="BodyText"/>
        <w:spacing w:line="294" w:lineRule="exact" w:before="189"/>
        <w:ind w:left="1190" w:right="0"/>
        <w:jc w:val="left"/>
      </w:pPr>
      <w:r>
        <w:rPr/>
        <w:t>于 </w:t>
      </w:r>
      <w:r>
        <w:rPr>
          <w:rFonts w:ascii="Arial" w:hAnsi="Arial" w:cs="Arial" w:eastAsia="Arial" w:hint="default"/>
        </w:rPr>
        <w:t>2011</w:t>
      </w:r>
      <w:r>
        <w:rPr>
          <w:rFonts w:ascii="Arial" w:hAnsi="Arial" w:cs="Arial" w:eastAsia="Arial" w:hint="default"/>
          <w:spacing w:val="36"/>
        </w:rPr>
        <w:t> </w:t>
      </w:r>
      <w:r>
        <w:rPr/>
        <w:t>年度，该可供出售权益工具第一次投资的账面价值受股价及汇率影响由期初的</w:t>
      </w:r>
    </w:p>
    <w:p>
      <w:pPr>
        <w:pStyle w:val="BodyText"/>
        <w:spacing w:line="285" w:lineRule="exact"/>
        <w:ind w:left="1190" w:right="0"/>
        <w:jc w:val="left"/>
      </w:pPr>
      <w:r>
        <w:rPr/>
        <w:t>约人民币</w:t>
      </w:r>
      <w:r>
        <w:rPr>
          <w:spacing w:val="-47"/>
        </w:rPr>
        <w:t> </w:t>
      </w:r>
      <w:r>
        <w:rPr>
          <w:rFonts w:ascii="Arial" w:hAnsi="Arial" w:cs="Arial" w:eastAsia="Arial" w:hint="default"/>
        </w:rPr>
        <w:t>60.87</w:t>
      </w:r>
      <w:r>
        <w:rPr>
          <w:rFonts w:ascii="Arial" w:hAnsi="Arial" w:cs="Arial" w:eastAsia="Arial" w:hint="default"/>
          <w:spacing w:val="3"/>
        </w:rPr>
        <w:t> </w:t>
      </w:r>
      <w:r>
        <w:rPr/>
        <w:t>亿元下降至约人民币</w:t>
      </w:r>
      <w:r>
        <w:rPr>
          <w:spacing w:val="-47"/>
        </w:rPr>
        <w:t> </w:t>
      </w:r>
      <w:r>
        <w:rPr>
          <w:rFonts w:ascii="Arial" w:hAnsi="Arial" w:cs="Arial" w:eastAsia="Arial" w:hint="default"/>
        </w:rPr>
        <w:t>44.52</w:t>
      </w:r>
      <w:r>
        <w:rPr>
          <w:rFonts w:ascii="Arial" w:hAnsi="Arial" w:cs="Arial" w:eastAsia="Arial" w:hint="default"/>
          <w:spacing w:val="3"/>
        </w:rPr>
        <w:t> </w:t>
      </w:r>
      <w:r>
        <w:rPr/>
        <w:t>亿元，第二次投资的账面价值受股价及汇率</w:t>
      </w:r>
    </w:p>
    <w:p>
      <w:pPr>
        <w:pStyle w:val="BodyText"/>
        <w:spacing w:line="286" w:lineRule="exact"/>
        <w:ind w:left="1190" w:right="0"/>
        <w:jc w:val="left"/>
      </w:pPr>
      <w:r>
        <w:rPr/>
        <w:t>影响由第二次投资交易完成日的约人民币</w:t>
      </w:r>
      <w:r>
        <w:rPr>
          <w:spacing w:val="-47"/>
        </w:rPr>
        <w:t> </w:t>
      </w:r>
      <w:r>
        <w:rPr>
          <w:rFonts w:ascii="Arial" w:hAnsi="Arial" w:cs="Arial" w:eastAsia="Arial" w:hint="default"/>
        </w:rPr>
        <w:t>33.67</w:t>
      </w:r>
      <w:r>
        <w:rPr>
          <w:rFonts w:ascii="Arial" w:hAnsi="Arial" w:cs="Arial" w:eastAsia="Arial" w:hint="default"/>
          <w:spacing w:val="2"/>
        </w:rPr>
        <w:t> </w:t>
      </w:r>
      <w:r>
        <w:rPr/>
        <w:t>亿元下降至约人民币</w:t>
      </w:r>
      <w:r>
        <w:rPr>
          <w:spacing w:val="-47"/>
        </w:rPr>
        <w:t> </w:t>
      </w:r>
      <w:r>
        <w:rPr>
          <w:rFonts w:ascii="Arial" w:hAnsi="Arial" w:cs="Arial" w:eastAsia="Arial" w:hint="default"/>
        </w:rPr>
        <w:t>23.85</w:t>
      </w:r>
      <w:r>
        <w:rPr>
          <w:rFonts w:ascii="Arial" w:hAnsi="Arial" w:cs="Arial" w:eastAsia="Arial" w:hint="default"/>
          <w:spacing w:val="2"/>
        </w:rPr>
        <w:t> </w:t>
      </w:r>
      <w:r>
        <w:rPr/>
        <w:t>亿元，由此</w:t>
      </w:r>
    </w:p>
    <w:p>
      <w:pPr>
        <w:pStyle w:val="BodyText"/>
        <w:spacing w:line="286" w:lineRule="exact"/>
        <w:ind w:left="1190" w:right="0"/>
        <w:jc w:val="left"/>
      </w:pPr>
      <w:r>
        <w:rPr/>
        <w:t>合计产生公允价值变动损失约人民币 </w:t>
      </w:r>
      <w:r>
        <w:rPr>
          <w:rFonts w:ascii="Arial" w:hAnsi="Arial" w:cs="Arial" w:eastAsia="Arial" w:hint="default"/>
        </w:rPr>
        <w:t>26.17</w:t>
      </w:r>
      <w:r>
        <w:rPr>
          <w:rFonts w:ascii="Arial" w:hAnsi="Arial" w:cs="Arial" w:eastAsia="Arial" w:hint="default"/>
          <w:spacing w:val="-26"/>
        </w:rPr>
        <w:t> </w:t>
      </w:r>
      <w:r>
        <w:rPr/>
        <w:t>亿元，扣除所得税影响后的净额按持股比例</w:t>
      </w:r>
    </w:p>
    <w:p>
      <w:pPr>
        <w:pStyle w:val="BodyText"/>
        <w:spacing w:line="295" w:lineRule="exact"/>
        <w:ind w:left="1190" w:right="251"/>
        <w:jc w:val="left"/>
      </w:pPr>
      <w:r>
        <w:rPr/>
        <w:t>计算约人民币</w:t>
      </w:r>
      <w:r>
        <w:rPr>
          <w:spacing w:val="-57"/>
        </w:rPr>
        <w:t> </w:t>
      </w:r>
      <w:r>
        <w:rPr>
          <w:rFonts w:ascii="Arial" w:hAnsi="Arial" w:cs="Arial" w:eastAsia="Arial" w:hint="default"/>
        </w:rPr>
        <w:t>6.65</w:t>
      </w:r>
      <w:r>
        <w:rPr>
          <w:rFonts w:ascii="Arial" w:hAnsi="Arial" w:cs="Arial" w:eastAsia="Arial" w:hint="default"/>
          <w:spacing w:val="-8"/>
        </w:rPr>
        <w:t> </w:t>
      </w:r>
      <w:r>
        <w:rPr/>
        <w:t>亿元被计入本集团资本公积项下（见附注五</w:t>
      </w:r>
      <w:r>
        <w:rPr>
          <w:rFonts w:ascii="Arial" w:hAnsi="Arial" w:cs="Arial" w:eastAsia="Arial" w:hint="default"/>
        </w:rPr>
        <w:t>(31)</w:t>
      </w:r>
      <w:r>
        <w:rPr/>
        <w:t>）。</w:t>
      </w:r>
    </w:p>
    <w:p>
      <w:pPr>
        <w:pStyle w:val="BodyText"/>
        <w:spacing w:line="240" w:lineRule="auto" w:before="188"/>
        <w:ind w:left="130" w:right="251"/>
        <w:jc w:val="left"/>
      </w:pPr>
      <w:r>
        <w:rPr>
          <w:rFonts w:ascii="Arial" w:hAnsi="Arial" w:cs="Arial" w:eastAsia="Arial" w:hint="default"/>
        </w:rPr>
        <w:t>8</w:t>
      </w:r>
      <w:r>
        <w:rPr/>
        <w:t>、长期股权投资</w:t>
      </w:r>
    </w:p>
    <w:p>
      <w:pPr>
        <w:pStyle w:val="BodyText"/>
        <w:tabs>
          <w:tab w:pos="7515" w:val="left" w:leader="none"/>
        </w:tabs>
        <w:spacing w:line="240" w:lineRule="auto" w:before="188"/>
        <w:ind w:left="4700"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tabs>
          <w:tab w:pos="7108" w:val="left" w:leader="none"/>
        </w:tabs>
        <w:spacing w:line="20" w:lineRule="exact"/>
        <w:ind w:left="4001" w:right="0" w:firstLine="0"/>
        <w:rPr>
          <w:rFonts w:ascii="宋体" w:hAnsi="宋体" w:cs="宋体" w:eastAsia="宋体" w:hint="default"/>
          <w:sz w:val="2"/>
          <w:szCs w:val="2"/>
        </w:rPr>
      </w:pPr>
      <w:r>
        <w:rPr>
          <w:rFonts w:ascii="宋体"/>
          <w:sz w:val="2"/>
        </w:rPr>
        <w:pict>
          <v:group style="width:136.5pt;height:.75pt;mso-position-horizontal-relative:char;mso-position-vertical-relative:line" coordorigin="0,0" coordsize="2730,15">
            <v:group style="position:absolute;left:7;top:7;width:2716;height:2" coordorigin="7,7" coordsize="2716,2">
              <v:shape style="position:absolute;left:7;top:7;width:2716;height:2" coordorigin="7,7" coordsize="2716,0" path="m7,7l2723,7e" filled="false" stroked="true" strokeweight=".72pt" strokecolor="#000000">
                <v:path arrowok="t"/>
              </v:shape>
            </v:group>
          </v:group>
        </w:pict>
      </w:r>
      <w:r>
        <w:rPr>
          <w:rFonts w:ascii="宋体"/>
          <w:sz w:val="2"/>
        </w:rPr>
      </w:r>
      <w:r>
        <w:rPr>
          <w:rFonts w:ascii="宋体"/>
          <w:sz w:val="2"/>
        </w:rPr>
        <w:tab/>
      </w:r>
      <w:r>
        <w:rPr>
          <w:rFonts w:ascii="宋体"/>
          <w:sz w:val="2"/>
        </w:rPr>
        <w:pict>
          <v:group style="width:121.9pt;height:.75pt;mso-position-horizontal-relative:char;mso-position-vertical-relative:line" coordorigin="0,0" coordsize="2438,15">
            <v:group style="position:absolute;left:7;top:7;width:2423;height:2" coordorigin="7,7" coordsize="2423,2">
              <v:shape style="position:absolute;left:7;top:7;width:2423;height:2" coordorigin="7,7" coordsize="2423,0" path="m7,7l2430,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5"/>
          <w:szCs w:val="15"/>
        </w:rPr>
      </w:pPr>
    </w:p>
    <w:p>
      <w:pPr>
        <w:pStyle w:val="BodyText"/>
        <w:tabs>
          <w:tab w:pos="6500" w:val="left" w:leader="none"/>
          <w:tab w:pos="8255" w:val="left" w:leader="none"/>
        </w:tabs>
        <w:spacing w:line="305" w:lineRule="exact" w:before="27"/>
        <w:ind w:left="454" w:right="251"/>
        <w:jc w:val="left"/>
        <w:rPr>
          <w:rFonts w:ascii="Arial" w:hAnsi="Arial" w:cs="Arial" w:eastAsia="Arial" w:hint="default"/>
        </w:rPr>
      </w:pPr>
      <w:r>
        <w:rPr>
          <w:w w:val="95"/>
          <w:position w:val="2"/>
        </w:rPr>
        <w:t>合营企业</w:t>
      </w:r>
      <w:r>
        <w:rPr>
          <w:rFonts w:ascii="Arial" w:hAnsi="Arial" w:cs="Arial" w:eastAsia="Arial" w:hint="default"/>
          <w:w w:val="95"/>
          <w:position w:val="2"/>
        </w:rPr>
        <w:t>(a)</w:t>
        <w:tab/>
      </w:r>
      <w:r>
        <w:rPr>
          <w:rFonts w:ascii="Arial" w:hAnsi="Arial" w:cs="Arial" w:eastAsia="Arial" w:hint="default"/>
          <w:w w:val="95"/>
        </w:rPr>
        <w:t>-</w:t>
        <w:tab/>
      </w:r>
      <w:r>
        <w:rPr>
          <w:rFonts w:ascii="Arial" w:hAnsi="Arial" w:cs="Arial" w:eastAsia="Arial" w:hint="default"/>
        </w:rPr>
        <w:t>24,983,553</w:t>
      </w:r>
    </w:p>
    <w:p>
      <w:pPr>
        <w:pStyle w:val="BodyText"/>
        <w:tabs>
          <w:tab w:pos="5472" w:val="left" w:leader="none"/>
          <w:tab w:pos="9283" w:val="left" w:leader="none"/>
        </w:tabs>
        <w:spacing w:line="286" w:lineRule="exact"/>
        <w:ind w:left="453" w:right="251"/>
        <w:jc w:val="left"/>
        <w:rPr>
          <w:rFonts w:ascii="Arial" w:hAnsi="Arial" w:cs="Arial" w:eastAsia="Arial" w:hint="default"/>
        </w:rPr>
      </w:pPr>
      <w:r>
        <w:rPr>
          <w:w w:val="95"/>
          <w:position w:val="2"/>
        </w:rPr>
        <w:t>联营企业</w:t>
      </w:r>
      <w:r>
        <w:rPr>
          <w:rFonts w:ascii="Arial" w:hAnsi="Arial" w:cs="Arial" w:eastAsia="Arial" w:hint="default"/>
          <w:w w:val="95"/>
          <w:position w:val="2"/>
        </w:rPr>
        <w:t>(a)</w:t>
        <w:tab/>
      </w:r>
      <w:r>
        <w:rPr>
          <w:rFonts w:ascii="Arial" w:hAnsi="Arial" w:cs="Arial" w:eastAsia="Arial" w:hint="default"/>
          <w:w w:val="95"/>
        </w:rPr>
        <w:t>23,735,217</w:t>
        <w:tab/>
      </w:r>
      <w:r>
        <w:rPr>
          <w:rFonts w:ascii="Arial" w:hAnsi="Arial" w:cs="Arial" w:eastAsia="Arial" w:hint="default"/>
        </w:rPr>
        <w:t>-</w:t>
      </w:r>
    </w:p>
    <w:p>
      <w:pPr>
        <w:pStyle w:val="BodyText"/>
        <w:tabs>
          <w:tab w:pos="4008" w:val="left" w:leader="none"/>
          <w:tab w:pos="5472" w:val="left" w:leader="none"/>
          <w:tab w:pos="7115" w:val="left" w:leader="none"/>
          <w:tab w:pos="8254" w:val="left" w:leader="none"/>
          <w:tab w:pos="9537" w:val="left" w:leader="none"/>
        </w:tabs>
        <w:spacing w:line="305" w:lineRule="exact"/>
        <w:ind w:left="454" w:right="251"/>
        <w:jc w:val="left"/>
        <w:rPr>
          <w:rFonts w:ascii="Arial" w:hAnsi="Arial" w:cs="Arial" w:eastAsia="Arial" w:hint="default"/>
        </w:rPr>
      </w:pPr>
      <w:r>
        <w:rPr>
          <w:w w:val="95"/>
          <w:position w:val="2"/>
        </w:rPr>
        <w:t>其他长期股权投资</w:t>
      </w:r>
      <w:r>
        <w:rPr>
          <w:rFonts w:ascii="Arial" w:hAnsi="Arial" w:cs="Arial" w:eastAsia="Arial" w:hint="default"/>
          <w:w w:val="95"/>
          <w:position w:val="2"/>
        </w:rPr>
        <w:t>(b)</w:t>
        <w:tab/>
      </w:r>
      <w:r>
        <w:rPr>
          <w:rFonts w:ascii="Arial" w:hAnsi="Arial" w:cs="Arial" w:eastAsia="Arial" w:hint="default"/>
          <w:w w:val="95"/>
        </w:rPr>
      </w:r>
      <w:r>
        <w:rPr>
          <w:rFonts w:ascii="Arial" w:hAnsi="Arial" w:cs="Arial" w:eastAsia="Arial" w:hint="default"/>
          <w:w w:val="95"/>
          <w:u w:val="single" w:color="000000"/>
        </w:rPr>
        <w:t> </w:t>
        <w:tab/>
        <w:t>23,730,271</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22,730,271</w:t>
        <w:tab/>
      </w:r>
      <w:r>
        <w:rPr>
          <w:rFonts w:ascii="Arial" w:hAnsi="Arial" w:cs="Arial" w:eastAsia="Arial" w:hint="default"/>
        </w:rPr>
      </w:r>
    </w:p>
    <w:p>
      <w:pPr>
        <w:pStyle w:val="BodyText"/>
        <w:tabs>
          <w:tab w:pos="8254" w:val="left" w:leader="none"/>
        </w:tabs>
        <w:spacing w:line="240" w:lineRule="auto" w:before="14"/>
        <w:ind w:left="5472" w:right="251"/>
        <w:jc w:val="left"/>
        <w:rPr>
          <w:rFonts w:ascii="Arial" w:hAnsi="Arial" w:cs="Arial" w:eastAsia="Arial" w:hint="default"/>
        </w:rPr>
      </w:pPr>
      <w:r>
        <w:rPr>
          <w:rFonts w:ascii="Arial"/>
          <w:w w:val="95"/>
        </w:rPr>
        <w:t>47,465,488</w:t>
        <w:tab/>
      </w:r>
      <w:r>
        <w:rPr>
          <w:rFonts w:ascii="Arial"/>
        </w:rPr>
        <w:t>47,713,824</w:t>
      </w:r>
    </w:p>
    <w:p>
      <w:pPr>
        <w:spacing w:line="240" w:lineRule="auto" w:before="4"/>
        <w:rPr>
          <w:rFonts w:ascii="Arial" w:hAnsi="Arial" w:cs="Arial" w:eastAsia="Arial" w:hint="default"/>
          <w:sz w:val="16"/>
          <w:szCs w:val="16"/>
        </w:rPr>
      </w:pPr>
    </w:p>
    <w:p>
      <w:pPr>
        <w:pStyle w:val="BodyText"/>
        <w:tabs>
          <w:tab w:pos="4008" w:val="left" w:leader="none"/>
          <w:tab w:pos="6500" w:val="left" w:leader="none"/>
          <w:tab w:pos="7115" w:val="left" w:leader="none"/>
          <w:tab w:pos="9283" w:val="left" w:leader="none"/>
          <w:tab w:pos="9537" w:val="left" w:leader="none"/>
        </w:tabs>
        <w:spacing w:line="240" w:lineRule="auto" w:before="27"/>
        <w:ind w:left="454" w:right="251"/>
        <w:jc w:val="left"/>
        <w:rPr>
          <w:rFonts w:ascii="Arial" w:hAnsi="Arial" w:cs="Arial" w:eastAsia="Arial" w:hint="default"/>
        </w:rPr>
      </w:pPr>
      <w:r>
        <w:rPr>
          <w:w w:val="95"/>
          <w:position w:val="2"/>
        </w:rPr>
        <w:t>减：长期股权投资减值准备</w:t>
        <w:tab/>
      </w:r>
      <w:r>
        <w:rPr>
          <w:rFonts w:ascii="Arial" w:hAnsi="Arial" w:cs="Arial" w:eastAsia="Arial" w:hint="default"/>
          <w:w w:val="95"/>
        </w:rPr>
      </w:r>
      <w:r>
        <w:rPr>
          <w:rFonts w:ascii="Arial" w:hAnsi="Arial" w:cs="Arial" w:eastAsia="Arial" w:hint="default"/>
          <w:w w:val="95"/>
          <w:u w:val="single" w:color="000000"/>
        </w:rPr>
        <w:t> </w:t>
        <w:tab/>
        <w:t>-</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472" w:val="left" w:leader="none"/>
          <w:tab w:pos="8254" w:val="left" w:leader="none"/>
        </w:tabs>
        <w:spacing w:line="240" w:lineRule="auto" w:before="27"/>
        <w:ind w:left="454" w:right="251"/>
        <w:jc w:val="left"/>
        <w:rPr>
          <w:rFonts w:ascii="Arial" w:hAnsi="Arial" w:cs="Arial" w:eastAsia="Arial" w:hint="default"/>
        </w:rPr>
      </w:pPr>
      <w:r>
        <w:rPr>
          <w:w w:val="95"/>
          <w:position w:val="2"/>
        </w:rPr>
        <w:t>合计</w:t>
        <w:tab/>
      </w:r>
      <w:r>
        <w:rPr>
          <w:rFonts w:ascii="Arial" w:hAnsi="Arial" w:cs="Arial" w:eastAsia="Arial" w:hint="default"/>
          <w:w w:val="95"/>
        </w:rPr>
        <w:t>47,465,488</w:t>
        <w:tab/>
      </w:r>
      <w:r>
        <w:rPr>
          <w:rFonts w:ascii="Arial" w:hAnsi="Arial" w:cs="Arial" w:eastAsia="Arial" w:hint="default"/>
        </w:rPr>
        <w:t>47,713,824</w:t>
      </w:r>
    </w:p>
    <w:p>
      <w:pPr>
        <w:tabs>
          <w:tab w:pos="7093" w:val="left" w:leader="none"/>
        </w:tabs>
        <w:spacing w:line="43" w:lineRule="exact"/>
        <w:ind w:left="3986" w:right="0" w:firstLine="0"/>
        <w:rPr>
          <w:rFonts w:ascii="Arial" w:hAnsi="Arial" w:cs="Arial" w:eastAsia="Arial" w:hint="default"/>
          <w:sz w:val="4"/>
          <w:szCs w:val="4"/>
        </w:rPr>
      </w:pPr>
      <w:r>
        <w:rPr>
          <w:rFonts w:ascii="Arial"/>
          <w:position w:val="0"/>
          <w:sz w:val="4"/>
        </w:rPr>
        <w:pict>
          <v:group style="width:137.25pt;height:2.2pt;mso-position-horizontal-relative:char;mso-position-vertical-relative:line" coordorigin="0,0" coordsize="2745,44">
            <v:group style="position:absolute;left:7;top:36;width:2730;height:2" coordorigin="7,36" coordsize="2730,2">
              <v:shape style="position:absolute;left:7;top:36;width:2730;height:2" coordorigin="7,36" coordsize="2730,0" path="m7,36l2737,36e" filled="false" stroked="true" strokeweight=".72pt" strokecolor="#000000">
                <v:path arrowok="t"/>
              </v:shape>
            </v:group>
            <v:group style="position:absolute;left:7;top:7;width:2730;height:2" coordorigin="7,7" coordsize="2730,2">
              <v:shape style="position:absolute;left:7;top:7;width:2730;height:2" coordorigin="7,7" coordsize="2730,0" path="m7,7l2737,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22.6pt;height:2.2pt;mso-position-horizontal-relative:char;mso-position-vertical-relative:line" coordorigin="0,0" coordsize="2452,44">
            <v:group style="position:absolute;left:7;top:36;width:2438;height:2" coordorigin="7,36" coordsize="2438,2">
              <v:shape style="position:absolute;left:7;top:36;width:2438;height:2" coordorigin="7,36" coordsize="2438,0" path="m7,36l2444,36e" filled="false" stroked="true" strokeweight=".72pt" strokecolor="#000000">
                <v:path arrowok="t"/>
              </v:shape>
            </v:group>
            <v:group style="position:absolute;left:7;top:7;width:2438;height:2" coordorigin="7,7" coordsize="2438,2">
              <v:shape style="position:absolute;left:7;top:7;width:2438;height:2" coordorigin="7,7" coordsize="2438,0" path="m7,7l2444,7e" filled="false" stroked="true" strokeweight=".72pt" strokecolor="#000000">
                <v:path arrowok="t"/>
              </v:shape>
            </v:group>
          </v:group>
        </w:pict>
      </w:r>
      <w:r>
        <w:rPr>
          <w:rFonts w:ascii="Arial"/>
          <w:position w:val="0"/>
          <w:sz w:val="4"/>
        </w:rPr>
      </w:r>
    </w:p>
    <w:p>
      <w:pPr>
        <w:spacing w:line="240" w:lineRule="auto" w:before="6"/>
        <w:rPr>
          <w:rFonts w:ascii="Arial" w:hAnsi="Arial" w:cs="Arial" w:eastAsia="Arial" w:hint="default"/>
          <w:sz w:val="12"/>
          <w:szCs w:val="12"/>
        </w:rPr>
      </w:pPr>
    </w:p>
    <w:p>
      <w:pPr>
        <w:pStyle w:val="BodyText"/>
        <w:spacing w:line="240" w:lineRule="auto" w:before="31"/>
        <w:ind w:left="438" w:right="251"/>
        <w:jc w:val="left"/>
      </w:pPr>
      <w:r>
        <w:rPr/>
        <w:t>本集团不存在长期股权投资变现的重大限制。</w:t>
      </w:r>
    </w:p>
    <w:p>
      <w:pPr>
        <w:spacing w:after="0" w:line="240" w:lineRule="auto"/>
        <w:jc w:val="left"/>
        <w:sectPr>
          <w:headerReference w:type="default" r:id="rId93"/>
          <w:pgSz w:w="11900" w:h="16840"/>
          <w:pgMar w:header="1189" w:footer="752" w:top="3040" w:bottom="940" w:left="1280" w:right="920"/>
        </w:sectPr>
      </w:pPr>
    </w:p>
    <w:p>
      <w:pPr>
        <w:spacing w:line="240" w:lineRule="auto" w:before="1"/>
        <w:rPr>
          <w:rFonts w:ascii="宋体" w:hAnsi="宋体" w:cs="宋体" w:eastAsia="宋体" w:hint="default"/>
          <w:sz w:val="15"/>
          <w:szCs w:val="15"/>
        </w:rPr>
      </w:pPr>
    </w:p>
    <w:p>
      <w:pPr>
        <w:pStyle w:val="BodyText"/>
        <w:spacing w:line="240" w:lineRule="auto" w:before="31"/>
        <w:ind w:left="143" w:right="0"/>
        <w:jc w:val="left"/>
      </w:pPr>
      <w:r>
        <w:rPr>
          <w:rFonts w:ascii="Arial" w:hAnsi="Arial" w:cs="Arial" w:eastAsia="Arial" w:hint="default"/>
        </w:rPr>
        <w:t>(a)</w:t>
      </w:r>
      <w:r>
        <w:rPr>
          <w:rFonts w:ascii="Arial" w:hAnsi="Arial" w:cs="Arial" w:eastAsia="Arial" w:hint="default"/>
          <w:spacing w:val="49"/>
        </w:rPr>
        <w:t> </w:t>
      </w:r>
      <w:r>
        <w:rPr/>
        <w:t>联营企业</w:t>
      </w:r>
      <w:r>
        <w:rPr>
          <w:rFonts w:ascii="Arial" w:hAnsi="Arial" w:cs="Arial" w:eastAsia="Arial" w:hint="default"/>
        </w:rPr>
        <w:t>/</w:t>
      </w:r>
      <w:r>
        <w:rPr/>
        <w:t>合营企业</w:t>
      </w:r>
    </w:p>
    <w:p>
      <w:pPr>
        <w:spacing w:line="240" w:lineRule="auto" w:before="12"/>
        <w:rPr>
          <w:rFonts w:ascii="宋体" w:hAnsi="宋体" w:cs="宋体" w:eastAsia="宋体" w:hint="default"/>
          <w:sz w:val="14"/>
          <w:szCs w:val="14"/>
        </w:rPr>
      </w:pPr>
    </w:p>
    <w:tbl>
      <w:tblPr>
        <w:tblW w:w="0" w:type="auto"/>
        <w:jc w:val="left"/>
        <w:tblInd w:w="5250" w:type="dxa"/>
        <w:tblLayout w:type="fixed"/>
        <w:tblCellMar>
          <w:top w:w="0" w:type="dxa"/>
          <w:left w:w="0" w:type="dxa"/>
          <w:bottom w:w="0" w:type="dxa"/>
          <w:right w:w="0" w:type="dxa"/>
        </w:tblCellMar>
        <w:tblLook w:val="01E0"/>
      </w:tblPr>
      <w:tblGrid>
        <w:gridCol w:w="771"/>
        <w:gridCol w:w="948"/>
        <w:gridCol w:w="2105"/>
        <w:gridCol w:w="681"/>
        <w:gridCol w:w="1168"/>
        <w:gridCol w:w="532"/>
        <w:gridCol w:w="675"/>
        <w:gridCol w:w="1737"/>
        <w:gridCol w:w="1340"/>
      </w:tblGrid>
      <w:tr>
        <w:trPr>
          <w:trHeight w:val="322" w:hRule="exact"/>
        </w:trPr>
        <w:tc>
          <w:tcPr>
            <w:tcW w:w="1719" w:type="dxa"/>
            <w:gridSpan w:val="2"/>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681" w:type="dxa"/>
            <w:tcBorders>
              <w:top w:val="nil" w:sz="6" w:space="0" w:color="auto"/>
              <w:left w:val="nil" w:sz="6" w:space="0" w:color="auto"/>
              <w:bottom w:val="single" w:sz="6" w:space="0" w:color="000000"/>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2"/>
              <w:jc w:val="right"/>
              <w:rPr>
                <w:rFonts w:ascii="宋体" w:hAnsi="宋体" w:cs="宋体" w:eastAsia="宋体" w:hint="default"/>
                <w:sz w:val="18"/>
                <w:szCs w:val="18"/>
              </w:rPr>
            </w:pPr>
            <w:r>
              <w:rPr>
                <w:rFonts w:ascii="宋体" w:hAnsi="宋体" w:cs="宋体" w:eastAsia="宋体" w:hint="default"/>
                <w:sz w:val="18"/>
                <w:szCs w:val="18"/>
              </w:rPr>
              <w:t>持股</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
              <w:jc w:val="right"/>
              <w:rPr>
                <w:rFonts w:ascii="宋体" w:hAnsi="宋体" w:cs="宋体" w:eastAsia="宋体" w:hint="default"/>
                <w:sz w:val="18"/>
                <w:szCs w:val="18"/>
              </w:rPr>
            </w:pPr>
            <w:r>
              <w:rPr>
                <w:rFonts w:ascii="宋体" w:hAnsi="宋体" w:cs="宋体" w:eastAsia="宋体" w:hint="default"/>
                <w:sz w:val="18"/>
                <w:szCs w:val="18"/>
              </w:rPr>
              <w:t>表决权</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1" w:right="0"/>
              <w:jc w:val="left"/>
              <w:rPr>
                <w:rFonts w:ascii="宋体" w:hAnsi="宋体" w:cs="宋体" w:eastAsia="宋体" w:hint="default"/>
                <w:sz w:val="18"/>
                <w:szCs w:val="18"/>
              </w:rPr>
            </w:pPr>
            <w:r>
              <w:rPr>
                <w:rFonts w:ascii="宋体" w:hAnsi="宋体" w:cs="宋体" w:eastAsia="宋体" w:hint="default"/>
                <w:sz w:val="18"/>
                <w:szCs w:val="18"/>
              </w:rPr>
              <w:t>持股比例与表</w:t>
            </w:r>
          </w:p>
        </w:tc>
        <w:tc>
          <w:tcPr>
            <w:tcW w:w="1340" w:type="dxa"/>
            <w:tcBorders>
              <w:top w:val="nil" w:sz="6" w:space="0" w:color="auto"/>
              <w:left w:val="nil" w:sz="6" w:space="0" w:color="auto"/>
              <w:bottom w:val="nil" w:sz="6" w:space="0" w:color="auto"/>
              <w:right w:val="nil" w:sz="6" w:space="0" w:color="auto"/>
            </w:tcBorders>
          </w:tcPr>
          <w:p>
            <w:pPr/>
          </w:p>
        </w:tc>
      </w:tr>
      <w:tr>
        <w:trPr>
          <w:trHeight w:val="233"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948" w:type="dxa"/>
            <w:tcBorders>
              <w:top w:val="single" w:sz="6" w:space="0" w:color="000000"/>
              <w:left w:val="nil" w:sz="6" w:space="0" w:color="auto"/>
              <w:bottom w:val="nil" w:sz="6" w:space="0" w:color="auto"/>
              <w:right w:val="nil" w:sz="6" w:space="0" w:color="auto"/>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追加或</w:t>
            </w:r>
          </w:p>
        </w:tc>
        <w:tc>
          <w:tcPr>
            <w:tcW w:w="2105" w:type="dxa"/>
            <w:tcBorders>
              <w:top w:val="single" w:sz="6" w:space="0" w:color="000000"/>
              <w:left w:val="nil" w:sz="6" w:space="0" w:color="auto"/>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按权益法调 宣告分派的</w:t>
            </w:r>
          </w:p>
        </w:tc>
        <w:tc>
          <w:tcPr>
            <w:tcW w:w="681" w:type="dxa"/>
            <w:tcBorders>
              <w:top w:val="single" w:sz="6" w:space="0" w:color="000000"/>
              <w:left w:val="nil" w:sz="6" w:space="0" w:color="auto"/>
              <w:bottom w:val="nil" w:sz="6" w:space="0" w:color="auto"/>
              <w:right w:val="nil" w:sz="6" w:space="0" w:color="auto"/>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其他权</w:t>
            </w:r>
          </w:p>
        </w:tc>
        <w:tc>
          <w:tcPr>
            <w:tcW w:w="1168" w:type="dxa"/>
            <w:tcBorders>
              <w:top w:val="nil" w:sz="6" w:space="0" w:color="auto"/>
              <w:left w:val="nil" w:sz="6" w:space="0" w:color="auto"/>
              <w:bottom w:val="nil" w:sz="6" w:space="0" w:color="auto"/>
              <w:right w:val="nil" w:sz="6" w:space="0" w:color="auto"/>
            </w:tcBorders>
          </w:tcPr>
          <w:p>
            <w:pPr>
              <w:pStyle w:val="TableParagraph"/>
              <w:spacing w:line="219" w:lineRule="exact"/>
              <w:ind w:left="43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532" w:type="dxa"/>
            <w:tcBorders>
              <w:top w:val="nil" w:sz="6" w:space="0" w:color="auto"/>
              <w:left w:val="nil" w:sz="6" w:space="0" w:color="auto"/>
              <w:bottom w:val="nil" w:sz="6" w:space="0" w:color="auto"/>
              <w:right w:val="nil" w:sz="6" w:space="0" w:color="auto"/>
            </w:tcBorders>
          </w:tcPr>
          <w:p>
            <w:pPr>
              <w:pStyle w:val="TableParagraph"/>
              <w:spacing w:line="233" w:lineRule="exact"/>
              <w:ind w:right="62"/>
              <w:jc w:val="right"/>
              <w:rPr>
                <w:rFonts w:ascii="宋体" w:hAnsi="宋体" w:cs="宋体" w:eastAsia="宋体" w:hint="default"/>
                <w:sz w:val="18"/>
                <w:szCs w:val="18"/>
              </w:rPr>
            </w:pPr>
            <w:r>
              <w:rPr>
                <w:rFonts w:ascii="宋体" w:hAnsi="宋体" w:cs="宋体" w:eastAsia="宋体" w:hint="default"/>
                <w:sz w:val="18"/>
                <w:szCs w:val="18"/>
              </w:rPr>
              <w:t>比例</w:t>
            </w:r>
          </w:p>
        </w:tc>
        <w:tc>
          <w:tcPr>
            <w:tcW w:w="675" w:type="dxa"/>
            <w:tcBorders>
              <w:top w:val="nil" w:sz="6" w:space="0" w:color="auto"/>
              <w:left w:val="nil" w:sz="6" w:space="0" w:color="auto"/>
              <w:bottom w:val="nil" w:sz="6" w:space="0" w:color="auto"/>
              <w:right w:val="nil" w:sz="6" w:space="0" w:color="auto"/>
            </w:tcBorders>
          </w:tcPr>
          <w:p>
            <w:pPr>
              <w:pStyle w:val="TableParagraph"/>
              <w:spacing w:line="233" w:lineRule="exact"/>
              <w:ind w:right="71"/>
              <w:jc w:val="right"/>
              <w:rPr>
                <w:rFonts w:ascii="宋体" w:hAnsi="宋体" w:cs="宋体" w:eastAsia="宋体" w:hint="default"/>
                <w:sz w:val="18"/>
                <w:szCs w:val="18"/>
              </w:rPr>
            </w:pPr>
            <w:r>
              <w:rPr>
                <w:rFonts w:ascii="宋体" w:hAnsi="宋体" w:cs="宋体" w:eastAsia="宋体" w:hint="default"/>
                <w:sz w:val="18"/>
                <w:szCs w:val="18"/>
              </w:rPr>
              <w:t>比例</w:t>
            </w:r>
          </w:p>
        </w:tc>
        <w:tc>
          <w:tcPr>
            <w:tcW w:w="1737" w:type="dxa"/>
            <w:tcBorders>
              <w:top w:val="nil" w:sz="6" w:space="0" w:color="auto"/>
              <w:left w:val="nil" w:sz="6" w:space="0" w:color="auto"/>
              <w:bottom w:val="nil" w:sz="6" w:space="0" w:color="auto"/>
              <w:right w:val="nil" w:sz="6" w:space="0" w:color="auto"/>
            </w:tcBorders>
          </w:tcPr>
          <w:p>
            <w:pPr>
              <w:pStyle w:val="TableParagraph"/>
              <w:spacing w:line="206" w:lineRule="exact"/>
              <w:ind w:left="71" w:right="0"/>
              <w:jc w:val="left"/>
              <w:rPr>
                <w:rFonts w:ascii="宋体" w:hAnsi="宋体" w:cs="宋体" w:eastAsia="宋体" w:hint="default"/>
                <w:sz w:val="18"/>
                <w:szCs w:val="18"/>
              </w:rPr>
            </w:pPr>
            <w:r>
              <w:rPr>
                <w:rFonts w:ascii="宋体" w:hAnsi="宋体" w:cs="宋体" w:eastAsia="宋体" w:hint="default"/>
                <w:sz w:val="18"/>
                <w:szCs w:val="18"/>
              </w:rPr>
              <w:t>决权比例不一</w:t>
            </w:r>
          </w:p>
        </w:tc>
        <w:tc>
          <w:tcPr>
            <w:tcW w:w="1340" w:type="dxa"/>
            <w:tcBorders>
              <w:top w:val="nil" w:sz="6" w:space="0" w:color="auto"/>
              <w:left w:val="nil" w:sz="6" w:space="0" w:color="auto"/>
              <w:bottom w:val="nil" w:sz="6" w:space="0" w:color="auto"/>
              <w:right w:val="nil" w:sz="6" w:space="0" w:color="auto"/>
            </w:tcBorders>
          </w:tcPr>
          <w:p>
            <w:pPr>
              <w:pStyle w:val="TableParagraph"/>
              <w:spacing w:line="206" w:lineRule="exact"/>
              <w:ind w:left="584" w:right="0"/>
              <w:jc w:val="left"/>
              <w:rPr>
                <w:rFonts w:ascii="宋体" w:hAnsi="宋体" w:cs="宋体" w:eastAsia="宋体" w:hint="default"/>
                <w:sz w:val="18"/>
                <w:szCs w:val="18"/>
              </w:rPr>
            </w:pPr>
            <w:r>
              <w:rPr>
                <w:rFonts w:ascii="宋体" w:hAnsi="宋体" w:cs="宋体" w:eastAsia="宋体" w:hint="default"/>
                <w:sz w:val="18"/>
                <w:szCs w:val="18"/>
              </w:rPr>
              <w:t>本年计提</w:t>
            </w:r>
          </w:p>
        </w:tc>
      </w:tr>
    </w:tbl>
    <w:p>
      <w:pPr>
        <w:spacing w:after="0" w:line="206" w:lineRule="exact"/>
        <w:jc w:val="left"/>
        <w:rPr>
          <w:rFonts w:ascii="宋体" w:hAnsi="宋体" w:cs="宋体" w:eastAsia="宋体" w:hint="default"/>
          <w:sz w:val="18"/>
          <w:szCs w:val="18"/>
        </w:rPr>
        <w:sectPr>
          <w:headerReference w:type="default" r:id="rId94"/>
          <w:footerReference w:type="default" r:id="rId95"/>
          <w:pgSz w:w="16840" w:h="11900" w:orient="landscape"/>
          <w:pgMar w:header="1189" w:footer="450" w:top="3560" w:bottom="640" w:left="460" w:right="1060"/>
          <w:pgNumType w:start="112"/>
        </w:sectPr>
      </w:pPr>
    </w:p>
    <w:p>
      <w:pPr>
        <w:tabs>
          <w:tab w:pos="4129" w:val="left" w:leader="none"/>
        </w:tabs>
        <w:spacing w:line="208" w:lineRule="exact" w:before="0"/>
        <w:ind w:left="3087" w:right="-20" w:firstLine="0"/>
        <w:jc w:val="left"/>
        <w:rPr>
          <w:rFonts w:ascii="宋体" w:hAnsi="宋体" w:cs="宋体" w:eastAsia="宋体" w:hint="default"/>
          <w:sz w:val="18"/>
          <w:szCs w:val="18"/>
        </w:rPr>
      </w:pPr>
      <w:r>
        <w:rPr>
          <w:rFonts w:ascii="宋体" w:hAnsi="宋体" w:cs="宋体" w:eastAsia="宋体" w:hint="default"/>
          <w:sz w:val="18"/>
          <w:szCs w:val="18"/>
        </w:rPr>
        <w:t>核算方法</w:t>
        <w:tab/>
        <w:t>投资成本</w:t>
      </w:r>
    </w:p>
    <w:p>
      <w:pPr>
        <w:spacing w:line="220" w:lineRule="exact" w:before="0"/>
        <w:ind w:left="125" w:right="-15" w:firstLine="0"/>
        <w:jc w:val="left"/>
        <w:rPr>
          <w:rFonts w:ascii="宋体" w:hAnsi="宋体" w:cs="宋体" w:eastAsia="宋体" w:hint="default"/>
          <w:sz w:val="18"/>
          <w:szCs w:val="18"/>
        </w:rPr>
      </w:pPr>
      <w:r>
        <w:rPr/>
        <w:br w:type="column"/>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line="208" w:lineRule="exact" w:before="0"/>
        <w:ind w:left="19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减少投资</w:t>
      </w:r>
    </w:p>
    <w:p>
      <w:pPr>
        <w:spacing w:line="208" w:lineRule="exact" w:before="0"/>
        <w:ind w:left="16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整的净损益</w:t>
      </w:r>
    </w:p>
    <w:p>
      <w:pPr>
        <w:spacing w:line="208" w:lineRule="exact" w:before="0"/>
        <w:ind w:left="22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现金股利</w:t>
      </w:r>
    </w:p>
    <w:p>
      <w:pPr>
        <w:spacing w:line="208" w:lineRule="exact" w:before="0"/>
        <w:ind w:left="18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益变动</w:t>
      </w:r>
    </w:p>
    <w:p>
      <w:pPr>
        <w:spacing w:line="220" w:lineRule="exact" w:before="0"/>
        <w:ind w:left="154" w:right="-16" w:firstLine="0"/>
        <w:jc w:val="left"/>
        <w:rPr>
          <w:rFonts w:ascii="宋体" w:hAnsi="宋体" w:cs="宋体" w:eastAsia="宋体" w:hint="default"/>
          <w:sz w:val="18"/>
          <w:szCs w:val="18"/>
        </w:rPr>
      </w:pPr>
      <w:r>
        <w:rPr/>
        <w:br w:type="column"/>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before="26"/>
        <w:ind w:left="257" w:right="-17" w:firstLine="0"/>
        <w:jc w:val="left"/>
        <w:rPr>
          <w:rFonts w:ascii="Arial" w:hAnsi="Arial" w:cs="Arial" w:eastAsia="Arial" w:hint="default"/>
          <w:sz w:val="18"/>
          <w:szCs w:val="18"/>
        </w:rPr>
      </w:pPr>
      <w:r>
        <w:rPr>
          <w:spacing w:val="-1"/>
        </w:rPr>
        <w:br w:type="column"/>
      </w:r>
      <w:r>
        <w:rPr>
          <w:rFonts w:ascii="Arial"/>
          <w:spacing w:val="-1"/>
          <w:sz w:val="18"/>
        </w:rPr>
        <w:t>(%)</w:t>
      </w:r>
      <w:r>
        <w:rPr>
          <w:rFonts w:ascii="Arial"/>
          <w:sz w:val="18"/>
        </w:rPr>
      </w:r>
    </w:p>
    <w:p>
      <w:pPr>
        <w:spacing w:before="26"/>
        <w:ind w:left="346" w:right="-17" w:firstLine="0"/>
        <w:jc w:val="left"/>
        <w:rPr>
          <w:rFonts w:ascii="Arial" w:hAnsi="Arial" w:cs="Arial" w:eastAsia="Arial" w:hint="default"/>
          <w:sz w:val="18"/>
          <w:szCs w:val="18"/>
        </w:rPr>
      </w:pPr>
      <w:r>
        <w:rPr>
          <w:spacing w:val="-1"/>
        </w:rPr>
        <w:br w:type="column"/>
      </w:r>
      <w:r>
        <w:rPr>
          <w:rFonts w:ascii="Arial"/>
          <w:spacing w:val="-1"/>
          <w:sz w:val="18"/>
        </w:rPr>
        <w:t>(%)</w:t>
      </w:r>
      <w:r>
        <w:rPr>
          <w:rFonts w:ascii="Arial"/>
          <w:sz w:val="18"/>
        </w:rPr>
      </w:r>
    </w:p>
    <w:p>
      <w:pPr>
        <w:spacing w:line="208" w:lineRule="exact" w:before="0"/>
        <w:ind w:left="46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致的说明</w:t>
      </w:r>
      <w:r>
        <w:rPr>
          <w:rFonts w:ascii="宋体" w:hAnsi="宋体" w:cs="宋体" w:eastAsia="宋体" w:hint="default"/>
          <w:spacing w:val="60"/>
          <w:sz w:val="18"/>
          <w:szCs w:val="18"/>
        </w:rPr>
        <w:t> </w:t>
      </w:r>
      <w:r>
        <w:rPr>
          <w:rFonts w:ascii="宋体" w:hAnsi="宋体" w:cs="宋体" w:eastAsia="宋体" w:hint="default"/>
          <w:sz w:val="18"/>
          <w:szCs w:val="18"/>
        </w:rPr>
        <w:t>减值准备</w:t>
      </w:r>
    </w:p>
    <w:p>
      <w:pPr>
        <w:spacing w:line="208" w:lineRule="exact" w:before="0"/>
        <w:ind w:left="2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减值准备</w:t>
      </w:r>
    </w:p>
    <w:p>
      <w:pPr>
        <w:spacing w:after="0" w:line="208" w:lineRule="exact"/>
        <w:jc w:val="left"/>
        <w:rPr>
          <w:rFonts w:ascii="宋体" w:hAnsi="宋体" w:cs="宋体" w:eastAsia="宋体" w:hint="default"/>
          <w:sz w:val="18"/>
          <w:szCs w:val="18"/>
        </w:rPr>
        <w:sectPr>
          <w:type w:val="continuous"/>
          <w:pgSz w:w="16840" w:h="11900" w:orient="landscape"/>
          <w:pgMar w:top="1600" w:bottom="280" w:left="460" w:right="1060"/>
          <w:cols w:num="11" w:equalWidth="0">
            <w:col w:w="4850" w:space="40"/>
            <w:col w:w="1020" w:space="40"/>
            <w:col w:w="917" w:space="40"/>
            <w:col w:w="1067" w:space="40"/>
            <w:col w:w="950" w:space="40"/>
            <w:col w:w="725" w:space="40"/>
            <w:col w:w="1049" w:space="40"/>
            <w:col w:w="537" w:space="40"/>
            <w:col w:w="627" w:space="40"/>
            <w:col w:w="2055" w:space="40"/>
            <w:col w:w="1123"/>
          </w:cols>
        </w:sectPr>
      </w:pPr>
    </w:p>
    <w:p>
      <w:pPr>
        <w:spacing w:line="20" w:lineRule="exact"/>
        <w:ind w:left="3070" w:right="0" w:firstLine="0"/>
        <w:rPr>
          <w:rFonts w:ascii="宋体" w:hAnsi="宋体" w:cs="宋体" w:eastAsia="宋体" w:hint="default"/>
          <w:sz w:val="2"/>
          <w:szCs w:val="2"/>
        </w:rPr>
      </w:pPr>
      <w:r>
        <w:rPr>
          <w:rFonts w:ascii="宋体"/>
          <w:sz w:val="2"/>
        </w:rPr>
        <w:pict>
          <v:group style="width:143.85pt;height:.75pt;mso-position-horizontal-relative:char;mso-position-vertical-relative:line" coordorigin="0,0" coordsize="2877,15">
            <v:group style="position:absolute;left:7;top:7;width:766;height:2" coordorigin="7,7" coordsize="766,2">
              <v:shape style="position:absolute;left:7;top:7;width:766;height:2" coordorigin="7,7" coordsize="766,0" path="m7,7l773,7e" filled="false" stroked="true" strokeweight=".72pt" strokecolor="#000000">
                <v:path arrowok="t"/>
              </v:shape>
            </v:group>
            <v:group style="position:absolute;left:848;top:7;width:987;height:2" coordorigin="848,7" coordsize="987,2">
              <v:shape style="position:absolute;left:848;top:7;width:987;height:2" coordorigin="848,7" coordsize="987,0" path="m848,7l1835,7e" filled="false" stroked="true" strokeweight=".72pt" strokecolor="#000000">
                <v:path arrowok="t"/>
              </v:shape>
            </v:group>
            <v:group style="position:absolute;left:1910;top:7;width:959;height:2" coordorigin="1910,7" coordsize="959,2">
              <v:shape style="position:absolute;left:1910;top:7;width:959;height:2" coordorigin="1910,7" coordsize="959,0" path="m1910,7l2869,7e" filled="false" stroked="true" strokeweight=".72pt" strokecolor="#000000">
                <v:path arrowok="t"/>
              </v:shape>
            </v:group>
          </v:group>
        </w:pict>
      </w:r>
      <w:r>
        <w:rPr>
          <w:rFonts w:ascii="宋体"/>
          <w:sz w:val="2"/>
        </w:rPr>
      </w:r>
      <w:r>
        <w:rPr>
          <w:rFonts w:ascii="Times New Roman"/>
          <w:spacing w:val="59"/>
          <w:sz w:val="2"/>
        </w:rPr>
        <w:t> </w:t>
      </w:r>
      <w:r>
        <w:rPr>
          <w:rFonts w:ascii="宋体"/>
          <w:spacing w:val="59"/>
          <w:sz w:val="2"/>
        </w:rPr>
        <w:pict>
          <v:group style="width:365.25pt;height:.75pt;mso-position-horizontal-relative:char;mso-position-vertical-relative:line" coordorigin="0,0" coordsize="7305,15">
            <v:group style="position:absolute;left:7;top:7;width:864;height:2" coordorigin="7,7" coordsize="864,2">
              <v:shape style="position:absolute;left:7;top:7;width:864;height:2" coordorigin="7,7" coordsize="864,0" path="m7,7l871,7e" filled="false" stroked="true" strokeweight=".72pt" strokecolor="#000000">
                <v:path arrowok="t"/>
              </v:shape>
            </v:group>
            <v:group style="position:absolute;left:947;top:7;width:1041;height:2" coordorigin="947,7" coordsize="1041,2">
              <v:shape style="position:absolute;left:947;top:7;width:1041;height:2" coordorigin="947,7" coordsize="1041,0" path="m947,7l1987,7e" filled="false" stroked="true" strokeweight=".72pt" strokecolor="#000000">
                <v:path arrowok="t"/>
              </v:shape>
            </v:group>
            <v:group style="position:absolute;left:2063;top:7;width:915;height:2" coordorigin="2063,7" coordsize="915,2">
              <v:shape style="position:absolute;left:2063;top:7;width:915;height:2" coordorigin="2063,7" coordsize="915,0" path="m2063,7l2977,7e" filled="false" stroked="true" strokeweight=".72pt" strokecolor="#000000">
                <v:path arrowok="t"/>
              </v:shape>
            </v:group>
            <v:group style="position:absolute;left:3053;top:7;width:689;height:2" coordorigin="3053,7" coordsize="689,2">
              <v:shape style="position:absolute;left:3053;top:7;width:689;height:2" coordorigin="3053,7" coordsize="689,0" path="m3053,7l3742,7e" filled="false" stroked="true" strokeweight=".72pt" strokecolor="#000000">
                <v:path arrowok="t"/>
              </v:shape>
            </v:group>
            <v:group style="position:absolute;left:3817;top:7;width:1014;height:2" coordorigin="3817,7" coordsize="1014,2">
              <v:shape style="position:absolute;left:3817;top:7;width:1014;height:2" coordorigin="3817,7" coordsize="1014,0" path="m3817,7l4831,7e" filled="false" stroked="true" strokeweight=".72pt" strokecolor="#000000">
                <v:path arrowok="t"/>
              </v:shape>
            </v:group>
            <v:group style="position:absolute;left:4907;top:7;width:501;height:2" coordorigin="4907,7" coordsize="501,2">
              <v:shape style="position:absolute;left:4907;top:7;width:501;height:2" coordorigin="4907,7" coordsize="501,0" path="m4907,7l5407,7e" filled="false" stroked="true" strokeweight=".72pt" strokecolor="#000000">
                <v:path arrowok="t"/>
              </v:shape>
            </v:group>
            <v:group style="position:absolute;left:5483;top:7;width:591;height:2" coordorigin="5483,7" coordsize="591,2">
              <v:shape style="position:absolute;left:5483;top:7;width:591;height:2" coordorigin="5483,7" coordsize="591,0" path="m5483,7l6073,7e" filled="false" stroked="true" strokeweight=".72pt" strokecolor="#000000">
                <v:path arrowok="t"/>
              </v:shape>
            </v:group>
            <v:group style="position:absolute;left:6149;top:7;width:1149;height:2" coordorigin="6149,7" coordsize="1149,2">
              <v:shape style="position:absolute;left:6149;top:7;width:1149;height:2" coordorigin="6149,7" coordsize="1149,0" path="m6149,7l7297,7e" filled="false" stroked="true" strokeweight=".72pt" strokecolor="#000000">
                <v:path arrowok="t"/>
              </v:shape>
            </v:group>
          </v:group>
        </w:pict>
      </w:r>
      <w:r>
        <w:rPr>
          <w:rFonts w:ascii="宋体"/>
          <w:spacing w:val="59"/>
          <w:sz w:val="2"/>
        </w:rPr>
      </w:r>
      <w:r>
        <w:rPr>
          <w:rFonts w:ascii="Times New Roman"/>
          <w:spacing w:val="57"/>
          <w:sz w:val="2"/>
        </w:rPr>
        <w:t> </w:t>
      </w:r>
      <w:r>
        <w:rPr>
          <w:rFonts w:ascii="宋体"/>
          <w:spacing w:val="57"/>
          <w:sz w:val="2"/>
        </w:rPr>
        <w:pict>
          <v:group style="width:91.2pt;height:.75pt;mso-position-horizontal-relative:char;mso-position-vertical-relative:line" coordorigin="0,0" coordsize="1824,15">
            <v:group style="position:absolute;left:7;top:7;width:856;height:2" coordorigin="7,7" coordsize="856,2">
              <v:shape style="position:absolute;left:7;top:7;width:856;height:2" coordorigin="7,7" coordsize="856,0" path="m7,7l863,7e" filled="false" stroked="true" strokeweight=".72pt" strokecolor="#000000">
                <v:path arrowok="t"/>
              </v:shape>
            </v:group>
            <v:group style="position:absolute;left:938;top:7;width:879;height:2" coordorigin="938,7" coordsize="879,2">
              <v:shape style="position:absolute;left:938;top:7;width:879;height:2" coordorigin="938,7" coordsize="879,0" path="m938,7l1817,7e" filled="false" stroked="true" strokeweight=".72pt" strokecolor="#000000">
                <v:path arrowok="t"/>
              </v:shape>
            </v:group>
          </v:group>
        </w:pict>
      </w:r>
      <w:r>
        <w:rPr>
          <w:rFonts w:ascii="宋体"/>
          <w:spacing w:val="57"/>
          <w:sz w:val="2"/>
        </w:rPr>
      </w:r>
    </w:p>
    <w:p>
      <w:pPr>
        <w:spacing w:line="240" w:lineRule="auto" w:before="10"/>
        <w:rPr>
          <w:rFonts w:ascii="宋体" w:hAnsi="宋体" w:cs="宋体" w:eastAsia="宋体" w:hint="default"/>
          <w:sz w:val="9"/>
          <w:szCs w:val="9"/>
        </w:rPr>
      </w:pPr>
    </w:p>
    <w:p>
      <w:pPr>
        <w:tabs>
          <w:tab w:pos="6794" w:val="left" w:leader="none"/>
          <w:tab w:pos="8899" w:val="left" w:leader="none"/>
          <w:tab w:pos="9594" w:val="left" w:leader="none"/>
          <w:tab w:pos="9914" w:val="left" w:leader="none"/>
          <w:tab w:pos="11153" w:val="left" w:leader="none"/>
          <w:tab w:pos="11821" w:val="left" w:leader="none"/>
          <w:tab w:pos="12714" w:val="left" w:leader="none"/>
          <w:tab w:pos="14083" w:val="left" w:leader="none"/>
          <w:tab w:pos="15005" w:val="left" w:leader="none"/>
        </w:tabs>
        <w:spacing w:before="47"/>
        <w:ind w:left="595" w:right="0" w:firstLine="0"/>
        <w:jc w:val="left"/>
        <w:rPr>
          <w:rFonts w:ascii="Arial" w:hAnsi="Arial" w:cs="Arial" w:eastAsia="Arial" w:hint="default"/>
          <w:sz w:val="18"/>
          <w:szCs w:val="18"/>
        </w:rPr>
      </w:pPr>
      <w:r>
        <w:rPr>
          <w:rFonts w:ascii="宋体" w:hAnsi="宋体" w:cs="宋体" w:eastAsia="宋体" w:hint="default"/>
          <w:position w:val="1"/>
          <w:sz w:val="18"/>
          <w:szCs w:val="18"/>
        </w:rPr>
        <w:t>广联视通新媒体有限公司（注）  权益法  </w:t>
      </w:r>
      <w:r>
        <w:rPr>
          <w:rFonts w:ascii="Arial" w:hAnsi="Arial" w:cs="Arial" w:eastAsia="Arial" w:hint="default"/>
          <w:spacing w:val="-1"/>
          <w:sz w:val="18"/>
          <w:szCs w:val="18"/>
        </w:rPr>
        <w:t>25,000,000</w:t>
      </w:r>
      <w:r>
        <w:rPr>
          <w:rFonts w:ascii="Arial" w:hAnsi="Arial" w:cs="Arial" w:eastAsia="Arial" w:hint="default"/>
          <w:spacing w:val="13"/>
          <w:sz w:val="18"/>
          <w:szCs w:val="18"/>
        </w:rPr>
        <w:t> </w:t>
      </w:r>
      <w:r>
        <w:rPr>
          <w:rFonts w:ascii="Arial" w:hAnsi="Arial" w:cs="Arial" w:eastAsia="Arial" w:hint="default"/>
          <w:spacing w:val="-1"/>
          <w:sz w:val="18"/>
          <w:szCs w:val="18"/>
        </w:rPr>
        <w:t>24,983,553</w:t>
        <w:tab/>
      </w:r>
      <w:r>
        <w:rPr>
          <w:rFonts w:ascii="Arial" w:hAnsi="Arial" w:cs="Arial" w:eastAsia="Arial" w:hint="default"/>
          <w:sz w:val="18"/>
          <w:szCs w:val="18"/>
        </w:rPr>
        <w:t>-  </w:t>
      </w:r>
      <w:r>
        <w:rPr>
          <w:rFonts w:ascii="Arial" w:hAnsi="Arial" w:cs="Arial" w:eastAsia="Arial" w:hint="default"/>
          <w:spacing w:val="23"/>
          <w:sz w:val="18"/>
          <w:szCs w:val="18"/>
        </w:rPr>
        <w:t> </w:t>
      </w:r>
      <w:r>
        <w:rPr>
          <w:rFonts w:ascii="Arial" w:hAnsi="Arial" w:cs="Arial" w:eastAsia="Arial" w:hint="default"/>
          <w:spacing w:val="-1"/>
          <w:sz w:val="18"/>
          <w:szCs w:val="18"/>
        </w:rPr>
        <w:t>(1,248,336)</w:t>
        <w:tab/>
      </w:r>
      <w:r>
        <w:rPr>
          <w:rFonts w:ascii="Arial" w:hAnsi="Arial" w:cs="Arial" w:eastAsia="Arial" w:hint="default"/>
          <w:sz w:val="18"/>
          <w:szCs w:val="18"/>
        </w:rPr>
        <w:t>-</w:t>
        <w:tab/>
        <w:t>-</w:t>
        <w:tab/>
      </w:r>
      <w:r>
        <w:rPr>
          <w:rFonts w:ascii="Arial" w:hAnsi="Arial" w:cs="Arial" w:eastAsia="Arial" w:hint="default"/>
          <w:spacing w:val="-1"/>
          <w:sz w:val="18"/>
          <w:szCs w:val="18"/>
        </w:rPr>
        <w:t>23,735,217</w:t>
        <w:tab/>
        <w:t>49</w:t>
        <w:tab/>
        <w:t>49</w:t>
        <w:tab/>
      </w:r>
      <w:r>
        <w:rPr>
          <w:rFonts w:ascii="宋体" w:hAnsi="宋体" w:cs="宋体" w:eastAsia="宋体" w:hint="default"/>
          <w:position w:val="1"/>
          <w:sz w:val="18"/>
          <w:szCs w:val="18"/>
        </w:rPr>
        <w:t>不适用</w:t>
        <w:tab/>
      </w:r>
      <w:r>
        <w:rPr>
          <w:rFonts w:ascii="Arial" w:hAnsi="Arial" w:cs="Arial" w:eastAsia="Arial" w:hint="default"/>
          <w:sz w:val="18"/>
          <w:szCs w:val="18"/>
        </w:rPr>
        <w:t>-</w:t>
        <w:tab/>
        <w:t>-</w:t>
      </w:r>
    </w:p>
    <w:p>
      <w:pPr>
        <w:tabs>
          <w:tab w:pos="13369" w:val="left" w:leader="none"/>
        </w:tabs>
        <w:spacing w:line="43" w:lineRule="exact"/>
        <w:ind w:left="5999" w:right="0" w:firstLine="0"/>
        <w:rPr>
          <w:rFonts w:ascii="Arial" w:hAnsi="Arial" w:cs="Arial" w:eastAsia="Arial" w:hint="default"/>
          <w:sz w:val="4"/>
          <w:szCs w:val="4"/>
        </w:rPr>
      </w:pPr>
      <w:r>
        <w:rPr>
          <w:rFonts w:ascii="Arial"/>
          <w:position w:val="0"/>
          <w:sz w:val="4"/>
        </w:rPr>
        <w:pict>
          <v:group style="width:242.65pt;height:2.2pt;mso-position-horizontal-relative:char;mso-position-vertical-relative:line" coordorigin="0,0" coordsize="4853,44">
            <v:group style="position:absolute;left:7;top:36;width:879;height:2" coordorigin="7,36" coordsize="879,2">
              <v:shape style="position:absolute;left:7;top:36;width:879;height:2" coordorigin="7,36" coordsize="879,0" path="m7,36l886,36e" filled="false" stroked="true" strokeweight=".72pt" strokecolor="#000000">
                <v:path arrowok="t"/>
              </v:shape>
            </v:group>
            <v:group style="position:absolute;left:7;top:7;width:879;height:2" coordorigin="7,7" coordsize="879,2">
              <v:shape style="position:absolute;left:7;top:7;width:879;height:2" coordorigin="7,7" coordsize="879,0" path="m7,7l886,7e" filled="false" stroked="true" strokeweight=".72pt" strokecolor="#000000">
                <v:path arrowok="t"/>
              </v:shape>
            </v:group>
            <v:group style="position:absolute;left:947;top:36;width:1055;height:2" coordorigin="947,36" coordsize="1055,2">
              <v:shape style="position:absolute;left:947;top:36;width:1055;height:2" coordorigin="947,36" coordsize="1055,0" path="m947,36l2002,36e" filled="false" stroked="true" strokeweight=".72pt" strokecolor="#000000">
                <v:path arrowok="t"/>
              </v:shape>
            </v:group>
            <v:group style="position:absolute;left:947;top:7;width:1055;height:2" coordorigin="947,7" coordsize="1055,2">
              <v:shape style="position:absolute;left:947;top:7;width:1055;height:2" coordorigin="947,7" coordsize="1055,0" path="m947,7l2002,7e" filled="false" stroked="true" strokeweight=".72pt" strokecolor="#000000">
                <v:path arrowok="t"/>
              </v:shape>
            </v:group>
            <v:group style="position:absolute;left:2063;top:36;width:929;height:2" coordorigin="2063,36" coordsize="929,2">
              <v:shape style="position:absolute;left:2063;top:36;width:929;height:2" coordorigin="2063,36" coordsize="929,0" path="m2063,36l2992,36e" filled="false" stroked="true" strokeweight=".72pt" strokecolor="#000000">
                <v:path arrowok="t"/>
              </v:shape>
            </v:group>
            <v:group style="position:absolute;left:2063;top:7;width:929;height:2" coordorigin="2063,7" coordsize="929,2">
              <v:shape style="position:absolute;left:2063;top:7;width:929;height:2" coordorigin="2063,7" coordsize="929,0" path="m2063,7l2992,7e" filled="false" stroked="true" strokeweight=".72pt" strokecolor="#000000">
                <v:path arrowok="t"/>
              </v:shape>
            </v:group>
            <v:group style="position:absolute;left:3053;top:36;width:704;height:2" coordorigin="3053,36" coordsize="704,2">
              <v:shape style="position:absolute;left:3053;top:36;width:704;height:2" coordorigin="3053,36" coordsize="704,0" path="m3053,36l3756,36e" filled="false" stroked="true" strokeweight=".72pt" strokecolor="#000000">
                <v:path arrowok="t"/>
              </v:shape>
            </v:group>
            <v:group style="position:absolute;left:3053;top:7;width:704;height:2" coordorigin="3053,7" coordsize="704,2">
              <v:shape style="position:absolute;left:3053;top:7;width:704;height:2" coordorigin="3053,7" coordsize="704,0" path="m3053,7l3756,7e" filled="false" stroked="true" strokeweight=".72pt" strokecolor="#000000">
                <v:path arrowok="t"/>
              </v:shape>
            </v:group>
            <v:group style="position:absolute;left:3817;top:36;width:1029;height:2" coordorigin="3817,36" coordsize="1029,2">
              <v:shape style="position:absolute;left:3817;top:36;width:1029;height:2" coordorigin="3817,36" coordsize="1029,0" path="m3817,36l4846,36e" filled="false" stroked="true" strokeweight=".72pt" strokecolor="#000000">
                <v:path arrowok="t"/>
              </v:shape>
            </v:group>
            <v:group style="position:absolute;left:3817;top:7;width:1029;height:2" coordorigin="3817,7" coordsize="1029,2">
              <v:shape style="position:absolute;left:3817;top:7;width:1029;height:2" coordorigin="3817,7" coordsize="1029,0" path="m3817,7l4846,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91.95pt;height:2.2pt;mso-position-horizontal-relative:char;mso-position-vertical-relative:line" coordorigin="0,0" coordsize="1839,44">
            <v:group style="position:absolute;left:7;top:36;width:870;height:2" coordorigin="7,36" coordsize="870,2">
              <v:shape style="position:absolute;left:7;top:36;width:870;height:2" coordorigin="7,36" coordsize="870,0" path="m7,36l877,36e" filled="false" stroked="true" strokeweight=".72pt" strokecolor="#000000">
                <v:path arrowok="t"/>
              </v:shape>
            </v:group>
            <v:group style="position:absolute;left:7;top:7;width:870;height:2" coordorigin="7,7" coordsize="870,2">
              <v:shape style="position:absolute;left:7;top:7;width:870;height:2" coordorigin="7,7" coordsize="870,0" path="m7,7l877,7e" filled="false" stroked="true" strokeweight=".72pt" strokecolor="#000000">
                <v:path arrowok="t"/>
              </v:shape>
            </v:group>
            <v:group style="position:absolute;left:938;top:36;width:893;height:2" coordorigin="938,36" coordsize="893,2">
              <v:shape style="position:absolute;left:938;top:36;width:893;height:2" coordorigin="938,36" coordsize="893,0" path="m938,36l1831,36e" filled="false" stroked="true" strokeweight=".72pt" strokecolor="#000000">
                <v:path arrowok="t"/>
              </v:shape>
            </v:group>
            <v:group style="position:absolute;left:938;top:7;width:893;height:2" coordorigin="938,7" coordsize="893,2">
              <v:shape style="position:absolute;left:938;top:7;width:893;height:2" coordorigin="938,7" coordsize="893,0" path="m938,7l1831,7e" filled="false" stroked="true" strokeweight=".72pt" strokecolor="#000000">
                <v:path arrowok="t"/>
              </v:shape>
            </v:group>
          </v:group>
        </w:pict>
      </w:r>
      <w:r>
        <w:rPr>
          <w:rFonts w:ascii="Arial"/>
          <w:position w:val="0"/>
          <w:sz w:val="4"/>
        </w:rPr>
      </w:r>
    </w:p>
    <w:p>
      <w:pPr>
        <w:spacing w:line="240" w:lineRule="auto" w:before="5"/>
        <w:rPr>
          <w:rFonts w:ascii="Arial" w:hAnsi="Arial" w:cs="Arial" w:eastAsia="Arial" w:hint="default"/>
          <w:sz w:val="16"/>
          <w:szCs w:val="16"/>
        </w:rPr>
      </w:pPr>
    </w:p>
    <w:p>
      <w:pPr>
        <w:pStyle w:val="BodyText"/>
        <w:spacing w:line="295" w:lineRule="exact" w:before="31"/>
        <w:ind w:left="557" w:right="0"/>
        <w:jc w:val="left"/>
      </w:pPr>
      <w:r>
        <w:rPr/>
        <w:t>注：于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21</w:t>
      </w:r>
      <w:r>
        <w:rPr>
          <w:rFonts w:ascii="Arial" w:hAnsi="Arial" w:cs="Arial" w:eastAsia="Arial" w:hint="default"/>
          <w:spacing w:val="-7"/>
        </w:rPr>
        <w:t> </w:t>
      </w:r>
      <w:r>
        <w:rPr/>
        <w:t>日，本集团所属联通运营公司与辽宁广播电视台共同出资设立了广联视通新媒体有限公司（“广联视通”），广联视通注册资本</w:t>
      </w:r>
    </w:p>
    <w:p>
      <w:pPr>
        <w:pStyle w:val="BodyText"/>
        <w:spacing w:line="286" w:lineRule="exact"/>
        <w:ind w:left="1015" w:right="0"/>
        <w:jc w:val="left"/>
      </w:pPr>
      <w:r>
        <w:rPr/>
        <w:t>为人民币</w:t>
      </w:r>
      <w:r>
        <w:rPr>
          <w:spacing w:val="-61"/>
        </w:rPr>
        <w:t> </w:t>
      </w:r>
      <w:r>
        <w:rPr>
          <w:rFonts w:ascii="Arial" w:hAnsi="Arial" w:cs="Arial" w:eastAsia="Arial" w:hint="default"/>
        </w:rPr>
        <w:t>5,000</w:t>
      </w:r>
      <w:r>
        <w:rPr>
          <w:rFonts w:ascii="Arial" w:hAnsi="Arial" w:cs="Arial" w:eastAsia="Arial" w:hint="default"/>
          <w:spacing w:val="-12"/>
        </w:rPr>
        <w:t> </w:t>
      </w:r>
      <w:r>
        <w:rPr/>
        <w:t>万元，分别由联通运营公司和辽宁广播电视台各出资人民币</w:t>
      </w:r>
      <w:r>
        <w:rPr>
          <w:spacing w:val="-61"/>
        </w:rPr>
        <w:t> </w:t>
      </w:r>
      <w:r>
        <w:rPr>
          <w:rFonts w:ascii="Arial" w:hAnsi="Arial" w:cs="Arial" w:eastAsia="Arial" w:hint="default"/>
        </w:rPr>
        <w:t>2,500</w:t>
      </w:r>
      <w:r>
        <w:rPr>
          <w:rFonts w:ascii="Arial" w:hAnsi="Arial" w:cs="Arial" w:eastAsia="Arial" w:hint="default"/>
          <w:spacing w:val="-12"/>
        </w:rPr>
        <w:t> </w:t>
      </w:r>
      <w:r>
        <w:rPr/>
        <w:t>万元并分别持有</w:t>
      </w:r>
      <w:r>
        <w:rPr>
          <w:spacing w:val="-61"/>
        </w:rPr>
        <w:t> </w:t>
      </w:r>
      <w:r>
        <w:rPr>
          <w:rFonts w:ascii="Arial" w:hAnsi="Arial" w:cs="Arial" w:eastAsia="Arial" w:hint="default"/>
          <w:spacing w:val="-4"/>
        </w:rPr>
        <w:t>50%</w:t>
      </w:r>
      <w:r>
        <w:rPr>
          <w:spacing w:val="-4"/>
        </w:rPr>
        <w:t>的股权。于</w:t>
      </w:r>
      <w:r>
        <w:rPr>
          <w:spacing w:val="-60"/>
        </w:rPr>
        <w:t> </w:t>
      </w:r>
      <w:r>
        <w:rPr>
          <w:rFonts w:ascii="Arial" w:hAnsi="Arial" w:cs="Arial" w:eastAsia="Arial" w:hint="default"/>
        </w:rPr>
        <w:t>2010</w:t>
      </w:r>
      <w:r>
        <w:rPr>
          <w:rFonts w:ascii="Arial" w:hAnsi="Arial" w:cs="Arial" w:eastAsia="Arial" w:hint="default"/>
          <w:spacing w:val="-12"/>
        </w:rPr>
        <w:t> </w:t>
      </w:r>
      <w:r>
        <w:rPr>
          <w:spacing w:val="-3"/>
        </w:rPr>
        <w:t>年度，广联视通为本集团合</w:t>
      </w:r>
    </w:p>
    <w:p>
      <w:pPr>
        <w:pStyle w:val="BodyText"/>
        <w:spacing w:line="284" w:lineRule="exact" w:before="20"/>
        <w:ind w:left="1015" w:right="0" w:hanging="1"/>
        <w:jc w:val="left"/>
      </w:pPr>
      <w:r>
        <w:rPr/>
        <w:t>营企业。于</w:t>
      </w:r>
      <w:r>
        <w:rPr>
          <w:spacing w:val="-56"/>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3</w:t>
      </w:r>
      <w:r>
        <w:rPr>
          <w:rFonts w:ascii="Arial" w:hAnsi="Arial" w:cs="Arial" w:eastAsia="Arial" w:hint="default"/>
          <w:spacing w:val="-8"/>
        </w:rPr>
        <w:t> </w:t>
      </w:r>
      <w:r>
        <w:rPr/>
        <w:t>月</w:t>
      </w:r>
      <w:r>
        <w:rPr>
          <w:spacing w:val="-57"/>
        </w:rPr>
        <w:t> </w:t>
      </w:r>
      <w:r>
        <w:rPr>
          <w:rFonts w:ascii="Arial" w:hAnsi="Arial" w:cs="Arial" w:eastAsia="Arial" w:hint="default"/>
        </w:rPr>
        <w:t>20</w:t>
      </w:r>
      <w:r>
        <w:rPr>
          <w:rFonts w:ascii="Arial" w:hAnsi="Arial" w:cs="Arial" w:eastAsia="Arial" w:hint="default"/>
          <w:spacing w:val="-8"/>
        </w:rPr>
        <w:t> </w:t>
      </w:r>
      <w:r>
        <w:rPr/>
        <w:t>日，根据广联视通股东会决议，经联通运营公司与辽宁广播电视台一致同意对广联视通增加注册资本</w:t>
      </w:r>
      <w:r>
        <w:rPr>
          <w:spacing w:val="-57"/>
        </w:rPr>
        <w:t> </w:t>
      </w:r>
      <w:r>
        <w:rPr>
          <w:rFonts w:ascii="Arial" w:hAnsi="Arial" w:cs="Arial" w:eastAsia="Arial" w:hint="default"/>
        </w:rPr>
        <w:t>1,020,408</w:t>
      </w:r>
      <w:r>
        <w:rPr>
          <w:rFonts w:ascii="Arial" w:hAnsi="Arial" w:cs="Arial" w:eastAsia="Arial" w:hint="default"/>
          <w:spacing w:val="-8"/>
        </w:rPr>
        <w:t> </w:t>
      </w:r>
      <w:r>
        <w:rPr/>
        <w:t>元，新</w:t>
      </w:r>
      <w:r>
        <w:rPr>
          <w:w w:val="99"/>
        </w:rPr>
        <w:t> </w:t>
      </w:r>
      <w:r>
        <w:rPr/>
        <w:t>增注册资本全部由辽宁广播电视台承担。此次增资后，联通运营公司对广联视通持股比例由</w:t>
      </w:r>
      <w:r>
        <w:rPr>
          <w:spacing w:val="-58"/>
        </w:rPr>
        <w:t> </w:t>
      </w:r>
      <w:r>
        <w:rPr>
          <w:rFonts w:ascii="Arial" w:hAnsi="Arial" w:cs="Arial" w:eastAsia="Arial" w:hint="default"/>
        </w:rPr>
        <w:t>50%</w:t>
      </w:r>
      <w:r>
        <w:rPr/>
        <w:t>下降至</w:t>
      </w:r>
      <w:r>
        <w:rPr>
          <w:spacing w:val="-58"/>
        </w:rPr>
        <w:t> </w:t>
      </w:r>
      <w:r>
        <w:rPr>
          <w:rFonts w:ascii="Arial" w:hAnsi="Arial" w:cs="Arial" w:eastAsia="Arial" w:hint="default"/>
        </w:rPr>
        <w:t>49%</w:t>
      </w:r>
      <w:r>
        <w:rPr/>
        <w:t>，故广联视通成为本集团联营企业。</w:t>
      </w:r>
    </w:p>
    <w:p>
      <w:pPr>
        <w:spacing w:after="0" w:line="284" w:lineRule="exact"/>
        <w:jc w:val="left"/>
        <w:sectPr>
          <w:type w:val="continuous"/>
          <w:pgSz w:w="16840" w:h="11900" w:orient="landscape"/>
          <w:pgMar w:top="1600" w:bottom="280" w:left="460" w:right="1060"/>
        </w:sectPr>
      </w:pPr>
    </w:p>
    <w:p>
      <w:pPr>
        <w:spacing w:line="240" w:lineRule="auto" w:before="10"/>
        <w:rPr>
          <w:rFonts w:ascii="宋体" w:hAnsi="宋体" w:cs="宋体" w:eastAsia="宋体" w:hint="default"/>
          <w:sz w:val="9"/>
          <w:szCs w:val="9"/>
        </w:rPr>
      </w:pPr>
    </w:p>
    <w:p>
      <w:pPr>
        <w:pStyle w:val="BodyText"/>
        <w:spacing w:line="240" w:lineRule="auto" w:before="31"/>
        <w:ind w:left="143" w:right="0"/>
        <w:jc w:val="left"/>
      </w:pPr>
      <w:r>
        <w:rPr>
          <w:rFonts w:ascii="Arial" w:hAnsi="Arial" w:cs="Arial" w:eastAsia="Arial" w:hint="default"/>
        </w:rPr>
        <w:t>(b)</w:t>
      </w:r>
      <w:r>
        <w:rPr>
          <w:rFonts w:ascii="Arial" w:hAnsi="Arial" w:cs="Arial" w:eastAsia="Arial" w:hint="default"/>
          <w:spacing w:val="49"/>
        </w:rPr>
        <w:t> </w:t>
      </w:r>
      <w:r>
        <w:rPr/>
        <w:t>其他长期股权投资</w:t>
      </w: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00" w:orient="landscape"/>
          <w:pgMar w:header="1189" w:footer="450" w:top="3560" w:bottom="640" w:left="460" w:right="940"/>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tabs>
          <w:tab w:pos="4614" w:val="left" w:leader="none"/>
        </w:tabs>
        <w:spacing w:before="0"/>
        <w:ind w:left="3514" w:right="-20" w:firstLine="0"/>
        <w:jc w:val="left"/>
        <w:rPr>
          <w:rFonts w:ascii="宋体" w:hAnsi="宋体" w:cs="宋体" w:eastAsia="宋体" w:hint="default"/>
          <w:sz w:val="18"/>
          <w:szCs w:val="18"/>
        </w:rPr>
      </w:pPr>
      <w:r>
        <w:rPr>
          <w:rFonts w:ascii="宋体" w:hAnsi="宋体" w:cs="宋体" w:eastAsia="宋体" w:hint="default"/>
          <w:sz w:val="18"/>
          <w:szCs w:val="18"/>
        </w:rPr>
        <w:t>核算方法</w:t>
        <w:tab/>
        <w:t>投资成本</w:t>
      </w:r>
    </w:p>
    <w:p>
      <w:pPr>
        <w:spacing w:line="240" w:lineRule="auto" w:before="2"/>
        <w:rPr>
          <w:rFonts w:ascii="宋体" w:hAnsi="宋体" w:cs="宋体" w:eastAsia="宋体" w:hint="default"/>
          <w:sz w:val="21"/>
          <w:szCs w:val="21"/>
        </w:rPr>
      </w:pPr>
      <w:r>
        <w:rPr/>
        <w:br w:type="column"/>
      </w:r>
      <w:r>
        <w:rPr>
          <w:rFonts w:ascii="宋体"/>
          <w:sz w:val="21"/>
        </w:rPr>
      </w:r>
    </w:p>
    <w:p>
      <w:pPr>
        <w:spacing w:line="241" w:lineRule="exact" w:before="0"/>
        <w:ind w:left="702" w:right="-2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p>
      <w:pPr>
        <w:tabs>
          <w:tab w:pos="1707" w:val="left" w:leader="none"/>
        </w:tabs>
        <w:spacing w:line="241" w:lineRule="exact" w:before="0"/>
        <w:ind w:left="432" w:right="-20"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本年增加</w:t>
      </w:r>
    </w:p>
    <w:p>
      <w:pPr>
        <w:spacing w:line="240" w:lineRule="auto" w:before="2"/>
        <w:rPr>
          <w:rFonts w:ascii="宋体" w:hAnsi="宋体" w:cs="宋体" w:eastAsia="宋体" w:hint="default"/>
          <w:sz w:val="21"/>
          <w:szCs w:val="21"/>
        </w:rPr>
      </w:pPr>
      <w:r>
        <w:rPr/>
        <w:br w:type="column"/>
      </w:r>
      <w:r>
        <w:rPr>
          <w:rFonts w:ascii="宋体"/>
          <w:sz w:val="21"/>
        </w:rPr>
      </w:r>
    </w:p>
    <w:p>
      <w:pPr>
        <w:spacing w:line="241" w:lineRule="exact" w:before="0"/>
        <w:ind w:left="544" w:right="-17"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p>
      <w:pPr>
        <w:spacing w:line="241" w:lineRule="exact" w:before="0"/>
        <w:ind w:left="274" w:right="-15"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line="232" w:lineRule="exact" w:before="69"/>
        <w:ind w:left="150" w:right="30" w:hanging="1"/>
        <w:jc w:val="center"/>
        <w:rPr>
          <w:rFonts w:ascii="Arial" w:hAnsi="Arial" w:cs="Arial" w:eastAsia="Arial" w:hint="default"/>
          <w:sz w:val="18"/>
          <w:szCs w:val="18"/>
        </w:rPr>
      </w:pPr>
      <w:r>
        <w:rPr/>
        <w:br w:type="column"/>
      </w:r>
      <w:r>
        <w:rPr>
          <w:rFonts w:ascii="宋体" w:hAnsi="宋体" w:cs="宋体" w:eastAsia="宋体" w:hint="default"/>
          <w:sz w:val="18"/>
          <w:szCs w:val="18"/>
        </w:rPr>
        <w:t>持股 </w:t>
      </w:r>
      <w:r>
        <w:rPr>
          <w:rFonts w:ascii="宋体" w:hAnsi="宋体" w:cs="宋体" w:eastAsia="宋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26" w:lineRule="exact" w:before="0"/>
        <w:ind w:left="138" w:right="0"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w:t>
      </w:r>
    </w:p>
    <w:p>
      <w:pPr>
        <w:spacing w:line="232" w:lineRule="exact" w:before="69"/>
        <w:ind w:left="105" w:right="6" w:firstLine="50"/>
        <w:jc w:val="left"/>
        <w:rPr>
          <w:rFonts w:ascii="Arial" w:hAnsi="Arial" w:cs="Arial" w:eastAsia="Arial" w:hint="default"/>
          <w:sz w:val="18"/>
          <w:szCs w:val="18"/>
        </w:rPr>
      </w:pPr>
      <w:r>
        <w:rPr/>
        <w:br w:type="column"/>
      </w:r>
      <w:r>
        <w:rPr>
          <w:rFonts w:ascii="宋体" w:hAnsi="宋体" w:cs="宋体" w:eastAsia="宋体" w:hint="default"/>
          <w:sz w:val="18"/>
          <w:szCs w:val="18"/>
        </w:rPr>
        <w:t>表决权 比例</w:t>
      </w:r>
      <w:r>
        <w:rPr>
          <w:rFonts w:ascii="Arial" w:hAnsi="Arial" w:cs="Arial" w:eastAsia="Arial" w:hint="default"/>
          <w:sz w:val="18"/>
          <w:szCs w:val="18"/>
        </w:rPr>
        <w:t>(%)</w:t>
      </w:r>
    </w:p>
    <w:p>
      <w:pPr>
        <w:spacing w:line="226" w:lineRule="exact" w:before="0"/>
        <w:ind w:left="87" w:right="-1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w:t>
      </w:r>
    </w:p>
    <w:p>
      <w:pPr>
        <w:spacing w:line="232" w:lineRule="exact" w:before="69"/>
        <w:ind w:left="199" w:right="881"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持股比例与表 决权比例不一</w:t>
      </w:r>
    </w:p>
    <w:p>
      <w:pPr>
        <w:spacing w:line="213" w:lineRule="exact" w:before="0"/>
        <w:ind w:left="559" w:right="-19" w:firstLine="0"/>
        <w:jc w:val="left"/>
        <w:rPr>
          <w:rFonts w:ascii="宋体" w:hAnsi="宋体" w:cs="宋体" w:eastAsia="宋体" w:hint="default"/>
          <w:sz w:val="18"/>
          <w:szCs w:val="18"/>
        </w:rPr>
      </w:pPr>
      <w:r>
        <w:rPr>
          <w:rFonts w:ascii="宋体" w:hAnsi="宋体" w:cs="宋体" w:eastAsia="宋体" w:hint="default"/>
          <w:sz w:val="18"/>
          <w:szCs w:val="18"/>
        </w:rPr>
        <w:t>致的说明  减值准备</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本年计提 减值准备</w:t>
      </w:r>
    </w:p>
    <w:p>
      <w:pPr>
        <w:spacing w:line="240" w:lineRule="auto" w:before="2"/>
        <w:rPr>
          <w:rFonts w:ascii="宋体" w:hAnsi="宋体" w:cs="宋体" w:eastAsia="宋体" w:hint="default"/>
          <w:sz w:val="21"/>
          <w:szCs w:val="21"/>
        </w:rPr>
      </w:pPr>
      <w:r>
        <w:rPr/>
        <w:br w:type="column"/>
      </w:r>
      <w:r>
        <w:rPr>
          <w:rFonts w:ascii="宋体"/>
          <w:sz w:val="21"/>
        </w:rPr>
      </w:r>
    </w:p>
    <w:p>
      <w:pPr>
        <w:spacing w:line="235" w:lineRule="exact"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本年宣告分派的</w:t>
      </w:r>
    </w:p>
    <w:p>
      <w:pPr>
        <w:spacing w:line="235" w:lineRule="exact" w:before="0"/>
        <w:ind w:left="681" w:right="0" w:firstLine="0"/>
        <w:jc w:val="left"/>
        <w:rPr>
          <w:rFonts w:ascii="宋体" w:hAnsi="宋体" w:cs="宋体" w:eastAsia="宋体" w:hint="default"/>
          <w:sz w:val="18"/>
          <w:szCs w:val="18"/>
        </w:rPr>
      </w:pPr>
      <w:r>
        <w:rPr>
          <w:rFonts w:ascii="宋体" w:hAnsi="宋体" w:cs="宋体" w:eastAsia="宋体" w:hint="default"/>
          <w:sz w:val="18"/>
          <w:szCs w:val="18"/>
        </w:rPr>
        <w:t>现金股利</w:t>
      </w:r>
    </w:p>
    <w:p>
      <w:pPr>
        <w:spacing w:after="0" w:line="235" w:lineRule="exact"/>
        <w:jc w:val="left"/>
        <w:rPr>
          <w:rFonts w:ascii="宋体" w:hAnsi="宋体" w:cs="宋体" w:eastAsia="宋体" w:hint="default"/>
          <w:sz w:val="18"/>
          <w:szCs w:val="18"/>
        </w:rPr>
        <w:sectPr>
          <w:type w:val="continuous"/>
          <w:pgSz w:w="16840" w:h="11900" w:orient="landscape"/>
          <w:pgMar w:top="1600" w:bottom="280" w:left="460" w:right="940"/>
          <w:cols w:num="8" w:equalWidth="0">
            <w:col w:w="5335" w:space="40"/>
            <w:col w:w="2428" w:space="40"/>
            <w:col w:w="1169" w:space="40"/>
            <w:col w:w="823" w:space="40"/>
            <w:col w:w="772" w:space="40"/>
            <w:col w:w="2180" w:space="40"/>
            <w:col w:w="904" w:space="40"/>
            <w:col w:w="1549"/>
          </w:cols>
        </w:sectPr>
      </w:pPr>
    </w:p>
    <w:p>
      <w:pPr>
        <w:spacing w:line="20" w:lineRule="exact"/>
        <w:ind w:left="3520" w:right="0" w:firstLine="0"/>
        <w:rPr>
          <w:rFonts w:ascii="宋体" w:hAnsi="宋体" w:cs="宋体" w:eastAsia="宋体" w:hint="default"/>
          <w:sz w:val="2"/>
          <w:szCs w:val="2"/>
        </w:rPr>
      </w:pPr>
      <w:r>
        <w:rPr>
          <w:rFonts w:ascii="宋体"/>
          <w:sz w:val="2"/>
        </w:rPr>
        <w:pict>
          <v:group style="width:36.75pt;height:.75pt;mso-position-horizontal-relative:char;mso-position-vertical-relative:line" coordorigin="0,0" coordsize="735,15">
            <v:group style="position:absolute;left:7;top:7;width:720;height:2" coordorigin="7,7" coordsize="720,2">
              <v:shape style="position:absolute;left:7;top:7;width:720;height:2" coordorigin="7,7" coordsize="720,0" path="m7,7l727,7e" filled="false" stroked="true" strokeweight=".72pt" strokecolor="#000000">
                <v:path arrowok="t"/>
              </v:shape>
            </v:group>
          </v:group>
        </w:pict>
      </w:r>
      <w:r>
        <w:rPr>
          <w:rFonts w:ascii="宋体"/>
          <w:sz w:val="2"/>
        </w:rPr>
      </w:r>
      <w:r>
        <w:rPr>
          <w:rFonts w:ascii="Times New Roman"/>
          <w:spacing w:val="85"/>
          <w:sz w:val="2"/>
        </w:rPr>
        <w:t> </w:t>
      </w:r>
      <w:r>
        <w:rPr>
          <w:rFonts w:ascii="宋体"/>
          <w:spacing w:val="85"/>
          <w:sz w:val="2"/>
        </w:rPr>
        <w:pict>
          <v:group style="width:51.15pt;height:.75pt;mso-position-horizontal-relative:char;mso-position-vertical-relative:line" coordorigin="0,0" coordsize="1023,15">
            <v:group style="position:absolute;left:7;top:7;width:1008;height:2" coordorigin="7,7" coordsize="1008,2">
              <v:shape style="position:absolute;left:7;top:7;width:1008;height:2" coordorigin="7,7" coordsize="1008,0" path="m7,7l1015,7e" filled="false" stroked="true" strokeweight=".72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63.75pt;height:.75pt;mso-position-horizontal-relative:char;mso-position-vertical-relative:line" coordorigin="0,0" coordsize="1275,15">
            <v:group style="position:absolute;left:7;top:7;width:1260;height:2" coordorigin="7,7" coordsize="1260,2">
              <v:shape style="position:absolute;left:7;top:7;width:1260;height:2" coordorigin="7,7" coordsize="1260,0" path="m7,7l1267,7e" filled="false" stroked="true" strokeweight=".72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48.9pt;height:.75pt;mso-position-horizontal-relative:char;mso-position-vertical-relative:line" coordorigin="0,0" coordsize="978,15">
            <v:group style="position:absolute;left:7;top:7;width:964;height:2" coordorigin="7,7" coordsize="964,2">
              <v:shape style="position:absolute;left:7;top:7;width:964;height:2" coordorigin="7,7" coordsize="964,0" path="m7,7l971,7e" filled="false" stroked="true" strokeweight=".72pt" strokecolor="#000000">
                <v:path arrowok="t"/>
              </v:shape>
            </v:group>
          </v:group>
        </w:pict>
      </w:r>
      <w:r>
        <w:rPr>
          <w:rFonts w:ascii="宋体"/>
          <w:spacing w:val="85"/>
          <w:sz w:val="2"/>
        </w:rPr>
      </w:r>
      <w:r>
        <w:rPr>
          <w:rFonts w:ascii="Times New Roman"/>
          <w:spacing w:val="76"/>
          <w:sz w:val="2"/>
        </w:rPr>
        <w:t> </w:t>
      </w:r>
      <w:r>
        <w:rPr>
          <w:rFonts w:ascii="宋体"/>
          <w:spacing w:val="76"/>
          <w:sz w:val="2"/>
        </w:rPr>
        <w:pict>
          <v:group style="width:58.8pt;height:.75pt;mso-position-horizontal-relative:char;mso-position-vertical-relative:line" coordorigin="0,0" coordsize="1176,15">
            <v:group style="position:absolute;left:7;top:7;width:1162;height:2" coordorigin="7,7" coordsize="1162,2">
              <v:shape style="position:absolute;left:7;top:7;width:1162;height:2" coordorigin="7,7" coordsize="1162,0" path="m7,7l1169,7e" filled="false" stroked="true" strokeweight=".72pt" strokecolor="#000000">
                <v:path arrowok="t"/>
              </v:shape>
            </v:group>
          </v:group>
        </w:pict>
      </w:r>
      <w:r>
        <w:rPr>
          <w:rFonts w:ascii="宋体"/>
          <w:spacing w:val="76"/>
          <w:sz w:val="2"/>
        </w:rPr>
      </w:r>
      <w:r>
        <w:rPr>
          <w:rFonts w:ascii="Times New Roman"/>
          <w:spacing w:val="76"/>
          <w:sz w:val="2"/>
        </w:rPr>
        <w:t> </w:t>
      </w:r>
      <w:r>
        <w:rPr>
          <w:rFonts w:ascii="宋体"/>
          <w:spacing w:val="76"/>
          <w:sz w:val="2"/>
        </w:rPr>
        <w:pict>
          <v:group style="width:36.75pt;height:.75pt;mso-position-horizontal-relative:char;mso-position-vertical-relative:line" coordorigin="0,0" coordsize="735,15">
            <v:group style="position:absolute;left:7;top:7;width:720;height:2" coordorigin="7,7" coordsize="720,2">
              <v:shape style="position:absolute;left:7;top:7;width:720;height:2" coordorigin="7,7" coordsize="720,0" path="m7,7l727,7e" filled="false" stroked="true" strokeweight=".72pt" strokecolor="#000000">
                <v:path arrowok="t"/>
              </v:shape>
            </v:group>
          </v:group>
        </w:pict>
      </w:r>
      <w:r>
        <w:rPr>
          <w:rFonts w:ascii="宋体"/>
          <w:spacing w:val="76"/>
          <w:sz w:val="2"/>
        </w:rPr>
      </w:r>
      <w:r>
        <w:rPr>
          <w:rFonts w:ascii="Times New Roman"/>
          <w:spacing w:val="85"/>
          <w:sz w:val="2"/>
        </w:rPr>
        <w:t> </w:t>
      </w:r>
      <w:r>
        <w:rPr>
          <w:rFonts w:ascii="宋体"/>
          <w:spacing w:val="85"/>
          <w:sz w:val="2"/>
        </w:rPr>
        <w:pict>
          <v:group style="width:36.550pt;height:.75pt;mso-position-horizontal-relative:char;mso-position-vertical-relative:line" coordorigin="0,0" coordsize="731,15">
            <v:group style="position:absolute;left:7;top:7;width:717;height:2" coordorigin="7,7" coordsize="717,2">
              <v:shape style="position:absolute;left:7;top:7;width:717;height:2" coordorigin="7,7" coordsize="717,0" path="m7,7l724,7e" filled="false" stroked="true" strokeweight=".72pt" strokecolor="#000000">
                <v:path arrowok="t"/>
              </v:shape>
            </v:group>
          </v:group>
        </w:pict>
      </w:r>
      <w:r>
        <w:rPr>
          <w:rFonts w:ascii="宋体"/>
          <w:spacing w:val="85"/>
          <w:sz w:val="2"/>
        </w:rPr>
      </w:r>
      <w:r>
        <w:rPr>
          <w:rFonts w:ascii="Times New Roman"/>
          <w:spacing w:val="89"/>
          <w:sz w:val="2"/>
        </w:rPr>
        <w:t> </w:t>
      </w:r>
      <w:r>
        <w:rPr>
          <w:rFonts w:ascii="宋体"/>
          <w:spacing w:val="89"/>
          <w:sz w:val="2"/>
        </w:rPr>
        <w:pict>
          <v:group style="width:61.5pt;height:.75pt;mso-position-horizontal-relative:char;mso-position-vertical-relative:line" coordorigin="0,0" coordsize="1230,15">
            <v:group style="position:absolute;left:7;top:7;width:1216;height:2" coordorigin="7,7" coordsize="1216,2">
              <v:shape style="position:absolute;left:7;top:7;width:1216;height:2" coordorigin="7,7" coordsize="1216,0" path="m7,7l1223,7e" filled="false" stroked="true" strokeweight=".72pt" strokecolor="#000000">
                <v:path arrowok="t"/>
              </v:shape>
            </v:group>
          </v:group>
        </w:pict>
      </w:r>
      <w:r>
        <w:rPr>
          <w:rFonts w:ascii="宋体"/>
          <w:spacing w:val="89"/>
          <w:sz w:val="2"/>
        </w:rPr>
      </w:r>
      <w:r>
        <w:rPr>
          <w:rFonts w:ascii="Times New Roman"/>
          <w:spacing w:val="76"/>
          <w:sz w:val="2"/>
        </w:rPr>
        <w:t> </w:t>
      </w:r>
      <w:r>
        <w:rPr>
          <w:rFonts w:ascii="宋体"/>
          <w:spacing w:val="76"/>
          <w:sz w:val="2"/>
        </w:rPr>
        <w:pict>
          <v:group style="width:40.8pt;height:.75pt;mso-position-horizontal-relative:char;mso-position-vertical-relative:line" coordorigin="0,0" coordsize="816,15">
            <v:group style="position:absolute;left:7;top:7;width:802;height:2" coordorigin="7,7" coordsize="802,2">
              <v:shape style="position:absolute;left:7;top:7;width:802;height:2" coordorigin="7,7" coordsize="802,0" path="m7,7l809,7e" filled="false" stroked="true" strokeweight=".72pt" strokecolor="#000000">
                <v:path arrowok="t"/>
              </v:shape>
            </v:group>
          </v:group>
        </w:pict>
      </w:r>
      <w:r>
        <w:rPr>
          <w:rFonts w:ascii="宋体"/>
          <w:spacing w:val="76"/>
          <w:sz w:val="2"/>
        </w:rPr>
      </w:r>
      <w:r>
        <w:rPr>
          <w:rFonts w:ascii="Times New Roman"/>
          <w:spacing w:val="76"/>
          <w:sz w:val="2"/>
        </w:rPr>
        <w:t> </w:t>
      </w:r>
      <w:r>
        <w:rPr>
          <w:rFonts w:ascii="宋体"/>
          <w:spacing w:val="76"/>
          <w:sz w:val="2"/>
        </w:rPr>
        <w:pict>
          <v:group style="width:43.5pt;height:.75pt;mso-position-horizontal-relative:char;mso-position-vertical-relative:line" coordorigin="0,0" coordsize="870,15">
            <v:group style="position:absolute;left:7;top:7;width:856;height:2" coordorigin="7,7" coordsize="856,2">
              <v:shape style="position:absolute;left:7;top:7;width:856;height:2" coordorigin="7,7" coordsize="856,0" path="m7,7l863,7e" filled="false" stroked="true" strokeweight=".72pt" strokecolor="#000000">
                <v:path arrowok="t"/>
              </v:shape>
            </v:group>
          </v:group>
        </w:pict>
      </w:r>
      <w:r>
        <w:rPr>
          <w:rFonts w:ascii="宋体"/>
          <w:spacing w:val="76"/>
          <w:sz w:val="2"/>
        </w:rPr>
      </w:r>
      <w:r>
        <w:rPr>
          <w:rFonts w:ascii="Times New Roman"/>
          <w:spacing w:val="86"/>
          <w:sz w:val="2"/>
        </w:rPr>
        <w:t> </w:t>
      </w:r>
      <w:r>
        <w:rPr>
          <w:rFonts w:ascii="宋体"/>
          <w:spacing w:val="86"/>
          <w:sz w:val="2"/>
        </w:rPr>
        <w:pict>
          <v:group style="width:66.850pt;height:.75pt;mso-position-horizontal-relative:char;mso-position-vertical-relative:line" coordorigin="0,0" coordsize="1337,15">
            <v:group style="position:absolute;left:7;top:7;width:1323;height:2" coordorigin="7,7" coordsize="1323,2">
              <v:shape style="position:absolute;left:7;top:7;width:1323;height:2" coordorigin="7,7" coordsize="1323,0" path="m7,7l1330,7e" filled="false" stroked="true" strokeweight=".72pt" strokecolor="#000000">
                <v:path arrowok="t"/>
              </v:shape>
            </v:group>
          </v:group>
        </w:pict>
      </w:r>
      <w:r>
        <w:rPr>
          <w:rFonts w:ascii="宋体"/>
          <w:spacing w:val="86"/>
          <w:sz w:val="2"/>
        </w:rPr>
      </w:r>
    </w:p>
    <w:p>
      <w:pPr>
        <w:spacing w:line="240" w:lineRule="auto" w:before="11"/>
        <w:rPr>
          <w:rFonts w:ascii="宋体" w:hAnsi="宋体" w:cs="宋体" w:eastAsia="宋体" w:hint="default"/>
          <w:sz w:val="10"/>
          <w:szCs w:val="10"/>
        </w:rPr>
      </w:pPr>
    </w:p>
    <w:p>
      <w:pPr>
        <w:spacing w:line="234" w:lineRule="exact" w:before="67"/>
        <w:ind w:left="595" w:right="10221" w:firstLine="0"/>
        <w:jc w:val="left"/>
        <w:rPr>
          <w:rFonts w:ascii="宋体" w:hAnsi="宋体" w:cs="宋体" w:eastAsia="宋体" w:hint="default"/>
          <w:sz w:val="18"/>
          <w:szCs w:val="18"/>
        </w:rPr>
      </w:pPr>
      <w:r>
        <w:rPr/>
        <w:pict>
          <v:shape style="position:absolute;margin-left:199.720505pt;margin-top:-.024363pt;width:583.65pt;height:43.45pt;mso-position-horizontal-relative:page;mso-position-vertical-relative:paragraph;z-index:39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5"/>
                    <w:gridCol w:w="1252"/>
                    <w:gridCol w:w="1631"/>
                    <w:gridCol w:w="2068"/>
                    <w:gridCol w:w="861"/>
                    <w:gridCol w:w="928"/>
                    <w:gridCol w:w="1337"/>
                    <w:gridCol w:w="2881"/>
                  </w:tblGrid>
                  <w:tr>
                    <w:trPr>
                      <w:trHeight w:val="434"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09"/>
                          <w:jc w:val="right"/>
                          <w:rPr>
                            <w:rFonts w:ascii="Arial" w:hAnsi="Arial" w:cs="Arial" w:eastAsia="Arial" w:hint="default"/>
                            <w:sz w:val="18"/>
                            <w:szCs w:val="18"/>
                          </w:rPr>
                        </w:pPr>
                        <w:r>
                          <w:rPr>
                            <w:rFonts w:ascii="Arial"/>
                            <w:spacing w:val="-1"/>
                            <w:sz w:val="18"/>
                          </w:rPr>
                          <w:t>19,730,271</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0" w:right="0"/>
                          <w:jc w:val="left"/>
                          <w:rPr>
                            <w:rFonts w:ascii="Arial" w:hAnsi="Arial" w:cs="Arial" w:eastAsia="Arial" w:hint="default"/>
                            <w:sz w:val="18"/>
                            <w:szCs w:val="18"/>
                          </w:rPr>
                        </w:pPr>
                        <w:r>
                          <w:rPr>
                            <w:rFonts w:ascii="Arial"/>
                            <w:sz w:val="18"/>
                          </w:rPr>
                          <w:t>19,730,271</w:t>
                        </w:r>
                      </w:p>
                    </w:tc>
                    <w:tc>
                      <w:tcPr>
                        <w:tcW w:w="2068"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99"/>
                          <w:ind w:right="271"/>
                          <w:jc w:val="right"/>
                          <w:rPr>
                            <w:rFonts w:ascii="Arial" w:hAnsi="Arial" w:cs="Arial" w:eastAsia="Arial" w:hint="default"/>
                            <w:sz w:val="18"/>
                            <w:szCs w:val="18"/>
                          </w:rPr>
                        </w:pPr>
                        <w:r>
                          <w:rPr>
                            <w:rFonts w:ascii="Arial"/>
                            <w:sz w:val="18"/>
                          </w:rPr>
                          <w:t>-</w:t>
                          <w:tab/>
                        </w:r>
                        <w:r>
                          <w:rPr>
                            <w:rFonts w:ascii="Arial"/>
                            <w:spacing w:val="-1"/>
                            <w:sz w:val="18"/>
                          </w:rPr>
                          <w:t>19,730,271</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6" w:right="0"/>
                          <w:jc w:val="center"/>
                          <w:rPr>
                            <w:rFonts w:ascii="Arial" w:hAnsi="Arial" w:cs="Arial" w:eastAsia="Arial" w:hint="default"/>
                            <w:sz w:val="18"/>
                            <w:szCs w:val="18"/>
                          </w:rPr>
                        </w:pPr>
                        <w:r>
                          <w:rPr>
                            <w:rFonts w:ascii="Arial"/>
                            <w:sz w:val="18"/>
                          </w:rPr>
                          <w:t>0.05</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7" w:right="0"/>
                          <w:jc w:val="left"/>
                          <w:rPr>
                            <w:rFonts w:ascii="Arial" w:hAnsi="Arial" w:cs="Arial" w:eastAsia="Arial" w:hint="default"/>
                            <w:sz w:val="18"/>
                            <w:szCs w:val="18"/>
                          </w:rPr>
                        </w:pPr>
                        <w:r>
                          <w:rPr>
                            <w:rFonts w:ascii="Arial"/>
                            <w:sz w:val="18"/>
                          </w:rPr>
                          <w:t>0.05</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81" w:type="dxa"/>
                        <w:tcBorders>
                          <w:top w:val="nil" w:sz="6" w:space="0" w:color="auto"/>
                          <w:left w:val="nil" w:sz="6" w:space="0" w:color="auto"/>
                          <w:bottom w:val="nil" w:sz="6" w:space="0" w:color="auto"/>
                          <w:right w:val="nil" w:sz="6" w:space="0" w:color="auto"/>
                        </w:tcBorders>
                      </w:tcPr>
                      <w:p>
                        <w:pPr>
                          <w:pStyle w:val="TableParagraph"/>
                          <w:tabs>
                            <w:tab w:pos="935" w:val="left" w:leader="none"/>
                            <w:tab w:pos="2330" w:val="left" w:leader="none"/>
                          </w:tabs>
                          <w:spacing w:line="240" w:lineRule="auto" w:before="99"/>
                          <w:ind w:right="33"/>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r>
                    <w:trPr>
                      <w:trHeight w:val="434"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8"/>
                          <w:jc w:val="right"/>
                          <w:rPr>
                            <w:rFonts w:ascii="Arial" w:hAnsi="Arial" w:cs="Arial" w:eastAsia="Arial" w:hint="default"/>
                            <w:sz w:val="18"/>
                            <w:szCs w:val="18"/>
                          </w:rPr>
                        </w:pPr>
                        <w:r>
                          <w:rPr>
                            <w:rFonts w:ascii="Arial"/>
                            <w:spacing w:val="-1"/>
                            <w:sz w:val="18"/>
                          </w:rPr>
                          <w:t>3,000,000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11" w:right="0"/>
                          <w:jc w:val="left"/>
                          <w:rPr>
                            <w:rFonts w:ascii="Arial" w:hAnsi="Arial" w:cs="Arial" w:eastAsia="Arial" w:hint="default"/>
                            <w:sz w:val="18"/>
                            <w:szCs w:val="18"/>
                          </w:rPr>
                        </w:pPr>
                        <w:r>
                          <w:rPr>
                            <w:rFonts w:ascii="Arial"/>
                            <w:sz w:val="18"/>
                          </w:rPr>
                          <w:t>3,000,000</w:t>
                        </w:r>
                      </w:p>
                    </w:tc>
                    <w:tc>
                      <w:tcPr>
                        <w:tcW w:w="2068"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31"/>
                          <w:ind w:right="272"/>
                          <w:jc w:val="right"/>
                          <w:rPr>
                            <w:rFonts w:ascii="Arial" w:hAnsi="Arial" w:cs="Arial" w:eastAsia="Arial" w:hint="default"/>
                            <w:sz w:val="18"/>
                            <w:szCs w:val="18"/>
                          </w:rPr>
                        </w:pPr>
                        <w:r>
                          <w:rPr>
                            <w:rFonts w:ascii="Arial"/>
                            <w:sz w:val="18"/>
                          </w:rPr>
                          <w:t>-</w:t>
                          <w:tab/>
                        </w:r>
                        <w:r>
                          <w:rPr>
                            <w:rFonts w:ascii="Arial"/>
                            <w:spacing w:val="-1"/>
                            <w:sz w:val="18"/>
                          </w:rPr>
                          <w:t>3,000,000</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6" w:right="0"/>
                          <w:jc w:val="center"/>
                          <w:rPr>
                            <w:rFonts w:ascii="Arial" w:hAnsi="Arial" w:cs="Arial" w:eastAsia="Arial" w:hint="default"/>
                            <w:sz w:val="18"/>
                            <w:szCs w:val="18"/>
                          </w:rPr>
                        </w:pPr>
                        <w:r>
                          <w:rPr>
                            <w:rFonts w:ascii="Arial"/>
                            <w:sz w:val="18"/>
                          </w:rPr>
                          <w:t>0.34</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37" w:right="0"/>
                          <w:jc w:val="left"/>
                          <w:rPr>
                            <w:rFonts w:ascii="Arial" w:hAnsi="Arial" w:cs="Arial" w:eastAsia="Arial" w:hint="default"/>
                            <w:sz w:val="18"/>
                            <w:szCs w:val="18"/>
                          </w:rPr>
                        </w:pPr>
                        <w:r>
                          <w:rPr>
                            <w:rFonts w:ascii="Arial"/>
                            <w:sz w:val="18"/>
                          </w:rPr>
                          <w:t>0.34</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81" w:type="dxa"/>
                        <w:tcBorders>
                          <w:top w:val="nil" w:sz="6" w:space="0" w:color="auto"/>
                          <w:left w:val="nil" w:sz="6" w:space="0" w:color="auto"/>
                          <w:bottom w:val="nil" w:sz="6" w:space="0" w:color="auto"/>
                          <w:right w:val="nil" w:sz="6" w:space="0" w:color="auto"/>
                        </w:tcBorders>
                      </w:tcPr>
                      <w:p>
                        <w:pPr>
                          <w:pStyle w:val="TableParagraph"/>
                          <w:tabs>
                            <w:tab w:pos="935" w:val="left" w:leader="none"/>
                            <w:tab w:pos="2330" w:val="left" w:leader="none"/>
                          </w:tabs>
                          <w:spacing w:line="240" w:lineRule="auto" w:before="131"/>
                          <w:ind w:right="33"/>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bl>
                <w:p>
                  <w:pPr/>
                </w:p>
              </w:txbxContent>
            </v:textbox>
            <w10:wrap type="none"/>
          </v:shape>
        </w:pict>
      </w:r>
      <w:r>
        <w:rPr>
          <w:rFonts w:ascii="宋体" w:hAnsi="宋体" w:cs="宋体" w:eastAsia="宋体" w:hint="default"/>
          <w:sz w:val="18"/>
          <w:szCs w:val="18"/>
        </w:rPr>
        <w:t>广东发展银行（注</w:t>
      </w:r>
      <w:r>
        <w:rPr>
          <w:rFonts w:ascii="宋体" w:hAnsi="宋体" w:cs="宋体" w:eastAsia="宋体" w:hint="default"/>
          <w:spacing w:val="-47"/>
          <w:sz w:val="18"/>
          <w:szCs w:val="18"/>
        </w:rPr>
        <w:t> </w:t>
      </w:r>
      <w:r>
        <w:rPr>
          <w:rFonts w:ascii="Arial" w:hAnsi="Arial" w:cs="Arial" w:eastAsia="Arial" w:hint="default"/>
          <w:sz w:val="18"/>
          <w:szCs w:val="18"/>
        </w:rPr>
        <w:t>2</w:t>
      </w:r>
      <w:r>
        <w:rPr>
          <w:rFonts w:ascii="宋体" w:hAnsi="宋体" w:cs="宋体" w:eastAsia="宋体" w:hint="default"/>
          <w:sz w:val="18"/>
          <w:szCs w:val="18"/>
        </w:rPr>
        <w:t>） 重庆重邮信科股份有限公司（“重庆</w:t>
      </w:r>
    </w:p>
    <w:p>
      <w:pPr>
        <w:spacing w:line="217" w:lineRule="exact" w:before="0"/>
        <w:ind w:left="781" w:right="0" w:firstLine="0"/>
        <w:jc w:val="left"/>
        <w:rPr>
          <w:rFonts w:ascii="宋体" w:hAnsi="宋体" w:cs="宋体" w:eastAsia="宋体" w:hint="default"/>
          <w:sz w:val="18"/>
          <w:szCs w:val="18"/>
        </w:rPr>
      </w:pPr>
      <w:r>
        <w:rPr>
          <w:rFonts w:ascii="宋体" w:hAnsi="宋体" w:cs="宋体" w:eastAsia="宋体" w:hint="default"/>
          <w:sz w:val="18"/>
          <w:szCs w:val="18"/>
        </w:rPr>
        <w:t>重邮信科”）（注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p>
      <w:pPr>
        <w:spacing w:line="228" w:lineRule="exact" w:before="0"/>
        <w:ind w:left="595" w:right="0" w:firstLine="0"/>
        <w:jc w:val="left"/>
        <w:rPr>
          <w:rFonts w:ascii="宋体" w:hAnsi="宋体" w:cs="宋体" w:eastAsia="宋体" w:hint="default"/>
          <w:sz w:val="18"/>
          <w:szCs w:val="18"/>
        </w:rPr>
      </w:pPr>
      <w:r>
        <w:rPr>
          <w:rFonts w:ascii="宋体" w:hAnsi="宋体" w:cs="宋体" w:eastAsia="宋体" w:hint="default"/>
          <w:sz w:val="18"/>
          <w:szCs w:val="18"/>
        </w:rPr>
        <w:t>自贡盐都一卡通信息化有限责任公司</w:t>
      </w:r>
    </w:p>
    <w:p>
      <w:pPr>
        <w:tabs>
          <w:tab w:pos="4490" w:val="left" w:leader="none"/>
          <w:tab w:pos="6553" w:val="left" w:leader="none"/>
          <w:tab w:pos="9474" w:val="left" w:leader="none"/>
          <w:tab w:pos="10298" w:val="left" w:leader="none"/>
          <w:tab w:pos="11330" w:val="left" w:leader="none"/>
          <w:tab w:pos="12131" w:val="left" w:leader="none"/>
          <w:tab w:pos="12781" w:val="left" w:leader="none"/>
          <w:tab w:pos="13717" w:val="left" w:leader="none"/>
          <w:tab w:pos="15112" w:val="left" w:leader="none"/>
          <w:tab w:pos="15317" w:val="left" w:leader="none"/>
        </w:tabs>
        <w:spacing w:before="0"/>
        <w:ind w:left="781" w:right="0" w:firstLine="0"/>
        <w:jc w:val="left"/>
        <w:rPr>
          <w:rFonts w:ascii="Arial" w:hAnsi="Arial" w:cs="Arial" w:eastAsia="Arial" w:hint="default"/>
          <w:sz w:val="18"/>
          <w:szCs w:val="18"/>
        </w:rPr>
      </w:pPr>
      <w:r>
        <w:rPr>
          <w:rFonts w:ascii="宋体" w:hAnsi="宋体" w:cs="宋体" w:eastAsia="宋体" w:hint="default"/>
          <w:position w:val="1"/>
          <w:sz w:val="18"/>
          <w:szCs w:val="18"/>
        </w:rPr>
        <w:t>（“自贡一卡通公司”）（注 </w:t>
      </w:r>
      <w:r>
        <w:rPr>
          <w:rFonts w:ascii="Arial" w:hAnsi="Arial" w:cs="Arial" w:eastAsia="Arial" w:hint="default"/>
          <w:spacing w:val="-1"/>
          <w:position w:val="1"/>
          <w:sz w:val="18"/>
          <w:szCs w:val="18"/>
        </w:rPr>
        <w:t>3</w:t>
      </w:r>
      <w:r>
        <w:rPr>
          <w:rFonts w:ascii="宋体" w:hAnsi="宋体" w:cs="宋体" w:eastAsia="宋体" w:hint="default"/>
          <w:spacing w:val="-1"/>
          <w:position w:val="1"/>
          <w:sz w:val="18"/>
          <w:szCs w:val="18"/>
        </w:rPr>
        <w:t>）</w:t>
      </w:r>
      <w:r>
        <w:rPr>
          <w:rFonts w:ascii="宋体" w:hAnsi="宋体" w:cs="宋体" w:eastAsia="宋体" w:hint="default"/>
          <w:spacing w:val="-13"/>
          <w:position w:val="1"/>
          <w:sz w:val="18"/>
          <w:szCs w:val="18"/>
        </w:rPr>
        <w:t> </w:t>
      </w:r>
      <w:r>
        <w:rPr>
          <w:rFonts w:ascii="宋体" w:hAnsi="宋体" w:cs="宋体" w:eastAsia="宋体" w:hint="default"/>
          <w:position w:val="1"/>
          <w:sz w:val="18"/>
          <w:szCs w:val="18"/>
        </w:rPr>
        <w:t>成本法</w:t>
        <w:tab/>
      </w:r>
      <w:r>
        <w:rPr>
          <w:rFonts w:ascii="Arial" w:hAnsi="Arial" w:cs="Arial" w:eastAsia="Arial" w:hint="default"/>
          <w:spacing w:val="-1"/>
          <w:sz w:val="18"/>
          <w:szCs w:val="18"/>
        </w:rPr>
        <w:t>1,000,000</w:t>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      </w:t>
      </w:r>
      <w:r>
        <w:rPr>
          <w:rFonts w:ascii="Arial" w:hAnsi="Arial" w:cs="Arial" w:eastAsia="Arial" w:hint="default"/>
          <w:sz w:val="18"/>
          <w:szCs w:val="18"/>
        </w:rPr>
      </w:r>
      <w:r>
        <w:rPr>
          <w:rFonts w:ascii="Arial" w:hAnsi="Arial" w:cs="Arial" w:eastAsia="Arial" w:hint="default"/>
          <w:sz w:val="18"/>
          <w:szCs w:val="18"/>
          <w:u w:val="single" w:color="000000"/>
        </w:rPr>
        <w:t> </w:t>
      </w:r>
      <w:r>
        <w:rPr>
          <w:rFonts w:ascii="Arial" w:hAnsi="Arial" w:cs="Arial" w:eastAsia="Arial" w:hint="default"/>
          <w:spacing w:val="-1"/>
          <w:sz w:val="18"/>
          <w:szCs w:val="18"/>
          <w:u w:val="single" w:color="000000"/>
        </w:rPr>
        <w:t>1,000,000</w:t>
      </w:r>
      <w:r>
        <w:rPr>
          <w:rFonts w:ascii="Arial" w:hAnsi="Arial" w:cs="Arial" w:eastAsia="Arial" w:hint="default"/>
          <w:sz w:val="18"/>
          <w:szCs w:val="18"/>
          <w:u w:val="single" w:color="000000"/>
        </w:rPr>
        <w:t>       </w:t>
      </w:r>
      <w:r>
        <w:rPr>
          <w:rFonts w:ascii="Arial" w:hAnsi="Arial" w:cs="Arial" w:eastAsia="Arial" w:hint="default"/>
          <w:spacing w:val="13"/>
          <w:sz w:val="18"/>
          <w:szCs w:val="18"/>
          <w:u w:val="single" w:color="000000"/>
        </w:rPr>
        <w:t> </w:t>
      </w:r>
      <w:r>
        <w:rPr>
          <w:rFonts w:ascii="Arial" w:hAnsi="Arial" w:cs="Arial" w:eastAsia="Arial" w:hint="default"/>
          <w:spacing w:val="13"/>
          <w:sz w:val="18"/>
          <w:szCs w:val="18"/>
        </w:rPr>
      </w:r>
      <w:r>
        <w:rPr>
          <w:rFonts w:ascii="Arial" w:hAnsi="Arial" w:cs="Arial" w:eastAsia="Arial" w:hint="default"/>
          <w:spacing w:val="13"/>
          <w:sz w:val="18"/>
          <w:szCs w:val="18"/>
          <w:u w:val="single" w:color="000000"/>
        </w:rPr>
        <w:t> </w:t>
      </w:r>
      <w:r>
        <w:rPr>
          <w:rFonts w:ascii="Arial" w:hAnsi="Arial" w:cs="Arial" w:eastAsia="Arial" w:hint="default"/>
          <w:spacing w:val="-1"/>
          <w:sz w:val="18"/>
          <w:szCs w:val="18"/>
          <w:u w:val="single" w:color="000000"/>
        </w:rPr>
        <w:t>1,000,000</w:t>
      </w:r>
      <w:r>
        <w:rPr>
          <w:rFonts w:ascii="Arial" w:hAnsi="Arial" w:cs="Arial" w:eastAsia="Arial" w:hint="default"/>
          <w:spacing w:val="-1"/>
          <w:sz w:val="18"/>
          <w:szCs w:val="18"/>
        </w:rPr>
        <w:tab/>
        <w:t>5.00</w:t>
        <w:tab/>
        <w:t>5.00</w:t>
        <w:tab/>
      </w:r>
      <w:r>
        <w:rPr>
          <w:rFonts w:ascii="宋体" w:hAnsi="宋体" w:cs="宋体" w:eastAsia="宋体" w:hint="default"/>
          <w:position w:val="1"/>
          <w:sz w:val="18"/>
          <w:szCs w:val="18"/>
        </w:rPr>
        <w:t>不适用</w:t>
        <w:tab/>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t>-</w:t>
        <w:tab/>
      </w:r>
      <w:r>
        <w:rPr>
          <w:rFonts w:ascii="Arial" w:hAnsi="Arial" w:cs="Arial" w:eastAsia="Arial" w:hint="default"/>
          <w:sz w:val="18"/>
          <w:szCs w:val="18"/>
        </w:rPr>
      </w:r>
    </w:p>
    <w:p>
      <w:pPr>
        <w:spacing w:line="240" w:lineRule="auto" w:before="0"/>
        <w:rPr>
          <w:rFonts w:ascii="Arial" w:hAnsi="Arial" w:cs="Arial" w:eastAsia="Arial" w:hint="default"/>
          <w:sz w:val="13"/>
          <w:szCs w:val="13"/>
        </w:rPr>
      </w:pPr>
    </w:p>
    <w:p>
      <w:pPr>
        <w:tabs>
          <w:tab w:pos="5712" w:val="left" w:leader="none"/>
          <w:tab w:pos="6911" w:val="left" w:leader="none"/>
          <w:tab w:pos="8026" w:val="left" w:leader="none"/>
          <w:tab w:pos="12781" w:val="left" w:leader="none"/>
          <w:tab w:pos="13717" w:val="left" w:leader="none"/>
          <w:tab w:pos="15112" w:val="left" w:leader="none"/>
        </w:tabs>
        <w:spacing w:before="47"/>
        <w:ind w:left="585" w:right="0"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22,730,271</w:t>
        <w:tab/>
        <w:t>1,000,000</w:t>
        <w:tab/>
        <w:t>23,730,271</w:t>
        <w:tab/>
      </w:r>
      <w:r>
        <w:rPr>
          <w:rFonts w:ascii="Arial" w:hAnsi="Arial" w:cs="Arial" w:eastAsia="Arial" w:hint="default"/>
          <w:sz w:val="18"/>
          <w:szCs w:val="18"/>
        </w:rPr>
        <w:t>-</w:t>
        <w:tab/>
        <w:t>-</w:t>
        <w:tab/>
        <w:t>-</w:t>
      </w:r>
    </w:p>
    <w:p>
      <w:pPr>
        <w:tabs>
          <w:tab w:pos="12109" w:val="left" w:leader="none"/>
        </w:tabs>
        <w:spacing w:line="43" w:lineRule="exact"/>
        <w:ind w:left="5449" w:right="0" w:firstLine="0"/>
        <w:rPr>
          <w:rFonts w:ascii="Arial" w:hAnsi="Arial" w:cs="Arial" w:eastAsia="Arial" w:hint="default"/>
          <w:sz w:val="4"/>
          <w:szCs w:val="4"/>
        </w:rPr>
      </w:pPr>
      <w:r>
        <w:rPr>
          <w:rFonts w:ascii="Arial"/>
          <w:position w:val="0"/>
          <w:sz w:val="4"/>
        </w:rPr>
        <w:pict>
          <v:group style="width:64.45pt;height:2.2pt;mso-position-horizontal-relative:char;mso-position-vertical-relative:line" coordorigin="0,0" coordsize="1289,44">
            <v:group style="position:absolute;left:7;top:36;width:1275;height:2" coordorigin="7,36" coordsize="1275,2">
              <v:shape style="position:absolute;left:7;top:36;width:1275;height:2" coordorigin="7,36" coordsize="1275,0" path="m7,36l1282,36e" filled="false" stroked="true" strokeweight=".72pt" strokecolor="#000000">
                <v:path arrowok="t"/>
              </v:shape>
            </v:group>
            <v:group style="position:absolute;left:7;top:7;width:1275;height:2" coordorigin="7,7" coordsize="1275,2">
              <v:shape style="position:absolute;left:7;top:7;width:1275;height:2" coordorigin="7,7" coordsize="1275,0" path="m7,7l1282,7e" filled="false" stroked="true" strokeweight=".72pt" strokecolor="#000000">
                <v:path arrowok="t"/>
              </v:shape>
            </v:group>
          </v:group>
        </w:pict>
      </w:r>
      <w:r>
        <w:rPr>
          <w:rFonts w:ascii="Arial"/>
          <w:position w:val="0"/>
          <w:sz w:val="4"/>
        </w:rPr>
      </w:r>
      <w:r>
        <w:rPr>
          <w:rFonts w:ascii="Times New Roman"/>
          <w:spacing w:val="64"/>
          <w:position w:val="0"/>
          <w:sz w:val="4"/>
        </w:rPr>
        <w:t> </w:t>
      </w:r>
      <w:r>
        <w:rPr>
          <w:rFonts w:ascii="Arial"/>
          <w:spacing w:val="64"/>
          <w:position w:val="0"/>
          <w:sz w:val="4"/>
        </w:rPr>
        <w:pict>
          <v:group style="width:49.65pt;height:2.2pt;mso-position-horizontal-relative:char;mso-position-vertical-relative:line" coordorigin="0,0" coordsize="993,44">
            <v:group style="position:absolute;left:7;top:36;width:978;height:2" coordorigin="7,36" coordsize="978,2">
              <v:shape style="position:absolute;left:7;top:36;width:978;height:2" coordorigin="7,36" coordsize="978,0" path="m7,36l985,36e" filled="false" stroked="true" strokeweight=".72pt" strokecolor="#000000">
                <v:path arrowok="t"/>
              </v:shape>
            </v:group>
            <v:group style="position:absolute;left:7;top:7;width:978;height:2" coordorigin="7,7" coordsize="978,2">
              <v:shape style="position:absolute;left:7;top:7;width:978;height:2" coordorigin="7,7" coordsize="978,0" path="m7,7l985,7e" filled="false" stroked="true" strokeweight=".72pt" strokecolor="#000000">
                <v:path arrowok="t"/>
              </v:shape>
            </v:group>
          </v:group>
        </w:pict>
      </w:r>
      <w:r>
        <w:rPr>
          <w:rFonts w:ascii="Arial"/>
          <w:spacing w:val="64"/>
          <w:position w:val="0"/>
          <w:sz w:val="4"/>
        </w:rPr>
      </w:r>
      <w:r>
        <w:rPr>
          <w:rFonts w:ascii="Times New Roman"/>
          <w:spacing w:val="54"/>
          <w:position w:val="0"/>
          <w:sz w:val="4"/>
        </w:rPr>
        <w:t> </w:t>
      </w:r>
      <w:r>
        <w:rPr>
          <w:rFonts w:ascii="Arial"/>
          <w:spacing w:val="54"/>
          <w:position w:val="0"/>
          <w:sz w:val="4"/>
        </w:rPr>
        <w:pict>
          <v:group style="width:59.55pt;height:2.2pt;mso-position-horizontal-relative:char;mso-position-vertical-relative:line" coordorigin="0,0" coordsize="1191,44">
            <v:group style="position:absolute;left:7;top:36;width:1176;height:2" coordorigin="7,36" coordsize="1176,2">
              <v:shape style="position:absolute;left:7;top:36;width:1176;height:2" coordorigin="7,36" coordsize="1176,0" path="m7,36l1183,36e" filled="false" stroked="true" strokeweight=".72pt" strokecolor="#000000">
                <v:path arrowok="t"/>
              </v:shape>
            </v:group>
            <v:group style="position:absolute;left:7;top:7;width:1176;height:2" coordorigin="7,7" coordsize="1176,2">
              <v:shape style="position:absolute;left:7;top:7;width:1176;height:2" coordorigin="7,7" coordsize="1176,0" path="m7,7l1183,7e" filled="false" stroked="true" strokeweight=".72pt" strokecolor="#000000">
                <v:path arrowok="t"/>
              </v:shape>
            </v:group>
          </v:group>
        </w:pict>
      </w:r>
      <w:r>
        <w:rPr>
          <w:rFonts w:ascii="Arial"/>
          <w:spacing w:val="54"/>
          <w:position w:val="0"/>
          <w:sz w:val="4"/>
        </w:rPr>
      </w:r>
      <w:r>
        <w:rPr>
          <w:rFonts w:ascii="Arial"/>
          <w:spacing w:val="54"/>
          <w:position w:val="0"/>
          <w:sz w:val="4"/>
        </w:rPr>
        <w:tab/>
      </w:r>
      <w:r>
        <w:rPr>
          <w:rFonts w:ascii="Arial"/>
          <w:spacing w:val="54"/>
          <w:position w:val="0"/>
          <w:sz w:val="4"/>
        </w:rPr>
        <w:pict>
          <v:group style="width:41.55pt;height:2.2pt;mso-position-horizontal-relative:char;mso-position-vertical-relative:line" coordorigin="0,0" coordsize="831,44">
            <v:group style="position:absolute;left:7;top:36;width:816;height:2" coordorigin="7,36" coordsize="816,2">
              <v:shape style="position:absolute;left:7;top:36;width:816;height:2" coordorigin="7,36" coordsize="816,0" path="m7,36l823,36e" filled="false" stroked="true" strokeweight=".72pt" strokecolor="#000000">
                <v:path arrowok="t"/>
              </v:shape>
            </v:group>
            <v:group style="position:absolute;left:7;top:7;width:816;height:2" coordorigin="7,7" coordsize="816,2">
              <v:shape style="position:absolute;left:7;top:7;width:816;height:2" coordorigin="7,7" coordsize="816,0" path="m7,7l823,7e" filled="false" stroked="true" strokeweight=".72pt" strokecolor="#000000">
                <v:path arrowok="t"/>
              </v:shape>
            </v:group>
          </v:group>
        </w:pict>
      </w:r>
      <w:r>
        <w:rPr>
          <w:rFonts w:ascii="Arial"/>
          <w:spacing w:val="54"/>
          <w:position w:val="0"/>
          <w:sz w:val="4"/>
        </w:rPr>
      </w:r>
      <w:r>
        <w:rPr>
          <w:rFonts w:ascii="Times New Roman"/>
          <w:spacing w:val="54"/>
          <w:position w:val="0"/>
          <w:sz w:val="4"/>
        </w:rPr>
        <w:t> </w:t>
      </w:r>
      <w:r>
        <w:rPr>
          <w:rFonts w:ascii="Arial"/>
          <w:spacing w:val="54"/>
          <w:position w:val="0"/>
          <w:sz w:val="4"/>
        </w:rPr>
        <w:pict>
          <v:group style="width:44.25pt;height:2.2pt;mso-position-horizontal-relative:char;mso-position-vertical-relative:line" coordorigin="0,0" coordsize="885,44">
            <v:group style="position:absolute;left:7;top:36;width:870;height:2" coordorigin="7,36" coordsize="870,2">
              <v:shape style="position:absolute;left:7;top:36;width:870;height:2" coordorigin="7,36" coordsize="870,0" path="m7,36l877,36e" filled="false" stroked="true" strokeweight=".72pt" strokecolor="#000000">
                <v:path arrowok="t"/>
              </v:shape>
            </v:group>
            <v:group style="position:absolute;left:7;top:7;width:870;height:2" coordorigin="7,7" coordsize="870,2">
              <v:shape style="position:absolute;left:7;top:7;width:870;height:2" coordorigin="7,7" coordsize="870,0" path="m7,7l877,7e" filled="false" stroked="true" strokeweight=".72pt" strokecolor="#000000">
                <v:path arrowok="t"/>
              </v:shape>
            </v:group>
          </v:group>
        </w:pict>
      </w:r>
      <w:r>
        <w:rPr>
          <w:rFonts w:ascii="Arial"/>
          <w:spacing w:val="54"/>
          <w:position w:val="0"/>
          <w:sz w:val="4"/>
        </w:rPr>
      </w:r>
      <w:r>
        <w:rPr>
          <w:rFonts w:ascii="Times New Roman"/>
          <w:spacing w:val="63"/>
          <w:position w:val="0"/>
          <w:sz w:val="4"/>
        </w:rPr>
        <w:t> </w:t>
      </w:r>
      <w:r>
        <w:rPr>
          <w:rFonts w:ascii="Arial"/>
          <w:spacing w:val="63"/>
          <w:position w:val="0"/>
          <w:sz w:val="4"/>
        </w:rPr>
        <w:pict>
          <v:group style="width:67.6pt;height:2.2pt;mso-position-horizontal-relative:char;mso-position-vertical-relative:line" coordorigin="0,0" coordsize="1352,44">
            <v:group style="position:absolute;left:7;top:36;width:1337;height:2" coordorigin="7,36" coordsize="1337,2">
              <v:shape style="position:absolute;left:7;top:36;width:1337;height:2" coordorigin="7,36" coordsize="1337,0" path="m7,36l1344,36e" filled="false" stroked="true" strokeweight=".72pt" strokecolor="#000000">
                <v:path arrowok="t"/>
              </v:shape>
            </v:group>
            <v:group style="position:absolute;left:7;top:7;width:1337;height:2" coordorigin="7,7" coordsize="1337,2">
              <v:shape style="position:absolute;left:7;top:7;width:1337;height:2" coordorigin="7,7" coordsize="1337,0" path="m7,7l1344,7e" filled="false" stroked="true" strokeweight=".72pt" strokecolor="#000000">
                <v:path arrowok="t"/>
              </v:shape>
            </v:group>
          </v:group>
        </w:pict>
      </w:r>
      <w:r>
        <w:rPr>
          <w:rFonts w:ascii="Arial"/>
          <w:spacing w:val="63"/>
          <w:position w:val="0"/>
          <w:sz w:val="4"/>
        </w:rPr>
      </w:r>
    </w:p>
    <w:p>
      <w:pPr>
        <w:spacing w:line="240" w:lineRule="auto" w:before="5"/>
        <w:rPr>
          <w:rFonts w:ascii="Arial" w:hAnsi="Arial" w:cs="Arial" w:eastAsia="Arial" w:hint="default"/>
          <w:sz w:val="16"/>
          <w:szCs w:val="16"/>
        </w:rPr>
      </w:pPr>
    </w:p>
    <w:p>
      <w:pPr>
        <w:pStyle w:val="BodyText"/>
        <w:spacing w:line="286" w:lineRule="exact" w:before="60"/>
        <w:ind w:left="1143" w:right="0" w:hanging="574"/>
        <w:jc w:val="left"/>
      </w:pPr>
      <w:r>
        <w:rPr>
          <w:w w:val="95"/>
        </w:rPr>
        <w:t>注 </w:t>
      </w:r>
      <w:r>
        <w:rPr>
          <w:rFonts w:ascii="Arial" w:hAnsi="Arial" w:cs="Arial" w:eastAsia="Arial" w:hint="default"/>
          <w:w w:val="95"/>
        </w:rPr>
        <w:t>1</w:t>
      </w:r>
      <w:r>
        <w:rPr>
          <w:w w:val="95"/>
        </w:rPr>
        <w:t>：上述持股比例及表决权比例指本公司所属子公司中讯设计院直接持有广东发展银行和重庆重邮信科股份以及本公司所属子公司联通运营公司直接持</w:t>
      </w:r>
      <w:r>
        <w:rPr>
          <w:spacing w:val="-6"/>
          <w:w w:val="95"/>
        </w:rPr>
        <w:t> </w:t>
      </w:r>
      <w:r>
        <w:rPr>
          <w:spacing w:val="-6"/>
          <w:w w:val="95"/>
        </w:rPr>
      </w:r>
      <w:r>
        <w:rPr/>
        <w:t>有自贡一卡通公司股份的比例。</w:t>
      </w:r>
    </w:p>
    <w:p>
      <w:pPr>
        <w:spacing w:line="240" w:lineRule="auto" w:before="1"/>
        <w:rPr>
          <w:rFonts w:ascii="宋体" w:hAnsi="宋体" w:cs="宋体" w:eastAsia="宋体" w:hint="default"/>
          <w:sz w:val="17"/>
          <w:szCs w:val="17"/>
        </w:rPr>
      </w:pPr>
    </w:p>
    <w:p>
      <w:pPr>
        <w:pStyle w:val="BodyText"/>
        <w:spacing w:line="295" w:lineRule="exact"/>
        <w:ind w:left="559" w:right="0"/>
        <w:jc w:val="left"/>
      </w:pPr>
      <w:r>
        <w:rPr/>
        <w:t>注</w:t>
      </w:r>
      <w:r>
        <w:rPr>
          <w:spacing w:val="-60"/>
        </w:rPr>
        <w:t> </w:t>
      </w:r>
      <w:r>
        <w:rPr>
          <w:rFonts w:ascii="Arial" w:hAnsi="Arial" w:cs="Arial" w:eastAsia="Arial" w:hint="default"/>
          <w:spacing w:val="-4"/>
        </w:rPr>
        <w:t>2</w:t>
      </w:r>
      <w:r>
        <w:rPr>
          <w:spacing w:val="-4"/>
        </w:rPr>
        <w:t>：于</w:t>
      </w:r>
      <w:r>
        <w:rPr>
          <w:spacing w:val="-60"/>
        </w:rPr>
        <w:t> </w:t>
      </w:r>
      <w:r>
        <w:rPr>
          <w:rFonts w:ascii="Arial" w:hAnsi="Arial" w:cs="Arial" w:eastAsia="Arial" w:hint="default"/>
        </w:rPr>
        <w:t>2011</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日，因本集团对被投资单位广东发展银行和重庆重邮信科均不具有控制、共同控制或重大影响，且对这</w:t>
      </w:r>
      <w:r>
        <w:rPr>
          <w:spacing w:val="-60"/>
        </w:rPr>
        <w:t> </w:t>
      </w:r>
      <w:r>
        <w:rPr>
          <w:rFonts w:ascii="Arial" w:hAnsi="Arial" w:cs="Arial" w:eastAsia="Arial" w:hint="default"/>
        </w:rPr>
        <w:t>2</w:t>
      </w:r>
      <w:r>
        <w:rPr>
          <w:rFonts w:ascii="Arial" w:hAnsi="Arial" w:cs="Arial" w:eastAsia="Arial" w:hint="default"/>
          <w:spacing w:val="-11"/>
        </w:rPr>
        <w:t> </w:t>
      </w:r>
      <w:r>
        <w:rPr/>
        <w:t>家被投资单位的长期</w:t>
      </w:r>
    </w:p>
    <w:p>
      <w:pPr>
        <w:pStyle w:val="BodyText"/>
        <w:spacing w:line="295" w:lineRule="exact"/>
        <w:ind w:left="1179" w:right="0"/>
        <w:jc w:val="both"/>
      </w:pPr>
      <w:r>
        <w:rPr/>
        <w:t>股权投资不存在活跃市场报价、其公允价值也不能可靠计量，故本集团采用成本法核算对</w:t>
      </w:r>
      <w:r>
        <w:rPr>
          <w:spacing w:val="-57"/>
        </w:rPr>
        <w:t> </w:t>
      </w:r>
      <w:r>
        <w:rPr>
          <w:rFonts w:ascii="Arial" w:hAnsi="Arial" w:cs="Arial" w:eastAsia="Arial" w:hint="default"/>
        </w:rPr>
        <w:t>2</w:t>
      </w:r>
      <w:r>
        <w:rPr>
          <w:rFonts w:ascii="Arial" w:hAnsi="Arial" w:cs="Arial" w:eastAsia="Arial" w:hint="default"/>
          <w:spacing w:val="-7"/>
        </w:rPr>
        <w:t> </w:t>
      </w:r>
      <w:r>
        <w:rPr/>
        <w:t>家被投资单位的长期股权投资。</w:t>
      </w:r>
    </w:p>
    <w:p>
      <w:pPr>
        <w:spacing w:line="240" w:lineRule="auto" w:before="12"/>
        <w:rPr>
          <w:rFonts w:ascii="宋体" w:hAnsi="宋体" w:cs="宋体" w:eastAsia="宋体" w:hint="default"/>
          <w:sz w:val="17"/>
          <w:szCs w:val="17"/>
        </w:rPr>
      </w:pPr>
    </w:p>
    <w:p>
      <w:pPr>
        <w:pStyle w:val="BodyText"/>
        <w:spacing w:line="295" w:lineRule="exact"/>
        <w:ind w:left="569" w:right="0"/>
        <w:jc w:val="left"/>
      </w:pPr>
      <w:r>
        <w:rPr/>
        <w:t>注</w:t>
      </w:r>
      <w:r>
        <w:rPr>
          <w:spacing w:val="-59"/>
        </w:rPr>
        <w:t> </w:t>
      </w:r>
      <w:r>
        <w:rPr>
          <w:rFonts w:ascii="Arial" w:hAnsi="Arial" w:cs="Arial" w:eastAsia="Arial" w:hint="default"/>
        </w:rPr>
        <w:t>3</w:t>
      </w:r>
      <w:r>
        <w:rPr/>
        <w:t>：于</w:t>
      </w:r>
      <w:r>
        <w:rPr>
          <w:spacing w:val="-59"/>
        </w:rPr>
        <w:t> </w:t>
      </w:r>
      <w:r>
        <w:rPr>
          <w:rFonts w:ascii="Arial" w:hAnsi="Arial" w:cs="Arial" w:eastAsia="Arial" w:hint="default"/>
        </w:rPr>
        <w:t>2011</w:t>
      </w:r>
      <w:r>
        <w:rPr>
          <w:rFonts w:ascii="Arial" w:hAnsi="Arial" w:cs="Arial" w:eastAsia="Arial" w:hint="default"/>
          <w:spacing w:val="-10"/>
        </w:rPr>
        <w:t> </w:t>
      </w:r>
      <w:r>
        <w:rPr/>
        <w:t>年</w:t>
      </w:r>
      <w:r>
        <w:rPr>
          <w:spacing w:val="-59"/>
        </w:rPr>
        <w:t> </w:t>
      </w:r>
      <w:r>
        <w:rPr>
          <w:rFonts w:ascii="Arial" w:hAnsi="Arial" w:cs="Arial" w:eastAsia="Arial" w:hint="default"/>
        </w:rPr>
        <w:t>1</w:t>
      </w:r>
      <w:r>
        <w:rPr>
          <w:rFonts w:ascii="Arial" w:hAnsi="Arial" w:cs="Arial" w:eastAsia="Arial" w:hint="default"/>
          <w:spacing w:val="-10"/>
        </w:rPr>
        <w:t> </w:t>
      </w:r>
      <w:r>
        <w:rPr/>
        <w:t>月，本集团所属联通运营公司与自贡市公交集团有限责任公司、成都平海能源科技有限公司、深圳市大明五洲城市一卡通科技有限公</w:t>
      </w:r>
    </w:p>
    <w:p>
      <w:pPr>
        <w:pStyle w:val="BodyText"/>
        <w:spacing w:line="286" w:lineRule="exact"/>
        <w:ind w:left="1179" w:right="0"/>
        <w:jc w:val="both"/>
      </w:pPr>
      <w:r>
        <w:rPr>
          <w:spacing w:val="-3"/>
        </w:rPr>
        <w:t>司及四川智周万维信息科技有限公司共同出资设立了自贡盐都一卡通信息化有限责任公司（“自贡一卡通公司”），注册资本为人民币</w:t>
      </w:r>
      <w:r>
        <w:rPr>
          <w:spacing w:val="-50"/>
        </w:rPr>
        <w:t> </w:t>
      </w:r>
      <w:r>
        <w:rPr>
          <w:rFonts w:ascii="Arial" w:hAnsi="Arial" w:cs="Arial" w:eastAsia="Arial" w:hint="default"/>
        </w:rPr>
        <w:t>2,000</w:t>
      </w:r>
      <w:r>
        <w:rPr>
          <w:rFonts w:ascii="Arial" w:hAnsi="Arial" w:cs="Arial" w:eastAsia="Arial" w:hint="default"/>
          <w:spacing w:val="-1"/>
        </w:rPr>
        <w:t> </w:t>
      </w:r>
      <w:r>
        <w:rPr/>
        <w:t>万元，</w:t>
      </w:r>
    </w:p>
    <w:p>
      <w:pPr>
        <w:pStyle w:val="BodyText"/>
        <w:spacing w:line="286" w:lineRule="exact" w:before="19"/>
        <w:ind w:left="1179" w:right="226" w:hanging="1"/>
        <w:jc w:val="both"/>
      </w:pPr>
      <w:r>
        <w:rPr/>
        <w:t>其中联通运营公司出资人民币</w:t>
      </w:r>
      <w:r>
        <w:rPr>
          <w:spacing w:val="-57"/>
        </w:rPr>
        <w:t> </w:t>
      </w:r>
      <w:r>
        <w:rPr>
          <w:rFonts w:ascii="Arial" w:hAnsi="Arial" w:cs="Arial" w:eastAsia="Arial" w:hint="default"/>
        </w:rPr>
        <w:t>100</w:t>
      </w:r>
      <w:r>
        <w:rPr>
          <w:rFonts w:ascii="Arial" w:hAnsi="Arial" w:cs="Arial" w:eastAsia="Arial" w:hint="default"/>
          <w:spacing w:val="-7"/>
        </w:rPr>
        <w:t> </w:t>
      </w:r>
      <w:r>
        <w:rPr/>
        <w:t>万，持股比例为</w:t>
      </w:r>
      <w:r>
        <w:rPr>
          <w:spacing w:val="-57"/>
        </w:rPr>
        <w:t> </w:t>
      </w:r>
      <w:r>
        <w:rPr>
          <w:rFonts w:ascii="Arial" w:hAnsi="Arial" w:cs="Arial" w:eastAsia="Arial" w:hint="default"/>
        </w:rPr>
        <w:t>5%</w:t>
      </w:r>
      <w:r>
        <w:rPr/>
        <w:t>。于</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日，联通运营公司对被投资单位自贡一卡通公司不具有控制、共同控</w:t>
      </w:r>
      <w:r>
        <w:rPr>
          <w:w w:val="99"/>
        </w:rPr>
        <w:t> </w:t>
      </w:r>
      <w:r>
        <w:rPr>
          <w:spacing w:val="-1"/>
        </w:rPr>
        <w:t>制或重大影响，且对该被投资单位的长期股权投资不存在活跃市场报价、其公允价值也不能可靠计量，故本集团采用成本法核算对该被投资单位的</w:t>
      </w:r>
      <w:r>
        <w:rPr>
          <w:spacing w:val="-103"/>
        </w:rPr>
        <w:t> </w:t>
      </w:r>
      <w:r>
        <w:rPr>
          <w:spacing w:val="-103"/>
        </w:rPr>
      </w:r>
      <w:r>
        <w:rPr/>
        <w:t>长期股权投资。</w:t>
      </w:r>
    </w:p>
    <w:p>
      <w:pPr>
        <w:spacing w:after="0" w:line="286" w:lineRule="exact"/>
        <w:jc w:val="both"/>
        <w:sectPr>
          <w:type w:val="continuous"/>
          <w:pgSz w:w="16840" w:h="11900" w:orient="landscape"/>
          <w:pgMar w:top="1600" w:bottom="280" w:left="460" w:right="940"/>
        </w:sectPr>
      </w:pPr>
    </w:p>
    <w:p>
      <w:pPr>
        <w:spacing w:line="240" w:lineRule="auto" w:before="9"/>
        <w:rPr>
          <w:rFonts w:ascii="宋体" w:hAnsi="宋体" w:cs="宋体" w:eastAsia="宋体" w:hint="default"/>
          <w:sz w:val="16"/>
          <w:szCs w:val="16"/>
        </w:rPr>
      </w:pPr>
    </w:p>
    <w:p>
      <w:pPr>
        <w:pStyle w:val="BodyText"/>
        <w:spacing w:line="240" w:lineRule="auto" w:before="31"/>
        <w:ind w:left="102" w:right="0"/>
        <w:jc w:val="left"/>
      </w:pPr>
      <w:r>
        <w:rPr>
          <w:rFonts w:ascii="Arial" w:hAnsi="Arial" w:cs="Arial" w:eastAsia="Arial" w:hint="default"/>
        </w:rPr>
        <w:t>9</w:t>
      </w:r>
      <w:r>
        <w:rPr/>
        <w:t>、固定资产</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96"/>
          <w:footerReference w:type="default" r:id="rId97"/>
          <w:pgSz w:w="11900" w:h="16840"/>
          <w:pgMar w:header="1189" w:footer="752" w:top="3040" w:bottom="940" w:left="1280" w:right="880"/>
          <w:pgNumType w:start="114"/>
        </w:sectPr>
      </w:pPr>
    </w:p>
    <w:p>
      <w:pPr>
        <w:spacing w:line="268" w:lineRule="exact" w:before="38"/>
        <w:ind w:left="2991" w:right="3444"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tabs>
          <w:tab w:pos="5025" w:val="left" w:leader="none"/>
          <w:tab w:pos="6835" w:val="left" w:leader="none"/>
        </w:tabs>
        <w:spacing w:line="267" w:lineRule="exact" w:before="0"/>
        <w:ind w:left="2942" w:right="-18" w:firstLine="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t>本年增加</w:t>
        <w:tab/>
        <w:t>本年减少</w:t>
      </w:r>
    </w:p>
    <w:p>
      <w:pPr>
        <w:spacing w:line="260" w:lineRule="exact" w:before="0"/>
        <w:ind w:left="2991" w:right="3605" w:firstLine="0"/>
        <w:jc w:val="center"/>
        <w:rPr>
          <w:rFonts w:ascii="宋体" w:hAnsi="宋体" w:cs="宋体" w:eastAsia="宋体" w:hint="default"/>
          <w:sz w:val="20"/>
          <w:szCs w:val="20"/>
        </w:rPr>
      </w:pPr>
      <w:r>
        <w:rPr/>
        <w:pict>
          <v:group style="position:absolute;margin-left:171.720001pt;margin-top:1.151192pt;width:92.7pt;height:.1pt;mso-position-horizontal-relative:page;mso-position-vertical-relative:paragraph;z-index:-820264" coordorigin="3434,23" coordsize="1854,2">
            <v:shape style="position:absolute;left:3434;top:23;width:1854;height:2" coordorigin="3434,23" coordsize="1854,0" path="m3434,23l5288,23e" filled="false" stroked="true" strokeweight=".71997pt" strokecolor="#000000">
              <v:path arrowok="t"/>
            </v:shape>
            <w10:wrap type="none"/>
          </v:group>
        </w:pict>
      </w:r>
      <w:r>
        <w:rPr/>
        <w:pict>
          <v:group style="position:absolute;margin-left:268.5pt;margin-top:1.151192pt;width:89.1pt;height:.1pt;mso-position-horizontal-relative:page;mso-position-vertical-relative:paragraph;z-index:4072" coordorigin="5370,23" coordsize="1782,2">
            <v:shape style="position:absolute;left:5370;top:23;width:1782;height:2" coordorigin="5370,23" coordsize="1782,0" path="m5370,23l7152,23e" filled="false" stroked="true" strokeweight=".71997pt" strokecolor="#000000">
              <v:path arrowok="t"/>
            </v:shape>
            <w10:wrap type="none"/>
          </v:group>
        </w:pict>
      </w:r>
      <w:r>
        <w:rPr/>
        <w:pict>
          <v:group style="position:absolute;margin-left:362.100006pt;margin-top:1.151192pt;width:87.3pt;height:.1pt;mso-position-horizontal-relative:page;mso-position-vertical-relative:paragraph;z-index:4096" coordorigin="7242,23" coordsize="1746,2">
            <v:shape style="position:absolute;left:7242;top:23;width:1746;height:2" coordorigin="7242,23" coordsize="1746,0" path="m7242,23l8988,23e" filled="false" stroked="true" strokeweight=".71997pt" strokecolor="#000000">
              <v:path arrowok="t"/>
            </v:shape>
            <w10:wrap type="none"/>
          </v:group>
        </w:pict>
      </w:r>
      <w:r>
        <w:rPr>
          <w:rFonts w:ascii="宋体" w:hAnsi="宋体" w:cs="宋体" w:eastAsia="宋体" w:hint="default"/>
          <w:sz w:val="20"/>
          <w:szCs w:val="20"/>
        </w:rPr>
        <w:t>（经重列）</w:t>
      </w:r>
    </w:p>
    <w:p>
      <w:pPr>
        <w:spacing w:line="260" w:lineRule="exact" w:before="0"/>
        <w:ind w:left="490" w:right="-18" w:firstLine="0"/>
        <w:jc w:val="left"/>
        <w:rPr>
          <w:rFonts w:ascii="宋体" w:hAnsi="宋体" w:cs="宋体" w:eastAsia="宋体" w:hint="default"/>
          <w:sz w:val="20"/>
          <w:szCs w:val="20"/>
        </w:rPr>
      </w:pPr>
      <w:r>
        <w:rPr>
          <w:rFonts w:ascii="宋体" w:hAnsi="宋体" w:cs="宋体" w:eastAsia="宋体" w:hint="default"/>
          <w:sz w:val="20"/>
          <w:szCs w:val="20"/>
        </w:rPr>
        <w:t>原价</w:t>
      </w:r>
    </w:p>
    <w:p>
      <w:pPr>
        <w:spacing w:line="268" w:lineRule="exact" w:before="38"/>
        <w:ind w:left="789" w:right="0" w:firstLine="0"/>
        <w:jc w:val="left"/>
        <w:rPr>
          <w:rFonts w:ascii="宋体" w:hAnsi="宋体" w:cs="宋体" w:eastAsia="宋体" w:hint="default"/>
          <w:sz w:val="20"/>
          <w:szCs w:val="20"/>
        </w:rPr>
      </w:pPr>
      <w:r>
        <w:rPr/>
        <w:br w:type="column"/>
      </w: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68" w:lineRule="exact" w:before="0"/>
        <w:ind w:left="490" w:right="0" w:firstLine="0"/>
        <w:jc w:val="left"/>
        <w:rPr>
          <w:rFonts w:ascii="宋体" w:hAnsi="宋体" w:cs="宋体" w:eastAsia="宋体" w:hint="default"/>
          <w:sz w:val="20"/>
          <w:szCs w:val="20"/>
        </w:rPr>
      </w:pPr>
      <w:r>
        <w:rPr/>
        <w:pict>
          <v:group style="position:absolute;margin-left:453.899994pt;margin-top:14.500832pt;width:91.35pt;height:.1pt;mso-position-horizontal-relative:page;mso-position-vertical-relative:paragraph;z-index:4120" coordorigin="9078,290" coordsize="1827,2">
            <v:shape style="position:absolute;left:9078;top:290;width:1827;height:2" coordorigin="9078,290" coordsize="1827,0" path="m9078,290l10904,290e" filled="false" stroked="true" strokeweight=".71997pt" strokecolor="#000000">
              <v:path arrowok="t"/>
            </v:shape>
            <w10:wrap type="none"/>
          </v:group>
        </w:pic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after="0" w:line="268" w:lineRule="exact"/>
        <w:jc w:val="left"/>
        <w:rPr>
          <w:rFonts w:ascii="宋体" w:hAnsi="宋体" w:cs="宋体" w:eastAsia="宋体" w:hint="default"/>
          <w:sz w:val="20"/>
          <w:szCs w:val="20"/>
        </w:rPr>
        <w:sectPr>
          <w:type w:val="continuous"/>
          <w:pgSz w:w="11900" w:h="16840"/>
          <w:pgMar w:top="1600" w:bottom="280" w:left="1280" w:right="880"/>
          <w:cols w:num="2" w:equalWidth="0">
            <w:col w:w="7638" w:space="419"/>
            <w:col w:w="1683"/>
          </w:cols>
        </w:sectPr>
      </w:pPr>
    </w:p>
    <w:p>
      <w:pPr>
        <w:tabs>
          <w:tab w:pos="2493" w:val="left" w:leader="none"/>
          <w:tab w:pos="4502" w:val="left" w:leader="none"/>
          <w:tab w:pos="6412" w:val="left" w:leader="none"/>
          <w:tab w:pos="8090" w:val="left" w:leader="none"/>
        </w:tabs>
        <w:spacing w:line="273" w:lineRule="exact" w:before="0"/>
        <w:ind w:left="68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房屋建筑物</w:t>
        <w:tab/>
      </w:r>
      <w:r>
        <w:rPr>
          <w:rFonts w:ascii="Arial" w:hAnsi="Arial" w:cs="Arial" w:eastAsia="Arial" w:hint="default"/>
          <w:spacing w:val="-1"/>
          <w:sz w:val="20"/>
          <w:szCs w:val="20"/>
        </w:rPr>
        <w:t>54,267,830,767</w:t>
        <w:tab/>
        <w:t>3,118,531,802</w:t>
        <w:tab/>
        <w:t>(134,186,682)</w:t>
        <w:tab/>
        <w:t>57,252,175,887</w:t>
      </w:r>
    </w:p>
    <w:p>
      <w:pPr>
        <w:tabs>
          <w:tab w:pos="2382" w:val="left" w:leader="none"/>
          <w:tab w:pos="4391" w:val="left" w:leader="none"/>
          <w:tab w:pos="6132" w:val="left" w:leader="none"/>
          <w:tab w:pos="7979" w:val="left" w:leader="none"/>
        </w:tabs>
        <w:spacing w:line="259" w:lineRule="exact" w:before="0"/>
        <w:ind w:left="687" w:right="0" w:firstLine="0"/>
        <w:jc w:val="left"/>
        <w:rPr>
          <w:rFonts w:ascii="Arial" w:hAnsi="Arial" w:cs="Arial" w:eastAsia="Arial" w:hint="default"/>
          <w:sz w:val="20"/>
          <w:szCs w:val="20"/>
        </w:rPr>
      </w:pPr>
      <w:r>
        <w:rPr>
          <w:rFonts w:ascii="宋体" w:hAnsi="宋体" w:cs="宋体" w:eastAsia="宋体" w:hint="default"/>
          <w:position w:val="1"/>
          <w:sz w:val="20"/>
          <w:szCs w:val="20"/>
        </w:rPr>
        <w:t>通信设备</w:t>
        <w:tab/>
      </w:r>
      <w:r>
        <w:rPr>
          <w:rFonts w:ascii="Arial" w:hAnsi="Arial" w:cs="Arial" w:eastAsia="Arial" w:hint="default"/>
          <w:spacing w:val="-1"/>
          <w:sz w:val="20"/>
          <w:szCs w:val="20"/>
        </w:rPr>
        <w:t>636,864,083,622</w:t>
        <w:tab/>
        <w:t>72,052,505,872</w:t>
        <w:tab/>
        <w:t>(16,824,297,227)</w:t>
        <w:tab/>
        <w:t>692,092,292,267</w:t>
      </w:r>
    </w:p>
    <w:p>
      <w:pPr>
        <w:tabs>
          <w:tab w:pos="2493" w:val="left" w:leader="none"/>
          <w:tab w:pos="4502" w:val="left" w:leader="none"/>
          <w:tab w:pos="6412" w:val="left" w:leader="none"/>
          <w:tab w:pos="8090" w:val="left" w:leader="none"/>
          <w:tab w:pos="9624" w:val="left" w:leader="none"/>
        </w:tabs>
        <w:spacing w:line="267" w:lineRule="exact" w:before="0"/>
        <w:ind w:left="68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办公设备及其他</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42,923,539,504</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2,020,423,050</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(905,618,503)</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44,038,344,051</w:t>
        <w:tab/>
      </w:r>
      <w:r>
        <w:rPr>
          <w:rFonts w:ascii="Arial" w:hAnsi="Arial" w:cs="Arial" w:eastAsia="Arial" w:hint="default"/>
          <w:spacing w:val="-1"/>
          <w:sz w:val="20"/>
          <w:szCs w:val="20"/>
        </w:rPr>
      </w:r>
    </w:p>
    <w:p>
      <w:pPr>
        <w:tabs>
          <w:tab w:pos="2154" w:val="left" w:leader="none"/>
          <w:tab w:pos="4391" w:val="left" w:leader="none"/>
          <w:tab w:pos="9624" w:val="left" w:leader="none"/>
        </w:tabs>
        <w:spacing w:line="280" w:lineRule="exact" w:before="0"/>
        <w:ind w:left="687" w:right="0" w:firstLine="0"/>
        <w:jc w:val="left"/>
        <w:rPr>
          <w:rFonts w:ascii="Arial" w:hAnsi="Arial" w:cs="Arial" w:eastAsia="Arial" w:hint="default"/>
          <w:sz w:val="20"/>
          <w:szCs w:val="20"/>
        </w:rPr>
      </w:pPr>
      <w:r>
        <w:rPr>
          <w:rFonts w:ascii="宋体" w:hAnsi="宋体" w:cs="宋体" w:eastAsia="宋体" w:hint="default"/>
          <w:position w:val="1"/>
          <w:sz w:val="20"/>
          <w:szCs w:val="20"/>
        </w:rPr>
        <w:t>小计</w:t>
        <w:tab/>
      </w:r>
      <w:r>
        <w:rPr>
          <w:rFonts w:ascii="Arial" w:hAnsi="Arial" w:cs="Arial" w:eastAsia="Arial" w:hint="default"/>
          <w:sz w:val="20"/>
          <w:szCs w:val="20"/>
        </w:rPr>
      </w:r>
      <w:r>
        <w:rPr>
          <w:rFonts w:ascii="Arial" w:hAnsi="Arial" w:cs="Arial" w:eastAsia="Arial" w:hint="default"/>
          <w:sz w:val="20"/>
          <w:szCs w:val="20"/>
          <w:u w:val="single" w:color="000000"/>
        </w:rPr>
        <w:t> </w:t>
      </w:r>
      <w:r>
        <w:rPr>
          <w:rFonts w:ascii="Arial" w:hAnsi="Arial" w:cs="Arial" w:eastAsia="Arial" w:hint="default"/>
          <w:spacing w:val="-1"/>
          <w:sz w:val="20"/>
          <w:szCs w:val="20"/>
          <w:u w:val="single" w:color="000000"/>
        </w:rPr>
        <w:t>734,055,453,893</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77,191,460,724</w:t>
      </w:r>
      <w:r>
        <w:rPr>
          <w:rFonts w:ascii="Arial" w:hAnsi="Arial" w:cs="Arial" w:eastAsia="Arial" w:hint="default"/>
          <w:sz w:val="20"/>
          <w:szCs w:val="20"/>
          <w:u w:val="single" w:color="000000"/>
        </w:rPr>
        <w:t>       </w:t>
      </w:r>
      <w:r>
        <w:rPr>
          <w:rFonts w:ascii="Arial" w:hAnsi="Arial" w:cs="Arial" w:eastAsia="Arial" w:hint="default"/>
          <w:sz w:val="20"/>
          <w:szCs w:val="20"/>
        </w:rPr>
      </w:r>
      <w:r>
        <w:rPr>
          <w:rFonts w:ascii="Arial" w:hAnsi="Arial" w:cs="Arial" w:eastAsia="Arial" w:hint="default"/>
          <w:sz w:val="20"/>
          <w:szCs w:val="20"/>
          <w:u w:val="single" w:color="000000"/>
        </w:rPr>
        <w:t> </w:t>
      </w:r>
      <w:r>
        <w:rPr>
          <w:rFonts w:ascii="Arial" w:hAnsi="Arial" w:cs="Arial" w:eastAsia="Arial" w:hint="default"/>
          <w:spacing w:val="-1"/>
          <w:sz w:val="20"/>
          <w:szCs w:val="20"/>
          <w:u w:val="single" w:color="000000"/>
        </w:rPr>
        <w:t>(17,864,102,412)</w:t>
      </w:r>
      <w:r>
        <w:rPr>
          <w:rFonts w:ascii="Arial" w:hAnsi="Arial" w:cs="Arial" w:eastAsia="Arial" w:hint="default"/>
          <w:sz w:val="20"/>
          <w:szCs w:val="20"/>
          <w:u w:val="single" w:color="000000"/>
        </w:rPr>
        <w:t>    </w:t>
      </w:r>
      <w:r>
        <w:rPr>
          <w:rFonts w:ascii="Arial" w:hAnsi="Arial" w:cs="Arial" w:eastAsia="Arial" w:hint="default"/>
          <w:spacing w:val="43"/>
          <w:sz w:val="20"/>
          <w:szCs w:val="20"/>
          <w:u w:val="single" w:color="000000"/>
        </w:rPr>
        <w:t> </w:t>
      </w:r>
      <w:r>
        <w:rPr>
          <w:rFonts w:ascii="Arial" w:hAnsi="Arial" w:cs="Arial" w:eastAsia="Arial" w:hint="default"/>
          <w:spacing w:val="43"/>
          <w:sz w:val="20"/>
          <w:szCs w:val="20"/>
        </w:rPr>
      </w:r>
      <w:r>
        <w:rPr>
          <w:rFonts w:ascii="Arial" w:hAnsi="Arial" w:cs="Arial" w:eastAsia="Arial" w:hint="default"/>
          <w:spacing w:val="43"/>
          <w:sz w:val="20"/>
          <w:szCs w:val="20"/>
          <w:u w:val="single" w:color="000000"/>
        </w:rPr>
        <w:t> </w:t>
      </w:r>
      <w:r>
        <w:rPr>
          <w:rFonts w:ascii="Arial" w:hAnsi="Arial" w:cs="Arial" w:eastAsia="Arial" w:hint="default"/>
          <w:spacing w:val="-1"/>
          <w:sz w:val="20"/>
          <w:szCs w:val="20"/>
          <w:u w:val="single" w:color="000000"/>
        </w:rPr>
        <w:t>793,382,812,205</w:t>
        <w:tab/>
      </w:r>
      <w:r>
        <w:rPr>
          <w:rFonts w:ascii="Arial" w:hAnsi="Arial" w:cs="Arial" w:eastAsia="Arial" w:hint="default"/>
          <w:spacing w:val="-1"/>
          <w:sz w:val="20"/>
          <w:szCs w:val="20"/>
        </w:rPr>
      </w:r>
    </w:p>
    <w:p>
      <w:pPr>
        <w:spacing w:line="240" w:lineRule="auto" w:before="4"/>
        <w:rPr>
          <w:rFonts w:ascii="Arial" w:hAnsi="Arial" w:cs="Arial" w:eastAsia="Arial" w:hint="default"/>
          <w:sz w:val="15"/>
          <w:szCs w:val="15"/>
        </w:rPr>
      </w:pPr>
    </w:p>
    <w:p>
      <w:pPr>
        <w:spacing w:before="38"/>
        <w:ind w:left="490" w:right="0" w:firstLine="0"/>
        <w:jc w:val="left"/>
        <w:rPr>
          <w:rFonts w:ascii="宋体" w:hAnsi="宋体" w:cs="宋体" w:eastAsia="宋体" w:hint="default"/>
          <w:sz w:val="20"/>
          <w:szCs w:val="20"/>
        </w:rPr>
      </w:pPr>
      <w:r>
        <w:rPr>
          <w:rFonts w:ascii="宋体" w:hAnsi="宋体" w:cs="宋体" w:eastAsia="宋体" w:hint="default"/>
          <w:sz w:val="20"/>
          <w:szCs w:val="20"/>
        </w:rPr>
        <w:t>累计折旧</w:t>
      </w:r>
    </w:p>
    <w:p>
      <w:pPr>
        <w:tabs>
          <w:tab w:pos="2425" w:val="left" w:leader="none"/>
          <w:tab w:pos="4435" w:val="left" w:leader="none"/>
          <w:tab w:pos="6477" w:val="left" w:leader="none"/>
          <w:tab w:pos="8022" w:val="left" w:leader="none"/>
        </w:tabs>
        <w:spacing w:line="273" w:lineRule="exact" w:before="0"/>
        <w:ind w:left="68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房屋建筑物</w:t>
        <w:tab/>
      </w:r>
      <w:r>
        <w:rPr>
          <w:rFonts w:ascii="Arial" w:hAnsi="Arial" w:cs="Arial" w:eastAsia="Arial" w:hint="default"/>
          <w:spacing w:val="-1"/>
          <w:sz w:val="20"/>
          <w:szCs w:val="20"/>
        </w:rPr>
        <w:t>(16,168,040,156)</w:t>
        <w:tab/>
        <w:t>(2,274,931,344)</w:t>
        <w:tab/>
        <w:t>127,590,715</w:t>
        <w:tab/>
        <w:t>(18,315,380,785)</w:t>
      </w:r>
    </w:p>
    <w:p>
      <w:pPr>
        <w:tabs>
          <w:tab w:pos="2154" w:val="left" w:leader="none"/>
          <w:tab w:pos="2315" w:val="left" w:leader="none"/>
          <w:tab w:pos="2425" w:val="left" w:leader="none"/>
          <w:tab w:pos="4323" w:val="left" w:leader="none"/>
          <w:tab w:pos="4435" w:val="left" w:leader="none"/>
          <w:tab w:pos="6200" w:val="left" w:leader="none"/>
          <w:tab w:pos="6477" w:val="left" w:leader="none"/>
          <w:tab w:pos="7912" w:val="left" w:leader="none"/>
          <w:tab w:pos="9607" w:val="left" w:leader="none"/>
        </w:tabs>
        <w:spacing w:line="223" w:lineRule="auto" w:before="3"/>
        <w:ind w:left="687" w:right="113" w:firstLine="0"/>
        <w:jc w:val="left"/>
        <w:rPr>
          <w:rFonts w:ascii="Arial" w:hAnsi="Arial" w:cs="Arial" w:eastAsia="Arial" w:hint="default"/>
          <w:sz w:val="20"/>
          <w:szCs w:val="20"/>
        </w:rPr>
      </w:pPr>
      <w:r>
        <w:rPr>
          <w:rFonts w:ascii="宋体" w:hAnsi="宋体" w:cs="宋体" w:eastAsia="宋体" w:hint="default"/>
          <w:position w:val="1"/>
          <w:sz w:val="20"/>
          <w:szCs w:val="20"/>
        </w:rPr>
        <w:t>通信设备</w:t>
        <w:tab/>
        <w:tab/>
      </w:r>
      <w:r>
        <w:rPr>
          <w:rFonts w:ascii="Arial" w:hAnsi="Arial" w:cs="Arial" w:eastAsia="Arial" w:hint="default"/>
          <w:spacing w:val="-1"/>
          <w:sz w:val="20"/>
          <w:szCs w:val="20"/>
        </w:rPr>
        <w:t>(372,384,021,485)</w:t>
        <w:tab/>
        <w:t>(48,563,348,177)</w:t>
        <w:tab/>
        <w:t>15,883,700,338</w:t>
        <w:tab/>
        <w:t>(405,063,669,324)</w:t>
      </w:r>
      <w:r>
        <w:rPr>
          <w:rFonts w:ascii="Arial" w:hAnsi="Arial" w:cs="Arial" w:eastAsia="Arial" w:hint="default"/>
          <w:spacing w:val="-43"/>
          <w:sz w:val="20"/>
          <w:szCs w:val="20"/>
        </w:rPr>
        <w:t> </w:t>
      </w:r>
      <w:r>
        <w:rPr>
          <w:rFonts w:ascii="Arial" w:hAnsi="Arial" w:cs="Arial" w:eastAsia="Arial" w:hint="default"/>
          <w:spacing w:val="-43"/>
          <w:sz w:val="20"/>
          <w:szCs w:val="20"/>
        </w:rPr>
      </w:r>
      <w:r>
        <w:rPr>
          <w:rFonts w:ascii="宋体" w:hAnsi="宋体" w:cs="宋体" w:eastAsia="宋体" w:hint="default"/>
          <w:spacing w:val="-1"/>
          <w:position w:val="1"/>
          <w:sz w:val="20"/>
          <w:szCs w:val="20"/>
        </w:rPr>
        <w:t>办公设备及其他</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ab/>
        <w:tab/>
        <w:t>(28,915,921,527)</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ab/>
        <w:t>(4,389,518,891)</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ab/>
        <w:t>873,832,926</w:t>
      </w:r>
      <w:r>
        <w:rPr>
          <w:rFonts w:ascii="Arial" w:hAnsi="Arial" w:cs="Arial" w:eastAsia="Arial" w:hint="default"/>
          <w:sz w:val="20"/>
          <w:szCs w:val="20"/>
          <w:u w:val="single" w:color="000000"/>
        </w:rPr>
        <w:t>       </w:t>
      </w:r>
      <w:r>
        <w:rPr>
          <w:rFonts w:ascii="Arial" w:hAnsi="Arial" w:cs="Arial" w:eastAsia="Arial" w:hint="default"/>
          <w:spacing w:val="10"/>
          <w:sz w:val="20"/>
          <w:szCs w:val="20"/>
          <w:u w:val="single" w:color="000000"/>
        </w:rPr>
        <w:t> </w:t>
      </w:r>
      <w:r>
        <w:rPr>
          <w:rFonts w:ascii="Arial" w:hAnsi="Arial" w:cs="Arial" w:eastAsia="Arial" w:hint="default"/>
          <w:spacing w:val="10"/>
          <w:sz w:val="20"/>
          <w:szCs w:val="20"/>
        </w:rPr>
      </w:r>
      <w:r>
        <w:rPr>
          <w:rFonts w:ascii="Arial" w:hAnsi="Arial" w:cs="Arial" w:eastAsia="Arial" w:hint="default"/>
          <w:spacing w:val="10"/>
          <w:sz w:val="20"/>
          <w:szCs w:val="20"/>
          <w:u w:val="single" w:color="000000"/>
        </w:rPr>
        <w:t> </w:t>
      </w:r>
      <w:r>
        <w:rPr>
          <w:rFonts w:ascii="Arial" w:hAnsi="Arial" w:cs="Arial" w:eastAsia="Arial" w:hint="default"/>
          <w:spacing w:val="-1"/>
          <w:sz w:val="20"/>
          <w:szCs w:val="20"/>
          <w:u w:val="single" w:color="000000"/>
        </w:rPr>
        <w:t>(32,431,607,492)</w:t>
      </w:r>
      <w:r>
        <w:rPr>
          <w:rFonts w:ascii="Arial" w:hAnsi="Arial" w:cs="Arial" w:eastAsia="Arial" w:hint="default"/>
          <w:sz w:val="20"/>
          <w:szCs w:val="20"/>
          <w:u w:val="single" w:color="000000"/>
        </w:rPr>
        <w:tab/>
      </w:r>
      <w:r>
        <w:rPr>
          <w:rFonts w:ascii="Arial" w:hAnsi="Arial" w:cs="Arial" w:eastAsia="Arial" w:hint="default"/>
          <w:w w:val="30"/>
          <w:sz w:val="20"/>
          <w:szCs w:val="20"/>
          <w:u w:val="single" w:color="000000"/>
        </w:rPr>
        <w:t> </w:t>
      </w:r>
      <w:r>
        <w:rPr>
          <w:rFonts w:ascii="Arial" w:hAnsi="Arial" w:cs="Arial" w:eastAsia="Arial" w:hint="default"/>
          <w:sz w:val="20"/>
          <w:szCs w:val="20"/>
          <w:u w:val="single" w:color="000000"/>
        </w:rPr>
      </w:r>
      <w:r>
        <w:rPr>
          <w:rFonts w:ascii="Arial" w:hAnsi="Arial" w:cs="Arial" w:eastAsia="Arial" w:hint="default"/>
          <w:sz w:val="20"/>
          <w:szCs w:val="20"/>
        </w:rPr>
      </w:r>
      <w:r>
        <w:rPr>
          <w:rFonts w:ascii="Arial" w:hAnsi="Arial" w:cs="Arial" w:eastAsia="Arial" w:hint="default"/>
          <w:sz w:val="20"/>
          <w:szCs w:val="20"/>
        </w:rPr>
        <w:t> </w:t>
      </w:r>
      <w:r>
        <w:rPr>
          <w:rFonts w:ascii="宋体" w:hAnsi="宋体" w:cs="宋体" w:eastAsia="宋体" w:hint="default"/>
          <w:position w:val="1"/>
          <w:sz w:val="20"/>
          <w:szCs w:val="20"/>
        </w:rPr>
        <w:t>小计</w:t>
        <w:tab/>
      </w:r>
      <w:r>
        <w:rPr>
          <w:rFonts w:ascii="Arial" w:hAnsi="Arial" w:cs="Arial" w:eastAsia="Arial" w:hint="default"/>
          <w:sz w:val="20"/>
          <w:szCs w:val="20"/>
        </w:rPr>
      </w:r>
      <w:r>
        <w:rPr>
          <w:rFonts w:ascii="Arial" w:hAnsi="Arial" w:cs="Arial" w:eastAsia="Arial" w:hint="default"/>
          <w:sz w:val="20"/>
          <w:szCs w:val="20"/>
          <w:u w:val="single" w:color="000000"/>
        </w:rPr>
        <w:t> (417,467,983,168)       </w:t>
      </w:r>
      <w:r>
        <w:rPr>
          <w:rFonts w:ascii="Arial" w:hAnsi="Arial" w:cs="Arial" w:eastAsia="Arial" w:hint="default"/>
          <w:sz w:val="20"/>
          <w:szCs w:val="20"/>
        </w:rPr>
      </w:r>
      <w:r>
        <w:rPr>
          <w:rFonts w:ascii="Arial" w:hAnsi="Arial" w:cs="Arial" w:eastAsia="Arial" w:hint="default"/>
          <w:sz w:val="20"/>
          <w:szCs w:val="20"/>
          <w:u w:val="single" w:color="000000"/>
        </w:rPr>
        <w:t> (55,227,798,412)      </w:t>
      </w:r>
      <w:r>
        <w:rPr>
          <w:rFonts w:ascii="Arial" w:hAnsi="Arial" w:cs="Arial" w:eastAsia="Arial" w:hint="default"/>
          <w:sz w:val="20"/>
          <w:szCs w:val="20"/>
        </w:rPr>
      </w:r>
      <w:r>
        <w:rPr>
          <w:rFonts w:ascii="Arial" w:hAnsi="Arial" w:cs="Arial" w:eastAsia="Arial" w:hint="default"/>
          <w:sz w:val="20"/>
          <w:szCs w:val="20"/>
          <w:u w:val="single" w:color="000000"/>
        </w:rPr>
        <w:t> 16,885,123,979    </w:t>
      </w:r>
      <w:r>
        <w:rPr>
          <w:rFonts w:ascii="Arial" w:hAnsi="Arial" w:cs="Arial" w:eastAsia="Arial" w:hint="default"/>
          <w:spacing w:val="32"/>
          <w:sz w:val="20"/>
          <w:szCs w:val="20"/>
          <w:u w:val="single" w:color="000000"/>
        </w:rPr>
        <w:t> </w:t>
      </w:r>
      <w:r>
        <w:rPr>
          <w:rFonts w:ascii="Arial" w:hAnsi="Arial" w:cs="Arial" w:eastAsia="Arial" w:hint="default"/>
          <w:spacing w:val="32"/>
          <w:sz w:val="20"/>
          <w:szCs w:val="20"/>
        </w:rPr>
      </w:r>
      <w:r>
        <w:rPr>
          <w:rFonts w:ascii="Arial" w:hAnsi="Arial" w:cs="Arial" w:eastAsia="Arial" w:hint="default"/>
          <w:spacing w:val="32"/>
          <w:sz w:val="20"/>
          <w:szCs w:val="20"/>
          <w:u w:val="single" w:color="000000"/>
        </w:rPr>
        <w:t> </w:t>
      </w:r>
      <w:r>
        <w:rPr>
          <w:rFonts w:ascii="Arial" w:hAnsi="Arial" w:cs="Arial" w:eastAsia="Arial" w:hint="default"/>
          <w:sz w:val="20"/>
          <w:szCs w:val="20"/>
          <w:u w:val="single" w:color="000000"/>
        </w:rPr>
        <w:t>(455,810,657,601)</w:t>
        <w:tab/>
      </w:r>
      <w:r>
        <w:rPr>
          <w:rFonts w:ascii="Arial" w:hAnsi="Arial" w:cs="Arial" w:eastAsia="Arial" w:hint="default"/>
          <w:w w:val="30"/>
          <w:sz w:val="20"/>
          <w:szCs w:val="20"/>
          <w:u w:val="single" w:color="000000"/>
        </w:rPr>
        <w:t> </w:t>
      </w:r>
      <w:r>
        <w:rPr>
          <w:rFonts w:ascii="Arial" w:hAnsi="Arial" w:cs="Arial" w:eastAsia="Arial" w:hint="default"/>
          <w:sz w:val="20"/>
          <w:szCs w:val="20"/>
          <w:u w:val="single" w:color="000000"/>
        </w:rPr>
      </w:r>
      <w:r>
        <w:rPr>
          <w:rFonts w:ascii="Arial" w:hAnsi="Arial" w:cs="Arial" w:eastAsia="Arial" w:hint="default"/>
          <w:sz w:val="20"/>
          <w:szCs w:val="20"/>
        </w:rPr>
      </w:r>
    </w:p>
    <w:p>
      <w:pPr>
        <w:spacing w:line="240" w:lineRule="auto" w:before="8"/>
        <w:rPr>
          <w:rFonts w:ascii="Arial" w:hAnsi="Arial" w:cs="Arial" w:eastAsia="Arial" w:hint="default"/>
          <w:sz w:val="15"/>
          <w:szCs w:val="15"/>
        </w:rPr>
      </w:pPr>
    </w:p>
    <w:p>
      <w:pPr>
        <w:spacing w:line="261" w:lineRule="exact" w:before="38"/>
        <w:ind w:left="490" w:right="0" w:firstLine="0"/>
        <w:jc w:val="left"/>
        <w:rPr>
          <w:rFonts w:ascii="宋体" w:hAnsi="宋体" w:cs="宋体" w:eastAsia="宋体" w:hint="default"/>
          <w:sz w:val="20"/>
          <w:szCs w:val="20"/>
        </w:rPr>
      </w:pPr>
      <w:r>
        <w:rPr>
          <w:rFonts w:ascii="宋体" w:hAnsi="宋体" w:cs="宋体" w:eastAsia="宋体" w:hint="default"/>
          <w:sz w:val="20"/>
          <w:szCs w:val="20"/>
        </w:rPr>
        <w:t>账面净值</w:t>
      </w:r>
    </w:p>
    <w:p>
      <w:pPr>
        <w:tabs>
          <w:tab w:pos="2493" w:val="left" w:leader="none"/>
          <w:tab w:pos="8090" w:val="left" w:leader="none"/>
        </w:tabs>
        <w:spacing w:line="272" w:lineRule="exact" w:before="0"/>
        <w:ind w:left="68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房屋建筑物</w:t>
        <w:tab/>
      </w:r>
      <w:r>
        <w:rPr>
          <w:rFonts w:ascii="Arial" w:hAnsi="Arial" w:cs="Arial" w:eastAsia="Arial" w:hint="default"/>
          <w:spacing w:val="-1"/>
          <w:sz w:val="20"/>
          <w:szCs w:val="20"/>
        </w:rPr>
        <w:t>38,099,790,611</w:t>
        <w:tab/>
        <w:t>38,936,795,102</w:t>
      </w:r>
    </w:p>
    <w:p>
      <w:pPr>
        <w:tabs>
          <w:tab w:pos="2382" w:val="left" w:leader="none"/>
          <w:tab w:pos="7979" w:val="left" w:leader="none"/>
        </w:tabs>
        <w:spacing w:line="260" w:lineRule="exact" w:before="0"/>
        <w:ind w:left="687" w:right="0" w:firstLine="0"/>
        <w:jc w:val="left"/>
        <w:rPr>
          <w:rFonts w:ascii="Arial" w:hAnsi="Arial" w:cs="Arial" w:eastAsia="Arial" w:hint="default"/>
          <w:sz w:val="20"/>
          <w:szCs w:val="20"/>
        </w:rPr>
      </w:pPr>
      <w:r>
        <w:rPr>
          <w:rFonts w:ascii="宋体" w:hAnsi="宋体" w:cs="宋体" w:eastAsia="宋体" w:hint="default"/>
          <w:position w:val="1"/>
          <w:sz w:val="20"/>
          <w:szCs w:val="20"/>
        </w:rPr>
        <w:t>通信设备</w:t>
        <w:tab/>
      </w:r>
      <w:r>
        <w:rPr>
          <w:rFonts w:ascii="Arial" w:hAnsi="Arial" w:cs="Arial" w:eastAsia="Arial" w:hint="default"/>
          <w:spacing w:val="-1"/>
          <w:sz w:val="20"/>
          <w:szCs w:val="20"/>
        </w:rPr>
        <w:t>264,480,062,137</w:t>
        <w:tab/>
        <w:t>287,028,622,943</w:t>
      </w:r>
    </w:p>
    <w:p>
      <w:pPr>
        <w:tabs>
          <w:tab w:pos="2493" w:val="left" w:leader="none"/>
          <w:tab w:pos="7797" w:val="left" w:leader="none"/>
          <w:tab w:pos="8090" w:val="left" w:leader="none"/>
          <w:tab w:pos="9624" w:val="left" w:leader="none"/>
        </w:tabs>
        <w:spacing w:line="267" w:lineRule="exact" w:before="0"/>
        <w:ind w:left="68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办公设备及其他</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14,007,617,977</w:t>
      </w:r>
      <w:r>
        <w:rPr>
          <w:rFonts w:ascii="Arial" w:hAnsi="Arial" w:cs="Arial" w:eastAsia="Arial" w:hint="default"/>
          <w:spacing w:val="-1"/>
          <w:sz w:val="20"/>
          <w:szCs w:val="20"/>
        </w:rPr>
        <w:tab/>
      </w:r>
      <w:r>
        <w:rPr>
          <w:rFonts w:ascii="Arial" w:hAnsi="Arial" w:cs="Arial" w:eastAsia="Arial" w:hint="default"/>
          <w:spacing w:val="-1"/>
          <w:sz w:val="20"/>
          <w:szCs w:val="20"/>
          <w:u w:val="single" w:color="000000"/>
        </w:rPr>
        <w:t> </w:t>
        <w:tab/>
        <w:t>11,606,736,559</w:t>
        <w:tab/>
      </w:r>
      <w:r>
        <w:rPr>
          <w:rFonts w:ascii="Arial" w:hAnsi="Arial" w:cs="Arial" w:eastAsia="Arial" w:hint="default"/>
          <w:spacing w:val="-1"/>
          <w:sz w:val="20"/>
          <w:szCs w:val="20"/>
        </w:rPr>
      </w:r>
    </w:p>
    <w:p>
      <w:pPr>
        <w:tabs>
          <w:tab w:pos="2154" w:val="left" w:leader="none"/>
          <w:tab w:pos="7797" w:val="left" w:leader="none"/>
          <w:tab w:pos="9624" w:val="left" w:leader="none"/>
        </w:tabs>
        <w:spacing w:line="280" w:lineRule="exact" w:before="0"/>
        <w:ind w:left="687" w:right="0" w:firstLine="0"/>
        <w:jc w:val="left"/>
        <w:rPr>
          <w:rFonts w:ascii="Arial" w:hAnsi="Arial" w:cs="Arial" w:eastAsia="Arial" w:hint="default"/>
          <w:sz w:val="20"/>
          <w:szCs w:val="20"/>
        </w:rPr>
      </w:pPr>
      <w:r>
        <w:rPr>
          <w:rFonts w:ascii="宋体" w:hAnsi="宋体" w:cs="宋体" w:eastAsia="宋体" w:hint="default"/>
          <w:position w:val="1"/>
          <w:sz w:val="20"/>
          <w:szCs w:val="20"/>
        </w:rPr>
        <w:t>小计</w:t>
        <w:tab/>
      </w:r>
      <w:r>
        <w:rPr>
          <w:rFonts w:ascii="Arial" w:hAnsi="Arial" w:cs="Arial" w:eastAsia="Arial" w:hint="default"/>
          <w:sz w:val="20"/>
          <w:szCs w:val="20"/>
        </w:rPr>
      </w:r>
      <w:r>
        <w:rPr>
          <w:rFonts w:ascii="Arial" w:hAnsi="Arial" w:cs="Arial" w:eastAsia="Arial" w:hint="default"/>
          <w:sz w:val="20"/>
          <w:szCs w:val="20"/>
          <w:u w:val="single" w:color="000000"/>
        </w:rPr>
        <w:t> </w:t>
      </w:r>
      <w:r>
        <w:rPr>
          <w:rFonts w:ascii="Arial" w:hAnsi="Arial" w:cs="Arial" w:eastAsia="Arial" w:hint="default"/>
          <w:spacing w:val="-1"/>
          <w:sz w:val="20"/>
          <w:szCs w:val="20"/>
          <w:u w:val="single" w:color="000000"/>
        </w:rPr>
        <w:t>316,587,470,725</w:t>
      </w:r>
      <w:r>
        <w:rPr>
          <w:rFonts w:ascii="Arial" w:hAnsi="Arial" w:cs="Arial" w:eastAsia="Arial" w:hint="default"/>
          <w:spacing w:val="-1"/>
          <w:sz w:val="20"/>
          <w:szCs w:val="20"/>
        </w:rPr>
        <w:tab/>
      </w:r>
      <w:r>
        <w:rPr>
          <w:rFonts w:ascii="Arial" w:hAnsi="Arial" w:cs="Arial" w:eastAsia="Arial" w:hint="default"/>
          <w:spacing w:val="-1"/>
          <w:sz w:val="20"/>
          <w:szCs w:val="20"/>
          <w:u w:val="single" w:color="000000"/>
        </w:rPr>
        <w:t> 337,572,154,604</w:t>
        <w:tab/>
      </w:r>
      <w:r>
        <w:rPr>
          <w:rFonts w:ascii="Arial" w:hAnsi="Arial" w:cs="Arial" w:eastAsia="Arial" w:hint="default"/>
          <w:spacing w:val="-1"/>
          <w:sz w:val="20"/>
          <w:szCs w:val="20"/>
        </w:rPr>
      </w:r>
    </w:p>
    <w:p>
      <w:pPr>
        <w:spacing w:line="240" w:lineRule="auto" w:before="5"/>
        <w:rPr>
          <w:rFonts w:ascii="Arial" w:hAnsi="Arial" w:cs="Arial" w:eastAsia="Arial" w:hint="default"/>
          <w:sz w:val="15"/>
          <w:szCs w:val="15"/>
        </w:rPr>
      </w:pPr>
    </w:p>
    <w:p>
      <w:pPr>
        <w:spacing w:before="38"/>
        <w:ind w:left="490" w:right="0" w:firstLine="0"/>
        <w:jc w:val="left"/>
        <w:rPr>
          <w:rFonts w:ascii="宋体" w:hAnsi="宋体" w:cs="宋体" w:eastAsia="宋体" w:hint="default"/>
          <w:sz w:val="20"/>
          <w:szCs w:val="20"/>
        </w:rPr>
      </w:pPr>
      <w:r>
        <w:rPr>
          <w:rFonts w:ascii="宋体" w:hAnsi="宋体" w:cs="宋体" w:eastAsia="宋体" w:hint="default"/>
          <w:sz w:val="20"/>
          <w:szCs w:val="20"/>
        </w:rPr>
        <w:t>减值准备</w:t>
      </w:r>
    </w:p>
    <w:p>
      <w:pPr>
        <w:tabs>
          <w:tab w:pos="3204" w:val="left" w:leader="none"/>
          <w:tab w:pos="5688" w:val="left" w:leader="none"/>
          <w:tab w:pos="6978" w:val="left" w:leader="none"/>
          <w:tab w:pos="8801" w:val="left" w:leader="none"/>
        </w:tabs>
        <w:spacing w:line="273" w:lineRule="exact" w:before="0"/>
        <w:ind w:left="68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房屋建筑物</w:t>
        <w:tab/>
      </w:r>
      <w:r>
        <w:rPr>
          <w:rFonts w:ascii="Arial" w:hAnsi="Arial" w:cs="Arial" w:eastAsia="Arial" w:hint="default"/>
          <w:spacing w:val="-1"/>
          <w:sz w:val="20"/>
          <w:szCs w:val="20"/>
        </w:rPr>
        <w:t>(80,920)</w:t>
        <w:tab/>
      </w:r>
      <w:r>
        <w:rPr>
          <w:rFonts w:ascii="Arial" w:hAnsi="Arial" w:cs="Arial" w:eastAsia="Arial" w:hint="default"/>
          <w:sz w:val="20"/>
          <w:szCs w:val="20"/>
        </w:rPr>
        <w:t>-</w:t>
        <w:tab/>
        <w:t>20,329</w:t>
        <w:tab/>
      </w:r>
      <w:r>
        <w:rPr>
          <w:rFonts w:ascii="Arial" w:hAnsi="Arial" w:cs="Arial" w:eastAsia="Arial" w:hint="default"/>
          <w:spacing w:val="-1"/>
          <w:sz w:val="20"/>
          <w:szCs w:val="20"/>
        </w:rPr>
        <w:t>(60,591)</w:t>
      </w:r>
    </w:p>
    <w:p>
      <w:pPr>
        <w:tabs>
          <w:tab w:pos="2154" w:val="left" w:leader="none"/>
          <w:tab w:pos="2425" w:val="left" w:leader="none"/>
          <w:tab w:pos="2927" w:val="left" w:leader="none"/>
          <w:tab w:pos="5688" w:val="left" w:leader="none"/>
          <w:tab w:pos="6589" w:val="left" w:leader="none"/>
          <w:tab w:pos="6700" w:val="left" w:leader="none"/>
          <w:tab w:pos="8022" w:val="left" w:leader="none"/>
          <w:tab w:pos="8523" w:val="left" w:leader="none"/>
          <w:tab w:pos="9607" w:val="left" w:leader="none"/>
        </w:tabs>
        <w:spacing w:line="223" w:lineRule="auto" w:before="3"/>
        <w:ind w:left="687" w:right="113" w:firstLine="0"/>
        <w:jc w:val="left"/>
        <w:rPr>
          <w:rFonts w:ascii="Arial" w:hAnsi="Arial" w:cs="Arial" w:eastAsia="Arial" w:hint="default"/>
          <w:sz w:val="20"/>
          <w:szCs w:val="20"/>
        </w:rPr>
      </w:pPr>
      <w:r>
        <w:rPr>
          <w:rFonts w:ascii="宋体" w:hAnsi="宋体" w:cs="宋体" w:eastAsia="宋体" w:hint="default"/>
          <w:position w:val="1"/>
          <w:sz w:val="20"/>
          <w:szCs w:val="20"/>
        </w:rPr>
        <w:t>通信设备</w:t>
        <w:tab/>
        <w:tab/>
      </w:r>
      <w:r>
        <w:rPr>
          <w:rFonts w:ascii="Arial" w:hAnsi="Arial" w:cs="Arial" w:eastAsia="Arial" w:hint="default"/>
          <w:spacing w:val="-1"/>
          <w:sz w:val="20"/>
          <w:szCs w:val="20"/>
        </w:rPr>
        <w:t>(12,139,960,447)</w:t>
        <w:tab/>
      </w:r>
      <w:r>
        <w:rPr>
          <w:rFonts w:ascii="Arial" w:hAnsi="Arial" w:cs="Arial" w:eastAsia="Arial" w:hint="default"/>
          <w:sz w:val="20"/>
          <w:szCs w:val="20"/>
        </w:rPr>
        <w:t>-</w:t>
        <w:tab/>
        <w:tab/>
      </w:r>
      <w:r>
        <w:rPr>
          <w:rFonts w:ascii="Arial" w:hAnsi="Arial" w:cs="Arial" w:eastAsia="Arial" w:hint="default"/>
          <w:spacing w:val="-1"/>
          <w:sz w:val="20"/>
          <w:szCs w:val="20"/>
        </w:rPr>
        <w:t>8,988,062</w:t>
        <w:tab/>
        <w:t>(12,130,972,385)</w:t>
      </w:r>
      <w:r>
        <w:rPr>
          <w:rFonts w:ascii="Arial" w:hAnsi="Arial" w:cs="Arial" w:eastAsia="Arial" w:hint="default"/>
          <w:spacing w:val="-41"/>
          <w:sz w:val="20"/>
          <w:szCs w:val="20"/>
        </w:rPr>
        <w:t> </w:t>
      </w:r>
      <w:r>
        <w:rPr>
          <w:rFonts w:ascii="Arial" w:hAnsi="Arial" w:cs="Arial" w:eastAsia="Arial" w:hint="default"/>
          <w:spacing w:val="-41"/>
          <w:sz w:val="20"/>
          <w:szCs w:val="20"/>
        </w:rPr>
      </w:r>
      <w:r>
        <w:rPr>
          <w:rFonts w:ascii="宋体" w:hAnsi="宋体" w:cs="宋体" w:eastAsia="宋体" w:hint="default"/>
          <w:spacing w:val="-1"/>
          <w:position w:val="1"/>
          <w:sz w:val="20"/>
          <w:szCs w:val="20"/>
        </w:rPr>
        <w:t>办公设备及其他</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ab/>
        <w:tab/>
        <w:t>(7,162,800)</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w:t>
      </w:r>
      <w:r>
        <w:rPr>
          <w:rFonts w:ascii="Arial" w:hAnsi="Arial" w:cs="Arial" w:eastAsia="Arial" w:hint="default"/>
          <w:sz w:val="20"/>
          <w:szCs w:val="20"/>
        </w:rPr>
      </w:r>
      <w:r>
        <w:rPr>
          <w:rFonts w:ascii="Arial" w:hAnsi="Arial" w:cs="Arial" w:eastAsia="Arial" w:hint="default"/>
          <w:sz w:val="20"/>
          <w:szCs w:val="20"/>
          <w:u w:val="single" w:color="000000"/>
        </w:rPr>
        <w:t> </w:t>
        <w:tab/>
        <w:tab/>
      </w:r>
      <w:r>
        <w:rPr>
          <w:rFonts w:ascii="Arial" w:hAnsi="Arial" w:cs="Arial" w:eastAsia="Arial" w:hint="default"/>
          <w:spacing w:val="-1"/>
          <w:sz w:val="20"/>
          <w:szCs w:val="20"/>
          <w:u w:val="single" w:color="000000"/>
        </w:rPr>
        <w:t>2,166,786</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ab/>
        <w:t>(4,996,014)</w:t>
      </w:r>
      <w:r>
        <w:rPr>
          <w:rFonts w:ascii="Arial" w:hAnsi="Arial" w:cs="Arial" w:eastAsia="Arial" w:hint="default"/>
          <w:sz w:val="20"/>
          <w:szCs w:val="20"/>
          <w:u w:val="single" w:color="000000"/>
        </w:rPr>
        <w:tab/>
      </w:r>
      <w:r>
        <w:rPr>
          <w:rFonts w:ascii="Arial" w:hAnsi="Arial" w:cs="Arial" w:eastAsia="Arial" w:hint="default"/>
          <w:w w:val="30"/>
          <w:sz w:val="20"/>
          <w:szCs w:val="20"/>
          <w:u w:val="single" w:color="000000"/>
        </w:rPr>
        <w:t> </w:t>
      </w:r>
      <w:r>
        <w:rPr>
          <w:rFonts w:ascii="Arial" w:hAnsi="Arial" w:cs="Arial" w:eastAsia="Arial" w:hint="default"/>
          <w:sz w:val="20"/>
          <w:szCs w:val="20"/>
          <w:u w:val="single" w:color="000000"/>
        </w:rPr>
      </w:r>
      <w:r>
        <w:rPr>
          <w:rFonts w:ascii="Arial" w:hAnsi="Arial" w:cs="Arial" w:eastAsia="Arial" w:hint="default"/>
          <w:sz w:val="20"/>
          <w:szCs w:val="20"/>
        </w:rPr>
      </w:r>
      <w:r>
        <w:rPr>
          <w:rFonts w:ascii="Arial" w:hAnsi="Arial" w:cs="Arial" w:eastAsia="Arial" w:hint="default"/>
          <w:sz w:val="20"/>
          <w:szCs w:val="20"/>
        </w:rPr>
        <w:t> </w:t>
      </w:r>
      <w:r>
        <w:rPr>
          <w:rFonts w:ascii="宋体" w:hAnsi="宋体" w:cs="宋体" w:eastAsia="宋体" w:hint="default"/>
          <w:position w:val="1"/>
          <w:sz w:val="20"/>
          <w:szCs w:val="20"/>
        </w:rPr>
        <w:t>小计</w:t>
        <w:tab/>
      </w:r>
      <w:r>
        <w:rPr>
          <w:rFonts w:ascii="Arial" w:hAnsi="Arial" w:cs="Arial" w:eastAsia="Arial" w:hint="default"/>
          <w:sz w:val="20"/>
          <w:szCs w:val="20"/>
        </w:rPr>
      </w:r>
      <w:r>
        <w:rPr>
          <w:rFonts w:ascii="Arial" w:hAnsi="Arial" w:cs="Arial" w:eastAsia="Arial" w:hint="default"/>
          <w:sz w:val="20"/>
          <w:szCs w:val="20"/>
          <w:u w:val="single" w:color="000000"/>
        </w:rPr>
        <w:t> </w:t>
        <w:tab/>
      </w:r>
      <w:r>
        <w:rPr>
          <w:rFonts w:ascii="Arial" w:hAnsi="Arial" w:cs="Arial" w:eastAsia="Arial" w:hint="default"/>
          <w:spacing w:val="-1"/>
          <w:sz w:val="20"/>
          <w:szCs w:val="20"/>
          <w:u w:val="single" w:color="000000"/>
        </w:rPr>
        <w:t>(12,147,204,167)</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w:t>
      </w:r>
      <w:r>
        <w:rPr>
          <w:rFonts w:ascii="Arial" w:hAnsi="Arial" w:cs="Arial" w:eastAsia="Arial" w:hint="default"/>
          <w:sz w:val="20"/>
          <w:szCs w:val="20"/>
        </w:rPr>
      </w:r>
      <w:r>
        <w:rPr>
          <w:rFonts w:ascii="Arial" w:hAnsi="Arial" w:cs="Arial" w:eastAsia="Arial" w:hint="default"/>
          <w:sz w:val="20"/>
          <w:szCs w:val="20"/>
          <w:u w:val="single" w:color="000000"/>
        </w:rPr>
        <w:t> </w:t>
        <w:tab/>
      </w:r>
      <w:r>
        <w:rPr>
          <w:rFonts w:ascii="Arial" w:hAnsi="Arial" w:cs="Arial" w:eastAsia="Arial" w:hint="default"/>
          <w:spacing w:val="-1"/>
          <w:sz w:val="20"/>
          <w:szCs w:val="20"/>
          <w:u w:val="single" w:color="000000"/>
        </w:rPr>
        <w:t>11,175,177</w:t>
      </w:r>
      <w:r>
        <w:rPr>
          <w:rFonts w:ascii="Arial" w:hAnsi="Arial" w:cs="Arial" w:eastAsia="Arial" w:hint="default"/>
          <w:sz w:val="20"/>
          <w:szCs w:val="20"/>
          <w:u w:val="single" w:color="000000"/>
        </w:rPr>
        <w:t>       </w:t>
      </w:r>
      <w:r>
        <w:rPr>
          <w:rFonts w:ascii="Arial" w:hAnsi="Arial" w:cs="Arial" w:eastAsia="Arial" w:hint="default"/>
          <w:spacing w:val="9"/>
          <w:sz w:val="20"/>
          <w:szCs w:val="20"/>
          <w:u w:val="single" w:color="000000"/>
        </w:rPr>
        <w:t> </w:t>
      </w:r>
      <w:r>
        <w:rPr>
          <w:rFonts w:ascii="Arial" w:hAnsi="Arial" w:cs="Arial" w:eastAsia="Arial" w:hint="default"/>
          <w:spacing w:val="9"/>
          <w:sz w:val="20"/>
          <w:szCs w:val="20"/>
        </w:rPr>
      </w:r>
      <w:r>
        <w:rPr>
          <w:rFonts w:ascii="Arial" w:hAnsi="Arial" w:cs="Arial" w:eastAsia="Arial" w:hint="default"/>
          <w:spacing w:val="9"/>
          <w:sz w:val="20"/>
          <w:szCs w:val="20"/>
          <w:u w:val="single" w:color="000000"/>
        </w:rPr>
        <w:t> </w:t>
      </w:r>
      <w:r>
        <w:rPr>
          <w:rFonts w:ascii="Arial" w:hAnsi="Arial" w:cs="Arial" w:eastAsia="Arial" w:hint="default"/>
          <w:spacing w:val="-1"/>
          <w:sz w:val="20"/>
          <w:szCs w:val="20"/>
          <w:u w:val="single" w:color="000000"/>
        </w:rPr>
        <w:t>(12,136,028,990)</w:t>
        <w:tab/>
      </w:r>
      <w:r>
        <w:rPr>
          <w:rFonts w:ascii="Arial" w:hAnsi="Arial" w:cs="Arial" w:eastAsia="Arial" w:hint="default"/>
          <w:spacing w:val="-1"/>
          <w:w w:val="30"/>
          <w:sz w:val="20"/>
          <w:szCs w:val="20"/>
          <w:u w:val="single" w:color="000000"/>
        </w:rPr>
        <w:t> </w:t>
      </w:r>
      <w:r>
        <w:rPr>
          <w:rFonts w:ascii="Arial" w:hAnsi="Arial" w:cs="Arial" w:eastAsia="Arial" w:hint="default"/>
          <w:spacing w:val="-1"/>
          <w:sz w:val="20"/>
          <w:szCs w:val="20"/>
          <w:u w:val="single" w:color="000000"/>
        </w:rPr>
      </w:r>
      <w:r>
        <w:rPr>
          <w:rFonts w:ascii="Arial" w:hAnsi="Arial" w:cs="Arial" w:eastAsia="Arial" w:hint="default"/>
          <w:spacing w:val="-1"/>
          <w:sz w:val="20"/>
          <w:szCs w:val="20"/>
        </w:rPr>
      </w:r>
    </w:p>
    <w:p>
      <w:pPr>
        <w:spacing w:line="240" w:lineRule="auto" w:before="7"/>
        <w:rPr>
          <w:rFonts w:ascii="Arial" w:hAnsi="Arial" w:cs="Arial" w:eastAsia="Arial" w:hint="default"/>
          <w:sz w:val="15"/>
          <w:szCs w:val="15"/>
        </w:rPr>
      </w:pPr>
    </w:p>
    <w:p>
      <w:pPr>
        <w:spacing w:before="38"/>
        <w:ind w:left="490" w:right="0" w:firstLine="0"/>
        <w:jc w:val="left"/>
        <w:rPr>
          <w:rFonts w:ascii="宋体" w:hAnsi="宋体" w:cs="宋体" w:eastAsia="宋体" w:hint="default"/>
          <w:sz w:val="20"/>
          <w:szCs w:val="20"/>
        </w:rPr>
      </w:pPr>
      <w:r>
        <w:rPr>
          <w:rFonts w:ascii="宋体" w:hAnsi="宋体" w:cs="宋体" w:eastAsia="宋体" w:hint="default"/>
          <w:sz w:val="20"/>
          <w:szCs w:val="20"/>
        </w:rPr>
        <w:t>账面价值</w:t>
      </w:r>
    </w:p>
    <w:p>
      <w:pPr>
        <w:tabs>
          <w:tab w:pos="2493" w:val="left" w:leader="none"/>
          <w:tab w:pos="8090" w:val="left" w:leader="none"/>
        </w:tabs>
        <w:spacing w:line="273" w:lineRule="exact" w:before="0"/>
        <w:ind w:left="68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房屋建筑物</w:t>
        <w:tab/>
      </w:r>
      <w:r>
        <w:rPr>
          <w:rFonts w:ascii="Arial" w:hAnsi="Arial" w:cs="Arial" w:eastAsia="Arial" w:hint="default"/>
          <w:spacing w:val="-1"/>
          <w:sz w:val="20"/>
          <w:szCs w:val="20"/>
        </w:rPr>
        <w:t>38,099,709,691</w:t>
        <w:tab/>
        <w:t>38,936,734,511</w:t>
      </w:r>
    </w:p>
    <w:p>
      <w:pPr>
        <w:tabs>
          <w:tab w:pos="2382" w:val="left" w:leader="none"/>
          <w:tab w:pos="7979" w:val="left" w:leader="none"/>
        </w:tabs>
        <w:spacing w:line="259" w:lineRule="exact" w:before="0"/>
        <w:ind w:left="687" w:right="0" w:firstLine="0"/>
        <w:jc w:val="left"/>
        <w:rPr>
          <w:rFonts w:ascii="Arial" w:hAnsi="Arial" w:cs="Arial" w:eastAsia="Arial" w:hint="default"/>
          <w:sz w:val="20"/>
          <w:szCs w:val="20"/>
        </w:rPr>
      </w:pPr>
      <w:r>
        <w:rPr>
          <w:rFonts w:ascii="宋体" w:hAnsi="宋体" w:cs="宋体" w:eastAsia="宋体" w:hint="default"/>
          <w:position w:val="1"/>
          <w:sz w:val="20"/>
          <w:szCs w:val="20"/>
        </w:rPr>
        <w:t>通信设备</w:t>
        <w:tab/>
      </w:r>
      <w:r>
        <w:rPr>
          <w:rFonts w:ascii="Arial" w:hAnsi="Arial" w:cs="Arial" w:eastAsia="Arial" w:hint="default"/>
          <w:spacing w:val="-1"/>
          <w:sz w:val="20"/>
          <w:szCs w:val="20"/>
        </w:rPr>
        <w:t>252,340,101,690</w:t>
        <w:tab/>
        <w:t>274,897,650,558</w:t>
      </w:r>
    </w:p>
    <w:p>
      <w:pPr>
        <w:tabs>
          <w:tab w:pos="2493" w:val="left" w:leader="none"/>
          <w:tab w:pos="7797" w:val="left" w:leader="none"/>
          <w:tab w:pos="8090" w:val="left" w:leader="none"/>
          <w:tab w:pos="9624" w:val="left" w:leader="none"/>
        </w:tabs>
        <w:spacing w:line="267" w:lineRule="exact" w:before="0"/>
        <w:ind w:left="68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办公设备及其他</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14,000,455,177</w:t>
      </w:r>
      <w:r>
        <w:rPr>
          <w:rFonts w:ascii="Arial" w:hAnsi="Arial" w:cs="Arial" w:eastAsia="Arial" w:hint="default"/>
          <w:spacing w:val="-1"/>
          <w:sz w:val="20"/>
          <w:szCs w:val="20"/>
        </w:rPr>
        <w:tab/>
      </w:r>
      <w:r>
        <w:rPr>
          <w:rFonts w:ascii="Arial" w:hAnsi="Arial" w:cs="Arial" w:eastAsia="Arial" w:hint="default"/>
          <w:spacing w:val="-1"/>
          <w:sz w:val="20"/>
          <w:szCs w:val="20"/>
          <w:u w:val="single" w:color="000000"/>
        </w:rPr>
        <w:t> </w:t>
        <w:tab/>
        <w:t>11,601,740,545</w:t>
        <w:tab/>
      </w:r>
      <w:r>
        <w:rPr>
          <w:rFonts w:ascii="Arial" w:hAnsi="Arial" w:cs="Arial" w:eastAsia="Arial" w:hint="default"/>
          <w:spacing w:val="-1"/>
          <w:sz w:val="20"/>
          <w:szCs w:val="20"/>
        </w:rPr>
      </w:r>
    </w:p>
    <w:p>
      <w:pPr>
        <w:tabs>
          <w:tab w:pos="2382" w:val="left" w:leader="none"/>
          <w:tab w:pos="7979" w:val="left" w:leader="none"/>
        </w:tabs>
        <w:spacing w:line="280" w:lineRule="exact" w:before="0"/>
        <w:ind w:left="674" w:right="0" w:firstLine="0"/>
        <w:jc w:val="left"/>
        <w:rPr>
          <w:rFonts w:ascii="Arial" w:hAnsi="Arial" w:cs="Arial" w:eastAsia="Arial" w:hint="default"/>
          <w:sz w:val="20"/>
          <w:szCs w:val="20"/>
        </w:rPr>
      </w:pPr>
      <w:r>
        <w:rPr>
          <w:rFonts w:ascii="宋体" w:hAnsi="宋体" w:cs="宋体" w:eastAsia="宋体" w:hint="default"/>
          <w:position w:val="1"/>
          <w:sz w:val="20"/>
          <w:szCs w:val="20"/>
        </w:rPr>
        <w:t>合计</w:t>
        <w:tab/>
      </w:r>
      <w:r>
        <w:rPr>
          <w:rFonts w:ascii="Arial" w:hAnsi="Arial" w:cs="Arial" w:eastAsia="Arial" w:hint="default"/>
          <w:spacing w:val="-1"/>
          <w:sz w:val="20"/>
          <w:szCs w:val="20"/>
        </w:rPr>
        <w:t>304,440,266,558</w:t>
        <w:tab/>
        <w:t>325,436,125,614</w:t>
      </w:r>
    </w:p>
    <w:p>
      <w:pPr>
        <w:tabs>
          <w:tab w:pos="7776" w:val="left" w:leader="none"/>
        </w:tabs>
        <w:spacing w:line="43" w:lineRule="exact"/>
        <w:ind w:left="2132" w:right="0" w:firstLine="0"/>
        <w:rPr>
          <w:rFonts w:ascii="Arial" w:hAnsi="Arial" w:cs="Arial" w:eastAsia="Arial" w:hint="default"/>
          <w:sz w:val="4"/>
          <w:szCs w:val="4"/>
        </w:rPr>
      </w:pPr>
      <w:r>
        <w:rPr>
          <w:rFonts w:ascii="Arial"/>
          <w:position w:val="0"/>
          <w:sz w:val="4"/>
        </w:rPr>
        <w:pict>
          <v:group style="width:94.15pt;height:2.2pt;mso-position-horizontal-relative:char;mso-position-vertical-relative:line" coordorigin="0,0" coordsize="1883,44">
            <v:group style="position:absolute;left:7;top:36;width:1869;height:2" coordorigin="7,36" coordsize="1869,2">
              <v:shape style="position:absolute;left:7;top:36;width:1869;height:2" coordorigin="7,36" coordsize="1869,0" path="m7,36l1876,36e" filled="false" stroked="true" strokeweight=".72pt" strokecolor="#000000">
                <v:path arrowok="t"/>
              </v:shape>
            </v:group>
            <v:group style="position:absolute;left:7;top:7;width:1869;height:2" coordorigin="7,7" coordsize="1869,2">
              <v:shape style="position:absolute;left:7;top:7;width:1869;height:2" coordorigin="7,7" coordsize="1869,0" path="m7,7l1876,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92.8pt;height:2.2pt;mso-position-horizontal-relative:char;mso-position-vertical-relative:line" coordorigin="0,0" coordsize="1856,44">
            <v:group style="position:absolute;left:7;top:36;width:1841;height:2" coordorigin="7,36" coordsize="1841,2">
              <v:shape style="position:absolute;left:7;top:36;width:1841;height:2" coordorigin="7,36" coordsize="1841,0" path="m7,36l1848,36e" filled="false" stroked="true" strokeweight=".72pt" strokecolor="#000000">
                <v:path arrowok="t"/>
              </v:shape>
            </v:group>
            <v:group style="position:absolute;left:7;top:7;width:1841;height:2" coordorigin="7,7" coordsize="1841,2">
              <v:shape style="position:absolute;left:7;top:7;width:1841;height:2" coordorigin="7,7" coordsize="1841,0" path="m7,7l1848,7e" filled="false" stroked="true" strokeweight=".72pt" strokecolor="#000000">
                <v:path arrowok="t"/>
              </v:shape>
            </v:group>
          </v:group>
        </w:pict>
      </w:r>
      <w:r>
        <w:rPr>
          <w:rFonts w:ascii="Arial"/>
          <w:position w:val="0"/>
          <w:sz w:val="4"/>
        </w:rPr>
      </w:r>
    </w:p>
    <w:p>
      <w:pPr>
        <w:spacing w:line="240" w:lineRule="auto" w:before="6"/>
        <w:rPr>
          <w:rFonts w:ascii="Arial" w:hAnsi="Arial" w:cs="Arial" w:eastAsia="Arial" w:hint="default"/>
          <w:sz w:val="16"/>
          <w:szCs w:val="16"/>
        </w:rPr>
      </w:pPr>
    </w:p>
    <w:p>
      <w:pPr>
        <w:pStyle w:val="BodyText"/>
        <w:spacing w:line="240" w:lineRule="auto" w:before="31"/>
        <w:ind w:left="462"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日，本集团无固定资产被抵押给银行作为抵押借款之用。</w:t>
      </w:r>
    </w:p>
    <w:p>
      <w:pPr>
        <w:spacing w:line="240" w:lineRule="auto" w:before="13"/>
        <w:rPr>
          <w:rFonts w:ascii="宋体" w:hAnsi="宋体" w:cs="宋体" w:eastAsia="宋体" w:hint="default"/>
          <w:sz w:val="17"/>
          <w:szCs w:val="17"/>
        </w:rPr>
      </w:pPr>
    </w:p>
    <w:p>
      <w:pPr>
        <w:pStyle w:val="BodyText"/>
        <w:spacing w:line="294" w:lineRule="exact"/>
        <w:ind w:left="462" w:right="0"/>
        <w:jc w:val="left"/>
        <w:rPr>
          <w:rFonts w:ascii="Arial" w:hAnsi="Arial" w:cs="Arial" w:eastAsia="Arial" w:hint="default"/>
        </w:rPr>
      </w:pPr>
      <w:r>
        <w:rPr/>
        <w:t>于</w:t>
      </w:r>
      <w:r>
        <w:rPr>
          <w:spacing w:val="-53"/>
        </w:rPr>
        <w:t> </w:t>
      </w:r>
      <w:r>
        <w:rPr>
          <w:rFonts w:ascii="Arial" w:hAnsi="Arial" w:cs="Arial" w:eastAsia="Arial" w:hint="default"/>
        </w:rPr>
        <w:t>2011</w:t>
      </w:r>
      <w:r>
        <w:rPr>
          <w:rFonts w:ascii="Arial" w:hAnsi="Arial" w:cs="Arial" w:eastAsia="Arial" w:hint="default"/>
          <w:spacing w:val="-3"/>
        </w:rPr>
        <w:t> </w:t>
      </w:r>
      <w:r>
        <w:rPr/>
        <w:t>年度，固定资产计提的折旧金额约人民币</w:t>
      </w:r>
      <w:r>
        <w:rPr>
          <w:spacing w:val="-53"/>
        </w:rPr>
        <w:t> </w:t>
      </w:r>
      <w:r>
        <w:rPr>
          <w:rFonts w:ascii="Arial" w:hAnsi="Arial" w:cs="Arial" w:eastAsia="Arial" w:hint="default"/>
        </w:rPr>
        <w:t>552.28</w:t>
      </w:r>
      <w:r>
        <w:rPr>
          <w:rFonts w:ascii="Arial" w:hAnsi="Arial" w:cs="Arial" w:eastAsia="Arial" w:hint="default"/>
          <w:spacing w:val="-3"/>
        </w:rPr>
        <w:t> </w:t>
      </w:r>
      <w:r>
        <w:rPr/>
        <w:t>亿元（</w:t>
      </w:r>
      <w:r>
        <w:rPr>
          <w:rFonts w:ascii="Arial" w:hAnsi="Arial" w:cs="Arial" w:eastAsia="Arial" w:hint="default"/>
        </w:rPr>
        <w:t>2010</w:t>
      </w:r>
      <w:r>
        <w:rPr>
          <w:rFonts w:ascii="Arial" w:hAnsi="Arial" w:cs="Arial" w:eastAsia="Arial" w:hint="default"/>
          <w:spacing w:val="-3"/>
        </w:rPr>
        <w:t> </w:t>
      </w:r>
      <w:r>
        <w:rPr/>
        <w:t>年度：约人民币</w:t>
      </w:r>
      <w:r>
        <w:rPr>
          <w:spacing w:val="-53"/>
        </w:rPr>
        <w:t> </w:t>
      </w:r>
      <w:r>
        <w:rPr>
          <w:rFonts w:ascii="Arial" w:hAnsi="Arial" w:cs="Arial" w:eastAsia="Arial" w:hint="default"/>
        </w:rPr>
        <w:t>523.44</w:t>
      </w:r>
    </w:p>
    <w:p>
      <w:pPr>
        <w:pStyle w:val="BodyText"/>
        <w:spacing w:line="285" w:lineRule="exact"/>
        <w:ind w:left="462" w:right="0"/>
        <w:jc w:val="left"/>
        <w:rPr>
          <w:rFonts w:ascii="Arial" w:hAnsi="Arial" w:cs="Arial" w:eastAsia="Arial" w:hint="default"/>
        </w:rPr>
      </w:pPr>
      <w:r>
        <w:rPr/>
        <w:t>亿元），其中计入营业成本及管理费用的折旧费用分别约人民币</w:t>
      </w:r>
      <w:r>
        <w:rPr>
          <w:spacing w:val="-67"/>
        </w:rPr>
        <w:t> </w:t>
      </w:r>
      <w:r>
        <w:rPr>
          <w:rFonts w:ascii="Arial" w:hAnsi="Arial" w:cs="Arial" w:eastAsia="Arial" w:hint="default"/>
        </w:rPr>
        <w:t>537.49</w:t>
      </w:r>
      <w:r>
        <w:rPr>
          <w:rFonts w:ascii="Arial" w:hAnsi="Arial" w:cs="Arial" w:eastAsia="Arial" w:hint="default"/>
          <w:spacing w:val="-18"/>
        </w:rPr>
        <w:t> </w:t>
      </w:r>
      <w:r>
        <w:rPr/>
        <w:t>亿元及约人民币</w:t>
      </w:r>
      <w:r>
        <w:rPr>
          <w:spacing w:val="-67"/>
        </w:rPr>
        <w:t> </w:t>
      </w:r>
      <w:r>
        <w:rPr>
          <w:rFonts w:ascii="Arial" w:hAnsi="Arial" w:cs="Arial" w:eastAsia="Arial" w:hint="default"/>
        </w:rPr>
        <w:t>14.79</w:t>
      </w:r>
    </w:p>
    <w:p>
      <w:pPr>
        <w:pStyle w:val="BodyText"/>
        <w:spacing w:line="295" w:lineRule="exact"/>
        <w:ind w:left="462" w:right="0"/>
        <w:jc w:val="left"/>
      </w:pPr>
      <w:r>
        <w:rPr/>
        <w:t>亿元（</w:t>
      </w:r>
      <w:r>
        <w:rPr>
          <w:rFonts w:ascii="Arial" w:hAnsi="Arial" w:cs="Arial" w:eastAsia="Arial" w:hint="default"/>
        </w:rPr>
        <w:t>2010</w:t>
      </w:r>
      <w:r>
        <w:rPr>
          <w:rFonts w:ascii="Arial" w:hAnsi="Arial" w:cs="Arial" w:eastAsia="Arial" w:hint="default"/>
          <w:spacing w:val="-7"/>
        </w:rPr>
        <w:t> </w:t>
      </w:r>
      <w:r>
        <w:rPr/>
        <w:t>年度：约人民币</w:t>
      </w:r>
      <w:r>
        <w:rPr>
          <w:spacing w:val="-57"/>
        </w:rPr>
        <w:t> </w:t>
      </w:r>
      <w:r>
        <w:rPr>
          <w:rFonts w:ascii="Arial" w:hAnsi="Arial" w:cs="Arial" w:eastAsia="Arial" w:hint="default"/>
        </w:rPr>
        <w:t>510.17</w:t>
      </w:r>
      <w:r>
        <w:rPr>
          <w:rFonts w:ascii="Arial" w:hAnsi="Arial" w:cs="Arial" w:eastAsia="Arial" w:hint="default"/>
          <w:spacing w:val="-8"/>
        </w:rPr>
        <w:t> </w:t>
      </w:r>
      <w:r>
        <w:rPr/>
        <w:t>亿元及约人民币</w:t>
      </w:r>
      <w:r>
        <w:rPr>
          <w:spacing w:val="-57"/>
        </w:rPr>
        <w:t> </w:t>
      </w:r>
      <w:r>
        <w:rPr>
          <w:rFonts w:ascii="Arial" w:hAnsi="Arial" w:cs="Arial" w:eastAsia="Arial" w:hint="default"/>
        </w:rPr>
        <w:t>13.27</w:t>
      </w:r>
      <w:r>
        <w:rPr>
          <w:rFonts w:ascii="Arial" w:hAnsi="Arial" w:cs="Arial" w:eastAsia="Arial" w:hint="default"/>
          <w:spacing w:val="-8"/>
        </w:rPr>
        <w:t> </w:t>
      </w:r>
      <w:r>
        <w:rPr/>
        <w:t>亿元）。</w:t>
      </w:r>
    </w:p>
    <w:p>
      <w:pPr>
        <w:spacing w:line="240" w:lineRule="auto" w:before="13"/>
        <w:rPr>
          <w:rFonts w:ascii="宋体" w:hAnsi="宋体" w:cs="宋体" w:eastAsia="宋体" w:hint="default"/>
          <w:sz w:val="17"/>
          <w:szCs w:val="17"/>
        </w:rPr>
      </w:pPr>
    </w:p>
    <w:p>
      <w:pPr>
        <w:pStyle w:val="BodyText"/>
        <w:spacing w:line="294" w:lineRule="exact"/>
        <w:ind w:left="462" w:right="0"/>
        <w:jc w:val="left"/>
      </w:pPr>
      <w:r>
        <w:rPr/>
        <w:t>于</w:t>
      </w:r>
      <w:r>
        <w:rPr>
          <w:spacing w:val="-38"/>
        </w:rPr>
        <w:t> </w:t>
      </w:r>
      <w:r>
        <w:rPr>
          <w:rFonts w:ascii="Arial" w:hAnsi="Arial" w:cs="Arial" w:eastAsia="Arial" w:hint="default"/>
        </w:rPr>
        <w:t>2011</w:t>
      </w:r>
      <w:r>
        <w:rPr>
          <w:rFonts w:ascii="Arial" w:hAnsi="Arial" w:cs="Arial" w:eastAsia="Arial" w:hint="default"/>
          <w:spacing w:val="11"/>
        </w:rPr>
        <w:t> </w:t>
      </w:r>
      <w:r>
        <w:rPr/>
        <w:t>年度，由在建工程转入固定资产的原价约人民币</w:t>
      </w:r>
      <w:r>
        <w:rPr>
          <w:spacing w:val="-37"/>
        </w:rPr>
        <w:t> </w:t>
      </w:r>
      <w:r>
        <w:rPr>
          <w:rFonts w:ascii="Arial" w:hAnsi="Arial" w:cs="Arial" w:eastAsia="Arial" w:hint="default"/>
        </w:rPr>
        <w:t>766.38</w:t>
      </w:r>
      <w:r>
        <w:rPr>
          <w:rFonts w:ascii="Arial" w:hAnsi="Arial" w:cs="Arial" w:eastAsia="Arial" w:hint="default"/>
          <w:spacing w:val="11"/>
        </w:rPr>
        <w:t> </w:t>
      </w:r>
      <w:r>
        <w:rPr/>
        <w:t>亿元（</w:t>
      </w:r>
      <w:r>
        <w:rPr>
          <w:rFonts w:ascii="Arial" w:hAnsi="Arial" w:cs="Arial" w:eastAsia="Arial" w:hint="default"/>
        </w:rPr>
        <w:t>2010</w:t>
      </w:r>
      <w:r>
        <w:rPr>
          <w:rFonts w:ascii="Arial" w:hAnsi="Arial" w:cs="Arial" w:eastAsia="Arial" w:hint="default"/>
          <w:spacing w:val="11"/>
        </w:rPr>
        <w:t> </w:t>
      </w:r>
      <w:r>
        <w:rPr/>
        <w:t>年度：约人民币</w:t>
      </w:r>
    </w:p>
    <w:p>
      <w:pPr>
        <w:pStyle w:val="BodyText"/>
        <w:spacing w:line="294" w:lineRule="exact"/>
        <w:ind w:left="462" w:right="0"/>
        <w:jc w:val="left"/>
      </w:pPr>
      <w:r>
        <w:rPr>
          <w:rFonts w:ascii="Arial" w:hAnsi="Arial" w:cs="Arial" w:eastAsia="Arial" w:hint="default"/>
        </w:rPr>
        <w:t>701.27</w:t>
      </w:r>
      <w:r>
        <w:rPr>
          <w:rFonts w:ascii="Arial" w:hAnsi="Arial" w:cs="Arial" w:eastAsia="Arial" w:hint="default"/>
          <w:spacing w:val="-9"/>
        </w:rPr>
        <w:t> </w:t>
      </w:r>
      <w:r>
        <w:rPr/>
        <w:t>亿元）。</w:t>
      </w:r>
    </w:p>
    <w:p>
      <w:pPr>
        <w:spacing w:after="0" w:line="294" w:lineRule="exact"/>
        <w:jc w:val="left"/>
        <w:sectPr>
          <w:type w:val="continuous"/>
          <w:pgSz w:w="11900" w:h="16840"/>
          <w:pgMar w:top="1600" w:bottom="280" w:left="1280" w:right="880"/>
        </w:sectPr>
      </w:pPr>
    </w:p>
    <w:p>
      <w:pPr>
        <w:spacing w:line="240" w:lineRule="auto" w:before="9"/>
        <w:rPr>
          <w:rFonts w:ascii="宋体" w:hAnsi="宋体" w:cs="宋体" w:eastAsia="宋体" w:hint="default"/>
          <w:sz w:val="16"/>
          <w:szCs w:val="16"/>
        </w:rPr>
      </w:pPr>
    </w:p>
    <w:p>
      <w:pPr>
        <w:pStyle w:val="BodyText"/>
        <w:spacing w:line="240" w:lineRule="auto" w:before="31"/>
        <w:ind w:left="102" w:right="97"/>
        <w:jc w:val="left"/>
      </w:pPr>
      <w:r>
        <w:rPr>
          <w:rFonts w:ascii="Arial" w:hAnsi="Arial" w:cs="Arial" w:eastAsia="Arial" w:hint="default"/>
        </w:rPr>
        <w:t>9</w:t>
      </w:r>
      <w:r>
        <w:rPr/>
        <w:t>、固定资产（续）</w:t>
      </w:r>
    </w:p>
    <w:p>
      <w:pPr>
        <w:spacing w:line="240" w:lineRule="auto" w:before="13"/>
        <w:rPr>
          <w:rFonts w:ascii="宋体" w:hAnsi="宋体" w:cs="宋体" w:eastAsia="宋体" w:hint="default"/>
          <w:sz w:val="17"/>
          <w:szCs w:val="17"/>
        </w:rPr>
      </w:pPr>
    </w:p>
    <w:p>
      <w:pPr>
        <w:pStyle w:val="BodyText"/>
        <w:spacing w:line="295" w:lineRule="exact"/>
        <w:ind w:left="462" w:right="97"/>
        <w:jc w:val="left"/>
      </w:pPr>
      <w:r>
        <w:rPr/>
        <w:t>于</w:t>
      </w:r>
      <w:r>
        <w:rPr>
          <w:spacing w:val="-63"/>
        </w:rPr>
        <w:t> </w:t>
      </w:r>
      <w:r>
        <w:rPr>
          <w:rFonts w:ascii="Arial" w:hAnsi="Arial" w:cs="Arial" w:eastAsia="Arial" w:hint="default"/>
        </w:rPr>
        <w:t>2011</w:t>
      </w:r>
      <w:r>
        <w:rPr>
          <w:rFonts w:ascii="Arial" w:hAnsi="Arial" w:cs="Arial" w:eastAsia="Arial" w:hint="default"/>
          <w:spacing w:val="-14"/>
        </w:rPr>
        <w:t> </w:t>
      </w:r>
      <w:r>
        <w:rPr/>
        <w:t>年度，本集团因固定资产报废清理而产生的净收益约人民币</w:t>
      </w:r>
      <w:r>
        <w:rPr>
          <w:spacing w:val="-62"/>
        </w:rPr>
        <w:t> </w:t>
      </w:r>
      <w:r>
        <w:rPr>
          <w:rFonts w:ascii="Arial" w:hAnsi="Arial" w:cs="Arial" w:eastAsia="Arial" w:hint="default"/>
        </w:rPr>
        <w:t>4.29</w:t>
      </w:r>
      <w:r>
        <w:rPr>
          <w:rFonts w:ascii="Arial" w:hAnsi="Arial" w:cs="Arial" w:eastAsia="Arial" w:hint="default"/>
          <w:spacing w:val="-14"/>
        </w:rPr>
        <w:t> </w:t>
      </w:r>
      <w:r>
        <w:rPr>
          <w:spacing w:val="-5"/>
        </w:rPr>
        <w:t>亿元（</w:t>
      </w:r>
      <w:r>
        <w:rPr>
          <w:rFonts w:ascii="Arial" w:hAnsi="Arial" w:cs="Arial" w:eastAsia="Arial" w:hint="default"/>
          <w:spacing w:val="-5"/>
        </w:rPr>
        <w:t>2010</w:t>
      </w:r>
      <w:r>
        <w:rPr>
          <w:rFonts w:ascii="Arial" w:hAnsi="Arial" w:cs="Arial" w:eastAsia="Arial" w:hint="default"/>
          <w:spacing w:val="-14"/>
        </w:rPr>
        <w:t> </w:t>
      </w:r>
      <w:r>
        <w:rPr>
          <w:spacing w:val="-9"/>
        </w:rPr>
        <w:t>年度：净</w:t>
      </w:r>
    </w:p>
    <w:p>
      <w:pPr>
        <w:pStyle w:val="BodyText"/>
        <w:spacing w:line="295" w:lineRule="exact"/>
        <w:ind w:left="462" w:right="97"/>
        <w:jc w:val="left"/>
      </w:pPr>
      <w:r>
        <w:rPr/>
        <w:t>损失约人民币</w:t>
      </w:r>
      <w:r>
        <w:rPr>
          <w:spacing w:val="-57"/>
        </w:rPr>
        <w:t> </w:t>
      </w:r>
      <w:r>
        <w:rPr>
          <w:rFonts w:ascii="Arial" w:hAnsi="Arial" w:cs="Arial" w:eastAsia="Arial" w:hint="default"/>
        </w:rPr>
        <w:t>0.14</w:t>
      </w:r>
      <w:r>
        <w:rPr>
          <w:rFonts w:ascii="Arial" w:hAnsi="Arial" w:cs="Arial" w:eastAsia="Arial" w:hint="default"/>
          <w:spacing w:val="-8"/>
        </w:rPr>
        <w:t> </w:t>
      </w:r>
      <w:r>
        <w:rPr/>
        <w:t>亿元）。</w:t>
      </w:r>
    </w:p>
    <w:p>
      <w:pPr>
        <w:spacing w:line="240" w:lineRule="auto" w:before="12"/>
        <w:rPr>
          <w:rFonts w:ascii="宋体" w:hAnsi="宋体" w:cs="宋体" w:eastAsia="宋体" w:hint="default"/>
          <w:sz w:val="17"/>
          <w:szCs w:val="17"/>
        </w:rPr>
      </w:pPr>
    </w:p>
    <w:p>
      <w:pPr>
        <w:pStyle w:val="BodyText"/>
        <w:spacing w:line="240" w:lineRule="auto"/>
        <w:ind w:left="462" w:right="97"/>
        <w:jc w:val="left"/>
      </w:pPr>
      <w:r>
        <w:rPr/>
        <w:t>于</w:t>
      </w:r>
      <w:r>
        <w:rPr>
          <w:spacing w:val="-57"/>
        </w:rPr>
        <w:t> </w:t>
      </w:r>
      <w:r>
        <w:rPr>
          <w:rFonts w:ascii="Arial" w:hAnsi="Arial" w:cs="Arial" w:eastAsia="Arial" w:hint="default"/>
        </w:rPr>
        <w:t>2011</w:t>
      </w:r>
      <w:r>
        <w:rPr>
          <w:rFonts w:ascii="Arial" w:hAnsi="Arial" w:cs="Arial" w:eastAsia="Arial" w:hint="default"/>
          <w:spacing w:val="-8"/>
        </w:rPr>
        <w:t> </w:t>
      </w:r>
      <w:r>
        <w:rPr/>
        <w:t>年度，本集团的部分资产减值准备随资产处置报废而转出。</w:t>
      </w:r>
    </w:p>
    <w:p>
      <w:pPr>
        <w:spacing w:line="240" w:lineRule="auto" w:before="13"/>
        <w:rPr>
          <w:rFonts w:ascii="宋体" w:hAnsi="宋体" w:cs="宋体" w:eastAsia="宋体" w:hint="default"/>
          <w:sz w:val="17"/>
          <w:szCs w:val="17"/>
        </w:rPr>
      </w:pPr>
    </w:p>
    <w:p>
      <w:pPr>
        <w:pStyle w:val="BodyText"/>
        <w:spacing w:line="240" w:lineRule="auto"/>
        <w:ind w:left="102" w:right="97"/>
        <w:jc w:val="left"/>
      </w:pPr>
      <w:r>
        <w:rPr>
          <w:rFonts w:ascii="Arial" w:hAnsi="Arial" w:cs="Arial" w:eastAsia="Arial" w:hint="default"/>
        </w:rPr>
        <w:t>(a) </w:t>
      </w:r>
      <w:r>
        <w:rPr>
          <w:rFonts w:ascii="Arial" w:hAnsi="Arial" w:cs="Arial" w:eastAsia="Arial" w:hint="default"/>
          <w:spacing w:val="23"/>
        </w:rPr>
        <w:t> </w:t>
      </w:r>
      <w:r>
        <w:rPr/>
        <w:t>融资租入的固定资产</w:t>
      </w:r>
    </w:p>
    <w:p>
      <w:pPr>
        <w:spacing w:line="240" w:lineRule="auto" w:before="12"/>
        <w:rPr>
          <w:rFonts w:ascii="宋体" w:hAnsi="宋体" w:cs="宋体" w:eastAsia="宋体" w:hint="default"/>
          <w:sz w:val="17"/>
          <w:szCs w:val="17"/>
        </w:rPr>
      </w:pPr>
    </w:p>
    <w:p>
      <w:pPr>
        <w:pStyle w:val="BodyText"/>
        <w:spacing w:line="295" w:lineRule="exact"/>
        <w:ind w:left="498" w:right="97"/>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日，账面价值约人民币</w:t>
      </w:r>
      <w:r>
        <w:rPr>
          <w:spacing w:val="-56"/>
        </w:rPr>
        <w:t> </w:t>
      </w:r>
      <w:r>
        <w:rPr>
          <w:rFonts w:ascii="Arial" w:hAnsi="Arial" w:cs="Arial" w:eastAsia="Arial" w:hint="default"/>
        </w:rPr>
        <w:t>1.97</w:t>
      </w:r>
      <w:r>
        <w:rPr>
          <w:rFonts w:ascii="Arial" w:hAnsi="Arial" w:cs="Arial" w:eastAsia="Arial" w:hint="default"/>
          <w:spacing w:val="-7"/>
        </w:rPr>
        <w:t> </w:t>
      </w:r>
      <w:r>
        <w:rPr/>
        <w:t>亿元（原值约人民币</w:t>
      </w:r>
      <w:r>
        <w:rPr>
          <w:spacing w:val="-56"/>
        </w:rPr>
        <w:t> </w:t>
      </w:r>
      <w:r>
        <w:rPr>
          <w:rFonts w:ascii="Arial" w:hAnsi="Arial" w:cs="Arial" w:eastAsia="Arial" w:hint="default"/>
        </w:rPr>
        <w:t>2.32</w:t>
      </w:r>
      <w:r>
        <w:rPr>
          <w:rFonts w:ascii="Arial" w:hAnsi="Arial" w:cs="Arial" w:eastAsia="Arial" w:hint="default"/>
          <w:spacing w:val="-7"/>
        </w:rPr>
        <w:t> </w:t>
      </w:r>
      <w:r>
        <w:rPr/>
        <w:t>亿元）的固定资产</w:t>
      </w:r>
    </w:p>
    <w:p>
      <w:pPr>
        <w:pStyle w:val="BodyText"/>
        <w:spacing w:line="286" w:lineRule="exact" w:before="19"/>
        <w:ind w:left="498" w:right="97"/>
        <w:jc w:val="left"/>
      </w:pPr>
      <w:r>
        <w:rPr>
          <w:spacing w:val="-6"/>
          <w:w w:val="99"/>
        </w:rPr>
        <w:t>系融资租入（</w:t>
      </w:r>
      <w:r>
        <w:rPr>
          <w:rFonts w:ascii="Arial" w:hAnsi="Arial" w:cs="Arial" w:eastAsia="Arial" w:hint="default"/>
          <w:spacing w:val="-6"/>
          <w:w w:val="99"/>
        </w:rPr>
        <w:t>2010</w:t>
      </w:r>
      <w:r>
        <w:rPr>
          <w:rFonts w:ascii="Arial" w:hAnsi="Arial" w:cs="Arial" w:eastAsia="Arial" w:hint="default"/>
          <w:spacing w:val="-5"/>
          <w:w w:val="99"/>
        </w:rPr>
        <w:t> </w:t>
      </w:r>
      <w:r>
        <w:rPr>
          <w:w w:val="99"/>
        </w:rPr>
        <w:t>年</w:t>
      </w:r>
      <w:r>
        <w:rPr>
          <w:spacing w:val="-54"/>
          <w:w w:val="99"/>
        </w:rPr>
        <w:t> </w:t>
      </w:r>
      <w:r>
        <w:rPr>
          <w:rFonts w:ascii="Arial" w:hAnsi="Arial" w:cs="Arial" w:eastAsia="Arial" w:hint="default"/>
          <w:w w:val="99"/>
        </w:rPr>
        <w:t>12</w:t>
      </w:r>
      <w:r>
        <w:rPr>
          <w:rFonts w:ascii="Arial" w:hAnsi="Arial" w:cs="Arial" w:eastAsia="Arial" w:hint="default"/>
          <w:spacing w:val="-5"/>
          <w:w w:val="99"/>
        </w:rPr>
        <w:t> </w:t>
      </w:r>
      <w:r>
        <w:rPr>
          <w:w w:val="99"/>
        </w:rPr>
        <w:t>月</w:t>
      </w:r>
      <w:r>
        <w:rPr>
          <w:spacing w:val="-54"/>
          <w:w w:val="99"/>
        </w:rPr>
        <w:t> </w:t>
      </w:r>
      <w:r>
        <w:rPr>
          <w:rFonts w:ascii="Arial" w:hAnsi="Arial" w:cs="Arial" w:eastAsia="Arial" w:hint="default"/>
          <w:w w:val="99"/>
        </w:rPr>
        <w:t>31</w:t>
      </w:r>
      <w:r>
        <w:rPr>
          <w:rFonts w:ascii="Arial" w:hAnsi="Arial" w:cs="Arial" w:eastAsia="Arial" w:hint="default"/>
          <w:spacing w:val="-5"/>
          <w:w w:val="99"/>
        </w:rPr>
        <w:t> </w:t>
      </w:r>
      <w:r>
        <w:rPr>
          <w:spacing w:val="-6"/>
          <w:w w:val="99"/>
        </w:rPr>
        <w:t>日：账面价值约人民币</w:t>
      </w:r>
      <w:r>
        <w:rPr>
          <w:spacing w:val="-54"/>
          <w:w w:val="99"/>
        </w:rPr>
        <w:t> </w:t>
      </w:r>
      <w:r>
        <w:rPr>
          <w:rFonts w:ascii="Arial" w:hAnsi="Arial" w:cs="Arial" w:eastAsia="Arial" w:hint="default"/>
          <w:w w:val="99"/>
        </w:rPr>
        <w:t>2.19</w:t>
      </w:r>
      <w:r>
        <w:rPr>
          <w:rFonts w:ascii="Arial" w:hAnsi="Arial" w:cs="Arial" w:eastAsia="Arial" w:hint="default"/>
          <w:spacing w:val="-5"/>
          <w:w w:val="99"/>
        </w:rPr>
        <w:t> </w:t>
      </w:r>
      <w:r>
        <w:rPr>
          <w:spacing w:val="-6"/>
          <w:w w:val="99"/>
        </w:rPr>
        <w:t>亿元，原值约人民币</w:t>
      </w:r>
      <w:r>
        <w:rPr>
          <w:spacing w:val="-54"/>
          <w:w w:val="99"/>
        </w:rPr>
        <w:t> </w:t>
      </w:r>
      <w:r>
        <w:rPr>
          <w:rFonts w:ascii="Arial" w:hAnsi="Arial" w:cs="Arial" w:eastAsia="Arial" w:hint="default"/>
          <w:w w:val="99"/>
        </w:rPr>
        <w:t>2.32</w:t>
      </w:r>
      <w:r>
        <w:rPr>
          <w:rFonts w:ascii="Arial" w:hAnsi="Arial" w:cs="Arial" w:eastAsia="Arial" w:hint="default"/>
          <w:spacing w:val="-5"/>
          <w:w w:val="99"/>
        </w:rPr>
        <w:t> </w:t>
      </w:r>
      <w:r>
        <w:rPr>
          <w:spacing w:val="-22"/>
          <w:w w:val="99"/>
        </w:rPr>
        <w:t>亿元）（见</w:t>
      </w:r>
      <w:r>
        <w:rPr>
          <w:spacing w:val="1"/>
          <w:w w:val="99"/>
        </w:rPr>
        <w:t> </w:t>
      </w:r>
      <w:r>
        <w:rPr/>
        <w:t>附注十二）。具体分析如下（单位：人民币百万元）：</w:t>
      </w:r>
    </w:p>
    <w:p>
      <w:pPr>
        <w:spacing w:line="240" w:lineRule="auto" w:before="2"/>
        <w:rPr>
          <w:rFonts w:ascii="宋体" w:hAnsi="宋体" w:cs="宋体" w:eastAsia="宋体" w:hint="default"/>
          <w:sz w:val="17"/>
          <w:szCs w:val="17"/>
        </w:rPr>
      </w:pPr>
    </w:p>
    <w:p>
      <w:pPr>
        <w:pStyle w:val="BodyText"/>
        <w:tabs>
          <w:tab w:pos="4003" w:val="left" w:leader="none"/>
          <w:tab w:pos="5252" w:val="left" w:leader="none"/>
          <w:tab w:pos="6875" w:val="left" w:leader="none"/>
          <w:tab w:pos="8583" w:val="left" w:leader="none"/>
        </w:tabs>
        <w:spacing w:line="240" w:lineRule="auto"/>
        <w:ind w:left="562" w:right="97"/>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w w:val="95"/>
        </w:rPr>
        <w:t>原值</w:t>
        <w:tab/>
        <w:t>累计折旧</w:t>
        <w:tab/>
        <w:t>减值准备</w:t>
        <w:tab/>
      </w:r>
      <w:r>
        <w:rPr/>
        <w:t>账面价值</w:t>
      </w:r>
    </w:p>
    <w:p>
      <w:pPr>
        <w:tabs>
          <w:tab w:pos="3050" w:val="left" w:leader="none"/>
          <w:tab w:pos="4782" w:val="left" w:leader="none"/>
          <w:tab w:pos="6470" w:val="left" w:leader="none"/>
          <w:tab w:pos="8092" w:val="left" w:leader="none"/>
        </w:tabs>
        <w:spacing w:line="20" w:lineRule="exact"/>
        <w:ind w:left="446" w:right="0" w:firstLine="0"/>
        <w:rPr>
          <w:rFonts w:ascii="宋体" w:hAnsi="宋体" w:cs="宋体" w:eastAsia="宋体" w:hint="default"/>
          <w:sz w:val="2"/>
          <w:szCs w:val="2"/>
        </w:rPr>
      </w:pPr>
      <w:r>
        <w:rPr>
          <w:rFonts w:ascii="宋体"/>
          <w:sz w:val="2"/>
        </w:rPr>
        <w:pict>
          <v:group style="width:119.05pt;height:.75pt;mso-position-horizontal-relative:char;mso-position-vertical-relative:line" coordorigin="0,0" coordsize="2381,15">
            <v:group style="position:absolute;left:7;top:7;width:2367;height:2" coordorigin="7,7" coordsize="2367,2">
              <v:shape style="position:absolute;left:7;top:7;width:2367;height:2" coordorigin="7,7" coordsize="2367,0" path="m7,7l2374,7e" filled="false" stroked="true" strokeweight=".72pt" strokecolor="#000000">
                <v:path arrowok="t"/>
              </v:shape>
            </v:group>
          </v:group>
        </w:pict>
      </w:r>
      <w:r>
        <w:rPr>
          <w:rFonts w:ascii="宋体"/>
          <w:sz w:val="2"/>
        </w:rPr>
      </w:r>
      <w:r>
        <w:rPr>
          <w:rFonts w:ascii="宋体"/>
          <w:sz w:val="2"/>
        </w:rPr>
        <w:tab/>
      </w:r>
      <w:r>
        <w:rPr>
          <w:rFonts w:ascii="宋体"/>
          <w:sz w:val="2"/>
        </w:rPr>
        <w:pict>
          <v:group style="width:75.45pt;height:.75pt;mso-position-horizontal-relative:char;mso-position-vertical-relative:line" coordorigin="0,0" coordsize="1509,15">
            <v:group style="position:absolute;left:7;top:7;width:1494;height:2" coordorigin="7,7" coordsize="1494,2">
              <v:shape style="position:absolute;left:7;top:7;width:1494;height:2" coordorigin="7,7" coordsize="1494,0" path="m7,7l1501,7e" filled="false" stroked="true" strokeweight=".72pt" strokecolor="#000000">
                <v:path arrowok="t"/>
              </v:shape>
            </v:group>
          </v:group>
        </w:pict>
      </w:r>
      <w:r>
        <w:rPr>
          <w:rFonts w:ascii="宋体"/>
          <w:sz w:val="2"/>
        </w:rPr>
      </w:r>
      <w:r>
        <w:rPr>
          <w:rFonts w:ascii="宋体"/>
          <w:sz w:val="2"/>
        </w:rPr>
        <w:tab/>
      </w:r>
      <w:r>
        <w:rPr>
          <w:rFonts w:ascii="宋体"/>
          <w:sz w:val="2"/>
        </w:rPr>
        <w:pict>
          <v:group style="width:73.3pt;height:.75pt;mso-position-horizontal-relative:char;mso-position-vertical-relative:line" coordorigin="0,0" coordsize="1466,15">
            <v:group style="position:absolute;left:7;top:7;width:1451;height:2" coordorigin="7,7" coordsize="1451,2">
              <v:shape style="position:absolute;left:7;top:7;width:1451;height:2" coordorigin="7,7" coordsize="1451,0" path="m7,7l1458,7e" filled="false" stroked="true" strokeweight=".72pt" strokecolor="#000000">
                <v:path arrowok="t"/>
              </v:shape>
            </v:group>
          </v:group>
        </w:pict>
      </w:r>
      <w:r>
        <w:rPr>
          <w:rFonts w:ascii="宋体"/>
          <w:sz w:val="2"/>
        </w:rPr>
      </w:r>
      <w:r>
        <w:rPr>
          <w:rFonts w:ascii="宋体"/>
          <w:sz w:val="2"/>
        </w:rPr>
        <w:tab/>
      </w:r>
      <w:r>
        <w:rPr>
          <w:rFonts w:ascii="宋体"/>
          <w:sz w:val="2"/>
        </w:rPr>
        <w:pict>
          <v:group style="width:69.9pt;height:.75pt;mso-position-horizontal-relative:char;mso-position-vertical-relative:line" coordorigin="0,0" coordsize="1398,15">
            <v:group style="position:absolute;left:7;top:7;width:1384;height:2" coordorigin="7,7" coordsize="1384,2">
              <v:shape style="position:absolute;left:7;top:7;width:1384;height:2" coordorigin="7,7" coordsize="1384,0" path="m7,7l1391,7e" filled="false" stroked="true" strokeweight=".72pt" strokecolor="#000000">
                <v:path arrowok="t"/>
              </v:shape>
            </v:group>
          </v:group>
        </w:pict>
      </w:r>
      <w:r>
        <w:rPr>
          <w:rFonts w:ascii="宋体"/>
          <w:sz w:val="2"/>
        </w:rPr>
      </w:r>
      <w:r>
        <w:rPr>
          <w:rFonts w:ascii="宋体"/>
          <w:sz w:val="2"/>
        </w:rPr>
        <w:tab/>
      </w:r>
      <w:r>
        <w:rPr>
          <w:rFonts w:ascii="宋体"/>
          <w:sz w:val="2"/>
        </w:rPr>
        <w:pict>
          <v:group style="width:74.3pt;height:.75pt;mso-position-horizontal-relative:char;mso-position-vertical-relative:line" coordorigin="0,0" coordsize="1486,15">
            <v:group style="position:absolute;left:7;top:7;width:1472;height:2" coordorigin="7,7" coordsize="1472,2">
              <v:shape style="position:absolute;left:7;top:7;width:1472;height:2" coordorigin="7,7" coordsize="1472,0" path="m7,7l1478,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5"/>
          <w:szCs w:val="15"/>
        </w:rPr>
      </w:pPr>
    </w:p>
    <w:p>
      <w:pPr>
        <w:pStyle w:val="BodyText"/>
        <w:tabs>
          <w:tab w:pos="4009" w:val="left" w:leader="none"/>
          <w:tab w:pos="5740" w:val="left" w:leader="none"/>
          <w:tab w:pos="7662" w:val="left" w:leader="none"/>
          <w:tab w:pos="9417" w:val="right" w:leader="none"/>
        </w:tabs>
        <w:spacing w:line="240" w:lineRule="auto" w:before="27"/>
        <w:ind w:left="561" w:right="0"/>
        <w:jc w:val="left"/>
        <w:rPr>
          <w:rFonts w:ascii="Arial" w:hAnsi="Arial" w:cs="Arial" w:eastAsia="Arial" w:hint="default"/>
        </w:rPr>
      </w:pPr>
      <w:r>
        <w:rPr/>
        <w:pict>
          <v:group style="position:absolute;margin-left:216.539978pt;margin-top:17.598389pt;width:75.45pt;height:2.2pt;mso-position-horizontal-relative:page;mso-position-vertical-relative:paragraph;z-index:4384" coordorigin="4331,352" coordsize="1509,44">
            <v:group style="position:absolute;left:4338;top:359;width:1494;height:2" coordorigin="4338,359" coordsize="1494,2">
              <v:shape style="position:absolute;left:4338;top:359;width:1494;height:2" coordorigin="4338,359" coordsize="1494,0" path="m4338,359l5832,359e" filled="false" stroked="true" strokeweight=".72pt" strokecolor="#000000">
                <v:path arrowok="t"/>
              </v:shape>
            </v:group>
            <v:group style="position:absolute;left:4338;top:388;width:1494;height:2" coordorigin="4338,388" coordsize="1494,2">
              <v:shape style="position:absolute;left:4338;top:388;width:1494;height:2" coordorigin="4338,388" coordsize="1494,0" path="m4338,388l5832,388e" filled="false" stroked="true" strokeweight=".72003pt" strokecolor="#000000">
                <v:path arrowok="t"/>
              </v:shape>
            </v:group>
            <w10:wrap type="none"/>
          </v:group>
        </w:pict>
      </w:r>
      <w:r>
        <w:rPr/>
        <w:pict>
          <v:group style="position:absolute;margin-left:303.119995pt;margin-top:17.598389pt;width:73.3pt;height:2.2pt;mso-position-horizontal-relative:page;mso-position-vertical-relative:paragraph;z-index:4408" coordorigin="6062,352" coordsize="1466,44">
            <v:group style="position:absolute;left:6070;top:359;width:1451;height:2" coordorigin="6070,359" coordsize="1451,2">
              <v:shape style="position:absolute;left:6070;top:359;width:1451;height:2" coordorigin="6070,359" coordsize="1451,0" path="m6070,359l7520,359e" filled="false" stroked="true" strokeweight=".72pt" strokecolor="#000000">
                <v:path arrowok="t"/>
              </v:shape>
            </v:group>
            <v:group style="position:absolute;left:6070;top:388;width:1451;height:2" coordorigin="6070,388" coordsize="1451,2">
              <v:shape style="position:absolute;left:6070;top:388;width:1451;height:2" coordorigin="6070,388" coordsize="1451,0" path="m6070,388l7520,388e" filled="false" stroked="true" strokeweight=".72003pt" strokecolor="#000000">
                <v:path arrowok="t"/>
              </v:shape>
            </v:group>
            <w10:wrap type="none"/>
          </v:group>
        </w:pict>
      </w:r>
      <w:r>
        <w:rPr/>
        <w:pict>
          <v:group style="position:absolute;margin-left:387.539978pt;margin-top:17.598389pt;width:69.9pt;height:2.2pt;mso-position-horizontal-relative:page;mso-position-vertical-relative:paragraph;z-index:4432" coordorigin="7751,352" coordsize="1398,44">
            <v:group style="position:absolute;left:7758;top:359;width:1384;height:2" coordorigin="7758,359" coordsize="1384,2">
              <v:shape style="position:absolute;left:7758;top:359;width:1384;height:2" coordorigin="7758,359" coordsize="1384,0" path="m7758,359l9142,359e" filled="false" stroked="true" strokeweight=".72pt" strokecolor="#000000">
                <v:path arrowok="t"/>
              </v:shape>
            </v:group>
            <v:group style="position:absolute;left:7758;top:388;width:1384;height:2" coordorigin="7758,388" coordsize="1384,2">
              <v:shape style="position:absolute;left:7758;top:388;width:1384;height:2" coordorigin="7758,388" coordsize="1384,0" path="m7758,388l9142,388e" filled="false" stroked="true" strokeweight=".72003pt" strokecolor="#000000">
                <v:path arrowok="t"/>
              </v:shape>
            </v:group>
            <w10:wrap type="none"/>
          </v:group>
        </w:pict>
      </w:r>
      <w:r>
        <w:rPr/>
        <w:pict>
          <v:group style="position:absolute;margin-left:468.599976pt;margin-top:17.598389pt;width:74.3pt;height:2.2pt;mso-position-horizontal-relative:page;mso-position-vertical-relative:paragraph;z-index:4456" coordorigin="9372,352" coordsize="1486,44">
            <v:group style="position:absolute;left:9379;top:359;width:1472;height:2" coordorigin="9379,359" coordsize="1472,2">
              <v:shape style="position:absolute;left:9379;top:359;width:1472;height:2" coordorigin="9379,359" coordsize="1472,0" path="m9379,359l10850,359e" filled="false" stroked="true" strokeweight=".72pt" strokecolor="#000000">
                <v:path arrowok="t"/>
              </v:shape>
            </v:group>
            <v:group style="position:absolute;left:9379;top:388;width:1472;height:2" coordorigin="9379,388" coordsize="1472,2">
              <v:shape style="position:absolute;left:9379;top:388;width:1472;height:2" coordorigin="9379,388" coordsize="1472,0" path="m9379,388l10850,388e" filled="false" stroked="true" strokeweight=".72003pt" strokecolor="#000000">
                <v:path arrowok="t"/>
              </v:shape>
            </v:group>
            <w10:wrap type="none"/>
          </v:group>
        </w:pict>
      </w:r>
      <w:r>
        <w:rPr>
          <w:w w:val="95"/>
          <w:position w:val="2"/>
        </w:rPr>
        <w:t>通信设备</w:t>
        <w:tab/>
      </w:r>
      <w:r>
        <w:rPr>
          <w:rFonts w:ascii="Arial" w:hAnsi="Arial" w:cs="Arial" w:eastAsia="Arial" w:hint="default"/>
          <w:w w:val="95"/>
        </w:rPr>
        <w:t>232</w:t>
        <w:tab/>
        <w:t>(35)</w:t>
        <w:tab/>
      </w:r>
      <w:r>
        <w:rPr>
          <w:rFonts w:ascii="Arial" w:hAnsi="Arial" w:cs="Arial" w:eastAsia="Arial" w:hint="default"/>
        </w:rPr>
        <w:t>-</w:t>
        <w:tab/>
        <w:t>197</w:t>
      </w:r>
    </w:p>
    <w:p>
      <w:pPr>
        <w:pStyle w:val="BodyText"/>
        <w:spacing w:line="240" w:lineRule="auto" w:before="264"/>
        <w:ind w:left="561" w:right="97"/>
        <w:jc w:val="left"/>
      </w:pPr>
      <w:r>
        <w:rPr/>
        <w:pict>
          <v:group style="position:absolute;margin-left:86.699997pt;margin-top:29.587971pt;width:118.35pt;height:.1pt;mso-position-horizontal-relative:page;mso-position-vertical-relative:paragraph;z-index:4480" coordorigin="1734,592" coordsize="2367,2">
            <v:shape style="position:absolute;left:1734;top:592;width:2367;height:2" coordorigin="1734,592" coordsize="2367,0" path="m1734,592l4100,592e" filled="false" stroked="true" strokeweight=".71997pt" strokecolor="#000000">
              <v:path arrowok="t"/>
            </v:shape>
            <w10:wrap type="none"/>
          </v:group>
        </w:pic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tabs>
          <w:tab w:pos="4009" w:val="left" w:leader="none"/>
          <w:tab w:pos="5740" w:val="left" w:leader="none"/>
          <w:tab w:pos="7662" w:val="left" w:leader="none"/>
          <w:tab w:pos="9417" w:val="right" w:leader="none"/>
        </w:tabs>
        <w:spacing w:line="240" w:lineRule="auto" w:before="245"/>
        <w:ind w:left="561" w:right="0"/>
        <w:jc w:val="left"/>
        <w:rPr>
          <w:rFonts w:ascii="Arial" w:hAnsi="Arial" w:cs="Arial" w:eastAsia="Arial" w:hint="default"/>
        </w:rPr>
      </w:pPr>
      <w:r>
        <w:rPr/>
        <w:pict>
          <v:group style="position:absolute;margin-left:215.819992pt;margin-top:28.618382pt;width:76.150pt;height:2.2pt;mso-position-horizontal-relative:page;mso-position-vertical-relative:paragraph;z-index:4504" coordorigin="4316,572" coordsize="1523,44">
            <v:group style="position:absolute;left:4324;top:608;width:1509;height:2" coordorigin="4324,608" coordsize="1509,2">
              <v:shape style="position:absolute;left:4324;top:608;width:1509;height:2" coordorigin="4324,608" coordsize="1509,0" path="m4324,608l5832,608e" filled="false" stroked="true" strokeweight=".72003pt" strokecolor="#000000">
                <v:path arrowok="t"/>
              </v:shape>
            </v:group>
            <v:group style="position:absolute;left:4324;top:580;width:1509;height:2" coordorigin="4324,580" coordsize="1509,2">
              <v:shape style="position:absolute;left:4324;top:580;width:1509;height:2" coordorigin="4324,580" coordsize="1509,0" path="m4324,580l5832,580e" filled="false" stroked="true" strokeweight=".72pt" strokecolor="#000000">
                <v:path arrowok="t"/>
              </v:shape>
            </v:group>
            <w10:wrap type="none"/>
          </v:group>
        </w:pict>
      </w:r>
      <w:r>
        <w:rPr/>
        <w:pict>
          <v:group style="position:absolute;margin-left:302.399994pt;margin-top:28.618382pt;width:74pt;height:2.2pt;mso-position-horizontal-relative:page;mso-position-vertical-relative:paragraph;z-index:4528" coordorigin="6048,572" coordsize="1480,44">
            <v:group style="position:absolute;left:6055;top:608;width:1466;height:2" coordorigin="6055,608" coordsize="1466,2">
              <v:shape style="position:absolute;left:6055;top:608;width:1466;height:2" coordorigin="6055,608" coordsize="1466,0" path="m6055,608l7520,608e" filled="false" stroked="true" strokeweight=".72003pt" strokecolor="#000000">
                <v:path arrowok="t"/>
              </v:shape>
            </v:group>
            <v:group style="position:absolute;left:6055;top:580;width:1466;height:2" coordorigin="6055,580" coordsize="1466,2">
              <v:shape style="position:absolute;left:6055;top:580;width:1466;height:2" coordorigin="6055,580" coordsize="1466,0" path="m6055,580l7520,580e" filled="false" stroked="true" strokeweight=".72pt" strokecolor="#000000">
                <v:path arrowok="t"/>
              </v:shape>
            </v:group>
            <w10:wrap type="none"/>
          </v:group>
        </w:pict>
      </w:r>
      <w:r>
        <w:rPr/>
        <w:pict>
          <v:group style="position:absolute;margin-left:386.819977pt;margin-top:28.618382pt;width:70.650pt;height:2.2pt;mso-position-horizontal-relative:page;mso-position-vertical-relative:paragraph;z-index:4552" coordorigin="7736,572" coordsize="1413,44">
            <v:group style="position:absolute;left:7744;top:608;width:1398;height:2" coordorigin="7744,608" coordsize="1398,2">
              <v:shape style="position:absolute;left:7744;top:608;width:1398;height:2" coordorigin="7744,608" coordsize="1398,0" path="m7744,608l9142,608e" filled="false" stroked="true" strokeweight=".72003pt" strokecolor="#000000">
                <v:path arrowok="t"/>
              </v:shape>
            </v:group>
            <v:group style="position:absolute;left:7744;top:580;width:1398;height:2" coordorigin="7744,580" coordsize="1398,2">
              <v:shape style="position:absolute;left:7744;top:580;width:1398;height:2" coordorigin="7744,580" coordsize="1398,0" path="m7744,580l9142,580e" filled="false" stroked="true" strokeweight=".72pt" strokecolor="#000000">
                <v:path arrowok="t"/>
              </v:shape>
            </v:group>
            <w10:wrap type="none"/>
          </v:group>
        </w:pict>
      </w:r>
      <w:r>
        <w:rPr/>
        <w:pict>
          <v:group style="position:absolute;margin-left:467.879974pt;margin-top:28.618382pt;width:75pt;height:2.2pt;mso-position-horizontal-relative:page;mso-position-vertical-relative:paragraph;z-index:4576" coordorigin="9358,572" coordsize="1500,44">
            <v:group style="position:absolute;left:9365;top:608;width:1486;height:2" coordorigin="9365,608" coordsize="1486,2">
              <v:shape style="position:absolute;left:9365;top:608;width:1486;height:2" coordorigin="9365,608" coordsize="1486,0" path="m9365,608l10850,608e" filled="false" stroked="true" strokeweight=".72003pt" strokecolor="#000000">
                <v:path arrowok="t"/>
              </v:shape>
            </v:group>
            <v:group style="position:absolute;left:9365;top:580;width:1486;height:2" coordorigin="9365,580" coordsize="1486,2">
              <v:shape style="position:absolute;left:9365;top:580;width:1486;height:2" coordorigin="9365,580" coordsize="1486,0" path="m9365,580l10850,580e" filled="false" stroked="true" strokeweight=".72pt" strokecolor="#000000">
                <v:path arrowok="t"/>
              </v:shape>
            </v:group>
            <w10:wrap type="none"/>
          </v:group>
        </w:pict>
      </w:r>
      <w:r>
        <w:rPr>
          <w:w w:val="95"/>
          <w:position w:val="2"/>
        </w:rPr>
        <w:t>通信设备</w:t>
        <w:tab/>
      </w:r>
      <w:r>
        <w:rPr>
          <w:rFonts w:ascii="Arial" w:hAnsi="Arial" w:cs="Arial" w:eastAsia="Arial" w:hint="default"/>
          <w:w w:val="95"/>
        </w:rPr>
        <w:t>232</w:t>
        <w:tab/>
        <w:t>(13)</w:t>
        <w:tab/>
      </w:r>
      <w:r>
        <w:rPr>
          <w:rFonts w:ascii="Arial" w:hAnsi="Arial" w:cs="Arial" w:eastAsia="Arial" w:hint="default"/>
        </w:rPr>
        <w:t>-</w:t>
        <w:tab/>
        <w:t>219</w:t>
      </w:r>
    </w:p>
    <w:p>
      <w:pPr>
        <w:pStyle w:val="BodyText"/>
        <w:spacing w:line="240" w:lineRule="auto" w:before="264"/>
        <w:ind w:left="102" w:right="97"/>
        <w:jc w:val="left"/>
      </w:pPr>
      <w:r>
        <w:rPr>
          <w:rFonts w:ascii="Arial" w:hAnsi="Arial" w:cs="Arial" w:eastAsia="Arial" w:hint="default"/>
        </w:rPr>
        <w:t>10</w:t>
      </w:r>
      <w:r>
        <w:rPr/>
        <w:t>、在建工程</w:t>
      </w:r>
    </w:p>
    <w:p>
      <w:pPr>
        <w:tabs>
          <w:tab w:pos="6957" w:val="left" w:leader="none"/>
        </w:tabs>
        <w:spacing w:before="220"/>
        <w:ind w:left="3106" w:right="97" w:firstLine="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tabs>
          <w:tab w:pos="3557" w:val="left" w:leader="none"/>
          <w:tab w:pos="4909" w:val="left" w:leader="none"/>
          <w:tab w:pos="6281" w:val="left" w:leader="none"/>
          <w:tab w:pos="7428" w:val="left" w:leader="none"/>
          <w:tab w:pos="8823" w:val="left" w:leader="none"/>
        </w:tabs>
        <w:spacing w:before="2"/>
        <w:ind w:left="2460" w:right="97" w:firstLine="0"/>
        <w:jc w:val="left"/>
        <w:rPr>
          <w:rFonts w:ascii="宋体" w:hAnsi="宋体" w:cs="宋体" w:eastAsia="宋体" w:hint="default"/>
          <w:sz w:val="16"/>
          <w:szCs w:val="16"/>
        </w:rPr>
      </w:pPr>
      <w:r>
        <w:rPr/>
        <w:pict>
          <v:group style="position:absolute;margin-left:159.660019pt;margin-top:.68426pt;width:382.15pt;height:.75pt;mso-position-horizontal-relative:page;mso-position-vertical-relative:paragraph;z-index:-819712" coordorigin="3193,14" coordsize="7643,15">
            <v:group style="position:absolute;left:3200;top:21;width:3759;height:2" coordorigin="3200,21" coordsize="3759,2">
              <v:shape style="position:absolute;left:3200;top:21;width:3759;height:2" coordorigin="3200,21" coordsize="3759,0" path="m3200,21l6959,21e" filled="false" stroked="true" strokeweight=".71997pt" strokecolor="#000000">
                <v:path arrowok="t"/>
              </v:shape>
            </v:group>
            <v:group style="position:absolute;left:7034;top:21;width:3795;height:2" coordorigin="7034,21" coordsize="3795,2">
              <v:shape style="position:absolute;left:7034;top:21;width:3795;height:2" coordorigin="7034,21" coordsize="3795,0" path="m7034,21l10829,21e" filled="false" stroked="true" strokeweight=".71997pt" strokecolor="#000000">
                <v:path arrowok="t"/>
              </v:shape>
            </v:group>
            <w10:wrap type="none"/>
          </v:group>
        </w:pict>
      </w:r>
      <w:r>
        <w:rPr>
          <w:rFonts w:ascii="宋体" w:hAnsi="宋体" w:cs="宋体" w:eastAsia="宋体" w:hint="default"/>
          <w:w w:val="95"/>
          <w:sz w:val="16"/>
          <w:szCs w:val="16"/>
        </w:rPr>
        <w:t>账面余额</w:t>
        <w:tab/>
        <w:t>减值准备</w:t>
        <w:tab/>
        <w:t>账面价值</w:t>
        <w:tab/>
        <w:t>账面余额</w:t>
        <w:tab/>
        <w:t>减值准备</w:t>
        <w:tab/>
      </w:r>
      <w:r>
        <w:rPr>
          <w:rFonts w:ascii="宋体" w:hAnsi="宋体" w:cs="宋体" w:eastAsia="宋体" w:hint="default"/>
          <w:sz w:val="16"/>
          <w:szCs w:val="16"/>
        </w:rPr>
        <w:t>账面价值</w:t>
      </w:r>
    </w:p>
    <w:p>
      <w:pPr>
        <w:spacing w:line="240" w:lineRule="auto" w:before="0"/>
        <w:rPr>
          <w:rFonts w:ascii="宋体" w:hAnsi="宋体" w:cs="宋体" w:eastAsia="宋体" w:hint="default"/>
          <w:sz w:val="2"/>
          <w:szCs w:val="2"/>
        </w:rPr>
      </w:pPr>
    </w:p>
    <w:p>
      <w:pPr>
        <w:spacing w:line="20" w:lineRule="exact"/>
        <w:ind w:left="1913" w:right="0" w:firstLine="0"/>
        <w:rPr>
          <w:rFonts w:ascii="宋体" w:hAnsi="宋体" w:cs="宋体" w:eastAsia="宋体" w:hint="default"/>
          <w:sz w:val="2"/>
          <w:szCs w:val="2"/>
        </w:rPr>
      </w:pPr>
      <w:r>
        <w:rPr>
          <w:rFonts w:ascii="宋体"/>
          <w:sz w:val="2"/>
        </w:rPr>
        <w:pict>
          <v:group style="width:61.5pt;height:.75pt;mso-position-horizontal-relative:char;mso-position-vertical-relative:line" coordorigin="0,0" coordsize="1230,15">
            <v:group style="position:absolute;left:7;top:7;width:1216;height:2" coordorigin="7,7" coordsize="1216,2">
              <v:shape style="position:absolute;left:7;top:7;width:1216;height:2" coordorigin="7,7" coordsize="1216,0" path="m7,7l1223,7e" filled="false" stroked="true" strokeweight=".72003pt" strokecolor="#000000">
                <v:path arrowok="t"/>
              </v:shape>
            </v:group>
          </v:group>
        </w:pict>
      </w:r>
      <w:r>
        <w:rPr>
          <w:rFonts w:ascii="宋体"/>
          <w:sz w:val="2"/>
        </w:rPr>
      </w:r>
      <w:r>
        <w:rPr>
          <w:rFonts w:ascii="Times New Roman"/>
          <w:spacing w:val="58"/>
          <w:sz w:val="2"/>
        </w:rPr>
        <w:t> </w:t>
      </w:r>
      <w:r>
        <w:rPr>
          <w:rFonts w:ascii="宋体"/>
          <w:spacing w:val="58"/>
          <w:sz w:val="2"/>
        </w:rPr>
        <w:pict>
          <v:group style="width:54.3pt;height:.75pt;mso-position-horizontal-relative:char;mso-position-vertical-relative:line" coordorigin="0,0" coordsize="1086,15">
            <v:group style="position:absolute;left:7;top:7;width:1072;height:2" coordorigin="7,7" coordsize="1072,2">
              <v:shape style="position:absolute;left:7;top:7;width:1072;height:2" coordorigin="7,7" coordsize="1072,0" path="m7,7l1079,7e" filled="false" stroked="true" strokeweight=".72003pt" strokecolor="#000000">
                <v:path arrowok="t"/>
              </v:shape>
            </v:group>
          </v:group>
        </w:pict>
      </w:r>
      <w:r>
        <w:rPr>
          <w:rFonts w:ascii="宋体"/>
          <w:spacing w:val="58"/>
          <w:sz w:val="2"/>
        </w:rPr>
      </w:r>
      <w:r>
        <w:rPr>
          <w:rFonts w:ascii="Times New Roman"/>
          <w:spacing w:val="56"/>
          <w:sz w:val="2"/>
        </w:rPr>
        <w:t> </w:t>
      </w:r>
      <w:r>
        <w:rPr>
          <w:rFonts w:ascii="宋体"/>
          <w:spacing w:val="56"/>
          <w:sz w:val="2"/>
        </w:rPr>
        <w:pict>
          <v:group style="width:133.8pt;height:.75pt;mso-position-horizontal-relative:char;mso-position-vertical-relative:line" coordorigin="0,0" coordsize="2676,15">
            <v:group style="position:absolute;left:7;top:7;width:1313;height:2" coordorigin="7,7" coordsize="1313,2">
              <v:shape style="position:absolute;left:7;top:7;width:1313;height:2" coordorigin="7,7" coordsize="1313,0" path="m7,7l1320,7e" filled="false" stroked="true" strokeweight=".72003pt" strokecolor="#000000">
                <v:path arrowok="t"/>
              </v:shape>
            </v:group>
            <v:group style="position:absolute;left:1396;top:7;width:1274;height:2" coordorigin="1396,7" coordsize="1274,2">
              <v:shape style="position:absolute;left:1396;top:7;width:1274;height:2" coordorigin="1396,7" coordsize="1274,0" path="m1396,7l2669,7e" filled="false" stroked="true" strokeweight=".72003pt" strokecolor="#000000">
                <v:path arrowok="t"/>
              </v:shape>
            </v:group>
          </v:group>
        </w:pict>
      </w:r>
      <w:r>
        <w:rPr>
          <w:rFonts w:ascii="宋体"/>
          <w:spacing w:val="56"/>
          <w:sz w:val="2"/>
        </w:rPr>
      </w:r>
      <w:r>
        <w:rPr>
          <w:rFonts w:ascii="Times New Roman"/>
          <w:spacing w:val="62"/>
          <w:sz w:val="2"/>
        </w:rPr>
        <w:t> </w:t>
      </w:r>
      <w:r>
        <w:rPr>
          <w:rFonts w:ascii="宋体"/>
          <w:spacing w:val="62"/>
          <w:sz w:val="2"/>
        </w:rPr>
        <w:pict>
          <v:group style="width:122.6pt;height:.75pt;mso-position-horizontal-relative:char;mso-position-vertical-relative:line" coordorigin="0,0" coordsize="2452,15">
            <v:group style="position:absolute;left:7;top:7;width:1016;height:2" coordorigin="7,7" coordsize="1016,2">
              <v:shape style="position:absolute;left:7;top:7;width:1016;height:2" coordorigin="7,7" coordsize="1016,0" path="m7,7l1022,7e" filled="false" stroked="true" strokeweight=".72003pt" strokecolor="#000000">
                <v:path arrowok="t"/>
              </v:shape>
            </v:group>
            <v:group style="position:absolute;left:1098;top:7;width:1347;height:2" coordorigin="1098,7" coordsize="1347,2">
              <v:shape style="position:absolute;left:1098;top:7;width:1347;height:2" coordorigin="1098,7" coordsize="1347,0" path="m1098,7l2444,7e" filled="false" stroked="true" strokeweight=".72003pt" strokecolor="#000000">
                <v:path arrowok="t"/>
              </v:shape>
            </v:group>
          </v:group>
        </w:pict>
      </w:r>
      <w:r>
        <w:rPr>
          <w:rFonts w:ascii="宋体"/>
          <w:spacing w:val="62"/>
          <w:sz w:val="2"/>
        </w:rPr>
      </w:r>
    </w:p>
    <w:p>
      <w:pPr>
        <w:tabs>
          <w:tab w:pos="1974" w:val="left" w:leader="none"/>
          <w:tab w:pos="4144" w:val="left" w:leader="none"/>
          <w:tab w:pos="4461" w:val="left" w:leader="none"/>
          <w:tab w:pos="5807" w:val="left" w:leader="none"/>
          <w:tab w:pos="7960" w:val="left" w:leader="none"/>
          <w:tab w:pos="8313" w:val="left" w:leader="none"/>
        </w:tabs>
        <w:spacing w:line="219" w:lineRule="exact" w:before="152"/>
        <w:ind w:left="589" w:right="97" w:firstLine="0"/>
        <w:jc w:val="left"/>
        <w:rPr>
          <w:rFonts w:ascii="Arial" w:hAnsi="Arial" w:cs="Arial" w:eastAsia="Arial" w:hint="default"/>
          <w:sz w:val="16"/>
          <w:szCs w:val="16"/>
        </w:rPr>
      </w:pPr>
      <w:r>
        <w:rPr>
          <w:rFonts w:ascii="宋体" w:hAnsi="宋体" w:cs="宋体" w:eastAsia="宋体" w:hint="default"/>
          <w:w w:val="95"/>
          <w:position w:val="1"/>
          <w:sz w:val="16"/>
          <w:szCs w:val="16"/>
        </w:rPr>
        <w:t>移动网络工程</w:t>
        <w:tab/>
      </w:r>
      <w:r>
        <w:rPr>
          <w:rFonts w:ascii="Arial" w:hAnsi="Arial" w:cs="Arial" w:eastAsia="Arial" w:hint="default"/>
          <w:w w:val="95"/>
          <w:sz w:val="16"/>
          <w:szCs w:val="16"/>
        </w:rPr>
        <w:t>20,606,422,005</w:t>
        <w:tab/>
        <w:t>-</w:t>
        <w:tab/>
        <w:t>20,606,422,005</w:t>
        <w:tab/>
        <w:t>26,030,792,671</w:t>
        <w:tab/>
        <w:t>-</w:t>
        <w:tab/>
      </w:r>
      <w:r>
        <w:rPr>
          <w:rFonts w:ascii="Arial" w:hAnsi="Arial" w:cs="Arial" w:eastAsia="Arial" w:hint="default"/>
          <w:sz w:val="16"/>
          <w:szCs w:val="16"/>
        </w:rPr>
        <w:t>26,030,792,671</w:t>
      </w:r>
    </w:p>
    <w:p>
      <w:pPr>
        <w:tabs>
          <w:tab w:pos="1974" w:val="left" w:leader="none"/>
          <w:tab w:pos="3433" w:val="left" w:leader="none"/>
          <w:tab w:pos="4461" w:val="left" w:leader="none"/>
          <w:tab w:pos="5807" w:val="left" w:leader="none"/>
          <w:tab w:pos="7277" w:val="left" w:leader="none"/>
          <w:tab w:pos="8313" w:val="left" w:leader="none"/>
        </w:tabs>
        <w:spacing w:line="208" w:lineRule="exact" w:before="0"/>
        <w:ind w:left="589" w:right="97" w:firstLine="0"/>
        <w:jc w:val="left"/>
        <w:rPr>
          <w:rFonts w:ascii="Arial" w:hAnsi="Arial" w:cs="Arial" w:eastAsia="Arial" w:hint="default"/>
          <w:sz w:val="16"/>
          <w:szCs w:val="16"/>
        </w:rPr>
      </w:pPr>
      <w:r>
        <w:rPr>
          <w:rFonts w:ascii="宋体" w:hAnsi="宋体" w:cs="宋体" w:eastAsia="宋体" w:hint="default"/>
          <w:w w:val="95"/>
          <w:position w:val="1"/>
          <w:sz w:val="16"/>
          <w:szCs w:val="16"/>
        </w:rPr>
        <w:t>固定网络工程</w:t>
        <w:tab/>
      </w:r>
      <w:r>
        <w:rPr>
          <w:rFonts w:ascii="Arial" w:hAnsi="Arial" w:cs="Arial" w:eastAsia="Arial" w:hint="default"/>
          <w:w w:val="95"/>
          <w:sz w:val="16"/>
          <w:szCs w:val="16"/>
        </w:rPr>
        <w:t>30,074,198,984</w:t>
        <w:tab/>
        <w:t>(4,419,890)</w:t>
        <w:tab/>
        <w:t>30,069,779,094</w:t>
        <w:tab/>
        <w:t>29,264,455,967</w:t>
        <w:tab/>
        <w:t>(4,419,890)</w:t>
        <w:tab/>
      </w:r>
      <w:r>
        <w:rPr>
          <w:rFonts w:ascii="Arial" w:hAnsi="Arial" w:cs="Arial" w:eastAsia="Arial" w:hint="default"/>
          <w:sz w:val="16"/>
          <w:szCs w:val="16"/>
        </w:rPr>
        <w:t>29,260,036,077</w:t>
      </w:r>
    </w:p>
    <w:p>
      <w:pPr>
        <w:tabs>
          <w:tab w:pos="6031" w:val="left" w:leader="none"/>
          <w:tab w:pos="8536" w:val="left" w:leader="none"/>
          <w:tab w:pos="9548" w:val="left" w:leader="none"/>
        </w:tabs>
        <w:spacing w:line="219" w:lineRule="exact" w:before="0"/>
        <w:ind w:left="589" w:right="97" w:firstLine="0"/>
        <w:jc w:val="left"/>
        <w:rPr>
          <w:rFonts w:ascii="Arial" w:hAnsi="Arial" w:cs="Arial" w:eastAsia="Arial" w:hint="default"/>
          <w:sz w:val="16"/>
          <w:szCs w:val="16"/>
        </w:rPr>
      </w:pPr>
      <w:r>
        <w:rPr>
          <w:rFonts w:ascii="宋体" w:hAnsi="宋体" w:cs="宋体" w:eastAsia="宋体" w:hint="default"/>
          <w:position w:val="1"/>
          <w:sz w:val="16"/>
          <w:szCs w:val="16"/>
        </w:rPr>
        <w:t>通用基础设施工程  </w:t>
      </w:r>
      <w:r>
        <w:rPr>
          <w:rFonts w:ascii="Arial" w:hAnsi="Arial" w:cs="Arial" w:eastAsia="Arial" w:hint="default"/>
          <w:sz w:val="16"/>
          <w:szCs w:val="16"/>
        </w:rPr>
      </w:r>
      <w:r>
        <w:rPr>
          <w:rFonts w:ascii="Arial" w:hAnsi="Arial" w:cs="Arial" w:eastAsia="Arial" w:hint="default"/>
          <w:sz w:val="16"/>
          <w:szCs w:val="16"/>
          <w:u w:val="single" w:color="000000"/>
        </w:rPr>
        <w:t> 1,654,123,293        </w:t>
      </w:r>
      <w:r>
        <w:rPr>
          <w:rFonts w:ascii="Arial" w:hAnsi="Arial" w:cs="Arial" w:eastAsia="Arial" w:hint="default"/>
          <w:sz w:val="16"/>
          <w:szCs w:val="16"/>
        </w:rPr>
      </w:r>
      <w:r>
        <w:rPr>
          <w:rFonts w:ascii="Arial" w:hAnsi="Arial" w:cs="Arial" w:eastAsia="Arial" w:hint="default"/>
          <w:sz w:val="16"/>
          <w:szCs w:val="16"/>
          <w:u w:val="single" w:color="000000"/>
        </w:rPr>
        <w:t> (1,432,160)      </w:t>
      </w:r>
      <w:r>
        <w:rPr>
          <w:rFonts w:ascii="Arial" w:hAnsi="Arial" w:cs="Arial" w:eastAsia="Arial" w:hint="default"/>
          <w:spacing w:val="6"/>
          <w:sz w:val="16"/>
          <w:szCs w:val="16"/>
          <w:u w:val="single" w:color="000000"/>
        </w:rPr>
        <w:t> </w:t>
      </w:r>
      <w:r>
        <w:rPr>
          <w:rFonts w:ascii="Arial" w:hAnsi="Arial" w:cs="Arial" w:eastAsia="Arial" w:hint="default"/>
          <w:spacing w:val="6"/>
          <w:sz w:val="16"/>
          <w:szCs w:val="16"/>
        </w:rPr>
      </w:r>
      <w:r>
        <w:rPr>
          <w:rFonts w:ascii="Arial" w:hAnsi="Arial" w:cs="Arial" w:eastAsia="Arial" w:hint="default"/>
          <w:spacing w:val="6"/>
          <w:sz w:val="16"/>
          <w:szCs w:val="16"/>
          <w:u w:val="single" w:color="000000"/>
        </w:rPr>
        <w:t> </w:t>
      </w:r>
      <w:r>
        <w:rPr>
          <w:rFonts w:ascii="Arial" w:hAnsi="Arial" w:cs="Arial" w:eastAsia="Arial" w:hint="default"/>
          <w:sz w:val="16"/>
          <w:szCs w:val="16"/>
          <w:u w:val="single" w:color="000000"/>
        </w:rPr>
        <w:t>1,652,691,133</w:t>
      </w:r>
      <w:r>
        <w:rPr>
          <w:rFonts w:ascii="Arial" w:hAnsi="Arial" w:cs="Arial" w:eastAsia="Arial" w:hint="default"/>
          <w:sz w:val="16"/>
          <w:szCs w:val="16"/>
        </w:rPr>
      </w:r>
      <w:r>
        <w:rPr>
          <w:rFonts w:ascii="Arial" w:hAnsi="Arial" w:cs="Arial" w:eastAsia="Arial" w:hint="default"/>
          <w:sz w:val="16"/>
          <w:szCs w:val="16"/>
          <w:u w:val="single" w:color="000000"/>
        </w:rPr>
        <w:t> </w:t>
        <w:tab/>
        <w:t>575,248,518      </w:t>
      </w:r>
      <w:r>
        <w:rPr>
          <w:rFonts w:ascii="Arial" w:hAnsi="Arial" w:cs="Arial" w:eastAsia="Arial" w:hint="default"/>
          <w:spacing w:val="42"/>
          <w:sz w:val="16"/>
          <w:szCs w:val="16"/>
          <w:u w:val="single" w:color="000000"/>
        </w:rPr>
        <w:t> </w:t>
      </w:r>
      <w:r>
        <w:rPr>
          <w:rFonts w:ascii="Arial" w:hAnsi="Arial" w:cs="Arial" w:eastAsia="Arial" w:hint="default"/>
          <w:spacing w:val="42"/>
          <w:sz w:val="16"/>
          <w:szCs w:val="16"/>
        </w:rPr>
      </w:r>
      <w:r>
        <w:rPr>
          <w:rFonts w:ascii="Arial" w:hAnsi="Arial" w:cs="Arial" w:eastAsia="Arial" w:hint="default"/>
          <w:spacing w:val="42"/>
          <w:sz w:val="16"/>
          <w:szCs w:val="16"/>
          <w:u w:val="single" w:color="000000"/>
        </w:rPr>
        <w:t> </w:t>
      </w:r>
      <w:r>
        <w:rPr>
          <w:rFonts w:ascii="Arial" w:hAnsi="Arial" w:cs="Arial" w:eastAsia="Arial" w:hint="default"/>
          <w:sz w:val="16"/>
          <w:szCs w:val="16"/>
          <w:u w:val="single" w:color="000000"/>
        </w:rPr>
        <w:t>(4,341,666)</w:t>
      </w:r>
      <w:r>
        <w:rPr>
          <w:rFonts w:ascii="Arial" w:hAnsi="Arial" w:cs="Arial" w:eastAsia="Arial" w:hint="default"/>
          <w:sz w:val="16"/>
          <w:szCs w:val="16"/>
        </w:rPr>
      </w:r>
      <w:r>
        <w:rPr>
          <w:rFonts w:ascii="Arial" w:hAnsi="Arial" w:cs="Arial" w:eastAsia="Arial" w:hint="default"/>
          <w:sz w:val="16"/>
          <w:szCs w:val="16"/>
          <w:u w:val="single" w:color="000000"/>
        </w:rPr>
        <w:t> </w:t>
        <w:tab/>
        <w:t>570,906,852</w:t>
        <w:tab/>
      </w:r>
      <w:r>
        <w:rPr>
          <w:rFonts w:ascii="Arial" w:hAnsi="Arial" w:cs="Arial" w:eastAsia="Arial" w:hint="default"/>
          <w:sz w:val="16"/>
          <w:szCs w:val="16"/>
        </w:rPr>
      </w:r>
    </w:p>
    <w:p>
      <w:pPr>
        <w:spacing w:line="240" w:lineRule="auto" w:before="3"/>
        <w:rPr>
          <w:rFonts w:ascii="Arial" w:hAnsi="Arial" w:cs="Arial" w:eastAsia="Arial" w:hint="default"/>
          <w:sz w:val="27"/>
          <w:szCs w:val="27"/>
        </w:rPr>
      </w:pPr>
    </w:p>
    <w:p>
      <w:pPr>
        <w:tabs>
          <w:tab w:pos="1974" w:val="left" w:leader="none"/>
          <w:tab w:pos="3433" w:val="left" w:leader="none"/>
          <w:tab w:pos="4461" w:val="left" w:leader="none"/>
          <w:tab w:pos="5807" w:val="left" w:leader="none"/>
          <w:tab w:pos="7277" w:val="left" w:leader="none"/>
          <w:tab w:pos="8313" w:val="left" w:leader="none"/>
        </w:tabs>
        <w:spacing w:before="52"/>
        <w:ind w:left="589" w:right="97"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52,334,744,282</w:t>
        <w:tab/>
        <w:t>(5,852,050)</w:t>
        <w:tab/>
        <w:t>52,328,892,232</w:t>
        <w:tab/>
        <w:t>55,870,497,156</w:t>
        <w:tab/>
        <w:t>(8,761,556)</w:t>
        <w:tab/>
      </w:r>
      <w:r>
        <w:rPr>
          <w:rFonts w:ascii="Arial" w:hAnsi="Arial" w:cs="Arial" w:eastAsia="Arial" w:hint="default"/>
          <w:sz w:val="16"/>
          <w:szCs w:val="16"/>
        </w:rPr>
        <w:t>55,861,735,600</w:t>
      </w:r>
    </w:p>
    <w:p>
      <w:pPr>
        <w:spacing w:line="43" w:lineRule="exact"/>
        <w:ind w:left="1901" w:right="0" w:firstLine="0"/>
        <w:rPr>
          <w:rFonts w:ascii="Arial" w:hAnsi="Arial" w:cs="Arial" w:eastAsia="Arial" w:hint="default"/>
          <w:sz w:val="4"/>
          <w:szCs w:val="4"/>
        </w:rPr>
      </w:pPr>
      <w:r>
        <w:rPr>
          <w:rFonts w:ascii="Arial" w:hAnsi="Arial" w:cs="Arial" w:eastAsia="Arial" w:hint="default"/>
          <w:position w:val="0"/>
          <w:sz w:val="4"/>
          <w:szCs w:val="4"/>
        </w:rPr>
        <w:pict>
          <v:group style="width:382.75pt;height:2.2pt;mso-position-horizontal-relative:char;mso-position-vertical-relative:line" coordorigin="0,0" coordsize="7655,44">
            <v:group style="position:absolute;left:5;top:24;width:1230;height:2" coordorigin="5,24" coordsize="1230,2">
              <v:shape style="position:absolute;left:5;top:24;width:1230;height:2" coordorigin="5,24" coordsize="1230,0" path="m5,24l1235,24e" filled="false" stroked="true" strokeweight=".48001pt" strokecolor="#000000">
                <v:path arrowok="t"/>
              </v:shape>
            </v:group>
            <v:group style="position:absolute;left:5;top:5;width:1230;height:2" coordorigin="5,5" coordsize="1230,2">
              <v:shape style="position:absolute;left:5;top:5;width:1230;height:2" coordorigin="5,5" coordsize="1230,0" path="m5,5l1235,5e" filled="false" stroked="true" strokeweight=".48001pt" strokecolor="#000000">
                <v:path arrowok="t"/>
              </v:shape>
            </v:group>
            <v:group style="position:absolute;left:1301;top:24;width:1086;height:2" coordorigin="1301,24" coordsize="1086,2">
              <v:shape style="position:absolute;left:1301;top:24;width:1086;height:2" coordorigin="1301,24" coordsize="1086,0" path="m1301,24l2387,24e" filled="false" stroked="true" strokeweight=".48001pt" strokecolor="#000000">
                <v:path arrowok="t"/>
              </v:shape>
            </v:group>
            <v:group style="position:absolute;left:1301;top:5;width:1086;height:2" coordorigin="1301,5" coordsize="1086,2">
              <v:shape style="position:absolute;left:1301;top:5;width:1086;height:2" coordorigin="1301,5" coordsize="1086,0" path="m1301,5l2387,5e" filled="false" stroked="true" strokeweight=".48001pt" strokecolor="#000000">
                <v:path arrowok="t"/>
              </v:shape>
            </v:group>
            <v:group style="position:absolute;left:2450;top:24;width:1328;height:2" coordorigin="2450,24" coordsize="1328,2">
              <v:shape style="position:absolute;left:2450;top:24;width:1328;height:2" coordorigin="2450,24" coordsize="1328,0" path="m2450,24l3778,24e" filled="false" stroked="true" strokeweight=".48001pt" strokecolor="#000000">
                <v:path arrowok="t"/>
              </v:shape>
            </v:group>
            <v:group style="position:absolute;left:2450;top:5;width:1328;height:2" coordorigin="2450,5" coordsize="1328,2">
              <v:shape style="position:absolute;left:2450;top:5;width:1328;height:2" coordorigin="2450,5" coordsize="1328,0" path="m2450,5l3778,5e" filled="false" stroked="true" strokeweight=".48001pt" strokecolor="#000000">
                <v:path arrowok="t"/>
              </v:shape>
            </v:group>
            <v:group style="position:absolute;left:3839;top:36;width:1288;height:2" coordorigin="3839,36" coordsize="1288,2">
              <v:shape style="position:absolute;left:3839;top:36;width:1288;height:2" coordorigin="3839,36" coordsize="1288,0" path="m3839,36l5126,36e" filled="false" stroked="true" strokeweight=".72pt" strokecolor="#000000">
                <v:path arrowok="t"/>
              </v:shape>
            </v:group>
            <v:group style="position:absolute;left:3839;top:7;width:1288;height:2" coordorigin="3839,7" coordsize="1288,2">
              <v:shape style="position:absolute;left:3839;top:7;width:1288;height:2" coordorigin="3839,7" coordsize="1288,0" path="m3839,7l5126,7e" filled="false" stroked="true" strokeweight=".72pt" strokecolor="#000000">
                <v:path arrowok="t"/>
              </v:shape>
            </v:group>
            <v:group style="position:absolute;left:5196;top:36;width:1030;height:2" coordorigin="5196,36" coordsize="1030,2">
              <v:shape style="position:absolute;left:5196;top:36;width:1030;height:2" coordorigin="5196,36" coordsize="1030,0" path="m5196,36l6226,36e" filled="false" stroked="true" strokeweight=".72pt" strokecolor="#000000">
                <v:path arrowok="t"/>
              </v:shape>
            </v:group>
            <v:group style="position:absolute;left:5196;top:7;width:1030;height:2" coordorigin="5196,7" coordsize="1030,2">
              <v:shape style="position:absolute;left:5196;top:7;width:1030;height:2" coordorigin="5196,7" coordsize="1030,0" path="m5196,7l6226,7e" filled="false" stroked="true" strokeweight=".72pt" strokecolor="#000000">
                <v:path arrowok="t"/>
              </v:shape>
            </v:group>
            <v:group style="position:absolute;left:6287;top:36;width:1361;height:2" coordorigin="6287,36" coordsize="1361,2">
              <v:shape style="position:absolute;left:6287;top:36;width:1361;height:2" coordorigin="6287,36" coordsize="1361,0" path="m6287,36l7648,36e" filled="false" stroked="true" strokeweight=".72pt" strokecolor="#000000">
                <v:path arrowok="t"/>
              </v:shape>
            </v:group>
            <v:group style="position:absolute;left:6287;top:7;width:1361;height:2" coordorigin="6287,7" coordsize="1361,2">
              <v:shape style="position:absolute;left:6287;top:7;width:1361;height:2" coordorigin="6287,7" coordsize="1361,0" path="m6287,7l7648,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550" w:right="97"/>
        <w:jc w:val="left"/>
      </w:pPr>
      <w:r>
        <w:rPr/>
        <w:t>于</w:t>
      </w:r>
      <w:r>
        <w:rPr>
          <w:spacing w:val="-32"/>
        </w:rPr>
        <w:t> </w:t>
      </w:r>
      <w:r>
        <w:rPr>
          <w:rFonts w:ascii="Arial" w:hAnsi="Arial" w:cs="Arial" w:eastAsia="Arial" w:hint="default"/>
        </w:rPr>
        <w:t>2011</w:t>
      </w:r>
      <w:r>
        <w:rPr>
          <w:rFonts w:ascii="Arial" w:hAnsi="Arial" w:cs="Arial" w:eastAsia="Arial" w:hint="default"/>
          <w:spacing w:val="18"/>
        </w:rPr>
        <w:t> </w:t>
      </w:r>
      <w:r>
        <w:rPr/>
        <w:t>年</w:t>
      </w:r>
      <w:r>
        <w:rPr>
          <w:spacing w:val="-31"/>
        </w:rPr>
        <w:t> </w:t>
      </w:r>
      <w:r>
        <w:rPr>
          <w:rFonts w:ascii="Arial" w:hAnsi="Arial" w:cs="Arial" w:eastAsia="Arial" w:hint="default"/>
        </w:rPr>
        <w:t>12</w:t>
      </w:r>
      <w:r>
        <w:rPr>
          <w:rFonts w:ascii="Arial" w:hAnsi="Arial" w:cs="Arial" w:eastAsia="Arial" w:hint="default"/>
          <w:spacing w:val="17"/>
        </w:rPr>
        <w:t> </w:t>
      </w:r>
      <w:r>
        <w:rPr/>
        <w:t>月</w:t>
      </w:r>
      <w:r>
        <w:rPr>
          <w:spacing w:val="-32"/>
        </w:rPr>
        <w:t> </w:t>
      </w:r>
      <w:r>
        <w:rPr>
          <w:rFonts w:ascii="Arial" w:hAnsi="Arial" w:cs="Arial" w:eastAsia="Arial" w:hint="default"/>
        </w:rPr>
        <w:t>31</w:t>
      </w:r>
      <w:r>
        <w:rPr>
          <w:rFonts w:ascii="Arial" w:hAnsi="Arial" w:cs="Arial" w:eastAsia="Arial" w:hint="default"/>
          <w:spacing w:val="18"/>
        </w:rPr>
        <w:t> </w:t>
      </w:r>
      <w:r>
        <w:rPr/>
        <w:t>日，本集团在建工程原值中包括资本化的借款费用约人民币</w:t>
      </w:r>
      <w:r>
        <w:rPr>
          <w:spacing w:val="-31"/>
        </w:rPr>
        <w:t> </w:t>
      </w:r>
      <w:r>
        <w:rPr>
          <w:rFonts w:ascii="Arial" w:hAnsi="Arial" w:cs="Arial" w:eastAsia="Arial" w:hint="default"/>
        </w:rPr>
        <w:t>10.08</w:t>
      </w:r>
      <w:r>
        <w:rPr>
          <w:rFonts w:ascii="Arial" w:hAnsi="Arial" w:cs="Arial" w:eastAsia="Arial" w:hint="default"/>
          <w:spacing w:val="17"/>
        </w:rPr>
        <w:t> </w:t>
      </w:r>
      <w:r>
        <w:rPr/>
        <w:t>亿元</w:t>
      </w:r>
    </w:p>
    <w:p>
      <w:pPr>
        <w:pStyle w:val="BodyText"/>
        <w:spacing w:line="225" w:lineRule="auto" w:before="6"/>
        <w:ind w:left="550" w:right="102" w:hanging="1"/>
        <w:jc w:val="left"/>
      </w:pPr>
      <w:r>
        <w:rPr/>
        <w:t>（</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日：约人民币</w:t>
      </w:r>
      <w:r>
        <w:rPr>
          <w:spacing w:val="-57"/>
        </w:rPr>
        <w:t> </w:t>
      </w:r>
      <w:r>
        <w:rPr>
          <w:rFonts w:ascii="Arial" w:hAnsi="Arial" w:cs="Arial" w:eastAsia="Arial" w:hint="default"/>
        </w:rPr>
        <w:t>6.41</w:t>
      </w:r>
      <w:r>
        <w:rPr>
          <w:rFonts w:ascii="Arial" w:hAnsi="Arial" w:cs="Arial" w:eastAsia="Arial" w:hint="default"/>
          <w:spacing w:val="-8"/>
        </w:rPr>
        <w:t> </w:t>
      </w:r>
      <w:r>
        <w:rPr/>
        <w:t>亿元），本集团于</w:t>
      </w:r>
      <w:r>
        <w:rPr>
          <w:spacing w:val="-57"/>
        </w:rPr>
        <w:t> </w:t>
      </w:r>
      <w:r>
        <w:rPr>
          <w:rFonts w:ascii="Arial" w:hAnsi="Arial" w:cs="Arial" w:eastAsia="Arial" w:hint="default"/>
        </w:rPr>
        <w:t>2011</w:t>
      </w:r>
      <w:r>
        <w:rPr>
          <w:rFonts w:ascii="Arial" w:hAnsi="Arial" w:cs="Arial" w:eastAsia="Arial" w:hint="default"/>
          <w:spacing w:val="-8"/>
        </w:rPr>
        <w:t> </w:t>
      </w:r>
      <w:r>
        <w:rPr/>
        <w:t>年度的借款费用资本化率约为</w:t>
      </w:r>
      <w:r>
        <w:rPr>
          <w:w w:val="99"/>
        </w:rPr>
        <w:t> </w:t>
      </w:r>
      <w:r>
        <w:rPr>
          <w:rFonts w:ascii="Arial" w:hAnsi="Arial" w:cs="Arial" w:eastAsia="Arial" w:hint="default"/>
        </w:rPr>
        <w:t>3.84%~5.04%</w:t>
      </w:r>
      <w:r>
        <w:rPr/>
        <w:t>（</w:t>
      </w:r>
      <w:r>
        <w:rPr>
          <w:rFonts w:ascii="Arial" w:hAnsi="Arial" w:cs="Arial" w:eastAsia="Arial" w:hint="default"/>
        </w:rPr>
        <w:t>2010</w:t>
      </w:r>
      <w:r>
        <w:rPr>
          <w:rFonts w:ascii="Arial" w:hAnsi="Arial" w:cs="Arial" w:eastAsia="Arial" w:hint="default"/>
          <w:spacing w:val="-17"/>
        </w:rPr>
        <w:t> </w:t>
      </w:r>
      <w:r>
        <w:rPr/>
        <w:t>年度：</w:t>
      </w:r>
      <w:r>
        <w:rPr>
          <w:rFonts w:ascii="Arial" w:hAnsi="Arial" w:cs="Arial" w:eastAsia="Arial" w:hint="default"/>
        </w:rPr>
        <w:t>3.60%-4.56%</w:t>
      </w:r>
      <w:r>
        <w:rPr/>
        <w:t>）。于</w:t>
      </w:r>
      <w:r>
        <w:rPr>
          <w:spacing w:val="-66"/>
        </w:rPr>
        <w:t> </w:t>
      </w:r>
      <w:r>
        <w:rPr>
          <w:rFonts w:ascii="Arial" w:hAnsi="Arial" w:cs="Arial" w:eastAsia="Arial" w:hint="default"/>
        </w:rPr>
        <w:t>2011</w:t>
      </w:r>
      <w:r>
        <w:rPr>
          <w:rFonts w:ascii="Arial" w:hAnsi="Arial" w:cs="Arial" w:eastAsia="Arial" w:hint="default"/>
          <w:spacing w:val="-17"/>
        </w:rPr>
        <w:t> </w:t>
      </w:r>
      <w:r>
        <w:rPr/>
        <w:t>年度，除转入固定资产的在建工程外，</w:t>
      </w:r>
      <w:r>
        <w:rPr>
          <w:w w:val="99"/>
        </w:rPr>
        <w:t> </w:t>
      </w:r>
      <w:r>
        <w:rPr/>
        <w:t>有约人民币</w:t>
      </w:r>
      <w:r>
        <w:rPr>
          <w:spacing w:val="-61"/>
        </w:rPr>
        <w:t> </w:t>
      </w:r>
      <w:r>
        <w:rPr>
          <w:rFonts w:ascii="Arial" w:hAnsi="Arial" w:cs="Arial" w:eastAsia="Arial" w:hint="default"/>
        </w:rPr>
        <w:t>27.17</w:t>
      </w:r>
      <w:r>
        <w:rPr>
          <w:rFonts w:ascii="Arial" w:hAnsi="Arial" w:cs="Arial" w:eastAsia="Arial" w:hint="default"/>
          <w:spacing w:val="-13"/>
        </w:rPr>
        <w:t> </w:t>
      </w:r>
      <w:r>
        <w:rPr/>
        <w:t>亿元的土地使用权和计算机软件转入无形资产，有约人民币</w:t>
      </w:r>
      <w:r>
        <w:rPr>
          <w:spacing w:val="-62"/>
        </w:rPr>
        <w:t> </w:t>
      </w:r>
      <w:r>
        <w:rPr>
          <w:rFonts w:ascii="Arial" w:hAnsi="Arial" w:cs="Arial" w:eastAsia="Arial" w:hint="default"/>
        </w:rPr>
        <w:t>11.26</w:t>
      </w:r>
      <w:r>
        <w:rPr>
          <w:rFonts w:ascii="Arial" w:hAnsi="Arial" w:cs="Arial" w:eastAsia="Arial" w:hint="default"/>
          <w:spacing w:val="-13"/>
        </w:rPr>
        <w:t> </w:t>
      </w:r>
      <w:r>
        <w:rPr/>
        <w:t>亿元的经</w:t>
      </w:r>
      <w:r>
        <w:rPr>
          <w:w w:val="99"/>
        </w:rPr>
        <w:t> </w:t>
      </w:r>
      <w:r>
        <w:rPr/>
        <w:t>营租入固定资产改良、长期预付租金及外市电引入等转入长期待摊费用。</w:t>
      </w:r>
    </w:p>
    <w:p>
      <w:pPr>
        <w:spacing w:after="0" w:line="225" w:lineRule="auto"/>
        <w:jc w:val="left"/>
        <w:sectPr>
          <w:headerReference w:type="default" r:id="rId98"/>
          <w:pgSz w:w="11900" w:h="16840"/>
          <w:pgMar w:header="1189" w:footer="752" w:top="3040" w:bottom="940" w:left="1280" w:right="860"/>
        </w:sectPr>
      </w:pPr>
    </w:p>
    <w:p>
      <w:pPr>
        <w:spacing w:line="240" w:lineRule="auto" w:before="10"/>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4365"/>
        <w:gridCol w:w="800"/>
        <w:gridCol w:w="2241"/>
        <w:gridCol w:w="3015"/>
        <w:gridCol w:w="892"/>
        <w:gridCol w:w="1055"/>
        <w:gridCol w:w="1093"/>
        <w:gridCol w:w="1086"/>
        <w:gridCol w:w="931"/>
        <w:gridCol w:w="479"/>
      </w:tblGrid>
      <w:tr>
        <w:trPr>
          <w:trHeight w:val="891"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中国联合网络通信股份有限公司</w:t>
            </w: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财务报表附注</w:t>
            </w:r>
          </w:p>
        </w:tc>
        <w:tc>
          <w:tcPr>
            <w:tcW w:w="800"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2496" w:type="dxa"/>
            <w:gridSpan w:val="3"/>
            <w:vMerge w:val="restart"/>
            <w:tcBorders>
              <w:top w:val="nil" w:sz="6" w:space="0" w:color="auto"/>
              <w:left w:val="nil" w:sz="6" w:space="0" w:color="auto"/>
              <w:right w:val="nil" w:sz="6" w:space="0" w:color="auto"/>
            </w:tcBorders>
          </w:tcPr>
          <w:p>
            <w:pPr/>
          </w:p>
        </w:tc>
      </w:tr>
      <w:tr>
        <w:trPr>
          <w:trHeight w:val="290"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黑体" w:hAnsi="黑体" w:cs="黑体" w:eastAsia="黑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黑体" w:hAnsi="黑体" w:cs="黑体" w:eastAsia="黑体" w:hint="default"/>
                <w:sz w:val="22"/>
                <w:szCs w:val="22"/>
              </w:rPr>
              <w:t>年度</w:t>
            </w:r>
          </w:p>
        </w:tc>
        <w:tc>
          <w:tcPr>
            <w:tcW w:w="800"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2496" w:type="dxa"/>
            <w:gridSpan w:val="3"/>
            <w:vMerge/>
            <w:tcBorders>
              <w:left w:val="nil" w:sz="6" w:space="0" w:color="auto"/>
              <w:right w:val="nil" w:sz="6" w:space="0" w:color="auto"/>
            </w:tcBorders>
          </w:tcPr>
          <w:p>
            <w:pPr/>
          </w:p>
        </w:tc>
      </w:tr>
      <w:tr>
        <w:trPr>
          <w:trHeight w:val="406"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（除特别注明外，金额单位为人民币元）</w:t>
            </w:r>
          </w:p>
        </w:tc>
        <w:tc>
          <w:tcPr>
            <w:tcW w:w="800"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2496" w:type="dxa"/>
            <w:gridSpan w:val="3"/>
            <w:vMerge/>
            <w:tcBorders>
              <w:left w:val="nil" w:sz="6" w:space="0" w:color="auto"/>
              <w:right w:val="nil" w:sz="6" w:space="0" w:color="auto"/>
            </w:tcBorders>
          </w:tcPr>
          <w:p>
            <w:pPr/>
          </w:p>
        </w:tc>
      </w:tr>
      <w:tr>
        <w:trPr>
          <w:trHeight w:val="538" w:hRule="exact"/>
        </w:trPr>
        <w:tc>
          <w:tcPr>
            <w:tcW w:w="436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91"/>
              <w:ind w:left="35" w:right="0"/>
              <w:jc w:val="left"/>
              <w:rPr>
                <w:rFonts w:ascii="黑体" w:hAnsi="黑体" w:cs="黑体" w:eastAsia="黑体" w:hint="default"/>
                <w:sz w:val="22"/>
                <w:szCs w:val="22"/>
              </w:rPr>
            </w:pPr>
            <w:r>
              <w:rPr>
                <w:rFonts w:ascii="黑体" w:hAnsi="黑体" w:cs="黑体" w:eastAsia="黑体" w:hint="default"/>
                <w:w w:val="95"/>
                <w:sz w:val="22"/>
                <w:szCs w:val="22"/>
              </w:rPr>
              <w:t>五</w:t>
              <w:tab/>
            </w:r>
            <w:r>
              <w:rPr>
                <w:rFonts w:ascii="黑体" w:hAnsi="黑体" w:cs="黑体" w:eastAsia="黑体" w:hint="default"/>
                <w:sz w:val="22"/>
                <w:szCs w:val="22"/>
              </w:rPr>
              <w:t>合并财务报表项目附注（续）</w:t>
            </w:r>
          </w:p>
        </w:tc>
        <w:tc>
          <w:tcPr>
            <w:tcW w:w="800"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2496" w:type="dxa"/>
            <w:gridSpan w:val="3"/>
            <w:vMerge/>
            <w:tcBorders>
              <w:left w:val="nil" w:sz="6" w:space="0" w:color="auto"/>
              <w:right w:val="nil" w:sz="6" w:space="0" w:color="auto"/>
            </w:tcBorders>
          </w:tcPr>
          <w:p>
            <w:pPr/>
          </w:p>
        </w:tc>
      </w:tr>
      <w:tr>
        <w:trPr>
          <w:trHeight w:val="521"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22"/>
                <w:szCs w:val="22"/>
              </w:rPr>
            </w:pPr>
            <w:r>
              <w:rPr>
                <w:rFonts w:ascii="Arial" w:hAnsi="Arial" w:cs="Arial" w:eastAsia="Arial" w:hint="default"/>
                <w:sz w:val="22"/>
                <w:szCs w:val="22"/>
              </w:rPr>
              <w:t>10</w:t>
            </w:r>
            <w:r>
              <w:rPr>
                <w:rFonts w:ascii="宋体" w:hAnsi="宋体" w:cs="宋体" w:eastAsia="宋体" w:hint="default"/>
                <w:sz w:val="22"/>
                <w:szCs w:val="22"/>
              </w:rPr>
              <w:t>、在建工程（续）</w:t>
            </w:r>
          </w:p>
        </w:tc>
        <w:tc>
          <w:tcPr>
            <w:tcW w:w="800"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2496" w:type="dxa"/>
            <w:gridSpan w:val="3"/>
            <w:vMerge/>
            <w:tcBorders>
              <w:left w:val="nil" w:sz="6" w:space="0" w:color="auto"/>
              <w:right w:val="nil" w:sz="6" w:space="0" w:color="auto"/>
            </w:tcBorders>
          </w:tcPr>
          <w:p>
            <w:pPr/>
          </w:p>
        </w:tc>
      </w:tr>
      <w:tr>
        <w:trPr>
          <w:trHeight w:val="460"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22"/>
                <w:szCs w:val="22"/>
              </w:rPr>
            </w:pPr>
            <w:r>
              <w:rPr>
                <w:rFonts w:ascii="Arial" w:hAnsi="Arial" w:cs="Arial" w:eastAsia="Arial" w:hint="default"/>
                <w:sz w:val="22"/>
                <w:szCs w:val="22"/>
              </w:rPr>
              <w:t>(a) </w:t>
            </w:r>
            <w:r>
              <w:rPr>
                <w:rFonts w:ascii="Arial" w:hAnsi="Arial" w:cs="Arial" w:eastAsia="Arial" w:hint="default"/>
                <w:spacing w:val="24"/>
                <w:sz w:val="22"/>
                <w:szCs w:val="22"/>
              </w:rPr>
              <w:t> </w:t>
            </w:r>
            <w:r>
              <w:rPr>
                <w:rFonts w:ascii="宋体" w:hAnsi="宋体" w:cs="宋体" w:eastAsia="宋体" w:hint="default"/>
                <w:sz w:val="22"/>
                <w:szCs w:val="22"/>
              </w:rPr>
              <w:t>重大在建工程项目变动</w:t>
            </w:r>
          </w:p>
        </w:tc>
        <w:tc>
          <w:tcPr>
            <w:tcW w:w="800"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2496" w:type="dxa"/>
            <w:gridSpan w:val="3"/>
            <w:vMerge/>
            <w:tcBorders>
              <w:left w:val="nil" w:sz="6" w:space="0" w:color="auto"/>
              <w:right w:val="nil" w:sz="6" w:space="0" w:color="auto"/>
            </w:tcBorders>
          </w:tcPr>
          <w:p>
            <w:pPr/>
          </w:p>
        </w:tc>
      </w:tr>
      <w:tr>
        <w:trPr>
          <w:trHeight w:val="281" w:hRule="exact"/>
        </w:trPr>
        <w:tc>
          <w:tcPr>
            <w:tcW w:w="4365"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8" w:right="0"/>
              <w:jc w:val="left"/>
              <w:rPr>
                <w:rFonts w:ascii="宋体" w:hAnsi="宋体" w:cs="宋体" w:eastAsia="宋体" w:hint="default"/>
                <w:sz w:val="16"/>
                <w:szCs w:val="16"/>
              </w:rPr>
            </w:pPr>
            <w:r>
              <w:rPr>
                <w:rFonts w:ascii="宋体" w:hAnsi="宋体" w:cs="宋体" w:eastAsia="宋体" w:hint="default"/>
                <w:sz w:val="16"/>
                <w:szCs w:val="16"/>
              </w:rPr>
              <w:t>预算数</w:t>
            </w:r>
          </w:p>
        </w:tc>
        <w:tc>
          <w:tcPr>
            <w:tcW w:w="2241"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41" w:right="0"/>
              <w:jc w:val="left"/>
              <w:rPr>
                <w:rFonts w:ascii="宋体" w:hAnsi="宋体" w:cs="宋体" w:eastAsia="宋体" w:hint="default"/>
                <w:sz w:val="16"/>
                <w:szCs w:val="16"/>
              </w:rPr>
            </w:pPr>
            <w:r>
              <w:rPr>
                <w:rFonts w:ascii="宋体" w:hAnsi="宋体" w:cs="宋体" w:eastAsia="宋体" w:hint="default"/>
                <w:sz w:val="16"/>
                <w:szCs w:val="16"/>
              </w:rPr>
              <w:t>借款费用</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0" w:right="0"/>
              <w:jc w:val="left"/>
              <w:rPr>
                <w:rFonts w:ascii="宋体" w:hAnsi="宋体" w:cs="宋体" w:eastAsia="宋体" w:hint="default"/>
                <w:sz w:val="16"/>
                <w:szCs w:val="16"/>
              </w:rPr>
            </w:pPr>
            <w:r>
              <w:rPr>
                <w:rFonts w:ascii="宋体" w:hAnsi="宋体" w:cs="宋体" w:eastAsia="宋体" w:hint="default"/>
                <w:spacing w:val="-9"/>
                <w:sz w:val="16"/>
                <w:szCs w:val="16"/>
              </w:rPr>
              <w:t>其中：本年借</w:t>
            </w:r>
          </w:p>
        </w:tc>
        <w:tc>
          <w:tcPr>
            <w:tcW w:w="2496" w:type="dxa"/>
            <w:gridSpan w:val="3"/>
            <w:vMerge/>
            <w:tcBorders>
              <w:left w:val="nil" w:sz="6" w:space="0" w:color="auto"/>
              <w:bottom w:val="nil" w:sz="6" w:space="0" w:color="auto"/>
              <w:right w:val="nil" w:sz="6" w:space="0" w:color="auto"/>
            </w:tcBorders>
          </w:tcPr>
          <w:p>
            <w:pPr/>
          </w:p>
        </w:tc>
      </w:tr>
      <w:tr>
        <w:trPr>
          <w:trHeight w:val="211" w:hRule="exact"/>
        </w:trPr>
        <w:tc>
          <w:tcPr>
            <w:tcW w:w="4365"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Style w:val="TableParagraph"/>
              <w:spacing w:line="184" w:lineRule="exact"/>
              <w:ind w:right="30"/>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tc>
        <w:tc>
          <w:tcPr>
            <w:tcW w:w="2241" w:type="dxa"/>
            <w:tcBorders>
              <w:top w:val="nil" w:sz="6" w:space="0" w:color="auto"/>
              <w:left w:val="nil" w:sz="6" w:space="0" w:color="auto"/>
              <w:bottom w:val="nil" w:sz="6" w:space="0" w:color="auto"/>
              <w:right w:val="nil" w:sz="6" w:space="0" w:color="auto"/>
            </w:tcBorders>
          </w:tcPr>
          <w:p>
            <w:pPr>
              <w:pStyle w:val="TableParagraph"/>
              <w:spacing w:line="195" w:lineRule="exact"/>
              <w:ind w:left="380"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301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195" w:lineRule="exact"/>
              <w:ind w:left="77" w:right="0"/>
              <w:jc w:val="left"/>
              <w:rPr>
                <w:rFonts w:ascii="宋体" w:hAnsi="宋体" w:cs="宋体" w:eastAsia="宋体" w:hint="default"/>
                <w:sz w:val="16"/>
                <w:szCs w:val="16"/>
              </w:rPr>
            </w:pPr>
            <w:r>
              <w:rPr>
                <w:rFonts w:ascii="宋体" w:hAnsi="宋体" w:cs="宋体" w:eastAsia="宋体" w:hint="default"/>
                <w:w w:val="95"/>
                <w:sz w:val="16"/>
                <w:szCs w:val="16"/>
              </w:rPr>
              <w:t>本年转入</w:t>
              <w:tab/>
            </w: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892" w:type="dxa"/>
            <w:tcBorders>
              <w:top w:val="nil" w:sz="6" w:space="0" w:color="auto"/>
              <w:left w:val="nil" w:sz="6" w:space="0" w:color="auto"/>
              <w:bottom w:val="nil" w:sz="6" w:space="0" w:color="auto"/>
              <w:right w:val="nil" w:sz="6" w:space="0" w:color="auto"/>
            </w:tcBorders>
          </w:tcPr>
          <w:p>
            <w:pPr>
              <w:pStyle w:val="TableParagraph"/>
              <w:spacing w:line="184" w:lineRule="exact"/>
              <w:ind w:right="40"/>
              <w:jc w:val="right"/>
              <w:rPr>
                <w:rFonts w:ascii="宋体" w:hAnsi="宋体" w:cs="宋体" w:eastAsia="宋体" w:hint="default"/>
                <w:sz w:val="16"/>
                <w:szCs w:val="16"/>
              </w:rPr>
            </w:pPr>
            <w:r>
              <w:rPr>
                <w:rFonts w:ascii="宋体" w:hAnsi="宋体" w:cs="宋体" w:eastAsia="宋体" w:hint="default"/>
                <w:w w:val="95"/>
                <w:sz w:val="16"/>
                <w:szCs w:val="16"/>
              </w:rPr>
              <w:t>工程投入占</w:t>
            </w:r>
            <w:r>
              <w:rPr>
                <w:rFonts w:ascii="宋体" w:hAnsi="宋体" w:cs="宋体" w:eastAsia="宋体" w:hint="default"/>
                <w:sz w:val="16"/>
                <w:szCs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184" w:lineRule="exact"/>
              <w:ind w:left="400" w:right="0"/>
              <w:jc w:val="left"/>
              <w:rPr>
                <w:rFonts w:ascii="宋体" w:hAnsi="宋体" w:cs="宋体" w:eastAsia="宋体" w:hint="default"/>
                <w:sz w:val="16"/>
                <w:szCs w:val="16"/>
              </w:rPr>
            </w:pPr>
            <w:r>
              <w:rPr>
                <w:rFonts w:ascii="宋体" w:hAnsi="宋体" w:cs="宋体" w:eastAsia="宋体" w:hint="default"/>
                <w:sz w:val="16"/>
                <w:szCs w:val="16"/>
              </w:rPr>
              <w:t>资本化</w:t>
            </w:r>
          </w:p>
        </w:tc>
        <w:tc>
          <w:tcPr>
            <w:tcW w:w="1093" w:type="dxa"/>
            <w:tcBorders>
              <w:top w:val="nil" w:sz="6" w:space="0" w:color="auto"/>
              <w:left w:val="nil" w:sz="6" w:space="0" w:color="auto"/>
              <w:bottom w:val="nil" w:sz="6" w:space="0" w:color="auto"/>
              <w:right w:val="nil" w:sz="6" w:space="0" w:color="auto"/>
            </w:tcBorders>
          </w:tcPr>
          <w:p>
            <w:pPr>
              <w:pStyle w:val="TableParagraph"/>
              <w:spacing w:line="184" w:lineRule="exact"/>
              <w:ind w:left="159" w:right="0"/>
              <w:jc w:val="left"/>
              <w:rPr>
                <w:rFonts w:ascii="宋体" w:hAnsi="宋体" w:cs="宋体" w:eastAsia="宋体" w:hint="default"/>
                <w:sz w:val="16"/>
                <w:szCs w:val="16"/>
              </w:rPr>
            </w:pPr>
            <w:r>
              <w:rPr>
                <w:rFonts w:ascii="宋体" w:hAnsi="宋体" w:cs="宋体" w:eastAsia="宋体" w:hint="default"/>
                <w:sz w:val="16"/>
                <w:szCs w:val="16"/>
              </w:rPr>
              <w:t>款费用资本</w:t>
            </w:r>
          </w:p>
        </w:tc>
        <w:tc>
          <w:tcPr>
            <w:tcW w:w="1086"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宋体" w:hAnsi="宋体" w:cs="宋体" w:eastAsia="宋体" w:hint="default"/>
                <w:sz w:val="16"/>
                <w:szCs w:val="16"/>
              </w:rPr>
            </w:pPr>
            <w:r>
              <w:rPr>
                <w:rFonts w:ascii="宋体" w:hAnsi="宋体" w:cs="宋体" w:eastAsia="宋体" w:hint="default"/>
                <w:w w:val="95"/>
                <w:sz w:val="16"/>
                <w:szCs w:val="16"/>
              </w:rPr>
              <w:t>本年借款费用</w:t>
            </w:r>
            <w:r>
              <w:rPr>
                <w:rFonts w:ascii="宋体" w:hAnsi="宋体" w:cs="宋体" w:eastAsia="宋体" w:hint="default"/>
                <w:sz w:val="16"/>
                <w:szCs w:val="16"/>
              </w:rPr>
            </w:r>
          </w:p>
        </w:tc>
        <w:tc>
          <w:tcPr>
            <w:tcW w:w="931"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宋体" w:hAnsi="宋体" w:cs="宋体" w:eastAsia="宋体" w:hint="default"/>
                <w:sz w:val="16"/>
                <w:szCs w:val="16"/>
              </w:rPr>
            </w:pPr>
            <w:r>
              <w:rPr>
                <w:rFonts w:ascii="宋体" w:hAnsi="宋体" w:cs="宋体" w:eastAsia="宋体" w:hint="default"/>
                <w:w w:val="95"/>
                <w:sz w:val="16"/>
                <w:szCs w:val="16"/>
              </w:rPr>
              <w:t>工程</w:t>
            </w:r>
            <w:r>
              <w:rPr>
                <w:rFonts w:ascii="宋体" w:hAnsi="宋体" w:cs="宋体" w:eastAsia="宋体" w:hint="default"/>
                <w:sz w:val="16"/>
                <w:szCs w:val="16"/>
              </w:rPr>
            </w:r>
          </w:p>
        </w:tc>
      </w:tr>
      <w:tr>
        <w:trPr>
          <w:trHeight w:val="212" w:hRule="exact"/>
        </w:trPr>
        <w:tc>
          <w:tcPr>
            <w:tcW w:w="4365" w:type="dxa"/>
            <w:tcBorders>
              <w:top w:val="nil" w:sz="6" w:space="0" w:color="auto"/>
              <w:left w:val="nil" w:sz="6" w:space="0" w:color="auto"/>
              <w:bottom w:val="single" w:sz="6" w:space="0" w:color="000000"/>
              <w:right w:val="nil" w:sz="6" w:space="0" w:color="auto"/>
            </w:tcBorders>
          </w:tcPr>
          <w:p>
            <w:pPr>
              <w:pStyle w:val="TableParagraph"/>
              <w:spacing w:line="180" w:lineRule="exact"/>
              <w:ind w:left="467" w:right="0"/>
              <w:jc w:val="left"/>
              <w:rPr>
                <w:rFonts w:ascii="宋体" w:hAnsi="宋体" w:cs="宋体" w:eastAsia="宋体" w:hint="default"/>
                <w:sz w:val="16"/>
                <w:szCs w:val="16"/>
              </w:rPr>
            </w:pPr>
            <w:r>
              <w:rPr>
                <w:rFonts w:ascii="宋体" w:hAnsi="宋体" w:cs="宋体" w:eastAsia="宋体" w:hint="default"/>
                <w:sz w:val="16"/>
                <w:szCs w:val="16"/>
              </w:rPr>
              <w:t>工程名称</w:t>
            </w:r>
          </w:p>
        </w:tc>
        <w:tc>
          <w:tcPr>
            <w:tcW w:w="800" w:type="dxa"/>
            <w:tcBorders>
              <w:top w:val="nil" w:sz="6" w:space="0" w:color="auto"/>
              <w:left w:val="nil" w:sz="6" w:space="0" w:color="auto"/>
              <w:bottom w:val="single" w:sz="6" w:space="0" w:color="000000"/>
              <w:right w:val="nil" w:sz="6" w:space="0" w:color="auto"/>
            </w:tcBorders>
          </w:tcPr>
          <w:p>
            <w:pPr>
              <w:pStyle w:val="TableParagraph"/>
              <w:spacing w:line="180" w:lineRule="exact"/>
              <w:ind w:right="30"/>
              <w:jc w:val="right"/>
              <w:rPr>
                <w:rFonts w:ascii="宋体" w:hAnsi="宋体" w:cs="宋体" w:eastAsia="宋体" w:hint="default"/>
                <w:sz w:val="16"/>
                <w:szCs w:val="16"/>
              </w:rPr>
            </w:pPr>
            <w:r>
              <w:rPr>
                <w:rFonts w:ascii="宋体" w:hAnsi="宋体" w:cs="宋体" w:eastAsia="宋体" w:hint="default"/>
                <w:w w:val="95"/>
                <w:sz w:val="16"/>
                <w:szCs w:val="16"/>
              </w:rPr>
              <w:t>百万元）</w:t>
            </w:r>
            <w:r>
              <w:rPr>
                <w:rFonts w:ascii="宋体" w:hAnsi="宋体" w:cs="宋体" w:eastAsia="宋体" w:hint="default"/>
                <w:sz w:val="16"/>
                <w:szCs w:val="16"/>
              </w:rPr>
            </w:r>
          </w:p>
        </w:tc>
        <w:tc>
          <w:tcPr>
            <w:tcW w:w="2241" w:type="dxa"/>
            <w:tcBorders>
              <w:top w:val="nil" w:sz="6" w:space="0" w:color="auto"/>
              <w:left w:val="nil" w:sz="6" w:space="0" w:color="auto"/>
              <w:bottom w:val="single" w:sz="6" w:space="0" w:color="000000"/>
              <w:right w:val="nil" w:sz="6" w:space="0" w:color="auto"/>
            </w:tcBorders>
          </w:tcPr>
          <w:p>
            <w:pPr>
              <w:pStyle w:val="TableParagraph"/>
              <w:tabs>
                <w:tab w:pos="1483" w:val="left" w:leader="none"/>
              </w:tabs>
              <w:spacing w:line="191" w:lineRule="exact"/>
              <w:ind w:left="140"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t>本年增加</w:t>
            </w:r>
          </w:p>
        </w:tc>
        <w:tc>
          <w:tcPr>
            <w:tcW w:w="3015" w:type="dxa"/>
            <w:tcBorders>
              <w:top w:val="nil" w:sz="6" w:space="0" w:color="auto"/>
              <w:left w:val="nil" w:sz="6" w:space="0" w:color="auto"/>
              <w:bottom w:val="single" w:sz="6" w:space="0" w:color="000000"/>
              <w:right w:val="nil" w:sz="6" w:space="0" w:color="auto"/>
            </w:tcBorders>
          </w:tcPr>
          <w:p>
            <w:pPr>
              <w:pStyle w:val="TableParagraph"/>
              <w:tabs>
                <w:tab w:pos="1010" w:val="left" w:leader="none"/>
                <w:tab w:pos="2039" w:val="left" w:leader="none"/>
              </w:tabs>
              <w:spacing w:line="191" w:lineRule="exact"/>
              <w:ind w:left="77" w:right="0"/>
              <w:jc w:val="left"/>
              <w:rPr>
                <w:rFonts w:ascii="宋体" w:hAnsi="宋体" w:cs="宋体" w:eastAsia="宋体" w:hint="default"/>
                <w:sz w:val="16"/>
                <w:szCs w:val="16"/>
              </w:rPr>
            </w:pPr>
            <w:r>
              <w:rPr>
                <w:rFonts w:ascii="宋体" w:hAnsi="宋体" w:cs="宋体" w:eastAsia="宋体" w:hint="default"/>
                <w:w w:val="95"/>
                <w:sz w:val="16"/>
                <w:szCs w:val="16"/>
              </w:rPr>
              <w:t>固定资产</w:t>
              <w:tab/>
              <w:t>其他减少</w:t>
              <w:tab/>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92" w:type="dxa"/>
            <w:tcBorders>
              <w:top w:val="nil" w:sz="6" w:space="0" w:color="auto"/>
              <w:left w:val="nil" w:sz="6" w:space="0" w:color="auto"/>
              <w:bottom w:val="single" w:sz="6" w:space="0" w:color="000000"/>
              <w:right w:val="nil" w:sz="6" w:space="0" w:color="auto"/>
            </w:tcBorders>
          </w:tcPr>
          <w:p>
            <w:pPr>
              <w:pStyle w:val="TableParagraph"/>
              <w:spacing w:line="180" w:lineRule="exact"/>
              <w:ind w:right="40"/>
              <w:jc w:val="right"/>
              <w:rPr>
                <w:rFonts w:ascii="宋体" w:hAnsi="宋体" w:cs="宋体" w:eastAsia="宋体" w:hint="default"/>
                <w:sz w:val="16"/>
                <w:szCs w:val="16"/>
              </w:rPr>
            </w:pPr>
            <w:r>
              <w:rPr>
                <w:rFonts w:ascii="宋体" w:hAnsi="宋体" w:cs="宋体" w:eastAsia="宋体" w:hint="default"/>
                <w:w w:val="95"/>
                <w:sz w:val="16"/>
                <w:szCs w:val="16"/>
              </w:rPr>
              <w:t>预算的比例</w:t>
            </w:r>
            <w:r>
              <w:rPr>
                <w:rFonts w:ascii="宋体" w:hAnsi="宋体" w:cs="宋体" w:eastAsia="宋体" w:hint="default"/>
                <w:sz w:val="16"/>
                <w:szCs w:val="16"/>
              </w:rPr>
            </w:r>
          </w:p>
        </w:tc>
        <w:tc>
          <w:tcPr>
            <w:tcW w:w="1055" w:type="dxa"/>
            <w:tcBorders>
              <w:top w:val="nil" w:sz="6" w:space="0" w:color="auto"/>
              <w:left w:val="nil" w:sz="6" w:space="0" w:color="auto"/>
              <w:bottom w:val="single" w:sz="6" w:space="0" w:color="000000"/>
              <w:right w:val="nil" w:sz="6" w:space="0" w:color="auto"/>
            </w:tcBorders>
          </w:tcPr>
          <w:p>
            <w:pPr>
              <w:pStyle w:val="TableParagraph"/>
              <w:spacing w:line="180" w:lineRule="exact"/>
              <w:ind w:left="241" w:right="0"/>
              <w:jc w:val="left"/>
              <w:rPr>
                <w:rFonts w:ascii="宋体" w:hAnsi="宋体" w:cs="宋体" w:eastAsia="宋体" w:hint="default"/>
                <w:sz w:val="16"/>
                <w:szCs w:val="16"/>
              </w:rPr>
            </w:pPr>
            <w:r>
              <w:rPr>
                <w:rFonts w:ascii="宋体" w:hAnsi="宋体" w:cs="宋体" w:eastAsia="宋体" w:hint="default"/>
                <w:sz w:val="16"/>
                <w:szCs w:val="16"/>
              </w:rPr>
              <w:t>累计金额</w:t>
            </w:r>
          </w:p>
        </w:tc>
        <w:tc>
          <w:tcPr>
            <w:tcW w:w="1093" w:type="dxa"/>
            <w:tcBorders>
              <w:top w:val="nil" w:sz="6" w:space="0" w:color="auto"/>
              <w:left w:val="nil" w:sz="6" w:space="0" w:color="auto"/>
              <w:bottom w:val="single" w:sz="6" w:space="0" w:color="000000"/>
              <w:right w:val="nil" w:sz="6" w:space="0" w:color="auto"/>
            </w:tcBorders>
          </w:tcPr>
          <w:p>
            <w:pPr>
              <w:pStyle w:val="TableParagraph"/>
              <w:spacing w:line="180" w:lineRule="exact"/>
              <w:ind w:left="479" w:right="0"/>
              <w:jc w:val="left"/>
              <w:rPr>
                <w:rFonts w:ascii="宋体" w:hAnsi="宋体" w:cs="宋体" w:eastAsia="宋体" w:hint="default"/>
                <w:sz w:val="16"/>
                <w:szCs w:val="16"/>
              </w:rPr>
            </w:pPr>
            <w:r>
              <w:rPr>
                <w:rFonts w:ascii="宋体" w:hAnsi="宋体" w:cs="宋体" w:eastAsia="宋体" w:hint="default"/>
                <w:sz w:val="16"/>
                <w:szCs w:val="16"/>
              </w:rPr>
              <w:t>化金额</w:t>
            </w:r>
          </w:p>
        </w:tc>
        <w:tc>
          <w:tcPr>
            <w:tcW w:w="1086" w:type="dxa"/>
            <w:tcBorders>
              <w:top w:val="nil" w:sz="6" w:space="0" w:color="auto"/>
              <w:left w:val="nil" w:sz="6" w:space="0" w:color="auto"/>
              <w:bottom w:val="single" w:sz="6" w:space="0" w:color="000000"/>
              <w:right w:val="nil" w:sz="6" w:space="0" w:color="auto"/>
            </w:tcBorders>
          </w:tcPr>
          <w:p>
            <w:pPr>
              <w:pStyle w:val="TableParagraph"/>
              <w:spacing w:line="180" w:lineRule="exact"/>
              <w:ind w:right="0"/>
              <w:jc w:val="right"/>
              <w:rPr>
                <w:rFonts w:ascii="宋体" w:hAnsi="宋体" w:cs="宋体" w:eastAsia="宋体" w:hint="default"/>
                <w:sz w:val="16"/>
                <w:szCs w:val="16"/>
              </w:rPr>
            </w:pPr>
            <w:r>
              <w:rPr>
                <w:rFonts w:ascii="宋体" w:hAnsi="宋体" w:cs="宋体" w:eastAsia="宋体" w:hint="default"/>
                <w:w w:val="95"/>
                <w:sz w:val="16"/>
                <w:szCs w:val="16"/>
              </w:rPr>
              <w:t>资本化率</w:t>
            </w:r>
            <w:r>
              <w:rPr>
                <w:rFonts w:ascii="宋体" w:hAnsi="宋体" w:cs="宋体" w:eastAsia="宋体" w:hint="default"/>
                <w:sz w:val="16"/>
                <w:szCs w:val="16"/>
              </w:rPr>
            </w:r>
          </w:p>
        </w:tc>
        <w:tc>
          <w:tcPr>
            <w:tcW w:w="931" w:type="dxa"/>
            <w:tcBorders>
              <w:top w:val="nil" w:sz="6" w:space="0" w:color="auto"/>
              <w:left w:val="nil" w:sz="6" w:space="0" w:color="auto"/>
              <w:bottom w:val="single" w:sz="6" w:space="0" w:color="000000"/>
              <w:right w:val="nil" w:sz="6" w:space="0" w:color="auto"/>
            </w:tcBorders>
          </w:tcPr>
          <w:p>
            <w:pPr>
              <w:pStyle w:val="TableParagraph"/>
              <w:spacing w:line="180" w:lineRule="exact"/>
              <w:ind w:left="165" w:right="0"/>
              <w:jc w:val="center"/>
              <w:rPr>
                <w:rFonts w:ascii="宋体" w:hAnsi="宋体" w:cs="宋体" w:eastAsia="宋体" w:hint="default"/>
                <w:sz w:val="16"/>
                <w:szCs w:val="16"/>
              </w:rPr>
            </w:pPr>
            <w:r>
              <w:rPr>
                <w:rFonts w:ascii="宋体" w:hAnsi="宋体" w:cs="宋体" w:eastAsia="宋体" w:hint="default"/>
                <w:sz w:val="16"/>
                <w:szCs w:val="16"/>
              </w:rPr>
              <w:t>资金来源</w:t>
            </w:r>
          </w:p>
        </w:tc>
        <w:tc>
          <w:tcPr>
            <w:tcW w:w="479" w:type="dxa"/>
            <w:tcBorders>
              <w:top w:val="nil" w:sz="6" w:space="0" w:color="auto"/>
              <w:left w:val="nil" w:sz="6" w:space="0" w:color="auto"/>
              <w:bottom w:val="single" w:sz="6" w:space="0" w:color="000000"/>
              <w:right w:val="nil" w:sz="6" w:space="0" w:color="auto"/>
            </w:tcBorders>
          </w:tcPr>
          <w:p>
            <w:pPr>
              <w:pStyle w:val="TableParagraph"/>
              <w:spacing w:line="180" w:lineRule="exact"/>
              <w:ind w:right="0"/>
              <w:jc w:val="right"/>
              <w:rPr>
                <w:rFonts w:ascii="宋体" w:hAnsi="宋体" w:cs="宋体" w:eastAsia="宋体" w:hint="default"/>
                <w:sz w:val="16"/>
                <w:szCs w:val="16"/>
              </w:rPr>
            </w:pPr>
            <w:r>
              <w:rPr>
                <w:rFonts w:ascii="宋体" w:hAnsi="宋体" w:cs="宋体" w:eastAsia="宋体" w:hint="default"/>
                <w:w w:val="95"/>
                <w:sz w:val="16"/>
                <w:szCs w:val="16"/>
              </w:rPr>
              <w:t>进度</w:t>
            </w:r>
            <w:r>
              <w:rPr>
                <w:rFonts w:ascii="宋体" w:hAnsi="宋体" w:cs="宋体" w:eastAsia="宋体" w:hint="default"/>
                <w:sz w:val="16"/>
                <w:szCs w:val="16"/>
              </w:rPr>
            </w:r>
          </w:p>
        </w:tc>
      </w:tr>
      <w:tr>
        <w:trPr>
          <w:trHeight w:val="407" w:hRule="exact"/>
        </w:trPr>
        <w:tc>
          <w:tcPr>
            <w:tcW w:w="436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548" w:right="0"/>
              <w:jc w:val="left"/>
              <w:rPr>
                <w:rFonts w:ascii="宋体" w:hAnsi="宋体" w:cs="宋体" w:eastAsia="宋体" w:hint="default"/>
                <w:sz w:val="16"/>
                <w:szCs w:val="16"/>
              </w:rPr>
            </w:pPr>
            <w:r>
              <w:rPr>
                <w:rFonts w:ascii="宋体" w:hAnsi="宋体" w:cs="宋体" w:eastAsia="宋体" w:hint="default"/>
                <w:sz w:val="16"/>
                <w:szCs w:val="16"/>
              </w:rPr>
              <w:t>广东</w:t>
            </w:r>
            <w:r>
              <w:rPr>
                <w:rFonts w:ascii="Arial" w:hAnsi="Arial" w:cs="Arial" w:eastAsia="Arial" w:hint="default"/>
                <w:sz w:val="16"/>
                <w:szCs w:val="16"/>
              </w:rPr>
              <w:t>-2011</w:t>
            </w:r>
            <w:r>
              <w:rPr>
                <w:rFonts w:ascii="Arial" w:hAnsi="Arial" w:cs="Arial" w:eastAsia="Arial" w:hint="default"/>
                <w:spacing w:val="-10"/>
                <w:sz w:val="16"/>
                <w:szCs w:val="16"/>
              </w:rPr>
              <w:t> </w:t>
            </w:r>
            <w:r>
              <w:rPr>
                <w:rFonts w:ascii="宋体" w:hAnsi="宋体" w:cs="宋体" w:eastAsia="宋体" w:hint="default"/>
                <w:sz w:val="16"/>
                <w:szCs w:val="16"/>
              </w:rPr>
              <w:t>年中国联通广东移动网室内覆盖扩容工程</w:t>
            </w:r>
          </w:p>
        </w:tc>
        <w:tc>
          <w:tcPr>
            <w:tcW w:w="8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Arial" w:hAnsi="Arial" w:cs="Arial" w:eastAsia="Arial" w:hint="default"/>
                <w:sz w:val="16"/>
                <w:szCs w:val="16"/>
              </w:rPr>
            </w:pPr>
            <w:r>
              <w:rPr>
                <w:rFonts w:ascii="Arial"/>
                <w:w w:val="95"/>
                <w:sz w:val="16"/>
              </w:rPr>
              <w:t>622</w:t>
            </w:r>
            <w:r>
              <w:rPr>
                <w:rFonts w:ascii="Arial"/>
                <w:sz w:val="16"/>
              </w:rPr>
            </w:r>
          </w:p>
        </w:tc>
        <w:tc>
          <w:tcPr>
            <w:tcW w:w="2241" w:type="dxa"/>
            <w:tcBorders>
              <w:top w:val="single" w:sz="6" w:space="0" w:color="000000"/>
              <w:left w:val="nil" w:sz="6" w:space="0" w:color="auto"/>
              <w:bottom w:val="nil" w:sz="6" w:space="0" w:color="auto"/>
              <w:right w:val="nil" w:sz="6" w:space="0" w:color="auto"/>
            </w:tcBorders>
          </w:tcPr>
          <w:p>
            <w:pPr>
              <w:pStyle w:val="TableParagraph"/>
              <w:spacing w:line="20" w:lineRule="exact"/>
              <w:ind w:left="82" w:right="0"/>
              <w:jc w:val="left"/>
              <w:rPr>
                <w:rFonts w:ascii="宋体" w:hAnsi="宋体" w:cs="宋体" w:eastAsia="宋体" w:hint="default"/>
                <w:sz w:val="2"/>
                <w:szCs w:val="2"/>
              </w:rPr>
            </w:pPr>
            <w:r>
              <w:rPr>
                <w:rFonts w:ascii="宋体" w:hAnsi="宋体" w:cs="宋体" w:eastAsia="宋体" w:hint="default"/>
                <w:sz w:val="2"/>
                <w:szCs w:val="2"/>
              </w:rPr>
              <w:pict>
                <v:group style="width:43.05pt;height:.75pt;mso-position-horizontal-relative:char;mso-position-vertical-relative:line" coordorigin="0,0" coordsize="861,15">
                  <v:group style="position:absolute;left:7;top:7;width:846;height:2" coordorigin="7,7" coordsize="846,2">
                    <v:shape style="position:absolute;left:7;top:7;width:846;height:2" coordorigin="7,7" coordsize="846,0" path="m7,7l853,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5"/>
                <w:szCs w:val="15"/>
              </w:rPr>
            </w:pPr>
          </w:p>
          <w:p>
            <w:pPr>
              <w:pStyle w:val="TableParagraph"/>
              <w:tabs>
                <w:tab w:pos="476" w:val="left" w:leader="none"/>
              </w:tabs>
              <w:spacing w:line="240" w:lineRule="auto"/>
              <w:ind w:right="117"/>
              <w:jc w:val="right"/>
              <w:rPr>
                <w:rFonts w:ascii="Arial" w:hAnsi="Arial" w:cs="Arial" w:eastAsia="Arial" w:hint="default"/>
                <w:sz w:val="16"/>
                <w:szCs w:val="16"/>
              </w:rPr>
            </w:pPr>
            <w:r>
              <w:rPr>
                <w:rFonts w:ascii="Arial"/>
                <w:w w:val="95"/>
                <w:sz w:val="16"/>
              </w:rPr>
              <w:t>-</w:t>
              <w:tab/>
              <w:t>576,646,969</w:t>
            </w:r>
            <w:r>
              <w:rPr>
                <w:rFonts w:ascii="Arial"/>
                <w:sz w:val="16"/>
              </w:rPr>
            </w:r>
          </w:p>
        </w:tc>
        <w:tc>
          <w:tcPr>
            <w:tcW w:w="3015" w:type="dxa"/>
            <w:tcBorders>
              <w:top w:val="single" w:sz="6" w:space="0" w:color="000000"/>
              <w:left w:val="nil" w:sz="6" w:space="0" w:color="auto"/>
              <w:bottom w:val="nil" w:sz="6" w:space="0" w:color="auto"/>
              <w:right w:val="nil" w:sz="6" w:space="0" w:color="auto"/>
            </w:tcBorders>
          </w:tcPr>
          <w:p>
            <w:pPr>
              <w:pStyle w:val="TableParagraph"/>
              <w:spacing w:line="20" w:lineRule="exact"/>
              <w:ind w:left="37" w:right="0"/>
              <w:jc w:val="left"/>
              <w:rPr>
                <w:rFonts w:ascii="宋体" w:hAnsi="宋体" w:cs="宋体" w:eastAsia="宋体" w:hint="default"/>
                <w:sz w:val="2"/>
                <w:szCs w:val="2"/>
              </w:rPr>
            </w:pPr>
            <w:r>
              <w:rPr>
                <w:rFonts w:ascii="宋体"/>
                <w:sz w:val="2"/>
              </w:rPr>
              <w:pict>
                <v:group style="width:36.75pt;height:.75pt;mso-position-horizontal-relative:char;mso-position-vertical-relative:line" coordorigin="0,0" coordsize="735,15">
                  <v:group style="position:absolute;left:7;top:7;width:720;height:2" coordorigin="7,7" coordsize="720,2">
                    <v:shape style="position:absolute;left:7;top:7;width:720;height:2" coordorigin="7,7" coordsize="720,0" path="m7,7l727,7e" filled="false" stroked="true" strokeweight=".72pt" strokecolor="#000000">
                      <v:path arrowok="t"/>
                    </v:shape>
                  </v:group>
                </v:group>
              </w:pict>
            </w:r>
            <w:r>
              <w:rPr>
                <w:rFonts w:ascii="宋体"/>
                <w:sz w:val="2"/>
              </w:rPr>
            </w:r>
            <w:r>
              <w:rPr>
                <w:rFonts w:ascii="Times New Roman"/>
                <w:spacing w:val="67"/>
                <w:sz w:val="2"/>
              </w:rPr>
              <w:t> </w:t>
            </w:r>
            <w:r>
              <w:rPr>
                <w:rFonts w:ascii="宋体"/>
                <w:spacing w:val="67"/>
                <w:sz w:val="2"/>
              </w:rPr>
              <w:pict>
                <v:group style="width:41.25pt;height:.75pt;mso-position-horizontal-relative:char;mso-position-vertical-relative:line" coordorigin="0,0" coordsize="825,15">
                  <v:group style="position:absolute;left:7;top:7;width:810;height:2" coordorigin="7,7" coordsize="810,2">
                    <v:shape style="position:absolute;left:7;top:7;width:810;height:2" coordorigin="7,7" coordsize="810,0" path="m7,7l817,7e" filled="false" stroked="true" strokeweight=".72pt" strokecolor="#000000">
                      <v:path arrowok="t"/>
                    </v:shape>
                  </v:group>
                </v:group>
              </w:pict>
            </w:r>
            <w:r>
              <w:rPr>
                <w:rFonts w:ascii="宋体"/>
                <w:spacing w:val="67"/>
                <w:sz w:val="2"/>
              </w:rPr>
            </w:r>
          </w:p>
          <w:p>
            <w:pPr>
              <w:pStyle w:val="TableParagraph"/>
              <w:spacing w:line="240" w:lineRule="auto" w:before="3"/>
              <w:ind w:right="0"/>
              <w:jc w:val="left"/>
              <w:rPr>
                <w:rFonts w:ascii="宋体" w:hAnsi="宋体" w:cs="宋体" w:eastAsia="宋体" w:hint="default"/>
                <w:sz w:val="15"/>
                <w:szCs w:val="15"/>
              </w:rPr>
            </w:pPr>
          </w:p>
          <w:p>
            <w:pPr>
              <w:pStyle w:val="TableParagraph"/>
              <w:tabs>
                <w:tab w:pos="936" w:val="left" w:leader="none"/>
                <w:tab w:pos="1330" w:val="left" w:leader="none"/>
              </w:tabs>
              <w:spacing w:line="240" w:lineRule="auto"/>
              <w:ind w:right="209"/>
              <w:jc w:val="right"/>
              <w:rPr>
                <w:rFonts w:ascii="Arial" w:hAnsi="Arial" w:cs="Arial" w:eastAsia="Arial" w:hint="default"/>
                <w:sz w:val="16"/>
                <w:szCs w:val="16"/>
              </w:rPr>
            </w:pPr>
            <w:r>
              <w:rPr>
                <w:rFonts w:ascii="Arial"/>
                <w:w w:val="95"/>
                <w:sz w:val="16"/>
              </w:rPr>
              <w:t>-</w:t>
              <w:tab/>
              <w:t>-</w:t>
              <w:tab/>
              <w:t>576,646,969</w:t>
            </w:r>
            <w:r>
              <w:rPr>
                <w:rFonts w:ascii="Arial"/>
                <w:sz w:val="16"/>
              </w:rPr>
            </w:r>
          </w:p>
        </w:tc>
        <w:tc>
          <w:tcPr>
            <w:tcW w:w="89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
              <w:jc w:val="right"/>
              <w:rPr>
                <w:rFonts w:ascii="Arial" w:hAnsi="Arial" w:cs="Arial" w:eastAsia="Arial" w:hint="default"/>
                <w:sz w:val="16"/>
                <w:szCs w:val="16"/>
              </w:rPr>
            </w:pPr>
            <w:r>
              <w:rPr>
                <w:rFonts w:ascii="Arial"/>
                <w:w w:val="95"/>
                <w:sz w:val="16"/>
              </w:rPr>
              <w:t>93%</w:t>
            </w:r>
            <w:r>
              <w:rPr>
                <w:rFonts w:ascii="Arial"/>
                <w:sz w:val="16"/>
              </w:rPr>
            </w:r>
          </w:p>
        </w:tc>
        <w:tc>
          <w:tcPr>
            <w:tcW w:w="105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Arial" w:hAnsi="Arial" w:cs="Arial" w:eastAsia="Arial" w:hint="default"/>
                <w:sz w:val="16"/>
                <w:szCs w:val="16"/>
              </w:rPr>
            </w:pPr>
            <w:r>
              <w:rPr>
                <w:rFonts w:ascii="Arial"/>
                <w:w w:val="95"/>
                <w:sz w:val="16"/>
              </w:rPr>
              <w:t>7,995,894</w:t>
            </w:r>
            <w:r>
              <w:rPr>
                <w:rFonts w:ascii="Arial"/>
                <w:sz w:val="16"/>
              </w:rPr>
            </w:r>
          </w:p>
        </w:tc>
        <w:tc>
          <w:tcPr>
            <w:tcW w:w="109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Arial" w:hAnsi="Arial" w:cs="Arial" w:eastAsia="Arial" w:hint="default"/>
                <w:sz w:val="16"/>
                <w:szCs w:val="16"/>
              </w:rPr>
            </w:pPr>
            <w:r>
              <w:rPr>
                <w:rFonts w:ascii="Arial"/>
                <w:sz w:val="16"/>
              </w:rPr>
              <w:t>7,995,894</w:t>
            </w:r>
          </w:p>
        </w:tc>
        <w:tc>
          <w:tcPr>
            <w:tcW w:w="108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75" w:right="0"/>
              <w:jc w:val="left"/>
              <w:rPr>
                <w:rFonts w:ascii="宋体" w:hAnsi="宋体" w:cs="宋体" w:eastAsia="宋体" w:hint="default"/>
                <w:sz w:val="16"/>
                <w:szCs w:val="16"/>
              </w:rPr>
            </w:pPr>
            <w:r>
              <w:rPr>
                <w:rFonts w:ascii="宋体" w:hAnsi="宋体" w:cs="宋体" w:eastAsia="宋体" w:hint="default"/>
                <w:sz w:val="16"/>
                <w:szCs w:val="16"/>
              </w:rPr>
              <w:t>工程</w:t>
            </w:r>
          </w:p>
        </w:tc>
      </w:tr>
      <w:tr>
        <w:trPr>
          <w:trHeight w:val="208"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185" w:lineRule="exact"/>
              <w:ind w:right="1"/>
              <w:jc w:val="right"/>
              <w:rPr>
                <w:rFonts w:ascii="宋体" w:hAnsi="宋体" w:cs="宋体" w:eastAsia="宋体" w:hint="default"/>
                <w:sz w:val="16"/>
                <w:szCs w:val="16"/>
              </w:rPr>
            </w:pPr>
            <w:r>
              <w:rPr>
                <w:rFonts w:ascii="宋体" w:hAnsi="宋体" w:cs="宋体" w:eastAsia="宋体" w:hint="default"/>
                <w:sz w:val="16"/>
                <w:szCs w:val="16"/>
              </w:rPr>
              <w:t>广东</w:t>
            </w:r>
            <w:r>
              <w:rPr>
                <w:rFonts w:ascii="Arial" w:hAnsi="Arial" w:cs="Arial" w:eastAsia="Arial" w:hint="default"/>
                <w:sz w:val="16"/>
                <w:szCs w:val="16"/>
              </w:rPr>
              <w:t>-2011</w:t>
            </w:r>
            <w:r>
              <w:rPr>
                <w:rFonts w:ascii="Arial" w:hAnsi="Arial" w:cs="Arial" w:eastAsia="Arial" w:hint="default"/>
                <w:spacing w:val="-26"/>
                <w:sz w:val="16"/>
                <w:szCs w:val="16"/>
              </w:rPr>
              <w:t> </w:t>
            </w:r>
            <w:r>
              <w:rPr>
                <w:rFonts w:ascii="宋体" w:hAnsi="宋体" w:cs="宋体" w:eastAsia="宋体" w:hint="default"/>
                <w:sz w:val="16"/>
                <w:szCs w:val="16"/>
              </w:rPr>
              <w:t>年中国联通广东</w:t>
            </w:r>
            <w:r>
              <w:rPr>
                <w:rFonts w:ascii="宋体" w:hAnsi="宋体" w:cs="宋体" w:eastAsia="宋体" w:hint="default"/>
                <w:spacing w:val="-62"/>
                <w:sz w:val="16"/>
                <w:szCs w:val="16"/>
              </w:rPr>
              <w:t> </w:t>
            </w:r>
            <w:r>
              <w:rPr>
                <w:rFonts w:ascii="Arial" w:hAnsi="Arial" w:cs="Arial" w:eastAsia="Arial" w:hint="default"/>
                <w:sz w:val="16"/>
                <w:szCs w:val="16"/>
              </w:rPr>
              <w:t>WCDMA</w:t>
            </w:r>
            <w:r>
              <w:rPr>
                <w:rFonts w:ascii="Arial" w:hAnsi="Arial" w:cs="Arial" w:eastAsia="Arial" w:hint="default"/>
                <w:spacing w:val="-26"/>
                <w:sz w:val="16"/>
                <w:szCs w:val="16"/>
              </w:rPr>
              <w:t> </w:t>
            </w:r>
            <w:r>
              <w:rPr>
                <w:rFonts w:ascii="宋体" w:hAnsi="宋体" w:cs="宋体" w:eastAsia="宋体" w:hint="default"/>
                <w:sz w:val="16"/>
                <w:szCs w:val="16"/>
              </w:rPr>
              <w:t>主体网络扩容工程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8"/>
              <w:jc w:val="right"/>
              <w:rPr>
                <w:rFonts w:ascii="Arial" w:hAnsi="Arial" w:cs="Arial" w:eastAsia="Arial" w:hint="default"/>
                <w:sz w:val="16"/>
                <w:szCs w:val="16"/>
              </w:rPr>
            </w:pPr>
            <w:r>
              <w:rPr>
                <w:rFonts w:ascii="Arial"/>
                <w:w w:val="95"/>
                <w:sz w:val="16"/>
              </w:rPr>
              <w:t>570</w:t>
            </w:r>
            <w:r>
              <w:rPr>
                <w:rFonts w:ascii="Arial"/>
                <w:sz w:val="16"/>
              </w:rPr>
            </w:r>
          </w:p>
        </w:tc>
        <w:tc>
          <w:tcPr>
            <w:tcW w:w="2241"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13"/>
              <w:ind w:right="117"/>
              <w:jc w:val="right"/>
              <w:rPr>
                <w:rFonts w:ascii="Arial" w:hAnsi="Arial" w:cs="Arial" w:eastAsia="Arial" w:hint="default"/>
                <w:sz w:val="16"/>
                <w:szCs w:val="16"/>
              </w:rPr>
            </w:pPr>
            <w:r>
              <w:rPr>
                <w:rFonts w:ascii="Arial"/>
                <w:w w:val="95"/>
                <w:sz w:val="16"/>
              </w:rPr>
              <w:t>-</w:t>
              <w:tab/>
              <w:t>446,052,299</w:t>
            </w:r>
            <w:r>
              <w:rPr>
                <w:rFonts w:ascii="Arial"/>
                <w:sz w:val="16"/>
              </w:rPr>
            </w:r>
          </w:p>
        </w:tc>
        <w:tc>
          <w:tcPr>
            <w:tcW w:w="3015" w:type="dxa"/>
            <w:tcBorders>
              <w:top w:val="nil" w:sz="6" w:space="0" w:color="auto"/>
              <w:left w:val="nil" w:sz="6" w:space="0" w:color="auto"/>
              <w:bottom w:val="nil" w:sz="6" w:space="0" w:color="auto"/>
              <w:right w:val="nil" w:sz="6" w:space="0" w:color="auto"/>
            </w:tcBorders>
          </w:tcPr>
          <w:p>
            <w:pPr>
              <w:pStyle w:val="TableParagraph"/>
              <w:tabs>
                <w:tab w:pos="936" w:val="left" w:leader="none"/>
                <w:tab w:pos="1330" w:val="left" w:leader="none"/>
              </w:tabs>
              <w:spacing w:line="240" w:lineRule="auto" w:before="13"/>
              <w:ind w:right="209"/>
              <w:jc w:val="right"/>
              <w:rPr>
                <w:rFonts w:ascii="Arial" w:hAnsi="Arial" w:cs="Arial" w:eastAsia="Arial" w:hint="default"/>
                <w:sz w:val="16"/>
                <w:szCs w:val="16"/>
              </w:rPr>
            </w:pPr>
            <w:r>
              <w:rPr>
                <w:rFonts w:ascii="Arial"/>
                <w:w w:val="95"/>
                <w:sz w:val="16"/>
              </w:rPr>
              <w:t>-</w:t>
              <w:tab/>
              <w:t>-</w:t>
              <w:tab/>
              <w:t>446,052,299</w:t>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
              <w:jc w:val="right"/>
              <w:rPr>
                <w:rFonts w:ascii="Arial" w:hAnsi="Arial" w:cs="Arial" w:eastAsia="Arial" w:hint="default"/>
                <w:sz w:val="16"/>
                <w:szCs w:val="16"/>
              </w:rPr>
            </w:pPr>
            <w:r>
              <w:rPr>
                <w:rFonts w:ascii="Arial"/>
                <w:w w:val="95"/>
                <w:sz w:val="16"/>
              </w:rPr>
              <w:t>78%</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8"/>
              <w:jc w:val="right"/>
              <w:rPr>
                <w:rFonts w:ascii="Arial" w:hAnsi="Arial" w:cs="Arial" w:eastAsia="Arial" w:hint="default"/>
                <w:sz w:val="16"/>
                <w:szCs w:val="16"/>
              </w:rPr>
            </w:pPr>
            <w:r>
              <w:rPr>
                <w:rFonts w:ascii="Arial"/>
                <w:w w:val="95"/>
                <w:sz w:val="16"/>
              </w:rPr>
              <w:t>7,227,665</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Arial" w:hAnsi="Arial" w:cs="Arial" w:eastAsia="Arial" w:hint="default"/>
                <w:sz w:val="16"/>
                <w:szCs w:val="16"/>
              </w:rPr>
            </w:pPr>
            <w:r>
              <w:rPr>
                <w:rFonts w:ascii="Arial"/>
                <w:sz w:val="16"/>
              </w:rPr>
              <w:t>7,227,665</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nil" w:sz="6" w:space="0" w:color="auto"/>
              <w:left w:val="nil" w:sz="6" w:space="0" w:color="auto"/>
              <w:bottom w:val="nil" w:sz="6" w:space="0" w:color="auto"/>
              <w:right w:val="nil" w:sz="6" w:space="0" w:color="auto"/>
            </w:tcBorders>
          </w:tcPr>
          <w:p>
            <w:pPr>
              <w:pStyle w:val="TableParagraph"/>
              <w:spacing w:line="174" w:lineRule="exact"/>
              <w:ind w:left="75" w:right="0"/>
              <w:jc w:val="left"/>
              <w:rPr>
                <w:rFonts w:ascii="宋体" w:hAnsi="宋体" w:cs="宋体" w:eastAsia="宋体" w:hint="default"/>
                <w:sz w:val="16"/>
                <w:szCs w:val="16"/>
              </w:rPr>
            </w:pPr>
            <w:r>
              <w:rPr>
                <w:rFonts w:ascii="宋体" w:hAnsi="宋体" w:cs="宋体" w:eastAsia="宋体" w:hint="default"/>
                <w:sz w:val="16"/>
                <w:szCs w:val="16"/>
              </w:rPr>
              <w:t>进度</w:t>
            </w:r>
          </w:p>
        </w:tc>
      </w:tr>
      <w:tr>
        <w:trPr>
          <w:trHeight w:val="208"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185" w:lineRule="exact"/>
              <w:ind w:right="1"/>
              <w:jc w:val="right"/>
              <w:rPr>
                <w:rFonts w:ascii="宋体" w:hAnsi="宋体" w:cs="宋体" w:eastAsia="宋体" w:hint="default"/>
                <w:sz w:val="16"/>
                <w:szCs w:val="16"/>
              </w:rPr>
            </w:pPr>
            <w:r>
              <w:rPr>
                <w:rFonts w:ascii="宋体" w:hAnsi="宋体" w:cs="宋体" w:eastAsia="宋体" w:hint="default"/>
                <w:sz w:val="16"/>
                <w:szCs w:val="16"/>
              </w:rPr>
              <w:t>湖南</w:t>
            </w:r>
            <w:r>
              <w:rPr>
                <w:rFonts w:ascii="Arial" w:hAnsi="Arial" w:cs="Arial" w:eastAsia="Arial" w:hint="default"/>
                <w:sz w:val="16"/>
                <w:szCs w:val="16"/>
              </w:rPr>
              <w:t>-2011</w:t>
            </w:r>
            <w:r>
              <w:rPr>
                <w:rFonts w:ascii="Arial" w:hAnsi="Arial" w:cs="Arial" w:eastAsia="Arial" w:hint="default"/>
                <w:spacing w:val="-26"/>
                <w:sz w:val="16"/>
                <w:szCs w:val="16"/>
              </w:rPr>
              <w:t> </w:t>
            </w:r>
            <w:r>
              <w:rPr>
                <w:rFonts w:ascii="宋体" w:hAnsi="宋体" w:cs="宋体" w:eastAsia="宋体" w:hint="default"/>
                <w:sz w:val="16"/>
                <w:szCs w:val="16"/>
              </w:rPr>
              <w:t>年中国联通湖南</w:t>
            </w:r>
            <w:r>
              <w:rPr>
                <w:rFonts w:ascii="宋体" w:hAnsi="宋体" w:cs="宋体" w:eastAsia="宋体" w:hint="default"/>
                <w:spacing w:val="-62"/>
                <w:sz w:val="16"/>
                <w:szCs w:val="16"/>
              </w:rPr>
              <w:t> </w:t>
            </w:r>
            <w:r>
              <w:rPr>
                <w:rFonts w:ascii="Arial" w:hAnsi="Arial" w:cs="Arial" w:eastAsia="Arial" w:hint="default"/>
                <w:sz w:val="16"/>
                <w:szCs w:val="16"/>
              </w:rPr>
              <w:t>WCDMA</w:t>
            </w:r>
            <w:r>
              <w:rPr>
                <w:rFonts w:ascii="Arial" w:hAnsi="Arial" w:cs="Arial" w:eastAsia="Arial" w:hint="default"/>
                <w:spacing w:val="-26"/>
                <w:sz w:val="16"/>
                <w:szCs w:val="16"/>
              </w:rPr>
              <w:t> </w:t>
            </w:r>
            <w:r>
              <w:rPr>
                <w:rFonts w:ascii="宋体" w:hAnsi="宋体" w:cs="宋体" w:eastAsia="宋体" w:hint="default"/>
                <w:sz w:val="16"/>
                <w:szCs w:val="16"/>
              </w:rPr>
              <w:t>主体网络扩容工程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8"/>
              <w:jc w:val="right"/>
              <w:rPr>
                <w:rFonts w:ascii="Arial" w:hAnsi="Arial" w:cs="Arial" w:eastAsia="Arial" w:hint="default"/>
                <w:sz w:val="16"/>
                <w:szCs w:val="16"/>
              </w:rPr>
            </w:pPr>
            <w:r>
              <w:rPr>
                <w:rFonts w:ascii="Arial"/>
                <w:w w:val="95"/>
                <w:sz w:val="16"/>
              </w:rPr>
              <w:t>318</w:t>
            </w:r>
            <w:r>
              <w:rPr>
                <w:rFonts w:ascii="Arial"/>
                <w:sz w:val="16"/>
              </w:rPr>
            </w:r>
          </w:p>
        </w:tc>
        <w:tc>
          <w:tcPr>
            <w:tcW w:w="2241"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13"/>
              <w:ind w:right="117"/>
              <w:jc w:val="right"/>
              <w:rPr>
                <w:rFonts w:ascii="Arial" w:hAnsi="Arial" w:cs="Arial" w:eastAsia="Arial" w:hint="default"/>
                <w:sz w:val="16"/>
                <w:szCs w:val="16"/>
              </w:rPr>
            </w:pPr>
            <w:r>
              <w:rPr>
                <w:rFonts w:ascii="Arial"/>
                <w:w w:val="95"/>
                <w:sz w:val="16"/>
              </w:rPr>
              <w:t>-</w:t>
              <w:tab/>
              <w:t>299,383,856</w:t>
            </w:r>
            <w:r>
              <w:rPr>
                <w:rFonts w:ascii="Arial"/>
                <w:sz w:val="16"/>
              </w:rPr>
            </w:r>
          </w:p>
        </w:tc>
        <w:tc>
          <w:tcPr>
            <w:tcW w:w="3015" w:type="dxa"/>
            <w:tcBorders>
              <w:top w:val="nil" w:sz="6" w:space="0" w:color="auto"/>
              <w:left w:val="nil" w:sz="6" w:space="0" w:color="auto"/>
              <w:bottom w:val="nil" w:sz="6" w:space="0" w:color="auto"/>
              <w:right w:val="nil" w:sz="6" w:space="0" w:color="auto"/>
            </w:tcBorders>
          </w:tcPr>
          <w:p>
            <w:pPr>
              <w:pStyle w:val="TableParagraph"/>
              <w:tabs>
                <w:tab w:pos="936" w:val="left" w:leader="none"/>
                <w:tab w:pos="1330" w:val="left" w:leader="none"/>
              </w:tabs>
              <w:spacing w:line="240" w:lineRule="auto" w:before="13"/>
              <w:ind w:right="209"/>
              <w:jc w:val="right"/>
              <w:rPr>
                <w:rFonts w:ascii="Arial" w:hAnsi="Arial" w:cs="Arial" w:eastAsia="Arial" w:hint="default"/>
                <w:sz w:val="16"/>
                <w:szCs w:val="16"/>
              </w:rPr>
            </w:pPr>
            <w:r>
              <w:rPr>
                <w:rFonts w:ascii="Arial"/>
                <w:w w:val="95"/>
                <w:sz w:val="16"/>
              </w:rPr>
              <w:t>-</w:t>
              <w:tab/>
              <w:t>-</w:t>
              <w:tab/>
              <w:t>299,383,856</w:t>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
              <w:jc w:val="right"/>
              <w:rPr>
                <w:rFonts w:ascii="Arial" w:hAnsi="Arial" w:cs="Arial" w:eastAsia="Arial" w:hint="default"/>
                <w:sz w:val="16"/>
                <w:szCs w:val="16"/>
              </w:rPr>
            </w:pPr>
            <w:r>
              <w:rPr>
                <w:rFonts w:ascii="Arial"/>
                <w:w w:val="95"/>
                <w:sz w:val="16"/>
              </w:rPr>
              <w:t>94%</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8"/>
              <w:jc w:val="right"/>
              <w:rPr>
                <w:rFonts w:ascii="Arial" w:hAnsi="Arial" w:cs="Arial" w:eastAsia="Arial" w:hint="default"/>
                <w:sz w:val="16"/>
                <w:szCs w:val="16"/>
              </w:rPr>
            </w:pPr>
            <w:r>
              <w:rPr>
                <w:rFonts w:ascii="Arial"/>
                <w:w w:val="95"/>
                <w:sz w:val="16"/>
              </w:rPr>
              <w:t>2,541,908</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Arial" w:hAnsi="Arial" w:cs="Arial" w:eastAsia="Arial" w:hint="default"/>
                <w:sz w:val="16"/>
                <w:szCs w:val="16"/>
              </w:rPr>
            </w:pPr>
            <w:r>
              <w:rPr>
                <w:rFonts w:ascii="Arial"/>
                <w:sz w:val="16"/>
              </w:rPr>
              <w:t>2,541,908</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nil" w:sz="6" w:space="0" w:color="auto"/>
              <w:left w:val="nil" w:sz="6" w:space="0" w:color="auto"/>
              <w:bottom w:val="nil" w:sz="6" w:space="0" w:color="auto"/>
              <w:right w:val="nil" w:sz="6" w:space="0" w:color="auto"/>
            </w:tcBorders>
          </w:tcPr>
          <w:p>
            <w:pPr>
              <w:pStyle w:val="TableParagraph"/>
              <w:spacing w:line="174" w:lineRule="exact"/>
              <w:ind w:left="75" w:right="0"/>
              <w:jc w:val="left"/>
              <w:rPr>
                <w:rFonts w:ascii="宋体" w:hAnsi="宋体" w:cs="宋体" w:eastAsia="宋体" w:hint="default"/>
                <w:sz w:val="16"/>
                <w:szCs w:val="16"/>
              </w:rPr>
            </w:pPr>
            <w:r>
              <w:rPr>
                <w:rFonts w:ascii="宋体" w:hAnsi="宋体" w:cs="宋体" w:eastAsia="宋体" w:hint="default"/>
                <w:sz w:val="16"/>
                <w:szCs w:val="16"/>
              </w:rPr>
              <w:t>以合</w:t>
            </w:r>
          </w:p>
        </w:tc>
      </w:tr>
      <w:tr>
        <w:trPr>
          <w:trHeight w:val="409"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179" w:lineRule="exact"/>
              <w:ind w:left="548" w:right="0"/>
              <w:jc w:val="left"/>
              <w:rPr>
                <w:rFonts w:ascii="宋体" w:hAnsi="宋体" w:cs="宋体" w:eastAsia="宋体" w:hint="default"/>
                <w:sz w:val="16"/>
                <w:szCs w:val="16"/>
              </w:rPr>
            </w:pPr>
            <w:r>
              <w:rPr>
                <w:rFonts w:ascii="宋体" w:hAnsi="宋体" w:cs="宋体" w:eastAsia="宋体" w:hint="default"/>
                <w:sz w:val="16"/>
                <w:szCs w:val="16"/>
              </w:rPr>
              <w:t>浙江</w:t>
            </w:r>
            <w:r>
              <w:rPr>
                <w:rFonts w:ascii="Arial" w:hAnsi="Arial" w:cs="Arial" w:eastAsia="Arial" w:hint="default"/>
                <w:sz w:val="16"/>
                <w:szCs w:val="16"/>
              </w:rPr>
              <w:t>-2011</w:t>
            </w:r>
            <w:r>
              <w:rPr>
                <w:rFonts w:ascii="Arial" w:hAnsi="Arial" w:cs="Arial" w:eastAsia="Arial" w:hint="default"/>
                <w:spacing w:val="-10"/>
                <w:sz w:val="16"/>
                <w:szCs w:val="16"/>
              </w:rPr>
              <w:t> </w:t>
            </w:r>
            <w:r>
              <w:rPr>
                <w:rFonts w:ascii="宋体" w:hAnsi="宋体" w:cs="宋体" w:eastAsia="宋体" w:hint="default"/>
                <w:sz w:val="16"/>
                <w:szCs w:val="16"/>
              </w:rPr>
              <w:t>年中国联通浙江移动网室内覆盖新建工程</w:t>
            </w:r>
          </w:p>
          <w:p>
            <w:pPr>
              <w:pStyle w:val="TableParagraph"/>
              <w:spacing w:line="214" w:lineRule="exact"/>
              <w:ind w:left="548" w:right="0"/>
              <w:jc w:val="left"/>
              <w:rPr>
                <w:rFonts w:ascii="宋体" w:hAnsi="宋体" w:cs="宋体" w:eastAsia="宋体" w:hint="default"/>
                <w:sz w:val="16"/>
                <w:szCs w:val="16"/>
              </w:rPr>
            </w:pPr>
            <w:r>
              <w:rPr>
                <w:rFonts w:ascii="宋体" w:hAnsi="宋体" w:cs="宋体" w:eastAsia="宋体" w:hint="default"/>
                <w:sz w:val="16"/>
                <w:szCs w:val="16"/>
              </w:rPr>
              <w:t>广东</w:t>
            </w:r>
            <w:r>
              <w:rPr>
                <w:rFonts w:ascii="Arial" w:hAnsi="Arial" w:cs="Arial" w:eastAsia="Arial" w:hint="default"/>
                <w:sz w:val="16"/>
                <w:szCs w:val="16"/>
              </w:rPr>
              <w:t>-2011</w:t>
            </w:r>
            <w:r>
              <w:rPr>
                <w:rFonts w:ascii="Arial" w:hAnsi="Arial" w:cs="Arial" w:eastAsia="Arial" w:hint="default"/>
                <w:spacing w:val="-6"/>
                <w:sz w:val="16"/>
                <w:szCs w:val="16"/>
              </w:rPr>
              <w:t> </w:t>
            </w:r>
            <w:r>
              <w:rPr>
                <w:rFonts w:ascii="宋体" w:hAnsi="宋体" w:cs="宋体" w:eastAsia="宋体" w:hint="default"/>
                <w:sz w:val="16"/>
                <w:szCs w:val="16"/>
              </w:rPr>
              <w:t>年中国联通广东</w:t>
            </w:r>
            <w:r>
              <w:rPr>
                <w:rFonts w:ascii="宋体" w:hAnsi="宋体" w:cs="宋体" w:eastAsia="宋体" w:hint="default"/>
                <w:spacing w:val="-41"/>
                <w:sz w:val="16"/>
                <w:szCs w:val="16"/>
              </w:rPr>
              <w:t> </w:t>
            </w:r>
            <w:r>
              <w:rPr>
                <w:rFonts w:ascii="Arial" w:hAnsi="Arial" w:cs="Arial" w:eastAsia="Arial" w:hint="default"/>
                <w:sz w:val="16"/>
                <w:szCs w:val="16"/>
              </w:rPr>
              <w:t>GSM/WCDMA</w:t>
            </w:r>
            <w:r>
              <w:rPr>
                <w:rFonts w:ascii="Arial" w:hAnsi="Arial" w:cs="Arial" w:eastAsia="Arial" w:hint="default"/>
                <w:spacing w:val="-6"/>
                <w:sz w:val="16"/>
                <w:szCs w:val="16"/>
              </w:rPr>
              <w:t> </w:t>
            </w:r>
            <w:r>
              <w:rPr>
                <w:rFonts w:ascii="宋体" w:hAnsi="宋体" w:cs="宋体" w:eastAsia="宋体" w:hint="default"/>
                <w:sz w:val="16"/>
                <w:szCs w:val="16"/>
              </w:rPr>
              <w:t>室内覆盖</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8"/>
              <w:jc w:val="right"/>
              <w:rPr>
                <w:rFonts w:ascii="Arial" w:hAnsi="Arial" w:cs="Arial" w:eastAsia="Arial" w:hint="default"/>
                <w:sz w:val="16"/>
                <w:szCs w:val="16"/>
              </w:rPr>
            </w:pPr>
            <w:r>
              <w:rPr>
                <w:rFonts w:ascii="Arial"/>
                <w:w w:val="95"/>
                <w:sz w:val="16"/>
              </w:rPr>
              <w:t>310</w:t>
            </w:r>
            <w:r>
              <w:rPr>
                <w:rFonts w:ascii="Arial"/>
                <w:sz w:val="16"/>
              </w:rPr>
            </w:r>
          </w:p>
        </w:tc>
        <w:tc>
          <w:tcPr>
            <w:tcW w:w="2241"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13"/>
              <w:ind w:right="117"/>
              <w:jc w:val="right"/>
              <w:rPr>
                <w:rFonts w:ascii="Arial" w:hAnsi="Arial" w:cs="Arial" w:eastAsia="Arial" w:hint="default"/>
                <w:sz w:val="16"/>
                <w:szCs w:val="16"/>
              </w:rPr>
            </w:pPr>
            <w:r>
              <w:rPr>
                <w:rFonts w:ascii="Arial"/>
                <w:w w:val="95"/>
                <w:sz w:val="16"/>
              </w:rPr>
              <w:t>-</w:t>
              <w:tab/>
              <w:t>294,619,936</w:t>
            </w:r>
            <w:r>
              <w:rPr>
                <w:rFonts w:ascii="Arial"/>
                <w:sz w:val="16"/>
              </w:rPr>
            </w:r>
          </w:p>
        </w:tc>
        <w:tc>
          <w:tcPr>
            <w:tcW w:w="3015" w:type="dxa"/>
            <w:tcBorders>
              <w:top w:val="nil" w:sz="6" w:space="0" w:color="auto"/>
              <w:left w:val="nil" w:sz="6" w:space="0" w:color="auto"/>
              <w:bottom w:val="nil" w:sz="6" w:space="0" w:color="auto"/>
              <w:right w:val="nil" w:sz="6" w:space="0" w:color="auto"/>
            </w:tcBorders>
          </w:tcPr>
          <w:p>
            <w:pPr>
              <w:pStyle w:val="TableParagraph"/>
              <w:tabs>
                <w:tab w:pos="936" w:val="left" w:leader="none"/>
                <w:tab w:pos="1330" w:val="left" w:leader="none"/>
              </w:tabs>
              <w:spacing w:line="240" w:lineRule="auto" w:before="13"/>
              <w:ind w:right="209"/>
              <w:jc w:val="right"/>
              <w:rPr>
                <w:rFonts w:ascii="Arial" w:hAnsi="Arial" w:cs="Arial" w:eastAsia="Arial" w:hint="default"/>
                <w:sz w:val="16"/>
                <w:szCs w:val="16"/>
              </w:rPr>
            </w:pPr>
            <w:r>
              <w:rPr>
                <w:rFonts w:ascii="Arial"/>
                <w:w w:val="95"/>
                <w:sz w:val="16"/>
              </w:rPr>
              <w:t>-</w:t>
              <w:tab/>
              <w:t>-</w:t>
              <w:tab/>
              <w:t>294,619,936</w:t>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
              <w:jc w:val="right"/>
              <w:rPr>
                <w:rFonts w:ascii="Arial" w:hAnsi="Arial" w:cs="Arial" w:eastAsia="Arial" w:hint="default"/>
                <w:sz w:val="16"/>
                <w:szCs w:val="16"/>
              </w:rPr>
            </w:pPr>
            <w:r>
              <w:rPr>
                <w:rFonts w:ascii="Arial"/>
                <w:w w:val="95"/>
                <w:sz w:val="16"/>
              </w:rPr>
              <w:t>95%</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8"/>
              <w:jc w:val="right"/>
              <w:rPr>
                <w:rFonts w:ascii="Arial" w:hAnsi="Arial" w:cs="Arial" w:eastAsia="Arial" w:hint="default"/>
                <w:sz w:val="16"/>
                <w:szCs w:val="16"/>
              </w:rPr>
            </w:pPr>
            <w:r>
              <w:rPr>
                <w:rFonts w:ascii="Arial"/>
                <w:w w:val="95"/>
                <w:sz w:val="16"/>
              </w:rPr>
              <w:t>3,230,179</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Arial" w:hAnsi="Arial" w:cs="Arial" w:eastAsia="Arial" w:hint="default"/>
                <w:sz w:val="16"/>
                <w:szCs w:val="16"/>
              </w:rPr>
            </w:pPr>
            <w:r>
              <w:rPr>
                <w:rFonts w:ascii="Arial"/>
                <w:sz w:val="16"/>
              </w:rPr>
              <w:t>3,230,179</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nil" w:sz="6" w:space="0" w:color="auto"/>
              <w:left w:val="nil" w:sz="6" w:space="0" w:color="auto"/>
              <w:bottom w:val="nil" w:sz="6" w:space="0" w:color="auto"/>
              <w:right w:val="nil" w:sz="6" w:space="0" w:color="auto"/>
            </w:tcBorders>
          </w:tcPr>
          <w:p>
            <w:pPr>
              <w:pStyle w:val="TableParagraph"/>
              <w:spacing w:line="173" w:lineRule="exact"/>
              <w:ind w:left="75" w:right="0"/>
              <w:jc w:val="left"/>
              <w:rPr>
                <w:rFonts w:ascii="宋体" w:hAnsi="宋体" w:cs="宋体" w:eastAsia="宋体" w:hint="default"/>
                <w:sz w:val="16"/>
                <w:szCs w:val="16"/>
              </w:rPr>
            </w:pPr>
            <w:r>
              <w:rPr>
                <w:rFonts w:ascii="宋体" w:hAnsi="宋体" w:cs="宋体" w:eastAsia="宋体" w:hint="default"/>
                <w:sz w:val="16"/>
                <w:szCs w:val="16"/>
              </w:rPr>
              <w:t>同约</w:t>
            </w:r>
          </w:p>
          <w:p>
            <w:pPr>
              <w:pStyle w:val="TableParagraph"/>
              <w:spacing w:line="208" w:lineRule="exact"/>
              <w:ind w:left="75" w:right="0"/>
              <w:jc w:val="left"/>
              <w:rPr>
                <w:rFonts w:ascii="宋体" w:hAnsi="宋体" w:cs="宋体" w:eastAsia="宋体" w:hint="default"/>
                <w:sz w:val="16"/>
                <w:szCs w:val="16"/>
              </w:rPr>
            </w:pPr>
            <w:r>
              <w:rPr>
                <w:rFonts w:ascii="宋体" w:hAnsi="宋体" w:cs="宋体" w:eastAsia="宋体" w:hint="default"/>
                <w:w w:val="99"/>
                <w:sz w:val="16"/>
                <w:szCs w:val="16"/>
              </w:rPr>
              <w:t>定</w:t>
            </w:r>
            <w:r>
              <w:rPr>
                <w:rFonts w:ascii="宋体" w:hAnsi="宋体" w:cs="宋体" w:eastAsia="宋体" w:hint="default"/>
                <w:spacing w:val="-78"/>
                <w:w w:val="99"/>
                <w:sz w:val="16"/>
                <w:szCs w:val="16"/>
              </w:rPr>
              <w:t>、</w:t>
            </w:r>
            <w:r>
              <w:rPr>
                <w:rFonts w:ascii="宋体" w:hAnsi="宋体" w:cs="宋体" w:eastAsia="宋体" w:hint="default"/>
                <w:w w:val="99"/>
                <w:sz w:val="16"/>
                <w:szCs w:val="16"/>
              </w:rPr>
              <w:t>完</w:t>
            </w:r>
            <w:r>
              <w:rPr>
                <w:rFonts w:ascii="宋体" w:hAnsi="宋体" w:cs="宋体" w:eastAsia="宋体" w:hint="default"/>
                <w:sz w:val="16"/>
                <w:szCs w:val="16"/>
              </w:rPr>
            </w:r>
          </w:p>
        </w:tc>
      </w:tr>
      <w:tr>
        <w:trPr>
          <w:trHeight w:val="214"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191" w:lineRule="exact"/>
              <w:ind w:left="709" w:right="0"/>
              <w:jc w:val="left"/>
              <w:rPr>
                <w:rFonts w:ascii="宋体" w:hAnsi="宋体" w:cs="宋体" w:eastAsia="宋体" w:hint="default"/>
                <w:sz w:val="16"/>
                <w:szCs w:val="16"/>
              </w:rPr>
            </w:pPr>
            <w:r>
              <w:rPr>
                <w:rFonts w:ascii="Arial" w:hAnsi="Arial" w:cs="Arial" w:eastAsia="Arial" w:hint="default"/>
                <w:sz w:val="16"/>
                <w:szCs w:val="16"/>
              </w:rPr>
              <w:t>/WLAN</w:t>
            </w:r>
            <w:r>
              <w:rPr>
                <w:rFonts w:ascii="Arial" w:hAnsi="Arial" w:cs="Arial" w:eastAsia="Arial" w:hint="default"/>
                <w:spacing w:val="-8"/>
                <w:sz w:val="16"/>
                <w:szCs w:val="16"/>
              </w:rPr>
              <w:t> </w:t>
            </w:r>
            <w:r>
              <w:rPr>
                <w:rFonts w:ascii="宋体" w:hAnsi="宋体" w:cs="宋体" w:eastAsia="宋体" w:hint="default"/>
                <w:sz w:val="16"/>
                <w:szCs w:val="16"/>
              </w:rPr>
              <w:t>本地传输接入新建工程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8"/>
              <w:jc w:val="right"/>
              <w:rPr>
                <w:rFonts w:ascii="Arial" w:hAnsi="Arial" w:cs="Arial" w:eastAsia="Arial" w:hint="default"/>
                <w:sz w:val="16"/>
                <w:szCs w:val="16"/>
              </w:rPr>
            </w:pPr>
            <w:r>
              <w:rPr>
                <w:rFonts w:ascii="Arial"/>
                <w:w w:val="95"/>
                <w:sz w:val="16"/>
              </w:rPr>
              <w:t>277</w:t>
            </w:r>
            <w:r>
              <w:rPr>
                <w:rFonts w:ascii="Arial"/>
                <w:sz w:val="16"/>
              </w:rPr>
            </w:r>
          </w:p>
        </w:tc>
        <w:tc>
          <w:tcPr>
            <w:tcW w:w="2241"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19"/>
              <w:ind w:right="117"/>
              <w:jc w:val="right"/>
              <w:rPr>
                <w:rFonts w:ascii="Arial" w:hAnsi="Arial" w:cs="Arial" w:eastAsia="Arial" w:hint="default"/>
                <w:sz w:val="16"/>
                <w:szCs w:val="16"/>
              </w:rPr>
            </w:pPr>
            <w:r>
              <w:rPr>
                <w:rFonts w:ascii="Arial"/>
                <w:w w:val="95"/>
                <w:sz w:val="16"/>
              </w:rPr>
              <w:t>-</w:t>
              <w:tab/>
              <w:t>264,436,596</w:t>
            </w:r>
            <w:r>
              <w:rPr>
                <w:rFonts w:ascii="Arial"/>
                <w:sz w:val="16"/>
              </w:rPr>
            </w:r>
          </w:p>
        </w:tc>
        <w:tc>
          <w:tcPr>
            <w:tcW w:w="3015" w:type="dxa"/>
            <w:tcBorders>
              <w:top w:val="nil" w:sz="6" w:space="0" w:color="auto"/>
              <w:left w:val="nil" w:sz="6" w:space="0" w:color="auto"/>
              <w:bottom w:val="nil" w:sz="6" w:space="0" w:color="auto"/>
              <w:right w:val="nil" w:sz="6" w:space="0" w:color="auto"/>
            </w:tcBorders>
          </w:tcPr>
          <w:p>
            <w:pPr>
              <w:pStyle w:val="TableParagraph"/>
              <w:tabs>
                <w:tab w:pos="936" w:val="left" w:leader="none"/>
                <w:tab w:pos="1330" w:val="left" w:leader="none"/>
              </w:tabs>
              <w:spacing w:line="240" w:lineRule="auto" w:before="19"/>
              <w:ind w:right="209"/>
              <w:jc w:val="right"/>
              <w:rPr>
                <w:rFonts w:ascii="Arial" w:hAnsi="Arial" w:cs="Arial" w:eastAsia="Arial" w:hint="default"/>
                <w:sz w:val="16"/>
                <w:szCs w:val="16"/>
              </w:rPr>
            </w:pPr>
            <w:r>
              <w:rPr>
                <w:rFonts w:ascii="Arial"/>
                <w:w w:val="95"/>
                <w:sz w:val="16"/>
              </w:rPr>
              <w:t>-</w:t>
              <w:tab/>
              <w:t>-</w:t>
              <w:tab/>
              <w:t>264,436,596</w:t>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6"/>
                <w:szCs w:val="16"/>
              </w:rPr>
            </w:pPr>
            <w:r>
              <w:rPr>
                <w:rFonts w:ascii="Arial"/>
                <w:w w:val="95"/>
                <w:sz w:val="16"/>
              </w:rPr>
              <w:t>95%</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8"/>
              <w:jc w:val="right"/>
              <w:rPr>
                <w:rFonts w:ascii="Arial" w:hAnsi="Arial" w:cs="Arial" w:eastAsia="Arial" w:hint="default"/>
                <w:sz w:val="16"/>
                <w:szCs w:val="16"/>
              </w:rPr>
            </w:pPr>
            <w:r>
              <w:rPr>
                <w:rFonts w:ascii="Arial"/>
                <w:w w:val="95"/>
                <w:sz w:val="16"/>
              </w:rPr>
              <w:t>4,025,095</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1" w:right="0"/>
              <w:jc w:val="left"/>
              <w:rPr>
                <w:rFonts w:ascii="Arial" w:hAnsi="Arial" w:cs="Arial" w:eastAsia="Arial" w:hint="default"/>
                <w:sz w:val="16"/>
                <w:szCs w:val="16"/>
              </w:rPr>
            </w:pPr>
            <w:r>
              <w:rPr>
                <w:rFonts w:ascii="Arial"/>
                <w:sz w:val="16"/>
              </w:rPr>
              <w:t>4,025,095</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180" w:lineRule="exact"/>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nil" w:sz="6" w:space="0" w:color="auto"/>
              <w:left w:val="nil" w:sz="6" w:space="0" w:color="auto"/>
              <w:bottom w:val="nil" w:sz="6" w:space="0" w:color="auto"/>
              <w:right w:val="nil" w:sz="6" w:space="0" w:color="auto"/>
            </w:tcBorders>
          </w:tcPr>
          <w:p>
            <w:pPr>
              <w:pStyle w:val="TableParagraph"/>
              <w:spacing w:line="180" w:lineRule="exact"/>
              <w:ind w:left="75" w:right="0"/>
              <w:jc w:val="left"/>
              <w:rPr>
                <w:rFonts w:ascii="宋体" w:hAnsi="宋体" w:cs="宋体" w:eastAsia="宋体" w:hint="default"/>
                <w:sz w:val="16"/>
                <w:szCs w:val="16"/>
              </w:rPr>
            </w:pPr>
            <w:r>
              <w:rPr>
                <w:rFonts w:ascii="宋体" w:hAnsi="宋体" w:cs="宋体" w:eastAsia="宋体" w:hint="default"/>
                <w:sz w:val="16"/>
                <w:szCs w:val="16"/>
              </w:rPr>
              <w:t>工指</w:t>
            </w:r>
          </w:p>
        </w:tc>
      </w:tr>
      <w:tr>
        <w:trPr>
          <w:trHeight w:val="208"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185" w:lineRule="exact"/>
              <w:ind w:left="548" w:right="0"/>
              <w:jc w:val="left"/>
              <w:rPr>
                <w:rFonts w:ascii="宋体" w:hAnsi="宋体" w:cs="宋体" w:eastAsia="宋体" w:hint="default"/>
                <w:sz w:val="16"/>
                <w:szCs w:val="16"/>
              </w:rPr>
            </w:pPr>
            <w:r>
              <w:rPr>
                <w:rFonts w:ascii="宋体" w:hAnsi="宋体" w:cs="宋体" w:eastAsia="宋体" w:hint="default"/>
                <w:sz w:val="16"/>
                <w:szCs w:val="16"/>
              </w:rPr>
              <w:t>湖南</w:t>
            </w:r>
            <w:r>
              <w:rPr>
                <w:rFonts w:ascii="Arial" w:hAnsi="Arial" w:cs="Arial" w:eastAsia="Arial" w:hint="default"/>
                <w:sz w:val="16"/>
                <w:szCs w:val="16"/>
              </w:rPr>
              <w:t>-2011</w:t>
            </w:r>
            <w:r>
              <w:rPr>
                <w:rFonts w:ascii="Arial" w:hAnsi="Arial" w:cs="Arial" w:eastAsia="Arial" w:hint="default"/>
                <w:spacing w:val="-10"/>
                <w:sz w:val="16"/>
                <w:szCs w:val="16"/>
              </w:rPr>
              <w:t> </w:t>
            </w:r>
            <w:r>
              <w:rPr>
                <w:rFonts w:ascii="宋体" w:hAnsi="宋体" w:cs="宋体" w:eastAsia="宋体" w:hint="default"/>
                <w:sz w:val="16"/>
                <w:szCs w:val="16"/>
              </w:rPr>
              <w:t>年中国联通湖南移动网配套扩容工程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8"/>
              <w:jc w:val="right"/>
              <w:rPr>
                <w:rFonts w:ascii="Arial" w:hAnsi="Arial" w:cs="Arial" w:eastAsia="Arial" w:hint="default"/>
                <w:sz w:val="16"/>
                <w:szCs w:val="16"/>
              </w:rPr>
            </w:pPr>
            <w:r>
              <w:rPr>
                <w:rFonts w:ascii="Arial"/>
                <w:w w:val="95"/>
                <w:sz w:val="16"/>
              </w:rPr>
              <w:t>282</w:t>
            </w:r>
            <w:r>
              <w:rPr>
                <w:rFonts w:ascii="Arial"/>
                <w:sz w:val="16"/>
              </w:rPr>
            </w:r>
          </w:p>
        </w:tc>
        <w:tc>
          <w:tcPr>
            <w:tcW w:w="2241"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13"/>
              <w:ind w:right="117"/>
              <w:jc w:val="right"/>
              <w:rPr>
                <w:rFonts w:ascii="Arial" w:hAnsi="Arial" w:cs="Arial" w:eastAsia="Arial" w:hint="default"/>
                <w:sz w:val="16"/>
                <w:szCs w:val="16"/>
              </w:rPr>
            </w:pPr>
            <w:r>
              <w:rPr>
                <w:rFonts w:ascii="Arial"/>
                <w:w w:val="95"/>
                <w:sz w:val="16"/>
              </w:rPr>
              <w:t>-</w:t>
              <w:tab/>
              <w:t>261,462,551</w:t>
            </w:r>
            <w:r>
              <w:rPr>
                <w:rFonts w:ascii="Arial"/>
                <w:sz w:val="16"/>
              </w:rPr>
            </w:r>
          </w:p>
        </w:tc>
        <w:tc>
          <w:tcPr>
            <w:tcW w:w="3015" w:type="dxa"/>
            <w:tcBorders>
              <w:top w:val="nil" w:sz="6" w:space="0" w:color="auto"/>
              <w:left w:val="nil" w:sz="6" w:space="0" w:color="auto"/>
              <w:bottom w:val="nil" w:sz="6" w:space="0" w:color="auto"/>
              <w:right w:val="nil" w:sz="6" w:space="0" w:color="auto"/>
            </w:tcBorders>
          </w:tcPr>
          <w:p>
            <w:pPr>
              <w:pStyle w:val="TableParagraph"/>
              <w:tabs>
                <w:tab w:pos="936" w:val="left" w:leader="none"/>
                <w:tab w:pos="1330" w:val="left" w:leader="none"/>
              </w:tabs>
              <w:spacing w:line="240" w:lineRule="auto" w:before="13"/>
              <w:ind w:right="209"/>
              <w:jc w:val="right"/>
              <w:rPr>
                <w:rFonts w:ascii="Arial" w:hAnsi="Arial" w:cs="Arial" w:eastAsia="Arial" w:hint="default"/>
                <w:sz w:val="16"/>
                <w:szCs w:val="16"/>
              </w:rPr>
            </w:pPr>
            <w:r>
              <w:rPr>
                <w:rFonts w:ascii="Arial"/>
                <w:w w:val="95"/>
                <w:sz w:val="16"/>
              </w:rPr>
              <w:t>-</w:t>
              <w:tab/>
              <w:t>-</w:t>
              <w:tab/>
              <w:t>261,462,551</w:t>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
              <w:jc w:val="right"/>
              <w:rPr>
                <w:rFonts w:ascii="Arial" w:hAnsi="Arial" w:cs="Arial" w:eastAsia="Arial" w:hint="default"/>
                <w:sz w:val="16"/>
                <w:szCs w:val="16"/>
              </w:rPr>
            </w:pPr>
            <w:r>
              <w:rPr>
                <w:rFonts w:ascii="Arial"/>
                <w:w w:val="95"/>
                <w:sz w:val="16"/>
              </w:rPr>
              <w:t>93%</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8"/>
              <w:jc w:val="right"/>
              <w:rPr>
                <w:rFonts w:ascii="Arial" w:hAnsi="Arial" w:cs="Arial" w:eastAsia="Arial" w:hint="default"/>
                <w:sz w:val="16"/>
                <w:szCs w:val="16"/>
              </w:rPr>
            </w:pPr>
            <w:r>
              <w:rPr>
                <w:rFonts w:ascii="Arial"/>
                <w:w w:val="95"/>
                <w:sz w:val="16"/>
              </w:rPr>
              <w:t>2,187,833</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Arial" w:hAnsi="Arial" w:cs="Arial" w:eastAsia="Arial" w:hint="default"/>
                <w:sz w:val="16"/>
                <w:szCs w:val="16"/>
              </w:rPr>
            </w:pPr>
            <w:r>
              <w:rPr>
                <w:rFonts w:ascii="Arial"/>
                <w:sz w:val="16"/>
              </w:rPr>
              <w:t>2,187,833</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nil" w:sz="6" w:space="0" w:color="auto"/>
              <w:left w:val="nil" w:sz="6" w:space="0" w:color="auto"/>
              <w:bottom w:val="nil" w:sz="6" w:space="0" w:color="auto"/>
              <w:right w:val="nil" w:sz="6" w:space="0" w:color="auto"/>
            </w:tcBorders>
          </w:tcPr>
          <w:p>
            <w:pPr>
              <w:pStyle w:val="TableParagraph"/>
              <w:spacing w:line="174" w:lineRule="exact"/>
              <w:ind w:left="75" w:right="0"/>
              <w:jc w:val="left"/>
              <w:rPr>
                <w:rFonts w:ascii="宋体" w:hAnsi="宋体" w:cs="宋体" w:eastAsia="宋体" w:hint="default"/>
                <w:sz w:val="16"/>
                <w:szCs w:val="16"/>
              </w:rPr>
            </w:pPr>
            <w:r>
              <w:rPr>
                <w:rFonts w:ascii="宋体" w:hAnsi="宋体" w:cs="宋体" w:eastAsia="宋体" w:hint="default"/>
                <w:sz w:val="16"/>
                <w:szCs w:val="16"/>
              </w:rPr>
              <w:t>标为</w:t>
            </w:r>
          </w:p>
        </w:tc>
      </w:tr>
      <w:tr>
        <w:trPr>
          <w:trHeight w:val="207"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185" w:lineRule="exact"/>
              <w:ind w:left="548" w:right="0"/>
              <w:jc w:val="left"/>
              <w:rPr>
                <w:rFonts w:ascii="宋体" w:hAnsi="宋体" w:cs="宋体" w:eastAsia="宋体" w:hint="default"/>
                <w:sz w:val="16"/>
                <w:szCs w:val="16"/>
              </w:rPr>
            </w:pPr>
            <w:r>
              <w:rPr>
                <w:rFonts w:ascii="宋体" w:hAnsi="宋体" w:cs="宋体" w:eastAsia="宋体" w:hint="default"/>
                <w:sz w:val="16"/>
                <w:szCs w:val="16"/>
              </w:rPr>
              <w:t>甘肃</w:t>
            </w:r>
            <w:r>
              <w:rPr>
                <w:rFonts w:ascii="Arial" w:hAnsi="Arial" w:cs="Arial" w:eastAsia="Arial" w:hint="default"/>
                <w:sz w:val="16"/>
                <w:szCs w:val="16"/>
              </w:rPr>
              <w:t>-2011</w:t>
            </w:r>
            <w:r>
              <w:rPr>
                <w:rFonts w:ascii="Arial" w:hAnsi="Arial" w:cs="Arial" w:eastAsia="Arial" w:hint="default"/>
                <w:spacing w:val="-10"/>
                <w:sz w:val="16"/>
                <w:szCs w:val="16"/>
              </w:rPr>
              <w:t> </w:t>
            </w:r>
            <w:r>
              <w:rPr>
                <w:rFonts w:ascii="宋体" w:hAnsi="宋体" w:cs="宋体" w:eastAsia="宋体" w:hint="default"/>
                <w:sz w:val="16"/>
                <w:szCs w:val="16"/>
              </w:rPr>
              <w:t>年中国联通甘肃移动网配套扩容工程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8"/>
              <w:jc w:val="right"/>
              <w:rPr>
                <w:rFonts w:ascii="Arial" w:hAnsi="Arial" w:cs="Arial" w:eastAsia="Arial" w:hint="default"/>
                <w:sz w:val="16"/>
                <w:szCs w:val="16"/>
              </w:rPr>
            </w:pPr>
            <w:r>
              <w:rPr>
                <w:rFonts w:ascii="Arial"/>
                <w:w w:val="95"/>
                <w:sz w:val="16"/>
              </w:rPr>
              <w:t>230</w:t>
            </w:r>
            <w:r>
              <w:rPr>
                <w:rFonts w:ascii="Arial"/>
                <w:sz w:val="16"/>
              </w:rPr>
            </w:r>
          </w:p>
        </w:tc>
        <w:tc>
          <w:tcPr>
            <w:tcW w:w="2241"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12"/>
              <w:ind w:right="117"/>
              <w:jc w:val="right"/>
              <w:rPr>
                <w:rFonts w:ascii="Arial" w:hAnsi="Arial" w:cs="Arial" w:eastAsia="Arial" w:hint="default"/>
                <w:sz w:val="16"/>
                <w:szCs w:val="16"/>
              </w:rPr>
            </w:pPr>
            <w:r>
              <w:rPr>
                <w:rFonts w:ascii="Arial"/>
                <w:w w:val="95"/>
                <w:sz w:val="16"/>
              </w:rPr>
              <w:t>-</w:t>
              <w:tab/>
              <w:t>228,149,579</w:t>
            </w:r>
            <w:r>
              <w:rPr>
                <w:rFonts w:ascii="Arial"/>
                <w:sz w:val="16"/>
              </w:rPr>
            </w:r>
          </w:p>
        </w:tc>
        <w:tc>
          <w:tcPr>
            <w:tcW w:w="3015" w:type="dxa"/>
            <w:tcBorders>
              <w:top w:val="nil" w:sz="6" w:space="0" w:color="auto"/>
              <w:left w:val="nil" w:sz="6" w:space="0" w:color="auto"/>
              <w:bottom w:val="nil" w:sz="6" w:space="0" w:color="auto"/>
              <w:right w:val="nil" w:sz="6" w:space="0" w:color="auto"/>
            </w:tcBorders>
          </w:tcPr>
          <w:p>
            <w:pPr>
              <w:pStyle w:val="TableParagraph"/>
              <w:tabs>
                <w:tab w:pos="936" w:val="left" w:leader="none"/>
                <w:tab w:pos="1330" w:val="left" w:leader="none"/>
              </w:tabs>
              <w:spacing w:line="240" w:lineRule="auto" w:before="12"/>
              <w:ind w:right="209"/>
              <w:jc w:val="right"/>
              <w:rPr>
                <w:rFonts w:ascii="Arial" w:hAnsi="Arial" w:cs="Arial" w:eastAsia="Arial" w:hint="default"/>
                <w:sz w:val="16"/>
                <w:szCs w:val="16"/>
              </w:rPr>
            </w:pPr>
            <w:r>
              <w:rPr>
                <w:rFonts w:ascii="Arial"/>
                <w:w w:val="95"/>
                <w:sz w:val="16"/>
              </w:rPr>
              <w:t>-</w:t>
              <w:tab/>
              <w:t>-</w:t>
              <w:tab/>
              <w:t>228,149,579</w:t>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Arial" w:hAnsi="Arial" w:cs="Arial" w:eastAsia="Arial" w:hint="default"/>
                <w:sz w:val="16"/>
                <w:szCs w:val="16"/>
              </w:rPr>
            </w:pPr>
            <w:r>
              <w:rPr>
                <w:rFonts w:ascii="Arial"/>
                <w:w w:val="95"/>
                <w:sz w:val="16"/>
              </w:rPr>
              <w:t>99%</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Arial" w:hAnsi="Arial" w:cs="Arial" w:eastAsia="Arial" w:hint="default"/>
                <w:sz w:val="16"/>
                <w:szCs w:val="16"/>
              </w:rPr>
            </w:pPr>
            <w:r>
              <w:rPr>
                <w:rFonts w:ascii="Arial"/>
                <w:w w:val="95"/>
                <w:sz w:val="16"/>
              </w:rPr>
              <w:t>4,245,476</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1" w:right="0"/>
              <w:jc w:val="left"/>
              <w:rPr>
                <w:rFonts w:ascii="Arial" w:hAnsi="Arial" w:cs="Arial" w:eastAsia="Arial" w:hint="default"/>
                <w:sz w:val="16"/>
                <w:szCs w:val="16"/>
              </w:rPr>
            </w:pPr>
            <w:r>
              <w:rPr>
                <w:rFonts w:ascii="Arial"/>
                <w:sz w:val="16"/>
              </w:rPr>
              <w:t>4,245,476</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nil" w:sz="6" w:space="0" w:color="auto"/>
              <w:left w:val="nil" w:sz="6" w:space="0" w:color="auto"/>
              <w:bottom w:val="nil" w:sz="6" w:space="0" w:color="auto"/>
              <w:right w:val="nil" w:sz="6" w:space="0" w:color="auto"/>
            </w:tcBorders>
          </w:tcPr>
          <w:p>
            <w:pPr>
              <w:pStyle w:val="TableParagraph"/>
              <w:spacing w:line="174" w:lineRule="exact"/>
              <w:ind w:left="75" w:right="0"/>
              <w:jc w:val="left"/>
              <w:rPr>
                <w:rFonts w:ascii="宋体" w:hAnsi="宋体" w:cs="宋体" w:eastAsia="宋体" w:hint="default"/>
                <w:sz w:val="16"/>
                <w:szCs w:val="16"/>
              </w:rPr>
            </w:pPr>
            <w:r>
              <w:rPr>
                <w:rFonts w:ascii="宋体" w:hAnsi="宋体" w:cs="宋体" w:eastAsia="宋体" w:hint="default"/>
                <w:sz w:val="16"/>
                <w:szCs w:val="16"/>
              </w:rPr>
              <w:t>基础</w:t>
            </w:r>
          </w:p>
        </w:tc>
      </w:tr>
      <w:tr>
        <w:trPr>
          <w:trHeight w:val="208"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186" w:lineRule="exact"/>
              <w:ind w:left="548" w:right="0"/>
              <w:jc w:val="left"/>
              <w:rPr>
                <w:rFonts w:ascii="宋体" w:hAnsi="宋体" w:cs="宋体" w:eastAsia="宋体" w:hint="default"/>
                <w:sz w:val="16"/>
                <w:szCs w:val="16"/>
              </w:rPr>
            </w:pPr>
            <w:r>
              <w:rPr>
                <w:rFonts w:ascii="宋体" w:hAnsi="宋体" w:cs="宋体" w:eastAsia="宋体" w:hint="default"/>
                <w:sz w:val="16"/>
                <w:szCs w:val="16"/>
              </w:rPr>
              <w:t>广东</w:t>
            </w: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年中国联通广东</w:t>
            </w:r>
            <w:r>
              <w:rPr>
                <w:rFonts w:ascii="宋体" w:hAnsi="宋体" w:cs="宋体" w:eastAsia="宋体" w:hint="default"/>
                <w:spacing w:val="-43"/>
                <w:sz w:val="16"/>
                <w:szCs w:val="16"/>
              </w:rPr>
              <w:t> </w:t>
            </w:r>
            <w:r>
              <w:rPr>
                <w:rFonts w:ascii="Arial" w:hAnsi="Arial" w:cs="Arial" w:eastAsia="Arial" w:hint="default"/>
                <w:sz w:val="16"/>
                <w:szCs w:val="16"/>
              </w:rPr>
              <w:t>IP</w:t>
            </w:r>
            <w:r>
              <w:rPr>
                <w:rFonts w:ascii="Arial" w:hAnsi="Arial" w:cs="Arial" w:eastAsia="Arial" w:hint="default"/>
                <w:spacing w:val="-6"/>
                <w:sz w:val="16"/>
                <w:szCs w:val="16"/>
              </w:rPr>
              <w:t> </w:t>
            </w:r>
            <w:r>
              <w:rPr>
                <w:rFonts w:ascii="宋体" w:hAnsi="宋体" w:cs="宋体" w:eastAsia="宋体" w:hint="default"/>
                <w:sz w:val="16"/>
                <w:szCs w:val="16"/>
              </w:rPr>
              <w:t>城域网设备扩容工程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8"/>
              <w:jc w:val="right"/>
              <w:rPr>
                <w:rFonts w:ascii="Arial" w:hAnsi="Arial" w:cs="Arial" w:eastAsia="Arial" w:hint="default"/>
                <w:sz w:val="16"/>
                <w:szCs w:val="16"/>
              </w:rPr>
            </w:pPr>
            <w:r>
              <w:rPr>
                <w:rFonts w:ascii="Arial"/>
                <w:w w:val="95"/>
                <w:sz w:val="16"/>
              </w:rPr>
              <w:t>275</w:t>
            </w:r>
            <w:r>
              <w:rPr>
                <w:rFonts w:ascii="Arial"/>
                <w:sz w:val="16"/>
              </w:rPr>
            </w:r>
          </w:p>
        </w:tc>
        <w:tc>
          <w:tcPr>
            <w:tcW w:w="2241"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12"/>
              <w:ind w:right="117"/>
              <w:jc w:val="right"/>
              <w:rPr>
                <w:rFonts w:ascii="Arial" w:hAnsi="Arial" w:cs="Arial" w:eastAsia="Arial" w:hint="default"/>
                <w:sz w:val="16"/>
                <w:szCs w:val="16"/>
              </w:rPr>
            </w:pPr>
            <w:r>
              <w:rPr>
                <w:rFonts w:ascii="Arial"/>
                <w:w w:val="95"/>
                <w:sz w:val="16"/>
              </w:rPr>
              <w:t>-</w:t>
              <w:tab/>
              <w:t>223,809,870</w:t>
            </w:r>
            <w:r>
              <w:rPr>
                <w:rFonts w:ascii="Arial"/>
                <w:sz w:val="16"/>
              </w:rPr>
            </w:r>
          </w:p>
        </w:tc>
        <w:tc>
          <w:tcPr>
            <w:tcW w:w="3015" w:type="dxa"/>
            <w:tcBorders>
              <w:top w:val="nil" w:sz="6" w:space="0" w:color="auto"/>
              <w:left w:val="nil" w:sz="6" w:space="0" w:color="auto"/>
              <w:bottom w:val="nil" w:sz="6" w:space="0" w:color="auto"/>
              <w:right w:val="nil" w:sz="6" w:space="0" w:color="auto"/>
            </w:tcBorders>
          </w:tcPr>
          <w:p>
            <w:pPr>
              <w:pStyle w:val="TableParagraph"/>
              <w:tabs>
                <w:tab w:pos="936" w:val="left" w:leader="none"/>
                <w:tab w:pos="1330" w:val="left" w:leader="none"/>
              </w:tabs>
              <w:spacing w:line="240" w:lineRule="auto" w:before="12"/>
              <w:ind w:right="209"/>
              <w:jc w:val="right"/>
              <w:rPr>
                <w:rFonts w:ascii="Arial" w:hAnsi="Arial" w:cs="Arial" w:eastAsia="Arial" w:hint="default"/>
                <w:sz w:val="16"/>
                <w:szCs w:val="16"/>
              </w:rPr>
            </w:pPr>
            <w:r>
              <w:rPr>
                <w:rFonts w:ascii="Arial"/>
                <w:w w:val="95"/>
                <w:sz w:val="16"/>
              </w:rPr>
              <w:t>-</w:t>
              <w:tab/>
              <w:t>-</w:t>
              <w:tab/>
              <w:t>223,809,870</w:t>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Arial" w:hAnsi="Arial" w:cs="Arial" w:eastAsia="Arial" w:hint="default"/>
                <w:sz w:val="16"/>
                <w:szCs w:val="16"/>
              </w:rPr>
            </w:pPr>
            <w:r>
              <w:rPr>
                <w:rFonts w:ascii="Arial"/>
                <w:w w:val="95"/>
                <w:sz w:val="16"/>
              </w:rPr>
              <w:t>81%</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Arial" w:hAnsi="Arial" w:cs="Arial" w:eastAsia="Arial" w:hint="default"/>
                <w:sz w:val="16"/>
                <w:szCs w:val="16"/>
              </w:rPr>
            </w:pPr>
            <w:r>
              <w:rPr>
                <w:rFonts w:ascii="Arial"/>
                <w:w w:val="95"/>
                <w:sz w:val="16"/>
              </w:rPr>
              <w:t>1,633,895</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1" w:right="0"/>
              <w:jc w:val="left"/>
              <w:rPr>
                <w:rFonts w:ascii="Arial" w:hAnsi="Arial" w:cs="Arial" w:eastAsia="Arial" w:hint="default"/>
                <w:sz w:val="16"/>
                <w:szCs w:val="16"/>
              </w:rPr>
            </w:pPr>
            <w:r>
              <w:rPr>
                <w:rFonts w:ascii="Arial"/>
                <w:sz w:val="16"/>
              </w:rPr>
              <w:t>1,633,895</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nil" w:sz="6" w:space="0" w:color="auto"/>
              <w:left w:val="nil" w:sz="6" w:space="0" w:color="auto"/>
              <w:bottom w:val="nil" w:sz="6" w:space="0" w:color="auto"/>
              <w:right w:val="nil" w:sz="6" w:space="0" w:color="auto"/>
            </w:tcBorders>
          </w:tcPr>
          <w:p>
            <w:pPr>
              <w:pStyle w:val="TableParagraph"/>
              <w:spacing w:line="174" w:lineRule="exact"/>
              <w:ind w:left="75" w:right="0"/>
              <w:jc w:val="left"/>
              <w:rPr>
                <w:rFonts w:ascii="宋体" w:hAnsi="宋体" w:cs="宋体" w:eastAsia="宋体" w:hint="default"/>
                <w:sz w:val="16"/>
                <w:szCs w:val="16"/>
              </w:rPr>
            </w:pPr>
            <w:r>
              <w:rPr>
                <w:rFonts w:ascii="宋体" w:hAnsi="宋体" w:cs="宋体" w:eastAsia="宋体" w:hint="default"/>
                <w:sz w:val="16"/>
                <w:szCs w:val="16"/>
              </w:rPr>
              <w:t>进行</w:t>
            </w:r>
          </w:p>
        </w:tc>
      </w:tr>
      <w:tr>
        <w:trPr>
          <w:trHeight w:val="220"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186" w:lineRule="exact"/>
              <w:ind w:left="548" w:right="0"/>
              <w:jc w:val="left"/>
              <w:rPr>
                <w:rFonts w:ascii="宋体" w:hAnsi="宋体" w:cs="宋体" w:eastAsia="宋体" w:hint="default"/>
                <w:sz w:val="16"/>
                <w:szCs w:val="16"/>
              </w:rPr>
            </w:pPr>
            <w:r>
              <w:rPr>
                <w:rFonts w:ascii="宋体" w:hAnsi="宋体" w:cs="宋体" w:eastAsia="宋体" w:hint="default"/>
                <w:sz w:val="16"/>
                <w:szCs w:val="16"/>
              </w:rPr>
              <w:t>湖南</w:t>
            </w:r>
            <w:r>
              <w:rPr>
                <w:rFonts w:ascii="Arial" w:hAnsi="Arial" w:cs="Arial" w:eastAsia="Arial" w:hint="default"/>
                <w:sz w:val="16"/>
                <w:szCs w:val="16"/>
              </w:rPr>
              <w:t>-2011</w:t>
            </w:r>
            <w:r>
              <w:rPr>
                <w:rFonts w:ascii="Arial" w:hAnsi="Arial" w:cs="Arial" w:eastAsia="Arial" w:hint="default"/>
                <w:spacing w:val="-10"/>
                <w:sz w:val="16"/>
                <w:szCs w:val="16"/>
              </w:rPr>
              <w:t> </w:t>
            </w:r>
            <w:r>
              <w:rPr>
                <w:rFonts w:ascii="宋体" w:hAnsi="宋体" w:cs="宋体" w:eastAsia="宋体" w:hint="default"/>
                <w:sz w:val="16"/>
                <w:szCs w:val="16"/>
              </w:rPr>
              <w:t>年中国联通湖南移动网室内覆盖扩容工程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8"/>
              <w:jc w:val="right"/>
              <w:rPr>
                <w:rFonts w:ascii="Arial" w:hAnsi="Arial" w:cs="Arial" w:eastAsia="Arial" w:hint="default"/>
                <w:sz w:val="16"/>
                <w:szCs w:val="16"/>
              </w:rPr>
            </w:pPr>
            <w:r>
              <w:rPr>
                <w:rFonts w:ascii="Arial"/>
                <w:w w:val="95"/>
                <w:sz w:val="16"/>
              </w:rPr>
              <w:t>200</w:t>
            </w:r>
            <w:r>
              <w:rPr>
                <w:rFonts w:ascii="Arial"/>
                <w:sz w:val="16"/>
              </w:rPr>
            </w:r>
          </w:p>
        </w:tc>
        <w:tc>
          <w:tcPr>
            <w:tcW w:w="2241"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12"/>
              <w:ind w:right="117"/>
              <w:jc w:val="right"/>
              <w:rPr>
                <w:rFonts w:ascii="Arial" w:hAnsi="Arial" w:cs="Arial" w:eastAsia="Arial" w:hint="default"/>
                <w:sz w:val="16"/>
                <w:szCs w:val="16"/>
              </w:rPr>
            </w:pPr>
            <w:r>
              <w:rPr>
                <w:rFonts w:ascii="Arial"/>
                <w:w w:val="95"/>
                <w:sz w:val="16"/>
              </w:rPr>
              <w:t>-</w:t>
              <w:tab/>
              <w:t>193,665,670</w:t>
            </w:r>
            <w:r>
              <w:rPr>
                <w:rFonts w:ascii="Arial"/>
                <w:sz w:val="16"/>
              </w:rPr>
            </w:r>
          </w:p>
        </w:tc>
        <w:tc>
          <w:tcPr>
            <w:tcW w:w="3015" w:type="dxa"/>
            <w:tcBorders>
              <w:top w:val="nil" w:sz="6" w:space="0" w:color="auto"/>
              <w:left w:val="nil" w:sz="6" w:space="0" w:color="auto"/>
              <w:bottom w:val="nil" w:sz="6" w:space="0" w:color="auto"/>
              <w:right w:val="nil" w:sz="6" w:space="0" w:color="auto"/>
            </w:tcBorders>
          </w:tcPr>
          <w:p>
            <w:pPr>
              <w:pStyle w:val="TableParagraph"/>
              <w:tabs>
                <w:tab w:pos="936" w:val="left" w:leader="none"/>
                <w:tab w:pos="1330" w:val="left" w:leader="none"/>
              </w:tabs>
              <w:spacing w:line="240" w:lineRule="auto" w:before="12"/>
              <w:ind w:right="209"/>
              <w:jc w:val="right"/>
              <w:rPr>
                <w:rFonts w:ascii="Arial" w:hAnsi="Arial" w:cs="Arial" w:eastAsia="Arial" w:hint="default"/>
                <w:sz w:val="16"/>
                <w:szCs w:val="16"/>
              </w:rPr>
            </w:pPr>
            <w:r>
              <w:rPr>
                <w:rFonts w:ascii="Arial"/>
                <w:w w:val="95"/>
                <w:sz w:val="16"/>
              </w:rPr>
              <w:t>-</w:t>
              <w:tab/>
              <w:t>-</w:t>
              <w:tab/>
              <w:t>193,665,670</w:t>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Arial" w:hAnsi="Arial" w:cs="Arial" w:eastAsia="Arial" w:hint="default"/>
                <w:sz w:val="16"/>
                <w:szCs w:val="16"/>
              </w:rPr>
            </w:pPr>
            <w:r>
              <w:rPr>
                <w:rFonts w:ascii="Arial"/>
                <w:w w:val="95"/>
                <w:sz w:val="16"/>
              </w:rPr>
              <w:t>97%</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Arial" w:hAnsi="Arial" w:cs="Arial" w:eastAsia="Arial" w:hint="default"/>
                <w:sz w:val="16"/>
                <w:szCs w:val="16"/>
              </w:rPr>
            </w:pPr>
            <w:r>
              <w:rPr>
                <w:rFonts w:ascii="Arial"/>
                <w:w w:val="95"/>
                <w:sz w:val="16"/>
              </w:rPr>
              <w:t>1,589,338</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0" w:right="0"/>
              <w:jc w:val="left"/>
              <w:rPr>
                <w:rFonts w:ascii="Arial" w:hAnsi="Arial" w:cs="Arial" w:eastAsia="Arial" w:hint="default"/>
                <w:sz w:val="16"/>
                <w:szCs w:val="16"/>
              </w:rPr>
            </w:pPr>
            <w:r>
              <w:rPr>
                <w:rFonts w:ascii="Arial"/>
                <w:sz w:val="16"/>
              </w:rPr>
              <w:t>1,589,338</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nil" w:sz="6" w:space="0" w:color="auto"/>
              <w:left w:val="nil" w:sz="6" w:space="0" w:color="auto"/>
              <w:bottom w:val="nil" w:sz="6" w:space="0" w:color="auto"/>
              <w:right w:val="nil" w:sz="6" w:space="0" w:color="auto"/>
            </w:tcBorders>
          </w:tcPr>
          <w:p>
            <w:pPr>
              <w:pStyle w:val="TableParagraph"/>
              <w:spacing w:line="174" w:lineRule="exact"/>
              <w:ind w:left="75" w:right="0"/>
              <w:jc w:val="left"/>
              <w:rPr>
                <w:rFonts w:ascii="宋体" w:hAnsi="宋体" w:cs="宋体" w:eastAsia="宋体" w:hint="default"/>
                <w:sz w:val="16"/>
                <w:szCs w:val="16"/>
              </w:rPr>
            </w:pPr>
            <w:r>
              <w:rPr>
                <w:rFonts w:ascii="宋体" w:hAnsi="宋体" w:cs="宋体" w:eastAsia="宋体" w:hint="default"/>
                <w:sz w:val="16"/>
                <w:szCs w:val="16"/>
              </w:rPr>
              <w:t>估计</w:t>
            </w:r>
          </w:p>
        </w:tc>
      </w:tr>
      <w:tr>
        <w:trPr>
          <w:trHeight w:val="320"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198" w:lineRule="exact"/>
              <w:ind w:left="548" w:right="0"/>
              <w:jc w:val="left"/>
              <w:rPr>
                <w:rFonts w:ascii="宋体" w:hAnsi="宋体" w:cs="宋体" w:eastAsia="宋体" w:hint="default"/>
                <w:sz w:val="16"/>
                <w:szCs w:val="16"/>
              </w:rPr>
            </w:pPr>
            <w:r>
              <w:rPr>
                <w:rFonts w:ascii="宋体" w:hAnsi="宋体" w:cs="宋体" w:eastAsia="宋体" w:hint="default"/>
                <w:sz w:val="16"/>
                <w:szCs w:val="16"/>
              </w:rPr>
              <w:t>山东</w:t>
            </w: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年中国联通山东</w:t>
            </w:r>
            <w:r>
              <w:rPr>
                <w:rFonts w:ascii="宋体" w:hAnsi="宋体" w:cs="宋体" w:eastAsia="宋体" w:hint="default"/>
                <w:spacing w:val="-43"/>
                <w:sz w:val="16"/>
                <w:szCs w:val="16"/>
              </w:rPr>
              <w:t> </w:t>
            </w:r>
            <w:r>
              <w:rPr>
                <w:rFonts w:ascii="Arial" w:hAnsi="Arial" w:cs="Arial" w:eastAsia="Arial" w:hint="default"/>
                <w:sz w:val="16"/>
                <w:szCs w:val="16"/>
              </w:rPr>
              <w:t>IP</w:t>
            </w:r>
            <w:r>
              <w:rPr>
                <w:rFonts w:ascii="Arial" w:hAnsi="Arial" w:cs="Arial" w:eastAsia="Arial" w:hint="default"/>
                <w:spacing w:val="-6"/>
                <w:sz w:val="16"/>
                <w:szCs w:val="16"/>
              </w:rPr>
              <w:t> </w:t>
            </w:r>
            <w:r>
              <w:rPr>
                <w:rFonts w:ascii="宋体" w:hAnsi="宋体" w:cs="宋体" w:eastAsia="宋体" w:hint="default"/>
                <w:sz w:val="16"/>
                <w:szCs w:val="16"/>
              </w:rPr>
              <w:t>城域网设备扩容工程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8"/>
              <w:jc w:val="right"/>
              <w:rPr>
                <w:rFonts w:ascii="Arial" w:hAnsi="Arial" w:cs="Arial" w:eastAsia="Arial" w:hint="default"/>
                <w:sz w:val="16"/>
                <w:szCs w:val="16"/>
              </w:rPr>
            </w:pPr>
            <w:r>
              <w:rPr>
                <w:rFonts w:ascii="Arial"/>
                <w:w w:val="95"/>
                <w:sz w:val="16"/>
              </w:rPr>
              <w:t>354</w:t>
            </w:r>
            <w:r>
              <w:rPr>
                <w:rFonts w:ascii="Arial"/>
                <w:sz w:val="16"/>
              </w:rPr>
            </w:r>
          </w:p>
        </w:tc>
        <w:tc>
          <w:tcPr>
            <w:tcW w:w="2241" w:type="dxa"/>
            <w:tcBorders>
              <w:top w:val="nil" w:sz="6" w:space="0" w:color="auto"/>
              <w:left w:val="nil" w:sz="6" w:space="0" w:color="auto"/>
              <w:bottom w:val="nil" w:sz="6" w:space="0" w:color="auto"/>
              <w:right w:val="nil" w:sz="6" w:space="0" w:color="auto"/>
            </w:tcBorders>
          </w:tcPr>
          <w:p>
            <w:pPr>
              <w:pStyle w:val="TableParagraph"/>
              <w:tabs>
                <w:tab w:pos="756" w:val="left" w:leader="none"/>
                <w:tab w:pos="2195" w:val="left" w:leader="none"/>
              </w:tabs>
              <w:spacing w:line="240" w:lineRule="auto" w:before="25"/>
              <w:ind w:left="9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        </w:t>
            </w:r>
            <w:r>
              <w:rPr>
                <w:rFonts w:ascii="Arial"/>
                <w:spacing w:val="19"/>
                <w:sz w:val="16"/>
                <w:u w:val="single" w:color="000000"/>
              </w:rPr>
              <w:t> </w:t>
            </w:r>
            <w:r>
              <w:rPr>
                <w:rFonts w:ascii="Arial"/>
                <w:spacing w:val="19"/>
                <w:sz w:val="16"/>
              </w:rPr>
            </w:r>
            <w:r>
              <w:rPr>
                <w:rFonts w:ascii="Arial"/>
                <w:spacing w:val="19"/>
                <w:sz w:val="16"/>
                <w:u w:val="single" w:color="000000"/>
              </w:rPr>
              <w:t> </w:t>
            </w:r>
            <w:r>
              <w:rPr>
                <w:rFonts w:ascii="Arial"/>
                <w:sz w:val="16"/>
                <w:u w:val="single" w:color="000000"/>
              </w:rPr>
              <w:t>189,048,652</w:t>
              <w:tab/>
            </w:r>
            <w:r>
              <w:rPr>
                <w:rFonts w:ascii="Arial"/>
                <w:sz w:val="16"/>
              </w:rPr>
            </w:r>
          </w:p>
        </w:tc>
        <w:tc>
          <w:tcPr>
            <w:tcW w:w="3015" w:type="dxa"/>
            <w:tcBorders>
              <w:top w:val="nil" w:sz="6" w:space="0" w:color="auto"/>
              <w:left w:val="nil" w:sz="6" w:space="0" w:color="auto"/>
              <w:bottom w:val="nil" w:sz="6" w:space="0" w:color="auto"/>
              <w:right w:val="nil" w:sz="6" w:space="0" w:color="auto"/>
            </w:tcBorders>
          </w:tcPr>
          <w:p>
            <w:pPr>
              <w:pStyle w:val="TableParagraph"/>
              <w:tabs>
                <w:tab w:pos="585" w:val="left" w:leader="none"/>
                <w:tab w:pos="1522" w:val="left" w:leader="none"/>
                <w:tab w:pos="2924" w:val="left" w:leader="none"/>
              </w:tabs>
              <w:spacing w:line="240" w:lineRule="auto" w:before="25"/>
              <w:ind w:left="45"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w w:val="95"/>
                <w:sz w:val="16"/>
                <w:u w:val="single" w:color="000000"/>
              </w:rPr>
              <w:t> </w:t>
              <w:tab/>
            </w:r>
            <w:r>
              <w:rPr>
                <w:rFonts w:ascii="Arial"/>
                <w:sz w:val="16"/>
                <w:u w:val="single" w:color="000000"/>
              </w:rPr>
              <w:t>-      </w:t>
            </w:r>
            <w:r>
              <w:rPr>
                <w:rFonts w:ascii="Arial"/>
                <w:spacing w:val="25"/>
                <w:sz w:val="16"/>
                <w:u w:val="single" w:color="000000"/>
              </w:rPr>
              <w:t> </w:t>
            </w:r>
            <w:r>
              <w:rPr>
                <w:rFonts w:ascii="Arial"/>
                <w:spacing w:val="25"/>
                <w:sz w:val="16"/>
              </w:rPr>
            </w:r>
            <w:r>
              <w:rPr>
                <w:rFonts w:ascii="Arial"/>
                <w:spacing w:val="25"/>
                <w:sz w:val="16"/>
                <w:u w:val="single" w:color="000000"/>
              </w:rPr>
              <w:t> </w:t>
            </w:r>
            <w:r>
              <w:rPr>
                <w:rFonts w:ascii="Arial"/>
                <w:sz w:val="16"/>
                <w:u w:val="single" w:color="000000"/>
              </w:rPr>
              <w:t>189,048,652</w:t>
              <w:tab/>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5"/>
              <w:jc w:val="right"/>
              <w:rPr>
                <w:rFonts w:ascii="Arial" w:hAnsi="Arial" w:cs="Arial" w:eastAsia="Arial" w:hint="default"/>
                <w:sz w:val="16"/>
                <w:szCs w:val="16"/>
              </w:rPr>
            </w:pPr>
            <w:r>
              <w:rPr>
                <w:rFonts w:ascii="Arial"/>
                <w:w w:val="95"/>
                <w:sz w:val="16"/>
              </w:rPr>
              <w:t>53%</w:t>
            </w:r>
            <w:r>
              <w:rPr>
                <w:rFonts w:ascii="Arial"/>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8"/>
                <w:sz w:val="16"/>
                <w:u w:val="single" w:color="000000"/>
              </w:rPr>
              <w:t> </w:t>
            </w:r>
            <w:r>
              <w:rPr>
                <w:rFonts w:ascii="Arial"/>
                <w:w w:val="95"/>
                <w:sz w:val="16"/>
                <w:u w:val="single" w:color="000000"/>
              </w:rPr>
              <w:t>1,291,034</w:t>
            </w:r>
            <w:r>
              <w:rPr>
                <w:rFonts w:ascii="Arial"/>
                <w:w w:val="95"/>
                <w:sz w:val="16"/>
              </w:rPr>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40" w:lineRule="auto" w:before="25"/>
              <w:ind w:left="5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7"/>
                <w:sz w:val="16"/>
                <w:u w:val="single" w:color="000000"/>
              </w:rPr>
              <w:t> </w:t>
            </w:r>
            <w:r>
              <w:rPr>
                <w:rFonts w:ascii="Arial"/>
                <w:sz w:val="16"/>
                <w:u w:val="single" w:color="000000"/>
              </w:rPr>
              <w:t>1,291,034</w:t>
              <w:tab/>
            </w:r>
            <w:r>
              <w:rPr>
                <w:rFonts w:ascii="Arial"/>
                <w:sz w:val="16"/>
              </w:rPr>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
              <w:jc w:val="right"/>
              <w:rPr>
                <w:rFonts w:ascii="Arial" w:hAnsi="Arial" w:cs="Arial" w:eastAsia="Arial" w:hint="default"/>
                <w:sz w:val="16"/>
                <w:szCs w:val="16"/>
              </w:rPr>
            </w:pPr>
            <w:r>
              <w:rPr>
                <w:rFonts w:ascii="Arial"/>
                <w:w w:val="95"/>
                <w:sz w:val="16"/>
              </w:rPr>
              <w:t>3.84%~5.04%</w:t>
            </w:r>
            <w:r>
              <w:rPr>
                <w:rFonts w:ascii="Arial"/>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186" w:lineRule="exact"/>
              <w:ind w:left="38" w:right="0"/>
              <w:jc w:val="center"/>
              <w:rPr>
                <w:rFonts w:ascii="宋体" w:hAnsi="宋体" w:cs="宋体" w:eastAsia="宋体" w:hint="default"/>
                <w:sz w:val="16"/>
                <w:szCs w:val="16"/>
              </w:rPr>
            </w:pPr>
            <w:r>
              <w:rPr>
                <w:rFonts w:ascii="宋体" w:hAnsi="宋体" w:cs="宋体" w:eastAsia="宋体" w:hint="default"/>
                <w:sz w:val="16"/>
                <w:szCs w:val="16"/>
              </w:rPr>
              <w:t>自筹及借款</w:t>
            </w:r>
          </w:p>
        </w:tc>
        <w:tc>
          <w:tcPr>
            <w:tcW w:w="479" w:type="dxa"/>
            <w:tcBorders>
              <w:top w:val="nil" w:sz="6" w:space="0" w:color="auto"/>
              <w:left w:val="nil" w:sz="6" w:space="0" w:color="auto"/>
              <w:bottom w:val="nil" w:sz="6" w:space="0" w:color="auto"/>
              <w:right w:val="nil" w:sz="6" w:space="0" w:color="auto"/>
            </w:tcBorders>
          </w:tcPr>
          <w:p>
            <w:pPr/>
          </w:p>
        </w:tc>
      </w:tr>
      <w:tr>
        <w:trPr>
          <w:trHeight w:val="322"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67"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800"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single" w:sz="17" w:space="0" w:color="000000"/>
              <w:right w:val="nil" w:sz="6" w:space="0" w:color="auto"/>
            </w:tcBorders>
          </w:tcPr>
          <w:p>
            <w:pPr>
              <w:pStyle w:val="TableParagraph"/>
              <w:tabs>
                <w:tab w:pos="342" w:val="left" w:leader="none"/>
              </w:tabs>
              <w:spacing w:line="240" w:lineRule="auto" w:before="111"/>
              <w:ind w:right="117"/>
              <w:jc w:val="right"/>
              <w:rPr>
                <w:rFonts w:ascii="Arial" w:hAnsi="Arial" w:cs="Arial" w:eastAsia="Arial" w:hint="default"/>
                <w:sz w:val="16"/>
                <w:szCs w:val="16"/>
              </w:rPr>
            </w:pPr>
            <w:r>
              <w:rPr>
                <w:rFonts w:ascii="Arial"/>
                <w:w w:val="95"/>
                <w:sz w:val="16"/>
              </w:rPr>
              <w:t>-</w:t>
              <w:tab/>
              <w:t>2,977,275,978</w:t>
            </w:r>
            <w:r>
              <w:rPr>
                <w:rFonts w:ascii="Arial"/>
                <w:sz w:val="16"/>
              </w:rPr>
            </w:r>
          </w:p>
        </w:tc>
        <w:tc>
          <w:tcPr>
            <w:tcW w:w="3015" w:type="dxa"/>
            <w:tcBorders>
              <w:top w:val="nil" w:sz="6" w:space="0" w:color="auto"/>
              <w:left w:val="nil" w:sz="6" w:space="0" w:color="auto"/>
              <w:bottom w:val="single" w:sz="17" w:space="0" w:color="000000"/>
              <w:right w:val="nil" w:sz="6" w:space="0" w:color="auto"/>
            </w:tcBorders>
          </w:tcPr>
          <w:p>
            <w:pPr>
              <w:pStyle w:val="TableParagraph"/>
              <w:tabs>
                <w:tab w:pos="935" w:val="left" w:leader="none"/>
                <w:tab w:pos="1195" w:val="left" w:leader="none"/>
              </w:tabs>
              <w:spacing w:line="240" w:lineRule="auto" w:before="111"/>
              <w:ind w:right="209"/>
              <w:jc w:val="right"/>
              <w:rPr>
                <w:rFonts w:ascii="Arial" w:hAnsi="Arial" w:cs="Arial" w:eastAsia="Arial" w:hint="default"/>
                <w:sz w:val="16"/>
                <w:szCs w:val="16"/>
              </w:rPr>
            </w:pPr>
            <w:r>
              <w:rPr>
                <w:rFonts w:ascii="Arial"/>
                <w:w w:val="95"/>
                <w:sz w:val="16"/>
              </w:rPr>
              <w:t>-</w:t>
              <w:tab/>
              <w:t>-</w:t>
              <w:tab/>
              <w:t>2,977,275,978</w:t>
            </w:r>
            <w:r>
              <w:rPr>
                <w:rFonts w:ascii="Arial"/>
                <w:sz w:val="16"/>
              </w:rPr>
            </w:r>
          </w:p>
        </w:tc>
        <w:tc>
          <w:tcPr>
            <w:tcW w:w="892"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48"/>
              <w:jc w:val="right"/>
              <w:rPr>
                <w:rFonts w:ascii="Arial" w:hAnsi="Arial" w:cs="Arial" w:eastAsia="Arial" w:hint="default"/>
                <w:sz w:val="16"/>
                <w:szCs w:val="16"/>
              </w:rPr>
            </w:pPr>
            <w:r>
              <w:rPr>
                <w:rFonts w:ascii="Arial"/>
                <w:w w:val="95"/>
                <w:sz w:val="16"/>
              </w:rPr>
              <w:t>35,968,317</w:t>
            </w:r>
            <w:r>
              <w:rPr>
                <w:rFonts w:ascii="Arial"/>
                <w:sz w:val="16"/>
              </w:rPr>
            </w:r>
          </w:p>
        </w:tc>
        <w:tc>
          <w:tcPr>
            <w:tcW w:w="1093"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132" w:right="0"/>
              <w:jc w:val="left"/>
              <w:rPr>
                <w:rFonts w:ascii="Arial" w:hAnsi="Arial" w:cs="Arial" w:eastAsia="Arial" w:hint="default"/>
                <w:sz w:val="16"/>
                <w:szCs w:val="16"/>
              </w:rPr>
            </w:pPr>
            <w:r>
              <w:rPr>
                <w:rFonts w:ascii="Arial"/>
                <w:sz w:val="16"/>
              </w:rPr>
              <w:t>35,968,317</w:t>
            </w:r>
          </w:p>
        </w:tc>
        <w:tc>
          <w:tcPr>
            <w:tcW w:w="1086"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82"/>
        <w:ind w:left="149" w:right="0"/>
        <w:jc w:val="left"/>
      </w:pPr>
      <w:r>
        <w:rPr>
          <w:rFonts w:ascii="Arial" w:hAnsi="Arial" w:cs="Arial" w:eastAsia="Arial" w:hint="default"/>
        </w:rPr>
        <w:t>(b) </w:t>
      </w:r>
      <w:r>
        <w:rPr>
          <w:rFonts w:ascii="Arial" w:hAnsi="Arial" w:cs="Arial" w:eastAsia="Arial" w:hint="default"/>
          <w:spacing w:val="24"/>
        </w:rPr>
        <w:t> </w:t>
      </w:r>
      <w:r>
        <w:rPr/>
        <w:t>在建工程减值准备</w:t>
      </w:r>
    </w:p>
    <w:p>
      <w:pPr>
        <w:tabs>
          <w:tab w:pos="5012" w:val="left" w:leader="none"/>
          <w:tab w:pos="8006" w:val="left" w:leader="none"/>
          <w:tab w:pos="10371" w:val="left" w:leader="none"/>
          <w:tab w:pos="11959" w:val="left" w:leader="none"/>
          <w:tab w:pos="14475" w:val="left" w:leader="none"/>
        </w:tabs>
        <w:spacing w:before="130"/>
        <w:ind w:left="609" w:right="0" w:firstLine="0"/>
        <w:jc w:val="left"/>
        <w:rPr>
          <w:rFonts w:ascii="宋体" w:hAnsi="宋体" w:cs="宋体" w:eastAsia="宋体" w:hint="default"/>
          <w:sz w:val="16"/>
          <w:szCs w:val="16"/>
        </w:rPr>
      </w:pPr>
      <w:r>
        <w:rPr>
          <w:rFonts w:ascii="宋体" w:hAnsi="宋体" w:cs="宋体" w:eastAsia="宋体" w:hint="default"/>
          <w:w w:val="95"/>
          <w:sz w:val="16"/>
          <w:szCs w:val="16"/>
        </w:rPr>
        <w:t>工程名称</w:t>
        <w:tab/>
      </w: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宋体" w:hAnsi="宋体" w:cs="宋体" w:eastAsia="宋体" w:hint="default"/>
          <w:w w:val="95"/>
          <w:sz w:val="16"/>
          <w:szCs w:val="16"/>
        </w:rPr>
        <w:t>本年增加</w:t>
        <w:tab/>
        <w:t>本年减少</w:t>
        <w:tab/>
      </w: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t>计提原因</w:t>
      </w:r>
    </w:p>
    <w:p>
      <w:pPr>
        <w:tabs>
          <w:tab w:pos="6749" w:val="left" w:leader="none"/>
          <w:tab w:pos="9002" w:val="left" w:leader="none"/>
          <w:tab w:pos="11369" w:val="left" w:leader="none"/>
          <w:tab w:pos="13776" w:val="left" w:leader="none"/>
        </w:tabs>
        <w:spacing w:line="20" w:lineRule="exact"/>
        <w:ind w:left="547" w:right="0" w:firstLine="0"/>
        <w:rPr>
          <w:rFonts w:ascii="宋体" w:hAnsi="宋体" w:cs="宋体" w:eastAsia="宋体" w:hint="default"/>
          <w:sz w:val="2"/>
          <w:szCs w:val="2"/>
        </w:rPr>
      </w:pPr>
      <w:r>
        <w:rPr>
          <w:rFonts w:ascii="宋体"/>
          <w:sz w:val="2"/>
        </w:rPr>
        <w:pict>
          <v:group style="width:178.6pt;height:.75pt;mso-position-horizontal-relative:char;mso-position-vertical-relative:line" coordorigin="0,0" coordsize="3572,15">
            <v:group style="position:absolute;left:7;top:7;width:3557;height:2" coordorigin="7,7" coordsize="3557,2">
              <v:shape style="position:absolute;left:7;top:7;width:3557;height:2" coordorigin="7,7" coordsize="3557,0" path="m7,7l3564,7e" filled="false" stroked="true" strokeweight=".72003pt" strokecolor="#000000">
                <v:path arrowok="t"/>
              </v:shape>
            </v:group>
          </v:group>
        </w:pict>
      </w:r>
      <w:r>
        <w:rPr>
          <w:rFonts w:ascii="宋体"/>
          <w:sz w:val="2"/>
        </w:rPr>
      </w:r>
      <w:r>
        <w:rPr>
          <w:rFonts w:ascii="Times New Roman"/>
          <w:spacing w:val="74"/>
          <w:sz w:val="2"/>
        </w:rPr>
        <w:t> </w:t>
      </w:r>
      <w:r>
        <w:rPr>
          <w:rFonts w:ascii="宋体"/>
          <w:spacing w:val="74"/>
          <w:sz w:val="2"/>
        </w:rPr>
        <w:pict>
          <v:group style="width:112.05pt;height:.75pt;mso-position-horizontal-relative:char;mso-position-vertical-relative:line" coordorigin="0,0" coordsize="2241,15">
            <v:group style="position:absolute;left:7;top:7;width:2226;height:2" coordorigin="7,7" coordsize="2226,2">
              <v:shape style="position:absolute;left:7;top:7;width:2226;height:2" coordorigin="7,7" coordsize="2226,0" path="m7,7l2233,7e" filled="false" stroked="true" strokeweight=".72003pt" strokecolor="#000000">
                <v:path arrowok="t"/>
              </v:shape>
            </v:group>
          </v:group>
        </w:pict>
      </w:r>
      <w:r>
        <w:rPr>
          <w:rFonts w:ascii="宋体"/>
          <w:spacing w:val="74"/>
          <w:sz w:val="2"/>
        </w:rPr>
      </w:r>
      <w:r>
        <w:rPr>
          <w:rFonts w:ascii="宋体"/>
          <w:spacing w:val="74"/>
          <w:sz w:val="2"/>
        </w:rPr>
        <w:tab/>
      </w:r>
      <w:r>
        <w:rPr>
          <w:rFonts w:ascii="宋体"/>
          <w:spacing w:val="74"/>
          <w:sz w:val="2"/>
        </w:rPr>
        <w:pict>
          <v:group style="width:96.6pt;height:.75pt;mso-position-horizontal-relative:char;mso-position-vertical-relative:line" coordorigin="0,0" coordsize="1932,15">
            <v:group style="position:absolute;left:7;top:7;width:1918;height:2" coordorigin="7,7" coordsize="1918,2">
              <v:shape style="position:absolute;left:7;top:7;width:1918;height:2" coordorigin="7,7" coordsize="1918,0" path="m7,7l1925,7e" filled="false" stroked="true" strokeweight=".72003pt" strokecolor="#000000">
                <v:path arrowok="t"/>
              </v:shape>
            </v:group>
          </v:group>
        </w:pict>
      </w:r>
      <w:r>
        <w:rPr>
          <w:rFonts w:ascii="宋体"/>
          <w:spacing w:val="74"/>
          <w:sz w:val="2"/>
        </w:rPr>
      </w:r>
      <w:r>
        <w:rPr>
          <w:rFonts w:ascii="宋体"/>
          <w:spacing w:val="74"/>
          <w:sz w:val="2"/>
        </w:rPr>
        <w:tab/>
      </w:r>
      <w:r>
        <w:rPr>
          <w:rFonts w:ascii="宋体"/>
          <w:spacing w:val="74"/>
          <w:sz w:val="2"/>
        </w:rPr>
        <w:pict>
          <v:group style="width:102.25pt;height:.75pt;mso-position-horizontal-relative:char;mso-position-vertical-relative:line" coordorigin="0,0" coordsize="2045,15">
            <v:group style="position:absolute;left:7;top:7;width:2031;height:2" coordorigin="7,7" coordsize="2031,2">
              <v:shape style="position:absolute;left:7;top:7;width:2031;height:2" coordorigin="7,7" coordsize="2031,0" path="m7,7l2038,7e" filled="false" stroked="true" strokeweight=".72003pt" strokecolor="#000000">
                <v:path arrowok="t"/>
              </v:shape>
            </v:group>
          </v:group>
        </w:pict>
      </w:r>
      <w:r>
        <w:rPr>
          <w:rFonts w:ascii="宋体"/>
          <w:spacing w:val="74"/>
          <w:sz w:val="2"/>
        </w:rPr>
      </w:r>
      <w:r>
        <w:rPr>
          <w:rFonts w:ascii="宋体"/>
          <w:spacing w:val="74"/>
          <w:sz w:val="2"/>
        </w:rPr>
        <w:tab/>
      </w:r>
      <w:r>
        <w:rPr>
          <w:rFonts w:ascii="宋体"/>
          <w:spacing w:val="74"/>
          <w:sz w:val="2"/>
        </w:rPr>
        <w:pict>
          <v:group style="width:104.3pt;height:.75pt;mso-position-horizontal-relative:char;mso-position-vertical-relative:line" coordorigin="0,0" coordsize="2086,15">
            <v:group style="position:absolute;left:7;top:7;width:2072;height:2" coordorigin="7,7" coordsize="2072,2">
              <v:shape style="position:absolute;left:7;top:7;width:2072;height:2" coordorigin="7,7" coordsize="2072,0" path="m7,7l2078,7e" filled="false" stroked="true" strokeweight=".72003pt" strokecolor="#000000">
                <v:path arrowok="t"/>
              </v:shape>
            </v:group>
          </v:group>
        </w:pict>
      </w:r>
      <w:r>
        <w:rPr>
          <w:rFonts w:ascii="宋体"/>
          <w:spacing w:val="74"/>
          <w:sz w:val="2"/>
        </w:rPr>
      </w:r>
      <w:r>
        <w:rPr>
          <w:rFonts w:ascii="宋体"/>
          <w:spacing w:val="74"/>
          <w:sz w:val="2"/>
        </w:rPr>
        <w:tab/>
      </w:r>
      <w:r>
        <w:rPr>
          <w:rFonts w:ascii="宋体"/>
          <w:spacing w:val="74"/>
          <w:sz w:val="2"/>
        </w:rPr>
        <w:pict>
          <v:group style="width:102pt;height:.75pt;mso-position-horizontal-relative:char;mso-position-vertical-relative:line" coordorigin="0,0" coordsize="2040,15">
            <v:group style="position:absolute;left:7;top:7;width:2026;height:2" coordorigin="7,7" coordsize="2026,2">
              <v:shape style="position:absolute;left:7;top:7;width:2026;height:2" coordorigin="7,7" coordsize="2026,0" path="m7,7l2033,7e" filled="false" stroked="true" strokeweight=".72003pt" strokecolor="#000000">
                <v:path arrowok="t"/>
              </v:shape>
            </v:group>
          </v:group>
        </w:pict>
      </w:r>
      <w:r>
        <w:rPr>
          <w:rFonts w:ascii="宋体"/>
          <w:spacing w:val="74"/>
          <w:sz w:val="2"/>
        </w:rPr>
      </w:r>
    </w:p>
    <w:p>
      <w:pPr>
        <w:spacing w:line="240" w:lineRule="auto" w:before="11"/>
        <w:rPr>
          <w:rFonts w:ascii="宋体" w:hAnsi="宋体" w:cs="宋体" w:eastAsia="宋体" w:hint="default"/>
          <w:sz w:val="8"/>
          <w:szCs w:val="8"/>
        </w:rPr>
      </w:pPr>
    </w:p>
    <w:tbl>
      <w:tblPr>
        <w:tblW w:w="0" w:type="auto"/>
        <w:jc w:val="left"/>
        <w:tblInd w:w="574" w:type="dxa"/>
        <w:tblLayout w:type="fixed"/>
        <w:tblCellMar>
          <w:top w:w="0" w:type="dxa"/>
          <w:left w:w="0" w:type="dxa"/>
          <w:bottom w:w="0" w:type="dxa"/>
          <w:right w:w="0" w:type="dxa"/>
        </w:tblCellMar>
        <w:tblLook w:val="01E0"/>
      </w:tblPr>
      <w:tblGrid>
        <w:gridCol w:w="2314"/>
        <w:gridCol w:w="3707"/>
        <w:gridCol w:w="7406"/>
        <w:gridCol w:w="1068"/>
      </w:tblGrid>
      <w:tr>
        <w:trPr>
          <w:trHeight w:val="294"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无线市话工程</w:t>
            </w:r>
          </w:p>
        </w:tc>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45"/>
              <w:jc w:val="right"/>
              <w:rPr>
                <w:rFonts w:ascii="Arial" w:hAnsi="Arial" w:cs="Arial" w:eastAsia="Arial" w:hint="default"/>
                <w:sz w:val="16"/>
                <w:szCs w:val="16"/>
              </w:rPr>
            </w:pPr>
            <w:r>
              <w:rPr>
                <w:rFonts w:ascii="Arial"/>
                <w:w w:val="95"/>
                <w:sz w:val="16"/>
              </w:rPr>
              <w:t>4,364,010</w:t>
            </w:r>
            <w:r>
              <w:rPr>
                <w:rFonts w:ascii="Arial"/>
                <w:sz w:val="16"/>
              </w:rPr>
            </w:r>
          </w:p>
        </w:tc>
        <w:tc>
          <w:tcPr>
            <w:tcW w:w="7406" w:type="dxa"/>
            <w:tcBorders>
              <w:top w:val="nil" w:sz="6" w:space="0" w:color="auto"/>
              <w:left w:val="nil" w:sz="6" w:space="0" w:color="auto"/>
              <w:bottom w:val="nil" w:sz="6" w:space="0" w:color="auto"/>
              <w:right w:val="nil" w:sz="6" w:space="0" w:color="auto"/>
            </w:tcBorders>
          </w:tcPr>
          <w:p>
            <w:pPr>
              <w:pStyle w:val="TableParagraph"/>
              <w:tabs>
                <w:tab w:pos="4246" w:val="left" w:leader="none"/>
                <w:tab w:pos="6032" w:val="left" w:leader="none"/>
              </w:tabs>
              <w:spacing w:line="240" w:lineRule="auto" w:before="99"/>
              <w:ind w:left="1955" w:right="0"/>
              <w:jc w:val="left"/>
              <w:rPr>
                <w:rFonts w:ascii="Arial" w:hAnsi="Arial" w:cs="Arial" w:eastAsia="Arial" w:hint="default"/>
                <w:sz w:val="16"/>
                <w:szCs w:val="16"/>
              </w:rPr>
            </w:pPr>
            <w:r>
              <w:rPr>
                <w:rFonts w:ascii="Arial"/>
                <w:w w:val="95"/>
                <w:sz w:val="16"/>
              </w:rPr>
              <w:t>-</w:t>
              <w:tab/>
              <w:t>-</w:t>
              <w:tab/>
            </w:r>
            <w:r>
              <w:rPr>
                <w:rFonts w:ascii="Arial"/>
                <w:sz w:val="16"/>
              </w:rPr>
              <w:t>4,364,010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6"/>
                <w:szCs w:val="16"/>
              </w:rPr>
            </w:pPr>
            <w:r>
              <w:rPr>
                <w:rFonts w:ascii="宋体" w:hAnsi="宋体" w:cs="宋体" w:eastAsia="宋体" w:hint="default"/>
                <w:w w:val="95"/>
                <w:sz w:val="16"/>
                <w:szCs w:val="16"/>
              </w:rPr>
              <w:t>（注）</w:t>
            </w:r>
            <w:r>
              <w:rPr>
                <w:rFonts w:ascii="宋体" w:hAnsi="宋体" w:cs="宋体" w:eastAsia="宋体" w:hint="default"/>
                <w:sz w:val="16"/>
                <w:szCs w:val="16"/>
              </w:rPr>
            </w:r>
          </w:p>
        </w:tc>
      </w:tr>
      <w:tr>
        <w:trPr>
          <w:trHeight w:val="292"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其他工程</w:t>
            </w:r>
          </w:p>
        </w:tc>
        <w:tc>
          <w:tcPr>
            <w:tcW w:w="3707" w:type="dxa"/>
            <w:tcBorders>
              <w:top w:val="nil" w:sz="6" w:space="0" w:color="auto"/>
              <w:left w:val="nil" w:sz="6" w:space="0" w:color="auto"/>
              <w:bottom w:val="nil" w:sz="6" w:space="0" w:color="auto"/>
              <w:right w:val="nil" w:sz="6" w:space="0" w:color="auto"/>
            </w:tcBorders>
          </w:tcPr>
          <w:p>
            <w:pPr>
              <w:pStyle w:val="TableParagraph"/>
              <w:tabs>
                <w:tab w:pos="1429" w:val="left" w:leader="none"/>
                <w:tab w:pos="2225" w:val="left" w:leader="none"/>
              </w:tabs>
              <w:spacing w:line="240" w:lineRule="auto" w:before="12"/>
              <w:ind w:right="15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4,397,546</w:t>
            </w:r>
            <w:r>
              <w:rPr>
                <w:rFonts w:ascii="Arial"/>
                <w:sz w:val="16"/>
                <w:u w:val="single" w:color="000000"/>
              </w:rPr>
              <w:tab/>
            </w:r>
            <w:r>
              <w:rPr>
                <w:rFonts w:ascii="Arial"/>
                <w:sz w:val="16"/>
              </w:rPr>
            </w:r>
          </w:p>
        </w:tc>
        <w:tc>
          <w:tcPr>
            <w:tcW w:w="7406" w:type="dxa"/>
            <w:tcBorders>
              <w:top w:val="nil" w:sz="6" w:space="0" w:color="auto"/>
              <w:left w:val="nil" w:sz="6" w:space="0" w:color="auto"/>
              <w:bottom w:val="nil" w:sz="6" w:space="0" w:color="auto"/>
              <w:right w:val="nil" w:sz="6" w:space="0" w:color="auto"/>
            </w:tcBorders>
          </w:tcPr>
          <w:p>
            <w:pPr>
              <w:pStyle w:val="TableParagraph"/>
              <w:tabs>
                <w:tab w:pos="1955" w:val="left" w:leader="none"/>
                <w:tab w:pos="2414" w:val="left" w:leader="none"/>
                <w:tab w:pos="3552" w:val="left" w:leader="none"/>
                <w:tab w:pos="4780" w:val="left" w:leader="none"/>
                <w:tab w:pos="6031" w:val="left" w:leader="none"/>
                <w:tab w:pos="6851" w:val="left" w:leader="none"/>
              </w:tabs>
              <w:spacing w:line="240" w:lineRule="auto" w:before="12"/>
              <w:ind w:left="16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tab/>
            </w:r>
            <w:r>
              <w:rPr>
                <w:rFonts w:ascii="Arial"/>
                <w:w w:val="95"/>
                <w:sz w:val="16"/>
                <w:u w:val="single" w:color="000000"/>
              </w:rPr>
              <w:t> </w:t>
              <w:tab/>
              <w:t>(2,909,506)</w:t>
            </w:r>
            <w:r>
              <w:rPr>
                <w:rFonts w:ascii="Arial"/>
                <w:w w:val="95"/>
                <w:sz w:val="16"/>
              </w:rPr>
              <w:tab/>
            </w:r>
            <w:r>
              <w:rPr>
                <w:rFonts w:ascii="Arial"/>
                <w:w w:val="95"/>
                <w:sz w:val="16"/>
                <w:u w:val="single" w:color="000000"/>
              </w:rPr>
              <w:t> </w:t>
              <w:tab/>
            </w:r>
            <w:r>
              <w:rPr>
                <w:rFonts w:ascii="Arial"/>
                <w:sz w:val="16"/>
                <w:u w:val="single" w:color="000000"/>
              </w:rPr>
              <w:t>1,488,040</w:t>
              <w:tab/>
            </w:r>
            <w:r>
              <w:rPr>
                <w:rFonts w:ascii="Arial"/>
                <w:sz w:val="16"/>
              </w:rPr>
            </w:r>
          </w:p>
        </w:tc>
        <w:tc>
          <w:tcPr>
            <w:tcW w:w="1068" w:type="dxa"/>
            <w:tcBorders>
              <w:top w:val="nil" w:sz="6" w:space="0" w:color="auto"/>
              <w:left w:val="nil" w:sz="6" w:space="0" w:color="auto"/>
              <w:bottom w:val="nil" w:sz="6" w:space="0" w:color="auto"/>
              <w:right w:val="nil" w:sz="6" w:space="0" w:color="auto"/>
            </w:tcBorders>
          </w:tcPr>
          <w:p>
            <w:pPr>
              <w:pStyle w:val="TableParagraph"/>
              <w:spacing w:line="174" w:lineRule="exact"/>
              <w:ind w:right="33"/>
              <w:jc w:val="right"/>
              <w:rPr>
                <w:rFonts w:ascii="宋体" w:hAnsi="宋体" w:cs="宋体" w:eastAsia="宋体" w:hint="default"/>
                <w:sz w:val="16"/>
                <w:szCs w:val="16"/>
              </w:rPr>
            </w:pPr>
            <w:r>
              <w:rPr>
                <w:rFonts w:ascii="宋体" w:hAnsi="宋体" w:cs="宋体" w:eastAsia="宋体" w:hint="default"/>
                <w:w w:val="95"/>
                <w:sz w:val="16"/>
                <w:szCs w:val="16"/>
              </w:rPr>
              <w:t>（注）</w:t>
            </w:r>
            <w:r>
              <w:rPr>
                <w:rFonts w:ascii="宋体" w:hAnsi="宋体" w:cs="宋体" w:eastAsia="宋体" w:hint="default"/>
                <w:sz w:val="16"/>
                <w:szCs w:val="16"/>
              </w:rPr>
            </w:r>
          </w:p>
        </w:tc>
      </w:tr>
    </w:tbl>
    <w:p>
      <w:pPr>
        <w:tabs>
          <w:tab w:pos="5637" w:val="left" w:leader="none"/>
          <w:tab w:pos="8551" w:val="left" w:leader="none"/>
          <w:tab w:pos="10148" w:val="left" w:leader="none"/>
          <w:tab w:pos="12627" w:val="left" w:leader="none"/>
        </w:tabs>
        <w:spacing w:before="79"/>
        <w:ind w:left="609"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8,761,556</w:t>
        <w:tab/>
        <w:t>-</w:t>
        <w:tab/>
        <w:t>(2,909,506)</w:t>
        <w:tab/>
      </w:r>
      <w:r>
        <w:rPr>
          <w:rFonts w:ascii="Arial" w:hAnsi="Arial" w:cs="Arial" w:eastAsia="Arial" w:hint="default"/>
          <w:sz w:val="16"/>
          <w:szCs w:val="16"/>
        </w:rPr>
        <w:t>5,852,050</w:t>
      </w:r>
    </w:p>
    <w:p>
      <w:pPr>
        <w:tabs>
          <w:tab w:pos="6734" w:val="left" w:leader="none"/>
          <w:tab w:pos="8988" w:val="left" w:leader="none"/>
          <w:tab w:pos="11354" w:val="left" w:leader="none"/>
        </w:tabs>
        <w:spacing w:line="43" w:lineRule="exact"/>
        <w:ind w:left="4187" w:right="0" w:firstLine="0"/>
        <w:rPr>
          <w:rFonts w:ascii="Arial" w:hAnsi="Arial" w:cs="Arial" w:eastAsia="Arial" w:hint="default"/>
          <w:sz w:val="4"/>
          <w:szCs w:val="4"/>
        </w:rPr>
      </w:pPr>
      <w:r>
        <w:rPr>
          <w:rFonts w:ascii="Arial"/>
          <w:position w:val="0"/>
          <w:sz w:val="4"/>
        </w:rPr>
        <w:pict>
          <v:group style="width:112.75pt;height:2.2pt;mso-position-horizontal-relative:char;mso-position-vertical-relative:line" coordorigin="0,0" coordsize="2255,44">
            <v:group style="position:absolute;left:7;top:36;width:2241;height:2" coordorigin="7,36" coordsize="2241,2">
              <v:shape style="position:absolute;left:7;top:36;width:2241;height:2" coordorigin="7,36" coordsize="2241,0" path="m7,36l2248,36e" filled="false" stroked="true" strokeweight=".72003pt" strokecolor="#000000">
                <v:path arrowok="t"/>
              </v:shape>
            </v:group>
            <v:group style="position:absolute;left:7;top:7;width:2241;height:2" coordorigin="7,7" coordsize="2241,2">
              <v:shape style="position:absolute;left:7;top:7;width:2241;height:2" coordorigin="7,7" coordsize="2241,0" path="m7,7l2248,7e" filled="false" stroked="true" strokeweight=".72003pt" strokecolor="#000000">
                <v:path arrowok="t"/>
              </v:shape>
            </v:group>
          </v:group>
        </w:pict>
      </w:r>
      <w:r>
        <w:rPr>
          <w:rFonts w:ascii="Arial"/>
          <w:position w:val="0"/>
          <w:sz w:val="4"/>
        </w:rPr>
      </w:r>
      <w:r>
        <w:rPr>
          <w:rFonts w:ascii="Arial"/>
          <w:position w:val="0"/>
          <w:sz w:val="4"/>
        </w:rPr>
        <w:tab/>
      </w:r>
      <w:r>
        <w:rPr>
          <w:rFonts w:ascii="Arial"/>
          <w:position w:val="0"/>
          <w:sz w:val="4"/>
        </w:rPr>
        <w:pict>
          <v:group style="width:97.35pt;height:2.2pt;mso-position-horizontal-relative:char;mso-position-vertical-relative:line" coordorigin="0,0" coordsize="1947,44">
            <v:group style="position:absolute;left:7;top:36;width:1932;height:2" coordorigin="7,36" coordsize="1932,2">
              <v:shape style="position:absolute;left:7;top:36;width:1932;height:2" coordorigin="7,36" coordsize="1932,0" path="m7,36l1939,36e" filled="false" stroked="true" strokeweight=".72003pt" strokecolor="#000000">
                <v:path arrowok="t"/>
              </v:shape>
            </v:group>
            <v:group style="position:absolute;left:7;top:7;width:1932;height:2" coordorigin="7,7" coordsize="1932,2">
              <v:shape style="position:absolute;left:7;top:7;width:1932;height:2" coordorigin="7,7" coordsize="1932,0" path="m7,7l1939,7e" filled="false" stroked="true" strokeweight=".72003pt" strokecolor="#000000">
                <v:path arrowok="t"/>
              </v:shape>
            </v:group>
          </v:group>
        </w:pict>
      </w:r>
      <w:r>
        <w:rPr>
          <w:rFonts w:ascii="Arial"/>
          <w:position w:val="0"/>
          <w:sz w:val="4"/>
        </w:rPr>
      </w:r>
      <w:r>
        <w:rPr>
          <w:rFonts w:ascii="Arial"/>
          <w:position w:val="0"/>
          <w:sz w:val="4"/>
        </w:rPr>
        <w:tab/>
      </w:r>
      <w:r>
        <w:rPr>
          <w:rFonts w:ascii="Arial"/>
          <w:position w:val="0"/>
          <w:sz w:val="4"/>
        </w:rPr>
        <w:pict>
          <v:group style="width:103pt;height:2.2pt;mso-position-horizontal-relative:char;mso-position-vertical-relative:line" coordorigin="0,0" coordsize="2060,44">
            <v:group style="position:absolute;left:7;top:36;width:2045;height:2" coordorigin="7,36" coordsize="2045,2">
              <v:shape style="position:absolute;left:7;top:36;width:2045;height:2" coordorigin="7,36" coordsize="2045,0" path="m7,36l2052,36e" filled="false" stroked="true" strokeweight=".72003pt" strokecolor="#000000">
                <v:path arrowok="t"/>
              </v:shape>
            </v:group>
            <v:group style="position:absolute;left:7;top:7;width:2045;height:2" coordorigin="7,7" coordsize="2045,2">
              <v:shape style="position:absolute;left:7;top:7;width:2045;height:2" coordorigin="7,7" coordsize="2045,0" path="m7,7l2052,7e" filled="false" stroked="true" strokeweight=".72003pt" strokecolor="#000000">
                <v:path arrowok="t"/>
              </v:shape>
            </v:group>
          </v:group>
        </w:pict>
      </w:r>
      <w:r>
        <w:rPr>
          <w:rFonts w:ascii="Arial"/>
          <w:position w:val="0"/>
          <w:sz w:val="4"/>
        </w:rPr>
      </w:r>
      <w:r>
        <w:rPr>
          <w:rFonts w:ascii="Arial"/>
          <w:position w:val="0"/>
          <w:sz w:val="4"/>
        </w:rPr>
        <w:tab/>
      </w:r>
      <w:r>
        <w:rPr>
          <w:rFonts w:ascii="Arial"/>
          <w:position w:val="0"/>
          <w:sz w:val="4"/>
        </w:rPr>
        <w:pict>
          <v:group style="width:105pt;height:2.2pt;mso-position-horizontal-relative:char;mso-position-vertical-relative:line" coordorigin="0,0" coordsize="2100,44">
            <v:group style="position:absolute;left:7;top:36;width:2086;height:2" coordorigin="7,36" coordsize="2086,2">
              <v:shape style="position:absolute;left:7;top:36;width:2086;height:2" coordorigin="7,36" coordsize="2086,0" path="m7,36l2093,36e" filled="false" stroked="true" strokeweight=".72003pt" strokecolor="#000000">
                <v:path arrowok="t"/>
              </v:shape>
            </v:group>
            <v:group style="position:absolute;left:7;top:7;width:2086;height:2" coordorigin="7,7" coordsize="2086,2">
              <v:shape style="position:absolute;left:7;top:7;width:2086;height:2" coordorigin="7,7" coordsize="2086,0" path="m7,7l2093,7e" filled="false" stroked="true" strokeweight=".72003pt" strokecolor="#000000">
                <v:path arrowok="t"/>
              </v:shape>
            </v:group>
          </v:group>
        </w:pict>
      </w:r>
      <w:r>
        <w:rPr>
          <w:rFonts w:ascii="Arial"/>
          <w:position w:val="0"/>
          <w:sz w:val="4"/>
        </w:rPr>
      </w:r>
    </w:p>
    <w:p>
      <w:pPr>
        <w:pStyle w:val="BodyText"/>
        <w:spacing w:line="294" w:lineRule="exact" w:before="109"/>
        <w:ind w:left="611" w:right="0"/>
        <w:jc w:val="left"/>
      </w:pPr>
      <w:r>
        <w:rPr/>
        <w:t>注：本集团对技术、性能上明显落后或已终止建设、预计将不能为本集团带来未来经济收益的在建工程计提了资产减值准备。于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w:t>
      </w:r>
    </w:p>
    <w:p>
      <w:pPr>
        <w:pStyle w:val="BodyText"/>
        <w:spacing w:line="286" w:lineRule="exact" w:before="18"/>
        <w:ind w:left="1057" w:right="372"/>
        <w:jc w:val="left"/>
      </w:pPr>
      <w:r>
        <w:rPr/>
        <w:t>在建工程减值准备余额约人民币</w:t>
      </w:r>
      <w:r>
        <w:rPr>
          <w:spacing w:val="-60"/>
        </w:rPr>
        <w:t> </w:t>
      </w:r>
      <w:r>
        <w:rPr>
          <w:rFonts w:ascii="Arial" w:hAnsi="Arial" w:cs="Arial" w:eastAsia="Arial" w:hint="default"/>
        </w:rPr>
        <w:t>585</w:t>
      </w:r>
      <w:r>
        <w:rPr>
          <w:rFonts w:ascii="Arial" w:hAnsi="Arial" w:cs="Arial" w:eastAsia="Arial" w:hint="default"/>
          <w:spacing w:val="-11"/>
        </w:rPr>
        <w:t> </w:t>
      </w:r>
      <w:r>
        <w:rPr/>
        <w:t>万元（</w:t>
      </w:r>
      <w:r>
        <w:rPr>
          <w:rFonts w:ascii="Arial" w:hAnsi="Arial" w:cs="Arial" w:eastAsia="Arial" w:hint="default"/>
        </w:rPr>
        <w:t>2010</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日：约人民币</w:t>
      </w:r>
      <w:r>
        <w:rPr>
          <w:spacing w:val="-60"/>
        </w:rPr>
        <w:t> </w:t>
      </w:r>
      <w:r>
        <w:rPr>
          <w:rFonts w:ascii="Arial" w:hAnsi="Arial" w:cs="Arial" w:eastAsia="Arial" w:hint="default"/>
        </w:rPr>
        <w:t>876</w:t>
      </w:r>
      <w:r>
        <w:rPr>
          <w:rFonts w:ascii="Arial" w:hAnsi="Arial" w:cs="Arial" w:eastAsia="Arial" w:hint="default"/>
          <w:spacing w:val="-11"/>
        </w:rPr>
        <w:t> </w:t>
      </w:r>
      <w:r>
        <w:rPr/>
        <w:t>万元）。本年度有约人民币</w:t>
      </w:r>
      <w:r>
        <w:rPr>
          <w:spacing w:val="-60"/>
        </w:rPr>
        <w:t> </w:t>
      </w:r>
      <w:r>
        <w:rPr>
          <w:rFonts w:ascii="Arial" w:hAnsi="Arial" w:cs="Arial" w:eastAsia="Arial" w:hint="default"/>
        </w:rPr>
        <w:t>291</w:t>
      </w:r>
      <w:r>
        <w:rPr>
          <w:rFonts w:ascii="Arial" w:hAnsi="Arial" w:cs="Arial" w:eastAsia="Arial" w:hint="default"/>
          <w:spacing w:val="-11"/>
        </w:rPr>
        <w:t> </w:t>
      </w:r>
      <w:r>
        <w:rPr/>
        <w:t>万元的在建工程减值准备随工程转固而转</w:t>
      </w:r>
      <w:r>
        <w:rPr>
          <w:w w:val="99"/>
        </w:rPr>
        <w:t> </w:t>
      </w:r>
      <w:r>
        <w:rPr/>
        <w:t>出。</w:t>
      </w:r>
    </w:p>
    <w:p>
      <w:pPr>
        <w:spacing w:line="240" w:lineRule="auto" w:before="1"/>
        <w:rPr>
          <w:rFonts w:ascii="宋体" w:hAnsi="宋体" w:cs="宋体" w:eastAsia="宋体" w:hint="default"/>
          <w:sz w:val="14"/>
          <w:szCs w:val="14"/>
        </w:rPr>
      </w:pPr>
    </w:p>
    <w:p>
      <w:pPr>
        <w:pStyle w:val="BodyText"/>
        <w:spacing w:line="240" w:lineRule="auto" w:before="71"/>
        <w:ind w:left="7643" w:right="8129"/>
        <w:jc w:val="center"/>
        <w:rPr>
          <w:rFonts w:ascii="Arial" w:hAnsi="Arial" w:cs="Arial" w:eastAsia="Arial" w:hint="default"/>
        </w:rPr>
      </w:pPr>
      <w:r>
        <w:rPr>
          <w:rFonts w:ascii="Arial"/>
        </w:rPr>
        <w:t>116</w:t>
      </w:r>
    </w:p>
    <w:p>
      <w:pPr>
        <w:spacing w:after="0" w:line="240" w:lineRule="auto"/>
        <w:jc w:val="center"/>
        <w:rPr>
          <w:rFonts w:ascii="Arial" w:hAnsi="Arial" w:cs="Arial" w:eastAsia="Arial" w:hint="default"/>
        </w:rPr>
        <w:sectPr>
          <w:headerReference w:type="default" r:id="rId99"/>
          <w:footerReference w:type="default" r:id="rId100"/>
          <w:pgSz w:w="16840" w:h="11900" w:orient="landscape"/>
          <w:pgMar w:header="0" w:footer="0" w:top="1000" w:bottom="280" w:left="140" w:right="520"/>
        </w:sectPr>
      </w:pPr>
    </w:p>
    <w:p>
      <w:pPr>
        <w:spacing w:line="240" w:lineRule="auto" w:before="11"/>
        <w:rPr>
          <w:rFonts w:ascii="Arial" w:hAnsi="Arial" w:cs="Arial" w:eastAsia="Arial" w:hint="default"/>
          <w:sz w:val="18"/>
          <w:szCs w:val="18"/>
        </w:rPr>
      </w:pPr>
    </w:p>
    <w:p>
      <w:pPr>
        <w:spacing w:after="0" w:line="240" w:lineRule="auto"/>
        <w:rPr>
          <w:rFonts w:ascii="Arial" w:hAnsi="Arial" w:cs="Arial" w:eastAsia="Arial" w:hint="default"/>
          <w:sz w:val="18"/>
          <w:szCs w:val="18"/>
        </w:rPr>
        <w:sectPr>
          <w:footerReference w:type="default" r:id="rId101"/>
          <w:pgSz w:w="11900" w:h="16840"/>
          <w:pgMar w:footer="752" w:header="0" w:top="3040" w:bottom="940" w:left="1240" w:right="800"/>
          <w:pgNumType w:start="117"/>
        </w:sectPr>
      </w:pPr>
    </w:p>
    <w:p>
      <w:pPr>
        <w:pStyle w:val="BodyText"/>
        <w:spacing w:line="240" w:lineRule="auto" w:before="31"/>
        <w:ind w:left="142" w:right="0"/>
        <w:jc w:val="left"/>
      </w:pPr>
      <w:r>
        <w:rPr>
          <w:rFonts w:ascii="Arial" w:hAnsi="Arial" w:cs="Arial" w:eastAsia="Arial" w:hint="default"/>
          <w:w w:val="95"/>
        </w:rPr>
        <w:t>11</w:t>
      </w:r>
      <w:r>
        <w:rPr>
          <w:w w:val="95"/>
        </w:rPr>
        <w:t>、工程物资</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4"/>
          <w:szCs w:val="14"/>
        </w:rPr>
      </w:pPr>
    </w:p>
    <w:p>
      <w:pPr>
        <w:spacing w:line="241" w:lineRule="exact" w:before="0"/>
        <w:ind w:left="417" w:right="-2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p>
      <w:pPr>
        <w:tabs>
          <w:tab w:pos="2033" w:val="left" w:leader="none"/>
          <w:tab w:pos="3755" w:val="left" w:leader="none"/>
        </w:tabs>
        <w:spacing w:line="241" w:lineRule="exact" w:before="0"/>
        <w:ind w:left="147" w:right="-20"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本年增加</w:t>
        <w:tab/>
        <w:t>本年减少</w:t>
      </w:r>
    </w:p>
    <w:p>
      <w:pPr>
        <w:spacing w:before="0"/>
        <w:ind w:left="142" w:right="-20" w:firstLine="0"/>
        <w:jc w:val="left"/>
        <w:rPr>
          <w:rFonts w:ascii="宋体" w:hAnsi="宋体" w:cs="宋体" w:eastAsia="宋体" w:hint="default"/>
          <w:sz w:val="18"/>
          <w:szCs w:val="18"/>
        </w:rPr>
      </w:pPr>
      <w:r>
        <w:rPr/>
        <w:pict>
          <v:group style="position:absolute;margin-left:198.240021pt;margin-top:.793538pt;width:342.3pt;height:.75pt;mso-position-horizontal-relative:page;mso-position-vertical-relative:paragraph;z-index:-819352" coordorigin="3965,16" coordsize="6846,15">
            <v:group style="position:absolute;left:3972;top:23;width:1709;height:2" coordorigin="3972,23" coordsize="1709,2">
              <v:shape style="position:absolute;left:3972;top:23;width:1709;height:2" coordorigin="3972,23" coordsize="1709,0" path="m3972,23l5681,23e" filled="false" stroked="true" strokeweight=".71997pt" strokecolor="#000000">
                <v:path arrowok="t"/>
              </v:shape>
            </v:group>
            <v:group style="position:absolute;left:5750;top:23;width:1595;height:2" coordorigin="5750,23" coordsize="1595,2">
              <v:shape style="position:absolute;left:5750;top:23;width:1595;height:2" coordorigin="5750,23" coordsize="1595,0" path="m5750,23l7345,23e" filled="false" stroked="true" strokeweight=".71997pt" strokecolor="#000000">
                <v:path arrowok="t"/>
              </v:shape>
            </v:group>
            <v:group style="position:absolute;left:7412;top:23;width:1655;height:2" coordorigin="7412,23" coordsize="1655,2">
              <v:shape style="position:absolute;left:7412;top:23;width:1655;height:2" coordorigin="7412,23" coordsize="1655,0" path="m7412,23l9067,23e" filled="false" stroked="true" strokeweight=".71997pt" strokecolor="#000000">
                <v:path arrowok="t"/>
              </v:shape>
            </v:group>
            <v:group style="position:absolute;left:9122;top:23;width:1682;height:2" coordorigin="9122,23" coordsize="1682,2">
              <v:shape style="position:absolute;left:9122;top:23;width:1682;height:2" coordorigin="9122,23" coordsize="1682,0" path="m9122,23l10804,23e" filled="false" stroked="true" strokeweight=".71997pt" strokecolor="#000000">
                <v:path arrowok="t"/>
              </v:shape>
            </v:group>
            <w10:wrap type="none"/>
          </v:group>
        </w:pict>
      </w:r>
      <w:r>
        <w:rPr>
          <w:rFonts w:ascii="宋体" w:hAnsi="宋体" w:cs="宋体" w:eastAsia="宋体" w:hint="default"/>
          <w:sz w:val="18"/>
          <w:szCs w:val="18"/>
        </w:rPr>
        <w:t>（经重列）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4"/>
          <w:szCs w:val="14"/>
        </w:rPr>
      </w:pPr>
    </w:p>
    <w:p>
      <w:pPr>
        <w:spacing w:line="241" w:lineRule="exact" w:before="0"/>
        <w:ind w:left="412"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p>
      <w:pPr>
        <w:spacing w:line="241" w:lineRule="exact" w:before="0"/>
        <w:ind w:left="142" w:right="0"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after="0" w:line="241" w:lineRule="exact"/>
        <w:jc w:val="left"/>
        <w:rPr>
          <w:rFonts w:ascii="宋体" w:hAnsi="宋体" w:cs="宋体" w:eastAsia="宋体" w:hint="default"/>
          <w:sz w:val="18"/>
          <w:szCs w:val="18"/>
        </w:rPr>
        <w:sectPr>
          <w:type w:val="continuous"/>
          <w:pgSz w:w="11900" w:h="16840"/>
          <w:pgMar w:top="1600" w:bottom="280" w:left="1240" w:right="800"/>
          <w:cols w:num="3" w:equalWidth="0">
            <w:col w:w="1487" w:space="1865"/>
            <w:col w:w="4476" w:space="656"/>
            <w:col w:w="1376"/>
          </w:cols>
        </w:sectPr>
      </w:pPr>
    </w:p>
    <w:p>
      <w:pPr>
        <w:tabs>
          <w:tab w:pos="3163" w:val="left" w:leader="none"/>
          <w:tab w:pos="8333" w:val="left" w:leader="none"/>
        </w:tabs>
        <w:spacing w:line="246" w:lineRule="exact" w:before="1"/>
        <w:ind w:left="618" w:right="0" w:firstLine="0"/>
        <w:jc w:val="both"/>
        <w:rPr>
          <w:rFonts w:ascii="Arial" w:hAnsi="Arial" w:cs="Arial" w:eastAsia="Arial" w:hint="default"/>
          <w:sz w:val="18"/>
          <w:szCs w:val="18"/>
        </w:rPr>
      </w:pPr>
      <w:r>
        <w:rPr>
          <w:rFonts w:ascii="宋体" w:hAnsi="宋体" w:cs="宋体" w:eastAsia="宋体" w:hint="default"/>
          <w:position w:val="1"/>
          <w:sz w:val="18"/>
          <w:szCs w:val="18"/>
        </w:rPr>
        <w:t>工程设备</w:t>
        <w:tab/>
      </w:r>
      <w:r>
        <w:rPr>
          <w:rFonts w:ascii="Arial" w:hAnsi="Arial" w:cs="Arial" w:eastAsia="Arial" w:hint="default"/>
          <w:sz w:val="18"/>
          <w:szCs w:val="18"/>
        </w:rPr>
        <w:t>2,521,002,222         42,627,178,751      </w:t>
      </w:r>
      <w:r>
        <w:rPr>
          <w:rFonts w:ascii="Arial" w:hAnsi="Arial" w:cs="Arial" w:eastAsia="Arial" w:hint="default"/>
          <w:spacing w:val="36"/>
          <w:sz w:val="18"/>
          <w:szCs w:val="18"/>
        </w:rPr>
        <w:t> </w:t>
      </w:r>
      <w:r>
        <w:rPr>
          <w:rFonts w:ascii="Arial" w:hAnsi="Arial" w:cs="Arial" w:eastAsia="Arial" w:hint="default"/>
          <w:sz w:val="18"/>
          <w:szCs w:val="18"/>
        </w:rPr>
        <w:t>(43,867,319,011)</w:t>
        <w:tab/>
        <w:t>1,280,861,962</w:t>
      </w:r>
    </w:p>
    <w:p>
      <w:pPr>
        <w:tabs>
          <w:tab w:pos="2731" w:val="left" w:leader="none"/>
          <w:tab w:pos="3313" w:val="left" w:leader="none"/>
        </w:tabs>
        <w:spacing w:line="241" w:lineRule="exact" w:before="0"/>
        <w:ind w:left="618" w:right="0" w:firstLine="0"/>
        <w:jc w:val="both"/>
        <w:rPr>
          <w:rFonts w:ascii="Arial" w:hAnsi="Arial" w:cs="Arial" w:eastAsia="Arial" w:hint="default"/>
          <w:sz w:val="18"/>
          <w:szCs w:val="18"/>
        </w:rPr>
      </w:pPr>
      <w:r>
        <w:rPr>
          <w:rFonts w:ascii="宋体" w:hAnsi="宋体" w:cs="宋体" w:eastAsia="宋体" w:hint="default"/>
          <w:position w:val="1"/>
          <w:sz w:val="18"/>
          <w:szCs w:val="18"/>
        </w:rPr>
        <w:t>工程材料</w:t>
        <w:tab/>
      </w:r>
      <w:r>
        <w:rPr>
          <w:rFonts w:ascii="Arial" w:hAnsi="Arial" w:cs="Arial" w:eastAsia="Arial" w:hint="default"/>
          <w:sz w:val="18"/>
          <w:szCs w:val="18"/>
        </w:rPr>
      </w:r>
      <w:r>
        <w:rPr>
          <w:rFonts w:ascii="Arial" w:hAnsi="Arial" w:cs="Arial" w:eastAsia="Arial" w:hint="default"/>
          <w:sz w:val="18"/>
          <w:szCs w:val="18"/>
          <w:u w:val="single" w:color="000000"/>
        </w:rPr>
        <w:t> </w:t>
        <w:tab/>
        <w:t>864,366,449           </w:t>
      </w:r>
      <w:r>
        <w:rPr>
          <w:rFonts w:ascii="Arial" w:hAnsi="Arial" w:cs="Arial" w:eastAsia="Arial" w:hint="default"/>
          <w:sz w:val="18"/>
          <w:szCs w:val="18"/>
        </w:rPr>
      </w:r>
      <w:r>
        <w:rPr>
          <w:rFonts w:ascii="Arial" w:hAnsi="Arial" w:cs="Arial" w:eastAsia="Arial" w:hint="default"/>
          <w:sz w:val="18"/>
          <w:szCs w:val="18"/>
          <w:u w:val="single" w:color="000000"/>
        </w:rPr>
        <w:t> 3,986,669,124          </w:t>
      </w:r>
      <w:r>
        <w:rPr>
          <w:rFonts w:ascii="Arial" w:hAnsi="Arial" w:cs="Arial" w:eastAsia="Arial" w:hint="default"/>
          <w:sz w:val="18"/>
          <w:szCs w:val="18"/>
        </w:rPr>
      </w:r>
      <w:r>
        <w:rPr>
          <w:rFonts w:ascii="Arial" w:hAnsi="Arial" w:cs="Arial" w:eastAsia="Arial" w:hint="default"/>
          <w:sz w:val="18"/>
          <w:szCs w:val="18"/>
          <w:u w:val="single" w:color="000000"/>
        </w:rPr>
        <w:t> (3,776,452,956)         </w:t>
      </w:r>
      <w:r>
        <w:rPr>
          <w:rFonts w:ascii="Arial" w:hAnsi="Arial" w:cs="Arial" w:eastAsia="Arial" w:hint="default"/>
          <w:spacing w:val="6"/>
          <w:sz w:val="18"/>
          <w:szCs w:val="18"/>
          <w:u w:val="single" w:color="000000"/>
        </w:rPr>
        <w:t> </w:t>
      </w:r>
      <w:r>
        <w:rPr>
          <w:rFonts w:ascii="Arial" w:hAnsi="Arial" w:cs="Arial" w:eastAsia="Arial" w:hint="default"/>
          <w:spacing w:val="6"/>
          <w:sz w:val="18"/>
          <w:szCs w:val="18"/>
        </w:rPr>
      </w:r>
      <w:r>
        <w:rPr>
          <w:rFonts w:ascii="Arial" w:hAnsi="Arial" w:cs="Arial" w:eastAsia="Arial" w:hint="default"/>
          <w:spacing w:val="6"/>
          <w:sz w:val="18"/>
          <w:szCs w:val="18"/>
          <w:u w:val="single" w:color="000000"/>
        </w:rPr>
        <w:t> </w:t>
      </w:r>
      <w:r>
        <w:rPr>
          <w:rFonts w:ascii="Arial" w:hAnsi="Arial" w:cs="Arial" w:eastAsia="Arial" w:hint="default"/>
          <w:sz w:val="18"/>
          <w:szCs w:val="18"/>
          <w:u w:val="single" w:color="000000"/>
        </w:rPr>
        <w:t>1,074,582,617 </w:t>
      </w:r>
      <w:r>
        <w:rPr>
          <w:rFonts w:ascii="Arial" w:hAnsi="Arial" w:cs="Arial" w:eastAsia="Arial" w:hint="default"/>
          <w:spacing w:val="-20"/>
          <w:sz w:val="18"/>
          <w:szCs w:val="18"/>
          <w:u w:val="single" w:color="000000"/>
        </w:rPr>
        <w:t> </w:t>
      </w:r>
      <w:r>
        <w:rPr>
          <w:rFonts w:ascii="Arial" w:hAnsi="Arial" w:cs="Arial" w:eastAsia="Arial" w:hint="default"/>
          <w:spacing w:val="-20"/>
          <w:sz w:val="18"/>
          <w:szCs w:val="18"/>
        </w:rPr>
      </w:r>
      <w:r>
        <w:rPr>
          <w:rFonts w:ascii="Arial" w:hAnsi="Arial" w:cs="Arial" w:eastAsia="Arial" w:hint="default"/>
          <w:sz w:val="18"/>
          <w:szCs w:val="18"/>
        </w:rPr>
      </w:r>
    </w:p>
    <w:p>
      <w:pPr>
        <w:tabs>
          <w:tab w:pos="3163" w:val="left" w:leader="none"/>
          <w:tab w:pos="3354" w:val="left" w:leader="none"/>
          <w:tab w:pos="5957" w:val="left" w:leader="none"/>
          <w:tab w:pos="7104" w:val="left" w:leader="none"/>
          <w:tab w:pos="8333" w:val="left" w:leader="none"/>
          <w:tab w:pos="8524" w:val="left" w:leader="none"/>
        </w:tabs>
        <w:spacing w:line="350" w:lineRule="auto" w:before="0"/>
        <w:ind w:left="618" w:right="314" w:firstLine="0"/>
        <w:jc w:val="both"/>
        <w:rPr>
          <w:rFonts w:ascii="Arial" w:hAnsi="Arial" w:cs="Arial" w:eastAsia="Arial" w:hint="default"/>
          <w:sz w:val="18"/>
          <w:szCs w:val="18"/>
        </w:rPr>
      </w:pPr>
      <w:r>
        <w:rPr/>
        <w:pict>
          <v:group style="position:absolute;margin-left:197.52002pt;margin-top:50.852638pt;width:86.9pt;height:2.2pt;mso-position-horizontal-relative:page;mso-position-vertical-relative:paragraph;z-index:-819328" coordorigin="3950,1017" coordsize="1738,44">
            <v:group style="position:absolute;left:3958;top:1053;width:1724;height:2" coordorigin="3958,1053" coordsize="1724,2">
              <v:shape style="position:absolute;left:3958;top:1053;width:1724;height:2" coordorigin="3958,1053" coordsize="1724,0" path="m3958,1053l5681,1053e" filled="false" stroked="true" strokeweight=".71997pt" strokecolor="#000000">
                <v:path arrowok="t"/>
              </v:shape>
            </v:group>
            <v:group style="position:absolute;left:3958;top:1024;width:1724;height:2" coordorigin="3958,1024" coordsize="1724,2">
              <v:shape style="position:absolute;left:3958;top:1024;width:1724;height:2" coordorigin="3958,1024" coordsize="1724,0" path="m3958,1024l5681,1024e" filled="false" stroked="true" strokeweight=".71997pt" strokecolor="#000000">
                <v:path arrowok="t"/>
              </v:shape>
            </v:group>
            <w10:wrap type="none"/>
          </v:group>
        </w:pict>
      </w:r>
      <w:r>
        <w:rPr/>
        <w:pict>
          <v:group style="position:absolute;margin-left:455.040009pt;margin-top:50.852638pt;width:85.5pt;height:2.2pt;mso-position-horizontal-relative:page;mso-position-vertical-relative:paragraph;z-index:-819304" coordorigin="9101,1017" coordsize="1710,44">
            <v:group style="position:absolute;left:9108;top:1053;width:1696;height:2" coordorigin="9108,1053" coordsize="1696,2">
              <v:shape style="position:absolute;left:9108;top:1053;width:1696;height:2" coordorigin="9108,1053" coordsize="1696,0" path="m9108,1053l10804,1053e" filled="false" stroked="true" strokeweight=".71997pt" strokecolor="#000000">
                <v:path arrowok="t"/>
              </v:shape>
            </v:group>
            <v:group style="position:absolute;left:9108;top:1024;width:1696;height:2" coordorigin="9108,1024" coordsize="1696,2">
              <v:shape style="position:absolute;left:9108;top:1024;width:1696;height:2" coordorigin="9108,1024" coordsize="1696,0" path="m9108,1024l10804,1024e" filled="false" stroked="true" strokeweight=".71997pt" strokecolor="#000000">
                <v:path arrowok="t"/>
              </v:shape>
            </v:group>
            <w10:wrap type="none"/>
          </v:group>
        </w:pict>
      </w:r>
      <w:r>
        <w:rPr>
          <w:rFonts w:ascii="宋体" w:hAnsi="宋体" w:cs="宋体" w:eastAsia="宋体" w:hint="default"/>
          <w:position w:val="1"/>
          <w:sz w:val="18"/>
          <w:szCs w:val="18"/>
        </w:rPr>
        <w:t>小计</w:t>
        <w:tab/>
      </w:r>
      <w:r>
        <w:rPr>
          <w:rFonts w:ascii="Arial" w:hAnsi="Arial" w:cs="Arial" w:eastAsia="Arial" w:hint="default"/>
          <w:sz w:val="18"/>
          <w:szCs w:val="18"/>
        </w:rPr>
        <w:t>3,385,368,671         46,613,847,875      </w:t>
      </w:r>
      <w:r>
        <w:rPr>
          <w:rFonts w:ascii="Arial" w:hAnsi="Arial" w:cs="Arial" w:eastAsia="Arial" w:hint="default"/>
          <w:spacing w:val="36"/>
          <w:sz w:val="18"/>
          <w:szCs w:val="18"/>
        </w:rPr>
        <w:t> </w:t>
      </w:r>
      <w:r>
        <w:rPr>
          <w:rFonts w:ascii="Arial" w:hAnsi="Arial" w:cs="Arial" w:eastAsia="Arial" w:hint="default"/>
          <w:sz w:val="18"/>
          <w:szCs w:val="18"/>
        </w:rPr>
        <w:t>(47,643,771,967)</w:t>
        <w:tab/>
        <w:t>2,355,444,579</w:t>
      </w:r>
      <w:r>
        <w:rPr>
          <w:rFonts w:ascii="Arial" w:hAnsi="Arial" w:cs="Arial" w:eastAsia="Arial" w:hint="default"/>
          <w:w w:val="99"/>
          <w:sz w:val="18"/>
          <w:szCs w:val="18"/>
        </w:rPr>
        <w:t> </w:t>
      </w:r>
      <w:r>
        <w:rPr>
          <w:rFonts w:ascii="宋体" w:hAnsi="宋体" w:cs="宋体" w:eastAsia="宋体" w:hint="default"/>
          <w:position w:val="1"/>
          <w:sz w:val="18"/>
          <w:szCs w:val="18"/>
        </w:rPr>
        <w:t>工程物资减值准备</w:t>
      </w:r>
      <w:r>
        <w:rPr>
          <w:rFonts w:ascii="Arial" w:hAnsi="Arial" w:cs="Arial" w:eastAsia="Arial" w:hint="default"/>
          <w:sz w:val="18"/>
          <w:szCs w:val="18"/>
        </w:rPr>
      </w:r>
      <w:r>
        <w:rPr>
          <w:rFonts w:ascii="Arial" w:hAnsi="Arial" w:cs="Arial" w:eastAsia="Arial" w:hint="default"/>
          <w:sz w:val="18"/>
          <w:szCs w:val="18"/>
          <w:u w:val="single" w:color="000000"/>
        </w:rPr>
        <w:t> </w:t>
        <w:tab/>
        <w:tab/>
      </w:r>
      <w:r>
        <w:rPr>
          <w:rFonts w:ascii="Arial" w:hAnsi="Arial" w:cs="Arial" w:eastAsia="Arial" w:hint="default"/>
          <w:spacing w:val="-1"/>
          <w:sz w:val="18"/>
          <w:szCs w:val="18"/>
          <w:u w:val="single" w:color="000000"/>
        </w:rPr>
        <w:t>(18,576,893)</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433,483</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ab/>
        <w:t>(18,143,410)</w:t>
      </w:r>
      <w:r>
        <w:rPr>
          <w:rFonts w:ascii="Arial" w:hAnsi="Arial" w:cs="Arial" w:eastAsia="Arial" w:hint="default"/>
          <w:spacing w:val="-1"/>
          <w:w w:val="99"/>
          <w:sz w:val="18"/>
          <w:szCs w:val="18"/>
        </w:rPr>
      </w:r>
      <w:r>
        <w:rPr>
          <w:rFonts w:ascii="Arial" w:hAnsi="Arial" w:cs="Arial" w:eastAsia="Arial" w:hint="default"/>
          <w:spacing w:val="-1"/>
          <w:w w:val="99"/>
          <w:sz w:val="18"/>
          <w:szCs w:val="18"/>
        </w:rPr>
        <w:t> </w:t>
      </w:r>
      <w:r>
        <w:rPr>
          <w:rFonts w:ascii="宋体" w:hAnsi="宋体" w:cs="宋体" w:eastAsia="宋体" w:hint="default"/>
          <w:position w:val="1"/>
          <w:sz w:val="18"/>
          <w:szCs w:val="18"/>
        </w:rPr>
        <w:t>工程物资合计</w:t>
        <w:tab/>
      </w:r>
      <w:r>
        <w:rPr>
          <w:rFonts w:ascii="Arial" w:hAnsi="Arial" w:cs="Arial" w:eastAsia="Arial" w:hint="default"/>
          <w:spacing w:val="-1"/>
          <w:sz w:val="18"/>
          <w:szCs w:val="18"/>
        </w:rPr>
        <w:t>3,366,791,778</w:t>
        <w:tab/>
        <w:tab/>
        <w:tab/>
        <w:t>2,337,301,169</w:t>
      </w:r>
    </w:p>
    <w:p>
      <w:pPr>
        <w:pStyle w:val="BodyText"/>
        <w:spacing w:line="286" w:lineRule="exact" w:before="125"/>
        <w:ind w:left="590" w:right="0"/>
        <w:jc w:val="left"/>
      </w:pPr>
      <w:r>
        <w:rPr/>
        <w:pict>
          <v:group style="position:absolute;margin-left:197.580017pt;margin-top:86.810333pt;width:169.4pt;height:.75pt;mso-position-horizontal-relative:page;mso-position-vertical-relative:paragraph;z-index:-819280" coordorigin="3952,1736" coordsize="3388,15">
            <v:group style="position:absolute;left:3959;top:1743;width:1736;height:2" coordorigin="3959,1743" coordsize="1736,2">
              <v:shape style="position:absolute;left:3959;top:1743;width:1736;height:2" coordorigin="3959,1743" coordsize="1736,0" path="m3959,1743l5694,1743e" filled="false" stroked="true" strokeweight=".71997pt" strokecolor="#000000">
                <v:path arrowok="t"/>
              </v:shape>
            </v:group>
            <v:group style="position:absolute;left:5766;top:1743;width:1566;height:2" coordorigin="5766,1743" coordsize="1566,2">
              <v:shape style="position:absolute;left:5766;top:1743;width:1566;height:2" coordorigin="5766,1743" coordsize="1566,0" path="m5766,1743l7332,1743e" filled="false" stroked="true" strokeweight=".71997pt" strokecolor="#000000">
                <v:path arrowok="t"/>
              </v:shape>
            </v:group>
            <w10:wrap type="none"/>
          </v:group>
        </w:pict>
      </w:r>
      <w:r>
        <w:rPr>
          <w:spacing w:val="3"/>
        </w:rPr>
        <w:t>工程物资减值准备的本年减少是由于部分工程物资因处置而转出相应在以前年度已计提的减</w:t>
      </w:r>
      <w:r>
        <w:rPr>
          <w:spacing w:val="-89"/>
        </w:rPr>
        <w:t> </w:t>
      </w:r>
      <w:r>
        <w:rPr>
          <w:spacing w:val="-89"/>
        </w:rPr>
      </w:r>
      <w:r>
        <w:rPr/>
        <w:t>值准备。</w:t>
      </w:r>
    </w:p>
    <w:p>
      <w:pPr>
        <w:spacing w:line="240" w:lineRule="auto" w:before="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611"/>
        <w:gridCol w:w="5185"/>
        <w:gridCol w:w="1747"/>
      </w:tblGrid>
      <w:tr>
        <w:trPr>
          <w:trHeight w:val="689"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12</w:t>
            </w:r>
            <w:r>
              <w:rPr>
                <w:rFonts w:ascii="宋体" w:hAnsi="宋体" w:cs="宋体" w:eastAsia="宋体" w:hint="default"/>
                <w:sz w:val="22"/>
                <w:szCs w:val="22"/>
              </w:rPr>
              <w:t>、无形资产</w:t>
            </w:r>
          </w:p>
        </w:tc>
        <w:tc>
          <w:tcPr>
            <w:tcW w:w="693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tabs>
                <w:tab w:pos="6194" w:val="left" w:leader="none"/>
              </w:tabs>
              <w:spacing w:line="240" w:lineRule="auto"/>
              <w:ind w:left="1021"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tab/>
            </w: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8" w:hRule="exact"/>
        </w:trPr>
        <w:tc>
          <w:tcPr>
            <w:tcW w:w="2611" w:type="dxa"/>
            <w:tcBorders>
              <w:top w:val="nil" w:sz="6" w:space="0" w:color="auto"/>
              <w:left w:val="nil" w:sz="6" w:space="0" w:color="auto"/>
              <w:bottom w:val="nil" w:sz="6" w:space="0" w:color="auto"/>
              <w:right w:val="nil" w:sz="6" w:space="0" w:color="auto"/>
            </w:tcBorders>
          </w:tcPr>
          <w:p>
            <w:pP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2590" w:val="left" w:leader="none"/>
                <w:tab w:pos="4371" w:val="left" w:leader="none"/>
                <w:tab w:pos="5924" w:val="left" w:leader="none"/>
              </w:tabs>
              <w:spacing w:line="215" w:lineRule="exact"/>
              <w:ind w:left="75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本年增加</w:t>
              <w:tab/>
              <w:t>本年减少</w:t>
              <w:tab/>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0" w:hRule="exact"/>
        </w:trPr>
        <w:tc>
          <w:tcPr>
            <w:tcW w:w="2611" w:type="dxa"/>
            <w:tcBorders>
              <w:top w:val="nil" w:sz="6" w:space="0" w:color="auto"/>
              <w:left w:val="nil" w:sz="6" w:space="0" w:color="auto"/>
              <w:bottom w:val="nil" w:sz="6" w:space="0" w:color="auto"/>
              <w:right w:val="nil" w:sz="6" w:space="0" w:color="auto"/>
            </w:tcBorders>
          </w:tcPr>
          <w:p>
            <w:pPr/>
          </w:p>
        </w:tc>
        <w:tc>
          <w:tcPr>
            <w:tcW w:w="6933" w:type="dxa"/>
            <w:gridSpan w:val="2"/>
            <w:tcBorders>
              <w:top w:val="nil" w:sz="6" w:space="0" w:color="auto"/>
              <w:left w:val="nil" w:sz="6" w:space="0" w:color="auto"/>
              <w:bottom w:val="nil" w:sz="6" w:space="0" w:color="auto"/>
              <w:right w:val="nil" w:sz="6" w:space="0" w:color="auto"/>
            </w:tcBorders>
          </w:tcPr>
          <w:p>
            <w:pPr>
              <w:pStyle w:val="TableParagraph"/>
              <w:spacing w:line="212" w:lineRule="exact"/>
              <w:ind w:left="836" w:right="0"/>
              <w:jc w:val="left"/>
              <w:rPr>
                <w:rFonts w:ascii="宋体" w:hAnsi="宋体" w:cs="宋体" w:eastAsia="宋体" w:hint="default"/>
                <w:sz w:val="18"/>
                <w:szCs w:val="18"/>
              </w:rPr>
            </w:pPr>
            <w:r>
              <w:rPr>
                <w:rFonts w:ascii="宋体" w:hAnsi="宋体" w:cs="宋体" w:eastAsia="宋体" w:hint="default"/>
                <w:sz w:val="18"/>
                <w:szCs w:val="18"/>
              </w:rPr>
              <w:t>（经重列）</w:t>
            </w:r>
          </w:p>
        </w:tc>
      </w:tr>
      <w:tr>
        <w:trPr>
          <w:trHeight w:val="23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7" w:lineRule="exact"/>
              <w:ind w:left="494" w:right="0"/>
              <w:jc w:val="left"/>
              <w:rPr>
                <w:rFonts w:ascii="宋体" w:hAnsi="宋体" w:cs="宋体" w:eastAsia="宋体" w:hint="default"/>
                <w:sz w:val="18"/>
                <w:szCs w:val="18"/>
              </w:rPr>
            </w:pPr>
            <w:r>
              <w:rPr>
                <w:rFonts w:ascii="宋体" w:hAnsi="宋体" w:cs="宋体" w:eastAsia="宋体" w:hint="default"/>
                <w:sz w:val="18"/>
                <w:szCs w:val="18"/>
              </w:rPr>
              <w:t>原价</w:t>
            </w:r>
          </w:p>
        </w:tc>
        <w:tc>
          <w:tcPr>
            <w:tcW w:w="6933" w:type="dxa"/>
            <w:gridSpan w:val="2"/>
            <w:tcBorders>
              <w:top w:val="nil" w:sz="6" w:space="0" w:color="auto"/>
              <w:left w:val="nil" w:sz="6" w:space="0" w:color="auto"/>
              <w:bottom w:val="nil" w:sz="6" w:space="0" w:color="auto"/>
              <w:right w:val="nil" w:sz="6" w:space="0" w:color="auto"/>
            </w:tcBorders>
          </w:tcPr>
          <w:p>
            <w:pPr/>
          </w:p>
        </w:tc>
      </w:tr>
      <w:tr>
        <w:trPr>
          <w:trHeight w:val="245"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6" w:lineRule="exact"/>
              <w:ind w:left="67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2273" w:val="left" w:leader="none"/>
                <w:tab w:pos="4049" w:val="left" w:leader="none"/>
                <w:tab w:pos="5532" w:val="left" w:leader="none"/>
              </w:tabs>
              <w:spacing w:line="240" w:lineRule="auto" w:before="26"/>
              <w:ind w:left="345" w:right="0"/>
              <w:jc w:val="left"/>
              <w:rPr>
                <w:rFonts w:ascii="Arial" w:hAnsi="Arial" w:cs="Arial" w:eastAsia="Arial" w:hint="default"/>
                <w:sz w:val="18"/>
                <w:szCs w:val="18"/>
              </w:rPr>
            </w:pPr>
            <w:r>
              <w:rPr>
                <w:rFonts w:ascii="Arial"/>
                <w:spacing w:val="-1"/>
                <w:sz w:val="18"/>
              </w:rPr>
              <w:t>17,209,312,633</w:t>
              <w:tab/>
              <w:t>312,151,394</w:t>
              <w:tab/>
              <w:t>(85,500,403)</w:t>
              <w:tab/>
              <w:t>17,435,963,624</w:t>
            </w:r>
          </w:p>
        </w:tc>
      </w:tr>
      <w:tr>
        <w:trPr>
          <w:trHeight w:val="23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5" w:lineRule="exact"/>
              <w:ind w:left="67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2123" w:val="left" w:leader="none"/>
                <w:tab w:pos="3951" w:val="left" w:leader="none"/>
                <w:tab w:pos="5660" w:val="left" w:leader="none"/>
              </w:tabs>
              <w:spacing w:line="240" w:lineRule="auto" w:before="14"/>
              <w:ind w:left="445" w:right="0"/>
              <w:jc w:val="left"/>
              <w:rPr>
                <w:rFonts w:ascii="Arial" w:hAnsi="Arial" w:cs="Arial" w:eastAsia="Arial" w:hint="default"/>
                <w:sz w:val="18"/>
                <w:szCs w:val="18"/>
              </w:rPr>
            </w:pPr>
            <w:r>
              <w:rPr>
                <w:rFonts w:ascii="Arial"/>
                <w:spacing w:val="-1"/>
                <w:sz w:val="18"/>
              </w:rPr>
              <w:t>7,968,660,307</w:t>
              <w:tab/>
              <w:t>2,489,098,641</w:t>
              <w:tab/>
              <w:t>(712,559,030)</w:t>
              <w:tab/>
              <w:t>9,745,199,918</w:t>
            </w:r>
          </w:p>
        </w:tc>
      </w:tr>
      <w:tr>
        <w:trPr>
          <w:trHeight w:val="244"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6" w:lineRule="exact"/>
              <w:ind w:right="492"/>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3214" w:val="left" w:leader="none"/>
                <w:tab w:pos="4950" w:val="left" w:leader="none"/>
                <w:tab w:pos="5810" w:val="left" w:leader="none"/>
              </w:tabs>
              <w:spacing w:line="240" w:lineRule="auto" w:before="15"/>
              <w:ind w:left="595" w:right="0"/>
              <w:jc w:val="left"/>
              <w:rPr>
                <w:rFonts w:ascii="Arial" w:hAnsi="Arial" w:cs="Arial" w:eastAsia="Arial" w:hint="default"/>
                <w:sz w:val="18"/>
                <w:szCs w:val="18"/>
              </w:rPr>
            </w:pPr>
            <w:r>
              <w:rPr>
                <w:rFonts w:ascii="Arial"/>
                <w:spacing w:val="-1"/>
                <w:sz w:val="18"/>
              </w:rPr>
              <w:t>669,373,719</w:t>
              <w:tab/>
            </w:r>
            <w:r>
              <w:rPr>
                <w:rFonts w:ascii="Arial"/>
                <w:sz w:val="18"/>
              </w:rPr>
              <w:t>-</w:t>
              <w:tab/>
              <w:t>-</w:t>
              <w:tab/>
            </w:r>
            <w:r>
              <w:rPr>
                <w:rFonts w:ascii="Arial"/>
                <w:spacing w:val="-1"/>
                <w:sz w:val="18"/>
              </w:rPr>
              <w:t>669,373,719</w:t>
            </w:r>
          </w:p>
        </w:tc>
      </w:tr>
      <w:tr>
        <w:trPr>
          <w:trHeight w:val="230"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84" w:lineRule="exact"/>
              <w:ind w:left="6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595" w:val="left" w:leader="none"/>
                <w:tab w:pos="2372" w:val="left" w:leader="none"/>
                <w:tab w:pos="4050" w:val="left" w:leader="none"/>
                <w:tab w:pos="5810" w:val="left" w:leader="none"/>
                <w:tab w:pos="6897" w:val="left" w:leader="none"/>
              </w:tabs>
              <w:spacing w:line="240" w:lineRule="auto" w:before="3"/>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241,628,831</w:t>
            </w:r>
            <w:r>
              <w:rPr>
                <w:rFonts w:ascii="Arial"/>
                <w:spacing w:val="-1"/>
                <w:sz w:val="18"/>
              </w:rPr>
            </w:r>
            <w:r>
              <w:rPr>
                <w:rFonts w:ascii="Arial"/>
                <w:spacing w:val="-1"/>
                <w:sz w:val="18"/>
                <w:u w:val="single" w:color="000000"/>
              </w:rPr>
              <w:t> </w:t>
              <w:tab/>
              <w:t>81,857,094</w:t>
            </w:r>
            <w:r>
              <w:rPr>
                <w:rFonts w:ascii="Arial"/>
                <w:spacing w:val="-1"/>
                <w:sz w:val="18"/>
              </w:rPr>
            </w:r>
            <w:r>
              <w:rPr>
                <w:rFonts w:ascii="Arial"/>
                <w:spacing w:val="-1"/>
                <w:sz w:val="18"/>
                <w:u w:val="single" w:color="000000"/>
              </w:rPr>
              <w:t> </w:t>
              <w:tab/>
              <w:t>(20,845,995)</w:t>
            </w:r>
            <w:r>
              <w:rPr>
                <w:rFonts w:ascii="Arial"/>
                <w:spacing w:val="-1"/>
                <w:sz w:val="18"/>
              </w:rPr>
            </w:r>
            <w:r>
              <w:rPr>
                <w:rFonts w:ascii="Arial"/>
                <w:spacing w:val="-1"/>
                <w:sz w:val="18"/>
                <w:u w:val="single" w:color="000000"/>
              </w:rPr>
              <w:t> </w:t>
              <w:tab/>
              <w:t>302,639,930</w:t>
              <w:tab/>
            </w:r>
            <w:r>
              <w:rPr>
                <w:rFonts w:ascii="Arial"/>
                <w:spacing w:val="-1"/>
                <w:sz w:val="18"/>
              </w:rPr>
            </w:r>
          </w:p>
        </w:tc>
      </w:tr>
      <w:tr>
        <w:trPr>
          <w:trHeight w:val="298"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3" w:lineRule="exact"/>
              <w:ind w:left="6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345" w:val="left" w:leader="none"/>
                <w:tab w:pos="2123" w:val="left" w:leader="none"/>
                <w:tab w:pos="3951" w:val="left" w:leader="none"/>
                <w:tab w:pos="5560" w:val="left" w:leader="none"/>
                <w:tab w:pos="6897" w:val="left" w:leader="none"/>
              </w:tabs>
              <w:spacing w:line="240" w:lineRule="auto" w:before="22"/>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26,088,975,490</w:t>
            </w:r>
            <w:r>
              <w:rPr>
                <w:rFonts w:ascii="Arial"/>
                <w:spacing w:val="-1"/>
                <w:sz w:val="18"/>
              </w:rPr>
            </w:r>
            <w:r>
              <w:rPr>
                <w:rFonts w:ascii="Arial"/>
                <w:spacing w:val="-1"/>
                <w:sz w:val="18"/>
                <w:u w:val="single" w:color="000000"/>
              </w:rPr>
              <w:t> </w:t>
              <w:tab/>
              <w:t>2,883,107,129</w:t>
            </w:r>
            <w:r>
              <w:rPr>
                <w:rFonts w:ascii="Arial"/>
                <w:spacing w:val="-1"/>
                <w:sz w:val="18"/>
              </w:rPr>
            </w:r>
            <w:r>
              <w:rPr>
                <w:rFonts w:ascii="Arial"/>
                <w:spacing w:val="-1"/>
                <w:sz w:val="18"/>
                <w:u w:val="single" w:color="000000"/>
              </w:rPr>
              <w:t> </w:t>
              <w:tab/>
              <w:t>(818,905,428)</w:t>
            </w:r>
            <w:r>
              <w:rPr>
                <w:rFonts w:ascii="Arial"/>
                <w:spacing w:val="-1"/>
                <w:sz w:val="18"/>
              </w:rPr>
            </w:r>
            <w:r>
              <w:rPr>
                <w:rFonts w:ascii="Arial"/>
                <w:spacing w:val="-1"/>
                <w:sz w:val="18"/>
                <w:u w:val="single" w:color="000000"/>
              </w:rPr>
              <w:t> </w:t>
              <w:tab/>
              <w:t>28,153,177,191</w:t>
              <w:tab/>
            </w:r>
            <w:r>
              <w:rPr>
                <w:rFonts w:ascii="Arial"/>
                <w:spacing w:val="-1"/>
                <w:sz w:val="18"/>
              </w:rPr>
            </w:r>
          </w:p>
        </w:tc>
      </w:tr>
      <w:tr>
        <w:trPr>
          <w:trHeight w:val="279"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6933" w:type="dxa"/>
            <w:gridSpan w:val="2"/>
            <w:tcBorders>
              <w:top w:val="nil" w:sz="6" w:space="0" w:color="auto"/>
              <w:left w:val="nil" w:sz="6" w:space="0" w:color="auto"/>
              <w:bottom w:val="nil" w:sz="6" w:space="0" w:color="auto"/>
              <w:right w:val="nil" w:sz="6" w:space="0" w:color="auto"/>
            </w:tcBorders>
          </w:tcPr>
          <w:p>
            <w:pPr/>
          </w:p>
        </w:tc>
      </w:tr>
      <w:tr>
        <w:trPr>
          <w:trHeight w:val="244"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6" w:lineRule="exact"/>
              <w:ind w:left="67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2214" w:val="left" w:leader="none"/>
                <w:tab w:pos="4109" w:val="left" w:leader="none"/>
                <w:tab w:pos="5600" w:val="left" w:leader="none"/>
              </w:tabs>
              <w:spacing w:line="240" w:lineRule="auto" w:before="25"/>
              <w:ind w:left="385" w:right="0"/>
              <w:jc w:val="left"/>
              <w:rPr>
                <w:rFonts w:ascii="Arial" w:hAnsi="Arial" w:cs="Arial" w:eastAsia="Arial" w:hint="default"/>
                <w:sz w:val="18"/>
                <w:szCs w:val="18"/>
              </w:rPr>
            </w:pPr>
            <w:r>
              <w:rPr>
                <w:rFonts w:ascii="Arial"/>
                <w:spacing w:val="-1"/>
                <w:sz w:val="18"/>
              </w:rPr>
              <w:t>(2,543,663,317)</w:t>
              <w:tab/>
              <w:t>(479,680,042)</w:t>
              <w:tab/>
              <w:t>52,534,232</w:t>
              <w:tab/>
              <w:t>(2,970,809,127)</w:t>
            </w:r>
          </w:p>
        </w:tc>
      </w:tr>
      <w:tr>
        <w:trPr>
          <w:trHeight w:val="23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6" w:lineRule="exact"/>
              <w:ind w:left="67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2063" w:val="left" w:leader="none"/>
                <w:tab w:pos="4010" w:val="left" w:leader="none"/>
                <w:tab w:pos="5600" w:val="left" w:leader="none"/>
              </w:tabs>
              <w:spacing w:line="240" w:lineRule="auto" w:before="15"/>
              <w:ind w:left="385" w:right="0"/>
              <w:jc w:val="left"/>
              <w:rPr>
                <w:rFonts w:ascii="Arial" w:hAnsi="Arial" w:cs="Arial" w:eastAsia="Arial" w:hint="default"/>
                <w:sz w:val="18"/>
                <w:szCs w:val="18"/>
              </w:rPr>
            </w:pPr>
            <w:r>
              <w:rPr>
                <w:rFonts w:ascii="Arial"/>
                <w:spacing w:val="-1"/>
                <w:sz w:val="18"/>
              </w:rPr>
              <w:t>(3,523,705,448)</w:t>
              <w:tab/>
              <w:t>(1,424,881,138)</w:t>
              <w:tab/>
              <w:t>712,383,638</w:t>
              <w:tab/>
              <w:t>(4,236,202,948)</w:t>
            </w:r>
          </w:p>
        </w:tc>
      </w:tr>
      <w:tr>
        <w:trPr>
          <w:trHeight w:val="23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5" w:lineRule="exact"/>
              <w:ind w:right="492"/>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2314" w:val="left" w:leader="none"/>
                <w:tab w:pos="4951" w:val="left" w:leader="none"/>
                <w:tab w:pos="5751" w:val="left" w:leader="none"/>
              </w:tabs>
              <w:spacing w:line="240" w:lineRule="auto" w:before="14"/>
              <w:ind w:left="536" w:right="0"/>
              <w:jc w:val="left"/>
              <w:rPr>
                <w:rFonts w:ascii="Arial" w:hAnsi="Arial" w:cs="Arial" w:eastAsia="Arial" w:hint="default"/>
                <w:sz w:val="18"/>
                <w:szCs w:val="18"/>
              </w:rPr>
            </w:pPr>
            <w:r>
              <w:rPr>
                <w:rFonts w:ascii="Arial"/>
                <w:spacing w:val="-1"/>
                <w:sz w:val="18"/>
              </w:rPr>
              <w:t>(132,026,706)</w:t>
              <w:tab/>
              <w:t>(45,922,624)</w:t>
              <w:tab/>
            </w:r>
            <w:r>
              <w:rPr>
                <w:rFonts w:ascii="Arial"/>
                <w:sz w:val="18"/>
              </w:rPr>
              <w:t>-</w:t>
              <w:tab/>
            </w:r>
            <w:r>
              <w:rPr>
                <w:rFonts w:ascii="Arial"/>
                <w:spacing w:val="-1"/>
                <w:sz w:val="18"/>
              </w:rPr>
              <w:t>(177,949,330)</w:t>
            </w:r>
            <w:r>
              <w:rPr>
                <w:rFonts w:ascii="Arial"/>
                <w:sz w:val="18"/>
              </w:rPr>
            </w:r>
          </w:p>
        </w:tc>
      </w:tr>
      <w:tr>
        <w:trPr>
          <w:trHeight w:val="241"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6" w:lineRule="exact"/>
              <w:ind w:left="6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635" w:val="left" w:leader="none"/>
                <w:tab w:pos="2314" w:val="left" w:leader="none"/>
                <w:tab w:pos="4109" w:val="left" w:leader="none"/>
                <w:tab w:pos="5850"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(14,323,155)</w:t>
            </w:r>
            <w:r>
              <w:rPr>
                <w:rFonts w:ascii="Arial"/>
                <w:spacing w:val="-1"/>
                <w:sz w:val="18"/>
              </w:rPr>
            </w:r>
            <w:r>
              <w:rPr>
                <w:rFonts w:ascii="Arial"/>
                <w:spacing w:val="-1"/>
                <w:sz w:val="18"/>
                <w:u w:val="single" w:color="000000"/>
              </w:rPr>
              <w:t> </w:t>
              <w:tab/>
              <w:t>(31,892,875)</w:t>
            </w:r>
            <w:r>
              <w:rPr>
                <w:rFonts w:ascii="Arial"/>
                <w:spacing w:val="-1"/>
                <w:sz w:val="18"/>
              </w:rPr>
            </w:r>
            <w:r>
              <w:rPr>
                <w:rFonts w:ascii="Arial"/>
                <w:spacing w:val="-1"/>
                <w:sz w:val="18"/>
                <w:u w:val="single" w:color="000000"/>
              </w:rPr>
              <w:t> </w:t>
              <w:tab/>
              <w:t>20,845,995</w:t>
            </w:r>
            <w:r>
              <w:rPr>
                <w:rFonts w:ascii="Arial"/>
                <w:spacing w:val="-1"/>
                <w:sz w:val="18"/>
              </w:rPr>
            </w:r>
            <w:r>
              <w:rPr>
                <w:rFonts w:ascii="Arial"/>
                <w:spacing w:val="-1"/>
                <w:sz w:val="18"/>
                <w:u w:val="single" w:color="000000"/>
              </w:rPr>
              <w:t> </w:t>
              <w:tab/>
              <w:t>(25,370,035)</w:t>
            </w:r>
            <w:r>
              <w:rPr>
                <w:rFonts w:ascii="Arial"/>
                <w:spacing w:val="-1"/>
                <w:sz w:val="18"/>
              </w:rPr>
            </w:r>
            <w:r>
              <w:rPr>
                <w:rFonts w:ascii="Arial"/>
                <w:sz w:val="18"/>
              </w:rPr>
            </w:r>
          </w:p>
        </w:tc>
      </w:tr>
      <w:tr>
        <w:trPr>
          <w:trHeight w:val="239"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3" w:lineRule="exact"/>
              <w:ind w:left="6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385" w:val="left" w:leader="none"/>
                <w:tab w:pos="2063" w:val="left" w:leader="none"/>
                <w:tab w:pos="4010" w:val="left" w:leader="none"/>
                <w:tab w:pos="5600" w:val="left" w:leader="none"/>
              </w:tabs>
              <w:spacing w:line="240" w:lineRule="auto" w:before="12"/>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(6,213,718,626)</w:t>
            </w:r>
            <w:r>
              <w:rPr>
                <w:rFonts w:ascii="Arial"/>
                <w:spacing w:val="-1"/>
                <w:sz w:val="18"/>
              </w:rPr>
              <w:tab/>
            </w:r>
            <w:r>
              <w:rPr>
                <w:rFonts w:ascii="Arial"/>
                <w:spacing w:val="-1"/>
                <w:position w:val="1"/>
                <w:sz w:val="18"/>
              </w:rPr>
              <w:t>(1,982,376,679)</w:t>
              <w:tab/>
            </w:r>
            <w:r>
              <w:rPr>
                <w:rFonts w:ascii="Arial"/>
                <w:spacing w:val="-1"/>
                <w:sz w:val="18"/>
              </w:rPr>
              <w:t>785,763,865</w:t>
              <w:tab/>
              <w:t>(7,410,331,440)</w:t>
            </w:r>
          </w:p>
        </w:tc>
      </w:tr>
      <w:tr>
        <w:trPr>
          <w:trHeight w:val="337"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94"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6933"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1800" w:right="0"/>
              <w:jc w:val="left"/>
              <w:rPr>
                <w:rFonts w:ascii="宋体" w:hAnsi="宋体" w:cs="宋体" w:eastAsia="宋体" w:hint="default"/>
                <w:sz w:val="2"/>
                <w:szCs w:val="2"/>
              </w:rPr>
            </w:pPr>
            <w:r>
              <w:rPr>
                <w:rFonts w:ascii="宋体" w:hAnsi="宋体" w:cs="宋体" w:eastAsia="宋体" w:hint="default"/>
                <w:sz w:val="2"/>
                <w:szCs w:val="2"/>
              </w:rPr>
              <w:pict>
                <v:group style="width:79.05pt;height:.75pt;mso-position-horizontal-relative:char;mso-position-vertical-relative:line" coordorigin="0,0" coordsize="1581,15">
                  <v:group style="position:absolute;left:7;top:7;width:1566;height:2" coordorigin="7,7" coordsize="1566,2">
                    <v:shape style="position:absolute;left:7;top:7;width:1566;height:2" coordorigin="7,7" coordsize="1566,0" path="m7,7l1573,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sz w:val="24"/>
                <w:szCs w:val="24"/>
              </w:rPr>
            </w:pPr>
          </w:p>
        </w:tc>
      </w:tr>
      <w:tr>
        <w:trPr>
          <w:trHeight w:val="244"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6" w:lineRule="exact"/>
              <w:ind w:left="67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5560" w:val="left" w:leader="none"/>
              </w:tabs>
              <w:spacing w:line="240" w:lineRule="auto" w:before="25"/>
              <w:ind w:left="345" w:right="0"/>
              <w:jc w:val="left"/>
              <w:rPr>
                <w:rFonts w:ascii="Arial" w:hAnsi="Arial" w:cs="Arial" w:eastAsia="Arial" w:hint="default"/>
                <w:sz w:val="18"/>
                <w:szCs w:val="18"/>
              </w:rPr>
            </w:pPr>
            <w:r>
              <w:rPr>
                <w:rFonts w:ascii="Arial"/>
                <w:spacing w:val="-1"/>
                <w:sz w:val="18"/>
              </w:rPr>
              <w:t>14,665,649,316</w:t>
              <w:tab/>
              <w:t>14,465,154,497</w:t>
            </w:r>
          </w:p>
        </w:tc>
      </w:tr>
      <w:tr>
        <w:trPr>
          <w:trHeight w:val="23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6" w:lineRule="exact"/>
              <w:ind w:left="67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5660" w:val="left" w:leader="none"/>
              </w:tabs>
              <w:spacing w:line="240" w:lineRule="auto" w:before="15"/>
              <w:ind w:left="445" w:right="0"/>
              <w:jc w:val="left"/>
              <w:rPr>
                <w:rFonts w:ascii="Arial" w:hAnsi="Arial" w:cs="Arial" w:eastAsia="Arial" w:hint="default"/>
                <w:sz w:val="18"/>
                <w:szCs w:val="18"/>
              </w:rPr>
            </w:pPr>
            <w:r>
              <w:rPr>
                <w:rFonts w:ascii="Arial"/>
                <w:spacing w:val="-1"/>
                <w:sz w:val="18"/>
              </w:rPr>
              <w:t>4,444,954,859</w:t>
              <w:tab/>
              <w:t>5,508,996,970</w:t>
            </w:r>
          </w:p>
        </w:tc>
      </w:tr>
      <w:tr>
        <w:trPr>
          <w:trHeight w:val="23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5" w:lineRule="exact"/>
              <w:ind w:right="492"/>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5810" w:val="left" w:leader="none"/>
              </w:tabs>
              <w:spacing w:line="240" w:lineRule="auto" w:before="14"/>
              <w:ind w:left="595" w:right="0"/>
              <w:jc w:val="left"/>
              <w:rPr>
                <w:rFonts w:ascii="Arial" w:hAnsi="Arial" w:cs="Arial" w:eastAsia="Arial" w:hint="default"/>
                <w:sz w:val="18"/>
                <w:szCs w:val="18"/>
              </w:rPr>
            </w:pPr>
            <w:r>
              <w:rPr>
                <w:rFonts w:ascii="Arial"/>
                <w:spacing w:val="-1"/>
                <w:sz w:val="18"/>
              </w:rPr>
              <w:t>537,347,013</w:t>
              <w:tab/>
              <w:t>491,424,389</w:t>
            </w:r>
          </w:p>
        </w:tc>
      </w:tr>
      <w:tr>
        <w:trPr>
          <w:trHeight w:val="241"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6" w:lineRule="exact"/>
              <w:ind w:left="6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595" w:val="left" w:leader="none"/>
                <w:tab w:pos="5199" w:val="left" w:leader="none"/>
                <w:tab w:pos="5810" w:val="left" w:leader="none"/>
                <w:tab w:pos="6897"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227,305,676</w:t>
            </w:r>
            <w:r>
              <w:rPr>
                <w:rFonts w:ascii="Arial"/>
                <w:spacing w:val="-1"/>
                <w:sz w:val="18"/>
              </w:rPr>
              <w:tab/>
            </w:r>
            <w:r>
              <w:rPr>
                <w:rFonts w:ascii="Arial"/>
                <w:spacing w:val="-1"/>
                <w:sz w:val="18"/>
                <w:u w:val="single" w:color="000000"/>
              </w:rPr>
              <w:t> </w:t>
              <w:tab/>
              <w:t>277,269,895</w:t>
              <w:tab/>
            </w:r>
            <w:r>
              <w:rPr>
                <w:rFonts w:ascii="Arial"/>
                <w:spacing w:val="-1"/>
                <w:sz w:val="18"/>
              </w:rPr>
            </w:r>
          </w:p>
        </w:tc>
      </w:tr>
      <w:tr>
        <w:trPr>
          <w:trHeight w:val="298"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3" w:lineRule="exact"/>
              <w:ind w:left="6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345" w:val="left" w:leader="none"/>
                <w:tab w:pos="5199" w:val="left" w:leader="none"/>
                <w:tab w:pos="5560" w:val="left" w:leader="none"/>
                <w:tab w:pos="6897" w:val="left" w:leader="none"/>
              </w:tabs>
              <w:spacing w:line="240" w:lineRule="auto" w:before="22"/>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19,875,256,864</w:t>
            </w:r>
            <w:r>
              <w:rPr>
                <w:rFonts w:ascii="Arial"/>
                <w:spacing w:val="-1"/>
                <w:sz w:val="18"/>
              </w:rPr>
              <w:tab/>
            </w:r>
            <w:r>
              <w:rPr>
                <w:rFonts w:ascii="Arial"/>
                <w:spacing w:val="-1"/>
                <w:sz w:val="18"/>
                <w:u w:val="single" w:color="000000"/>
              </w:rPr>
              <w:t> </w:t>
              <w:tab/>
              <w:t>20,742,845,751</w:t>
              <w:tab/>
            </w:r>
            <w:r>
              <w:rPr>
                <w:rFonts w:ascii="Arial"/>
                <w:spacing w:val="-1"/>
                <w:sz w:val="18"/>
              </w:rPr>
            </w:r>
          </w:p>
        </w:tc>
      </w:tr>
      <w:tr>
        <w:trPr>
          <w:trHeight w:val="279"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6933" w:type="dxa"/>
            <w:gridSpan w:val="2"/>
            <w:tcBorders>
              <w:top w:val="nil" w:sz="6" w:space="0" w:color="auto"/>
              <w:left w:val="nil" w:sz="6" w:space="0" w:color="auto"/>
              <w:bottom w:val="nil" w:sz="6" w:space="0" w:color="auto"/>
              <w:right w:val="nil" w:sz="6" w:space="0" w:color="auto"/>
            </w:tcBorders>
          </w:tcPr>
          <w:p>
            <w:pPr/>
          </w:p>
        </w:tc>
      </w:tr>
      <w:tr>
        <w:trPr>
          <w:trHeight w:val="228"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6" w:lineRule="exact"/>
              <w:ind w:left="67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6933" w:type="dxa"/>
            <w:gridSpan w:val="2"/>
            <w:tcBorders>
              <w:top w:val="nil" w:sz="6" w:space="0" w:color="auto"/>
              <w:left w:val="nil" w:sz="6" w:space="0" w:color="auto"/>
              <w:bottom w:val="nil" w:sz="6" w:space="0" w:color="auto"/>
              <w:right w:val="nil" w:sz="6" w:space="0" w:color="auto"/>
            </w:tcBorders>
          </w:tcPr>
          <w:p>
            <w:pPr>
              <w:pStyle w:val="TableParagraph"/>
              <w:tabs>
                <w:tab w:pos="3214" w:val="left" w:leader="none"/>
                <w:tab w:pos="4360" w:val="left" w:leader="none"/>
                <w:tab w:pos="5951" w:val="left" w:leader="none"/>
              </w:tabs>
              <w:spacing w:line="240" w:lineRule="auto" w:before="25"/>
              <w:ind w:left="736" w:right="0"/>
              <w:jc w:val="left"/>
              <w:rPr>
                <w:rFonts w:ascii="Arial" w:hAnsi="Arial" w:cs="Arial" w:eastAsia="Arial" w:hint="default"/>
                <w:sz w:val="18"/>
                <w:szCs w:val="18"/>
              </w:rPr>
            </w:pPr>
            <w:r>
              <w:rPr>
                <w:rFonts w:ascii="Arial"/>
                <w:spacing w:val="-1"/>
                <w:sz w:val="18"/>
              </w:rPr>
              <w:t>(3,263,148)</w:t>
              <w:tab/>
            </w:r>
            <w:r>
              <w:rPr>
                <w:rFonts w:ascii="Arial"/>
                <w:sz w:val="18"/>
              </w:rPr>
              <w:t>-</w:t>
              <w:tab/>
            </w:r>
            <w:r>
              <w:rPr>
                <w:rFonts w:ascii="Arial"/>
                <w:spacing w:val="-1"/>
                <w:sz w:val="18"/>
              </w:rPr>
              <w:t>175,392</w:t>
              <w:tab/>
              <w:t>(3,087,756)</w:t>
            </w:r>
            <w:r>
              <w:rPr>
                <w:rFonts w:ascii="Arial"/>
                <w:sz w:val="18"/>
              </w:rPr>
            </w:r>
          </w:p>
        </w:tc>
      </w:tr>
      <w:tr>
        <w:trPr>
          <w:trHeight w:val="257" w:hRule="exact"/>
        </w:trPr>
        <w:tc>
          <w:tcPr>
            <w:tcW w:w="9544" w:type="dxa"/>
            <w:gridSpan w:val="3"/>
            <w:tcBorders>
              <w:top w:val="nil" w:sz="6" w:space="0" w:color="auto"/>
              <w:left w:val="nil" w:sz="6" w:space="0" w:color="auto"/>
              <w:bottom w:val="nil" w:sz="6" w:space="0" w:color="auto"/>
              <w:right w:val="nil" w:sz="6" w:space="0" w:color="auto"/>
            </w:tcBorders>
          </w:tcPr>
          <w:p>
            <w:pPr>
              <w:pStyle w:val="TableParagraph"/>
              <w:tabs>
                <w:tab w:pos="2611" w:val="left" w:leader="none"/>
                <w:tab w:pos="3498" w:val="left" w:leader="none"/>
                <w:tab w:pos="5825" w:val="left" w:leader="none"/>
                <w:tab w:pos="7562" w:val="left" w:leader="none"/>
                <w:tab w:pos="8713" w:val="left" w:leader="none"/>
              </w:tabs>
              <w:spacing w:line="238" w:lineRule="exact"/>
              <w:ind w:left="677" w:right="0"/>
              <w:jc w:val="left"/>
              <w:rPr>
                <w:rFonts w:ascii="Arial" w:hAnsi="Arial" w:cs="Arial" w:eastAsia="Arial" w:hint="default"/>
                <w:sz w:val="18"/>
                <w:szCs w:val="18"/>
              </w:rPr>
            </w:pPr>
            <w:r>
              <w:rPr>
                <w:rFonts w:ascii="宋体" w:hAnsi="宋体" w:cs="宋体" w:eastAsia="宋体" w:hint="default"/>
                <w:position w:val="1"/>
                <w:sz w:val="18"/>
                <w:szCs w:val="18"/>
              </w:rPr>
              <w:t>其他</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(130,093)</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(130,093)</w:t>
            </w:r>
            <w:r>
              <w:rPr>
                <w:rFonts w:ascii="Arial" w:hAnsi="Arial" w:cs="Arial" w:eastAsia="Arial" w:hint="default"/>
                <w:spacing w:val="-1"/>
                <w:sz w:val="18"/>
                <w:szCs w:val="18"/>
              </w:rPr>
            </w:r>
            <w:r>
              <w:rPr>
                <w:rFonts w:ascii="Arial" w:hAnsi="Arial" w:cs="Arial" w:eastAsia="Arial" w:hint="default"/>
                <w:sz w:val="18"/>
                <w:szCs w:val="18"/>
              </w:rPr>
            </w:r>
          </w:p>
        </w:tc>
      </w:tr>
      <w:tr>
        <w:trPr>
          <w:trHeight w:val="297"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3" w:lineRule="exact"/>
              <w:ind w:left="6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185" w:type="dxa"/>
            <w:tcBorders>
              <w:top w:val="nil" w:sz="6" w:space="0" w:color="auto"/>
              <w:left w:val="nil" w:sz="6" w:space="0" w:color="auto"/>
              <w:bottom w:val="nil" w:sz="6" w:space="0" w:color="auto"/>
              <w:right w:val="nil" w:sz="6" w:space="0" w:color="auto"/>
            </w:tcBorders>
          </w:tcPr>
          <w:p>
            <w:pPr>
              <w:pStyle w:val="TableParagraph"/>
              <w:tabs>
                <w:tab w:pos="736" w:val="left" w:leader="none"/>
                <w:tab w:pos="3214" w:val="left" w:leader="none"/>
                <w:tab w:pos="4360" w:val="left" w:leader="none"/>
                <w:tab w:pos="5127" w:val="left" w:leader="none"/>
              </w:tabs>
              <w:spacing w:line="240" w:lineRule="auto" w:before="22"/>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(3,393,241)</w:t>
            </w:r>
            <w:r>
              <w:rPr>
                <w:rFonts w:ascii="Arial"/>
                <w:spacing w:val="-1"/>
                <w:sz w:val="18"/>
              </w:rPr>
            </w:r>
            <w:r>
              <w:rPr>
                <w:rFonts w:ascii="Arial"/>
                <w:spacing w:val="-1"/>
                <w:sz w:val="18"/>
                <w:u w:val="single" w:color="000000"/>
              </w:rPr>
              <w:t> </w:t>
              <w:tab/>
            </w:r>
            <w:r>
              <w:rPr>
                <w:rFonts w:ascii="Arial"/>
                <w:sz w:val="18"/>
                <w:u w:val="single" w:color="000000"/>
              </w:rPr>
              <w:t>-</w:t>
            </w:r>
            <w:r>
              <w:rPr>
                <w:rFonts w:ascii="Arial"/>
                <w:sz w:val="18"/>
              </w:rPr>
            </w:r>
            <w:r>
              <w:rPr>
                <w:rFonts w:ascii="Arial"/>
                <w:sz w:val="18"/>
                <w:u w:val="single" w:color="000000"/>
              </w:rPr>
              <w:t> </w:t>
              <w:tab/>
            </w:r>
            <w:r>
              <w:rPr>
                <w:rFonts w:ascii="Arial"/>
                <w:spacing w:val="-1"/>
                <w:sz w:val="18"/>
                <w:u w:val="single" w:color="000000"/>
              </w:rPr>
              <w:t>175,392</w:t>
              <w:tab/>
            </w:r>
            <w:r>
              <w:rPr>
                <w:rFonts w:ascii="Arial"/>
                <w:spacing w:val="-1"/>
                <w:sz w:val="18"/>
              </w:rPr>
            </w:r>
          </w:p>
        </w:tc>
        <w:tc>
          <w:tcPr>
            <w:tcW w:w="1747" w:type="dxa"/>
            <w:tcBorders>
              <w:top w:val="nil" w:sz="6" w:space="0" w:color="auto"/>
              <w:left w:val="nil" w:sz="6" w:space="0" w:color="auto"/>
              <w:bottom w:val="nil" w:sz="6" w:space="0" w:color="auto"/>
              <w:right w:val="nil" w:sz="6" w:space="0" w:color="auto"/>
            </w:tcBorders>
          </w:tcPr>
          <w:p>
            <w:pPr>
              <w:pStyle w:val="TableParagraph"/>
              <w:tabs>
                <w:tab w:pos="751" w:val="left" w:leader="none"/>
              </w:tabs>
              <w:spacing w:line="240" w:lineRule="auto" w:before="22"/>
              <w:ind w:right="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(3,217,849)</w:t>
            </w:r>
            <w:r>
              <w:rPr>
                <w:rFonts w:ascii="Arial"/>
                <w:spacing w:val="-1"/>
                <w:sz w:val="18"/>
              </w:rPr>
            </w:r>
            <w:r>
              <w:rPr>
                <w:rFonts w:ascii="Arial"/>
                <w:sz w:val="18"/>
              </w:rPr>
            </w:r>
          </w:p>
        </w:tc>
      </w:tr>
      <w:tr>
        <w:trPr>
          <w:trHeight w:val="279"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185"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44"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7" w:lineRule="exact"/>
              <w:ind w:left="67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51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45" w:right="0"/>
              <w:jc w:val="left"/>
              <w:rPr>
                <w:rFonts w:ascii="Arial" w:hAnsi="Arial" w:cs="Arial" w:eastAsia="Arial" w:hint="default"/>
                <w:sz w:val="18"/>
                <w:szCs w:val="18"/>
              </w:rPr>
            </w:pPr>
            <w:r>
              <w:rPr>
                <w:rFonts w:ascii="Arial"/>
                <w:sz w:val="18"/>
              </w:rPr>
              <w:t>14,665,649,316</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9"/>
              <w:jc w:val="right"/>
              <w:rPr>
                <w:rFonts w:ascii="Arial" w:hAnsi="Arial" w:cs="Arial" w:eastAsia="Arial" w:hint="default"/>
                <w:sz w:val="18"/>
                <w:szCs w:val="18"/>
              </w:rPr>
            </w:pPr>
            <w:r>
              <w:rPr>
                <w:rFonts w:ascii="Arial"/>
                <w:spacing w:val="-1"/>
                <w:sz w:val="18"/>
              </w:rPr>
              <w:t>14,465,154,497</w:t>
            </w:r>
          </w:p>
        </w:tc>
      </w:tr>
      <w:tr>
        <w:trPr>
          <w:trHeight w:val="23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5" w:lineRule="exact"/>
              <w:ind w:left="67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518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5" w:right="0"/>
              <w:jc w:val="left"/>
              <w:rPr>
                <w:rFonts w:ascii="Arial" w:hAnsi="Arial" w:cs="Arial" w:eastAsia="Arial" w:hint="default"/>
                <w:sz w:val="18"/>
                <w:szCs w:val="18"/>
              </w:rPr>
            </w:pPr>
            <w:r>
              <w:rPr>
                <w:rFonts w:ascii="Arial"/>
                <w:sz w:val="18"/>
              </w:rPr>
              <w:t>4,441,691,711</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0"/>
              <w:jc w:val="right"/>
              <w:rPr>
                <w:rFonts w:ascii="Arial" w:hAnsi="Arial" w:cs="Arial" w:eastAsia="Arial" w:hint="default"/>
                <w:sz w:val="18"/>
                <w:szCs w:val="18"/>
              </w:rPr>
            </w:pPr>
            <w:r>
              <w:rPr>
                <w:rFonts w:ascii="Arial"/>
                <w:spacing w:val="-1"/>
                <w:sz w:val="18"/>
              </w:rPr>
              <w:t>5,505,909,214</w:t>
            </w:r>
          </w:p>
        </w:tc>
      </w:tr>
      <w:tr>
        <w:trPr>
          <w:trHeight w:val="23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6" w:lineRule="exact"/>
              <w:ind w:right="492"/>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518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95" w:right="0"/>
              <w:jc w:val="left"/>
              <w:rPr>
                <w:rFonts w:ascii="Arial" w:hAnsi="Arial" w:cs="Arial" w:eastAsia="Arial" w:hint="default"/>
                <w:sz w:val="18"/>
                <w:szCs w:val="18"/>
              </w:rPr>
            </w:pPr>
            <w:r>
              <w:rPr>
                <w:rFonts w:ascii="Arial"/>
                <w:sz w:val="18"/>
              </w:rPr>
              <w:t>537,347,013</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18"/>
                <w:szCs w:val="18"/>
              </w:rPr>
            </w:pPr>
            <w:r>
              <w:rPr>
                <w:rFonts w:ascii="Arial"/>
                <w:spacing w:val="-1"/>
                <w:sz w:val="18"/>
              </w:rPr>
              <w:t>491,424,389</w:t>
            </w:r>
          </w:p>
        </w:tc>
      </w:tr>
      <w:tr>
        <w:trPr>
          <w:trHeight w:val="241"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195" w:lineRule="exact"/>
              <w:ind w:left="6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85" w:type="dxa"/>
            <w:tcBorders>
              <w:top w:val="nil" w:sz="6" w:space="0" w:color="auto"/>
              <w:left w:val="nil" w:sz="6" w:space="0" w:color="auto"/>
              <w:bottom w:val="nil" w:sz="6" w:space="0" w:color="auto"/>
              <w:right w:val="nil" w:sz="6" w:space="0" w:color="auto"/>
            </w:tcBorders>
          </w:tcPr>
          <w:p>
            <w:pPr>
              <w:pStyle w:val="TableParagraph"/>
              <w:tabs>
                <w:tab w:pos="595" w:val="left" w:leader="none"/>
                <w:tab w:pos="1735"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227,175,583</w:t>
              <w:tab/>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tabs>
                <w:tab w:pos="610" w:val="left" w:leader="none"/>
                <w:tab w:pos="1697" w:val="left" w:leader="none"/>
              </w:tabs>
              <w:spacing w:line="240" w:lineRule="auto" w:before="14"/>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277,139,802</w:t>
              <w:tab/>
            </w:r>
            <w:r>
              <w:rPr>
                <w:rFonts w:ascii="Arial"/>
                <w:spacing w:val="-1"/>
                <w:sz w:val="18"/>
              </w:rPr>
            </w:r>
          </w:p>
        </w:tc>
      </w:tr>
      <w:tr>
        <w:trPr>
          <w:trHeight w:val="256"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03" w:lineRule="exact"/>
              <w:ind w:left="67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185" w:type="dxa"/>
            <w:tcBorders>
              <w:top w:val="nil" w:sz="6" w:space="0" w:color="auto"/>
              <w:left w:val="nil" w:sz="6" w:space="0" w:color="auto"/>
              <w:bottom w:val="single" w:sz="17" w:space="0" w:color="000000"/>
              <w:right w:val="nil" w:sz="6" w:space="0" w:color="auto"/>
            </w:tcBorders>
          </w:tcPr>
          <w:p>
            <w:pPr>
              <w:pStyle w:val="TableParagraph"/>
              <w:spacing w:line="240" w:lineRule="auto" w:before="23"/>
              <w:ind w:left="345" w:right="0"/>
              <w:jc w:val="left"/>
              <w:rPr>
                <w:rFonts w:ascii="Arial" w:hAnsi="Arial" w:cs="Arial" w:eastAsia="Arial" w:hint="default"/>
                <w:sz w:val="18"/>
                <w:szCs w:val="18"/>
              </w:rPr>
            </w:pPr>
            <w:r>
              <w:rPr>
                <w:rFonts w:ascii="Arial"/>
                <w:sz w:val="18"/>
              </w:rPr>
              <w:t>19,871,863,623</w:t>
            </w:r>
          </w:p>
        </w:tc>
        <w:tc>
          <w:tcPr>
            <w:tcW w:w="1747" w:type="dxa"/>
            <w:tcBorders>
              <w:top w:val="nil" w:sz="6" w:space="0" w:color="auto"/>
              <w:left w:val="nil" w:sz="6" w:space="0" w:color="auto"/>
              <w:bottom w:val="single" w:sz="17" w:space="0" w:color="000000"/>
              <w:right w:val="nil" w:sz="6" w:space="0" w:color="auto"/>
            </w:tcBorders>
          </w:tcPr>
          <w:p>
            <w:pPr>
              <w:pStyle w:val="TableParagraph"/>
              <w:spacing w:line="240" w:lineRule="auto" w:before="23"/>
              <w:ind w:right="119"/>
              <w:jc w:val="right"/>
              <w:rPr>
                <w:rFonts w:ascii="Arial" w:hAnsi="Arial" w:cs="Arial" w:eastAsia="Arial" w:hint="default"/>
                <w:sz w:val="18"/>
                <w:szCs w:val="18"/>
              </w:rPr>
            </w:pPr>
            <w:r>
              <w:rPr>
                <w:rFonts w:ascii="Arial"/>
                <w:spacing w:val="-1"/>
                <w:sz w:val="18"/>
              </w:rPr>
              <w:t>20,739,627,902</w:t>
            </w:r>
          </w:p>
        </w:tc>
      </w:tr>
    </w:tbl>
    <w:p>
      <w:pPr>
        <w:spacing w:line="240" w:lineRule="auto" w:before="12"/>
        <w:rPr>
          <w:rFonts w:ascii="宋体" w:hAnsi="宋体" w:cs="宋体" w:eastAsia="宋体" w:hint="default"/>
          <w:sz w:val="8"/>
          <w:szCs w:val="8"/>
        </w:rPr>
      </w:pPr>
    </w:p>
    <w:p>
      <w:pPr>
        <w:pStyle w:val="BodyText"/>
        <w:spacing w:line="240" w:lineRule="auto" w:before="31"/>
        <w:ind w:left="590" w:right="0"/>
        <w:jc w:val="left"/>
      </w:pPr>
      <w:r>
        <w:rPr/>
        <w:t>于</w:t>
      </w:r>
      <w:r>
        <w:rPr>
          <w:spacing w:val="-60"/>
        </w:rPr>
        <w:t> </w:t>
      </w:r>
      <w:r>
        <w:rPr>
          <w:rFonts w:ascii="Arial" w:hAnsi="Arial" w:cs="Arial" w:eastAsia="Arial" w:hint="default"/>
        </w:rPr>
        <w:t>2011</w:t>
      </w:r>
      <w:r>
        <w:rPr>
          <w:rFonts w:ascii="Arial" w:hAnsi="Arial" w:cs="Arial" w:eastAsia="Arial" w:hint="default"/>
          <w:spacing w:val="-11"/>
        </w:rPr>
        <w:t> </w:t>
      </w:r>
      <w:r>
        <w:rPr/>
        <w:t>年度，无形资产的摊销金额约人民币</w:t>
      </w:r>
      <w:r>
        <w:rPr>
          <w:spacing w:val="-59"/>
        </w:rPr>
        <w:t> </w:t>
      </w:r>
      <w:r>
        <w:rPr>
          <w:rFonts w:ascii="Arial" w:hAnsi="Arial" w:cs="Arial" w:eastAsia="Arial" w:hint="default"/>
        </w:rPr>
        <w:t>19.82</w:t>
      </w:r>
      <w:r>
        <w:rPr>
          <w:rFonts w:ascii="Arial" w:hAnsi="Arial" w:cs="Arial" w:eastAsia="Arial" w:hint="default"/>
          <w:spacing w:val="-11"/>
        </w:rPr>
        <w:t> </w:t>
      </w:r>
      <w:r>
        <w:rPr>
          <w:spacing w:val="-5"/>
        </w:rPr>
        <w:t>亿元（</w:t>
      </w:r>
      <w:r>
        <w:rPr>
          <w:rFonts w:ascii="Arial" w:hAnsi="Arial" w:cs="Arial" w:eastAsia="Arial" w:hint="default"/>
          <w:spacing w:val="-5"/>
        </w:rPr>
        <w:t>2010</w:t>
      </w:r>
      <w:r>
        <w:rPr>
          <w:rFonts w:ascii="Arial" w:hAnsi="Arial" w:cs="Arial" w:eastAsia="Arial" w:hint="default"/>
          <w:spacing w:val="-11"/>
        </w:rPr>
        <w:t> </w:t>
      </w:r>
      <w:r>
        <w:rPr>
          <w:spacing w:val="-5"/>
        </w:rPr>
        <w:t>年度：约人民币</w:t>
      </w:r>
      <w:r>
        <w:rPr>
          <w:spacing w:val="-59"/>
        </w:rPr>
        <w:t> </w:t>
      </w:r>
      <w:r>
        <w:rPr>
          <w:rFonts w:ascii="Arial" w:hAnsi="Arial" w:cs="Arial" w:eastAsia="Arial" w:hint="default"/>
        </w:rPr>
        <w:t>16.45</w:t>
      </w:r>
      <w:r>
        <w:rPr>
          <w:rFonts w:ascii="Arial" w:hAnsi="Arial" w:cs="Arial" w:eastAsia="Arial" w:hint="default"/>
          <w:spacing w:val="-11"/>
        </w:rPr>
        <w:t> </w:t>
      </w:r>
      <w:r>
        <w:rPr>
          <w:spacing w:val="-8"/>
        </w:rPr>
        <w:t>亿元）。</w:t>
      </w:r>
    </w:p>
    <w:p>
      <w:pPr>
        <w:spacing w:after="0" w:line="240" w:lineRule="auto"/>
        <w:jc w:val="left"/>
        <w:sectPr>
          <w:type w:val="continuous"/>
          <w:pgSz w:w="11900" w:h="16840"/>
          <w:pgMar w:top="1600" w:bottom="280" w:left="1240" w:right="800"/>
        </w:sectPr>
      </w:pPr>
    </w:p>
    <w:p>
      <w:pPr>
        <w:spacing w:line="240" w:lineRule="auto" w:before="9"/>
        <w:rPr>
          <w:rFonts w:ascii="宋体" w:hAnsi="宋体" w:cs="宋体" w:eastAsia="宋体" w:hint="default"/>
          <w:sz w:val="16"/>
          <w:szCs w:val="16"/>
        </w:rPr>
      </w:pPr>
      <w:r>
        <w:rPr/>
        <w:pict>
          <v:group style="position:absolute;margin-left:200.639999pt;margin-top:453.839996pt;width:144.75pt;height:.75pt;mso-position-horizontal-relative:page;mso-position-vertical-relative:page;z-index:-819136" coordorigin="4013,9077" coordsize="2895,15">
            <v:group style="position:absolute;left:4020;top:9084;width:1476;height:2" coordorigin="4020,9084" coordsize="1476,2">
              <v:shape style="position:absolute;left:4020;top:9084;width:1476;height:2" coordorigin="4020,9084" coordsize="1476,0" path="m4020,9084l5496,9084e" filled="false" stroked="true" strokeweight=".72pt" strokecolor="#000000">
                <v:path arrowok="t"/>
              </v:shape>
            </v:group>
            <v:group style="position:absolute;left:5550;top:9084;width:1350;height:2" coordorigin="5550,9084" coordsize="1350,2">
              <v:shape style="position:absolute;left:5550;top:9084;width:1350;height:2" coordorigin="5550,9084" coordsize="1350,0" path="m5550,9084l6900,9084e" filled="false" stroked="true" strokeweight=".72pt" strokecolor="#000000">
                <v:path arrowok="t"/>
              </v:shape>
            </v:group>
            <w10:wrap type="none"/>
          </v:group>
        </w:pict>
      </w:r>
    </w:p>
    <w:p>
      <w:pPr>
        <w:pStyle w:val="BodyText"/>
        <w:spacing w:line="240" w:lineRule="auto" w:before="31"/>
        <w:ind w:left="142" w:right="0"/>
        <w:jc w:val="left"/>
      </w:pPr>
      <w:r>
        <w:rPr>
          <w:rFonts w:ascii="Arial" w:hAnsi="Arial" w:cs="Arial" w:eastAsia="Arial" w:hint="default"/>
        </w:rPr>
        <w:t>13</w:t>
      </w:r>
      <w:r>
        <w:rPr/>
        <w:t>、长期待摊费用</w:t>
      </w:r>
    </w:p>
    <w:p>
      <w:pPr>
        <w:spacing w:line="240" w:lineRule="auto" w:before="1"/>
        <w:rPr>
          <w:rFonts w:ascii="宋体" w:hAnsi="宋体" w:cs="宋体" w:eastAsia="宋体" w:hint="default"/>
          <w:sz w:val="13"/>
          <w:szCs w:val="13"/>
        </w:rPr>
      </w:pPr>
    </w:p>
    <w:tbl>
      <w:tblPr>
        <w:tblW w:w="0" w:type="auto"/>
        <w:jc w:val="left"/>
        <w:tblInd w:w="536" w:type="dxa"/>
        <w:tblLayout w:type="fixed"/>
        <w:tblCellMar>
          <w:top w:w="0" w:type="dxa"/>
          <w:left w:w="0" w:type="dxa"/>
          <w:bottom w:w="0" w:type="dxa"/>
          <w:right w:w="0" w:type="dxa"/>
        </w:tblCellMar>
        <w:tblLook w:val="01E0"/>
      </w:tblPr>
      <w:tblGrid>
        <w:gridCol w:w="2585"/>
        <w:gridCol w:w="1566"/>
        <w:gridCol w:w="115"/>
        <w:gridCol w:w="1495"/>
        <w:gridCol w:w="106"/>
        <w:gridCol w:w="1658"/>
        <w:gridCol w:w="112"/>
        <w:gridCol w:w="1562"/>
      </w:tblGrid>
      <w:tr>
        <w:trPr>
          <w:trHeight w:val="645" w:hRule="exact"/>
        </w:trPr>
        <w:tc>
          <w:tcPr>
            <w:tcW w:w="2585" w:type="dxa"/>
            <w:vMerge w:val="restart"/>
            <w:tcBorders>
              <w:top w:val="nil" w:sz="6" w:space="0" w:color="auto"/>
              <w:left w:val="nil" w:sz="6" w:space="0" w:color="auto"/>
              <w:right w:val="nil" w:sz="6" w:space="0" w:color="auto"/>
            </w:tcBorders>
          </w:tcPr>
          <w:p>
            <w:pPr/>
          </w:p>
        </w:tc>
        <w:tc>
          <w:tcPr>
            <w:tcW w:w="1566" w:type="dxa"/>
            <w:tcBorders>
              <w:top w:val="nil" w:sz="6" w:space="0" w:color="auto"/>
              <w:left w:val="nil" w:sz="6" w:space="0" w:color="auto"/>
              <w:bottom w:val="single" w:sz="6" w:space="0" w:color="000000"/>
              <w:right w:val="nil" w:sz="6" w:space="0" w:color="auto"/>
            </w:tcBorders>
          </w:tcPr>
          <w:p>
            <w:pPr>
              <w:pStyle w:val="TableParagraph"/>
              <w:spacing w:line="294" w:lineRule="exact" w:before="31"/>
              <w:ind w:left="758"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4" w:lineRule="exact"/>
              <w:ind w:left="428"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1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83"/>
              <w:jc w:val="right"/>
              <w:rPr>
                <w:rFonts w:ascii="宋体" w:hAnsi="宋体" w:cs="宋体" w:eastAsia="宋体" w:hint="default"/>
                <w:sz w:val="22"/>
                <w:szCs w:val="22"/>
              </w:rPr>
            </w:pPr>
            <w:r>
              <w:rPr>
                <w:rFonts w:ascii="宋体" w:hAnsi="宋体" w:cs="宋体" w:eastAsia="宋体" w:hint="default"/>
                <w:w w:val="95"/>
                <w:sz w:val="22"/>
                <w:szCs w:val="22"/>
              </w:rPr>
              <w:t>本年增加</w:t>
            </w:r>
            <w:r>
              <w:rPr>
                <w:rFonts w:ascii="宋体" w:hAnsi="宋体" w:cs="宋体" w:eastAsia="宋体" w:hint="default"/>
                <w:sz w:val="22"/>
                <w:szCs w:val="22"/>
              </w:rPr>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1"/>
              <w:jc w:val="right"/>
              <w:rPr>
                <w:rFonts w:ascii="宋体" w:hAnsi="宋体" w:cs="宋体" w:eastAsia="宋体" w:hint="default"/>
                <w:sz w:val="22"/>
                <w:szCs w:val="22"/>
              </w:rPr>
            </w:pPr>
            <w:r>
              <w:rPr>
                <w:rFonts w:ascii="宋体" w:hAnsi="宋体" w:cs="宋体" w:eastAsia="宋体" w:hint="default"/>
                <w:w w:val="95"/>
                <w:sz w:val="22"/>
                <w:szCs w:val="22"/>
              </w:rPr>
              <w:t>本年摊销</w:t>
            </w:r>
            <w:r>
              <w:rPr>
                <w:rFonts w:ascii="宋体" w:hAnsi="宋体" w:cs="宋体" w:eastAsia="宋体"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6" w:space="0" w:color="000000"/>
              <w:right w:val="nil" w:sz="6" w:space="0" w:color="auto"/>
            </w:tcBorders>
          </w:tcPr>
          <w:p>
            <w:pPr>
              <w:pStyle w:val="TableParagraph"/>
              <w:spacing w:line="294" w:lineRule="exact" w:before="31"/>
              <w:ind w:left="756"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4" w:lineRule="exact"/>
              <w:ind w:left="426"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92" w:hRule="exact"/>
        </w:trPr>
        <w:tc>
          <w:tcPr>
            <w:tcW w:w="2585" w:type="dxa"/>
            <w:vMerge/>
            <w:tcBorders>
              <w:left w:val="nil" w:sz="6" w:space="0" w:color="auto"/>
              <w:bottom w:val="nil" w:sz="6" w:space="0" w:color="auto"/>
              <w:right w:val="nil" w:sz="6" w:space="0" w:color="auto"/>
            </w:tcBorders>
          </w:tcPr>
          <w:p>
            <w:pPr/>
          </w:p>
        </w:tc>
        <w:tc>
          <w:tcPr>
            <w:tcW w:w="1566" w:type="dxa"/>
            <w:tcBorders>
              <w:top w:val="single" w:sz="6" w:space="0" w:color="000000"/>
              <w:left w:val="nil" w:sz="6" w:space="0" w:color="auto"/>
              <w:bottom w:val="nil" w:sz="6" w:space="0" w:color="auto"/>
              <w:right w:val="nil" w:sz="6" w:space="0" w:color="auto"/>
            </w:tcBorders>
          </w:tcPr>
          <w:p>
            <w:pPr>
              <w:pStyle w:val="TableParagraph"/>
              <w:spacing w:line="253" w:lineRule="exact"/>
              <w:ind w:right="42"/>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c>
          <w:tcPr>
            <w:tcW w:w="115" w:type="dxa"/>
            <w:tcBorders>
              <w:top w:val="nil" w:sz="6" w:space="0" w:color="auto"/>
              <w:left w:val="nil" w:sz="6" w:space="0" w:color="auto"/>
              <w:bottom w:val="nil" w:sz="6" w:space="0" w:color="auto"/>
              <w:right w:val="nil" w:sz="6" w:space="0" w:color="auto"/>
            </w:tcBorders>
          </w:tcPr>
          <w:p>
            <w:pPr/>
          </w:p>
        </w:tc>
        <w:tc>
          <w:tcPr>
            <w:tcW w:w="1495" w:type="dxa"/>
            <w:tcBorders>
              <w:top w:val="single" w:sz="6"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single" w:sz="6" w:space="0" w:color="000000"/>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62" w:type="dxa"/>
            <w:tcBorders>
              <w:top w:val="single" w:sz="6" w:space="0" w:color="000000"/>
              <w:left w:val="nil" w:sz="6" w:space="0" w:color="auto"/>
              <w:bottom w:val="nil" w:sz="6" w:space="0" w:color="auto"/>
              <w:right w:val="nil" w:sz="6" w:space="0" w:color="auto"/>
            </w:tcBorders>
          </w:tcPr>
          <w:p>
            <w:pPr/>
          </w:p>
        </w:tc>
      </w:tr>
      <w:tr>
        <w:trPr>
          <w:trHeight w:val="298"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52" w:lineRule="exact"/>
              <w:ind w:left="38" w:right="0"/>
              <w:jc w:val="left"/>
              <w:rPr>
                <w:rFonts w:ascii="宋体" w:hAnsi="宋体" w:cs="宋体" w:eastAsia="宋体" w:hint="default"/>
                <w:sz w:val="22"/>
                <w:szCs w:val="22"/>
              </w:rPr>
            </w:pPr>
            <w:r>
              <w:rPr>
                <w:rFonts w:ascii="宋体" w:hAnsi="宋体" w:cs="宋体" w:eastAsia="宋体" w:hint="default"/>
                <w:sz w:val="22"/>
                <w:szCs w:val="22"/>
              </w:rPr>
              <w:t>长期预付租金</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2"/>
              <w:jc w:val="right"/>
              <w:rPr>
                <w:rFonts w:ascii="Arial" w:hAnsi="Arial" w:cs="Arial" w:eastAsia="Arial" w:hint="default"/>
                <w:sz w:val="22"/>
                <w:szCs w:val="22"/>
              </w:rPr>
            </w:pPr>
            <w:r>
              <w:rPr>
                <w:rFonts w:ascii="Arial"/>
                <w:spacing w:val="-1"/>
                <w:sz w:val="22"/>
              </w:rPr>
              <w:t>2,616,971,637</w:t>
            </w:r>
          </w:p>
        </w:tc>
        <w:tc>
          <w:tcPr>
            <w:tcW w:w="11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
              <w:jc w:val="right"/>
              <w:rPr>
                <w:rFonts w:ascii="Arial" w:hAnsi="Arial" w:cs="Arial" w:eastAsia="Arial" w:hint="default"/>
                <w:sz w:val="22"/>
                <w:szCs w:val="22"/>
              </w:rPr>
            </w:pPr>
            <w:r>
              <w:rPr>
                <w:rFonts w:ascii="Arial"/>
                <w:w w:val="95"/>
                <w:sz w:val="22"/>
              </w:rPr>
              <w:t>576,148,264</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2"/>
              <w:jc w:val="right"/>
              <w:rPr>
                <w:rFonts w:ascii="Arial" w:hAnsi="Arial" w:cs="Arial" w:eastAsia="Arial" w:hint="default"/>
                <w:sz w:val="22"/>
                <w:szCs w:val="22"/>
              </w:rPr>
            </w:pPr>
            <w:r>
              <w:rPr>
                <w:rFonts w:ascii="Arial"/>
                <w:w w:val="95"/>
                <w:sz w:val="22"/>
              </w:rPr>
              <w:t>(480,087,089)</w:t>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9"/>
              <w:jc w:val="right"/>
              <w:rPr>
                <w:rFonts w:ascii="Arial" w:hAnsi="Arial" w:cs="Arial" w:eastAsia="Arial" w:hint="default"/>
                <w:sz w:val="22"/>
                <w:szCs w:val="22"/>
              </w:rPr>
            </w:pPr>
            <w:r>
              <w:rPr>
                <w:rFonts w:ascii="Arial"/>
                <w:spacing w:val="-1"/>
                <w:sz w:val="22"/>
              </w:rPr>
              <w:t>2,713,032,812</w:t>
            </w:r>
          </w:p>
        </w:tc>
      </w:tr>
      <w:tr>
        <w:trPr>
          <w:trHeight w:val="286"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9" w:lineRule="exact"/>
              <w:ind w:left="38" w:right="0"/>
              <w:jc w:val="left"/>
              <w:rPr>
                <w:rFonts w:ascii="宋体" w:hAnsi="宋体" w:cs="宋体" w:eastAsia="宋体" w:hint="default"/>
                <w:sz w:val="22"/>
                <w:szCs w:val="22"/>
              </w:rPr>
            </w:pPr>
            <w:r>
              <w:rPr>
                <w:rFonts w:ascii="宋体" w:hAnsi="宋体" w:cs="宋体" w:eastAsia="宋体" w:hint="default"/>
                <w:sz w:val="22"/>
                <w:szCs w:val="22"/>
              </w:rPr>
              <w:t>装移机成本</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Arial" w:hAnsi="Arial" w:cs="Arial" w:eastAsia="Arial" w:hint="default"/>
                <w:sz w:val="22"/>
                <w:szCs w:val="22"/>
              </w:rPr>
            </w:pPr>
            <w:r>
              <w:rPr>
                <w:rFonts w:ascii="Arial"/>
                <w:spacing w:val="-1"/>
                <w:sz w:val="22"/>
              </w:rPr>
              <w:t>1,309,408,947</w:t>
            </w:r>
          </w:p>
        </w:tc>
        <w:tc>
          <w:tcPr>
            <w:tcW w:w="11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
              <w:jc w:val="right"/>
              <w:rPr>
                <w:rFonts w:ascii="Arial" w:hAnsi="Arial" w:cs="Arial" w:eastAsia="Arial" w:hint="default"/>
                <w:sz w:val="22"/>
                <w:szCs w:val="22"/>
              </w:rPr>
            </w:pPr>
            <w:r>
              <w:rPr>
                <w:rFonts w:ascii="Arial"/>
                <w:w w:val="95"/>
                <w:sz w:val="22"/>
              </w:rPr>
              <w:t>262,936,258</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2"/>
              <w:jc w:val="right"/>
              <w:rPr>
                <w:rFonts w:ascii="Arial" w:hAnsi="Arial" w:cs="Arial" w:eastAsia="Arial" w:hint="default"/>
                <w:sz w:val="22"/>
                <w:szCs w:val="22"/>
              </w:rPr>
            </w:pPr>
            <w:r>
              <w:rPr>
                <w:rFonts w:ascii="Arial"/>
                <w:w w:val="95"/>
                <w:sz w:val="22"/>
              </w:rPr>
              <w:t>(550,808,925)</w:t>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9"/>
              <w:jc w:val="right"/>
              <w:rPr>
                <w:rFonts w:ascii="Arial" w:hAnsi="Arial" w:cs="Arial" w:eastAsia="Arial" w:hint="default"/>
                <w:sz w:val="22"/>
                <w:szCs w:val="22"/>
              </w:rPr>
            </w:pPr>
            <w:r>
              <w:rPr>
                <w:rFonts w:ascii="Arial"/>
                <w:spacing w:val="-1"/>
                <w:sz w:val="22"/>
              </w:rPr>
              <w:t>1,021,536,280</w:t>
            </w:r>
          </w:p>
        </w:tc>
      </w:tr>
      <w:tr>
        <w:trPr>
          <w:trHeight w:val="286"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外市电引入</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Arial" w:hAnsi="Arial" w:cs="Arial" w:eastAsia="Arial" w:hint="default"/>
                <w:sz w:val="22"/>
                <w:szCs w:val="22"/>
              </w:rPr>
            </w:pPr>
            <w:r>
              <w:rPr>
                <w:rFonts w:ascii="Arial"/>
                <w:spacing w:val="-1"/>
                <w:sz w:val="22"/>
              </w:rPr>
              <w:t>1,330,163,446</w:t>
            </w:r>
          </w:p>
        </w:tc>
        <w:tc>
          <w:tcPr>
            <w:tcW w:w="11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
              <w:jc w:val="right"/>
              <w:rPr>
                <w:rFonts w:ascii="Arial" w:hAnsi="Arial" w:cs="Arial" w:eastAsia="Arial" w:hint="default"/>
                <w:sz w:val="22"/>
                <w:szCs w:val="22"/>
              </w:rPr>
            </w:pPr>
            <w:r>
              <w:rPr>
                <w:rFonts w:ascii="Arial"/>
                <w:w w:val="95"/>
                <w:sz w:val="22"/>
              </w:rPr>
              <w:t>547,548,258</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2"/>
              <w:jc w:val="right"/>
              <w:rPr>
                <w:rFonts w:ascii="Arial" w:hAnsi="Arial" w:cs="Arial" w:eastAsia="Arial" w:hint="default"/>
                <w:sz w:val="22"/>
                <w:szCs w:val="22"/>
              </w:rPr>
            </w:pPr>
            <w:r>
              <w:rPr>
                <w:rFonts w:ascii="Arial"/>
                <w:w w:val="95"/>
                <w:sz w:val="22"/>
              </w:rPr>
              <w:t>(459,183,925)</w:t>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9"/>
              <w:jc w:val="right"/>
              <w:rPr>
                <w:rFonts w:ascii="Arial" w:hAnsi="Arial" w:cs="Arial" w:eastAsia="Arial" w:hint="default"/>
                <w:sz w:val="22"/>
                <w:szCs w:val="22"/>
              </w:rPr>
            </w:pPr>
            <w:r>
              <w:rPr>
                <w:rFonts w:ascii="Arial"/>
                <w:spacing w:val="-1"/>
                <w:sz w:val="22"/>
              </w:rPr>
              <w:t>1,418,527,779</w:t>
            </w:r>
          </w:p>
        </w:tc>
      </w:tr>
      <w:tr>
        <w:trPr>
          <w:trHeight w:val="557"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8" w:lineRule="exact"/>
              <w:ind w:left="38" w:right="0"/>
              <w:jc w:val="left"/>
              <w:rPr>
                <w:rFonts w:ascii="宋体" w:hAnsi="宋体" w:cs="宋体" w:eastAsia="宋体" w:hint="default"/>
                <w:sz w:val="22"/>
                <w:szCs w:val="22"/>
              </w:rPr>
            </w:pPr>
            <w:r>
              <w:rPr>
                <w:rFonts w:ascii="宋体" w:hAnsi="宋体" w:cs="宋体" w:eastAsia="宋体" w:hint="default"/>
                <w:sz w:val="22"/>
                <w:szCs w:val="22"/>
              </w:rPr>
              <w:t>经营租入固定资产改良</w:t>
            </w:r>
          </w:p>
          <w:p>
            <w:pPr>
              <w:pStyle w:val="TableParagraph"/>
              <w:spacing w:line="286" w:lineRule="exact"/>
              <w:ind w:left="39" w:right="0"/>
              <w:jc w:val="left"/>
              <w:rPr>
                <w:rFonts w:ascii="宋体" w:hAnsi="宋体" w:cs="宋体" w:eastAsia="宋体" w:hint="default"/>
                <w:sz w:val="22"/>
                <w:szCs w:val="22"/>
              </w:rPr>
            </w:pPr>
            <w:r>
              <w:rPr>
                <w:rFonts w:ascii="宋体" w:hAnsi="宋体" w:cs="宋体" w:eastAsia="宋体" w:hint="default"/>
                <w:sz w:val="22"/>
                <w:szCs w:val="22"/>
              </w:rPr>
              <w:t>一次性不退还收入的直接</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Arial" w:hAnsi="Arial" w:cs="Arial" w:eastAsia="Arial" w:hint="default"/>
                <w:sz w:val="22"/>
                <w:szCs w:val="22"/>
              </w:rPr>
            </w:pPr>
            <w:r>
              <w:rPr>
                <w:rFonts w:ascii="Arial"/>
                <w:spacing w:val="-1"/>
                <w:sz w:val="22"/>
              </w:rPr>
              <w:t>1,261,030,165</w:t>
            </w:r>
          </w:p>
        </w:tc>
        <w:tc>
          <w:tcPr>
            <w:tcW w:w="11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
              <w:jc w:val="right"/>
              <w:rPr>
                <w:rFonts w:ascii="Arial" w:hAnsi="Arial" w:cs="Arial" w:eastAsia="Arial" w:hint="default"/>
                <w:sz w:val="22"/>
                <w:szCs w:val="22"/>
              </w:rPr>
            </w:pPr>
            <w:r>
              <w:rPr>
                <w:rFonts w:ascii="Arial"/>
                <w:w w:val="95"/>
                <w:sz w:val="22"/>
              </w:rPr>
              <w:t>602,278,797</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2"/>
              <w:jc w:val="right"/>
              <w:rPr>
                <w:rFonts w:ascii="Arial" w:hAnsi="Arial" w:cs="Arial" w:eastAsia="Arial" w:hint="default"/>
                <w:sz w:val="22"/>
                <w:szCs w:val="22"/>
              </w:rPr>
            </w:pPr>
            <w:r>
              <w:rPr>
                <w:rFonts w:ascii="Arial"/>
                <w:w w:val="95"/>
                <w:sz w:val="22"/>
              </w:rPr>
              <w:t>(523,603,506)</w:t>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9"/>
              <w:jc w:val="right"/>
              <w:rPr>
                <w:rFonts w:ascii="Arial" w:hAnsi="Arial" w:cs="Arial" w:eastAsia="Arial" w:hint="default"/>
                <w:sz w:val="22"/>
                <w:szCs w:val="22"/>
              </w:rPr>
            </w:pPr>
            <w:r>
              <w:rPr>
                <w:rFonts w:ascii="Arial"/>
                <w:spacing w:val="-1"/>
                <w:sz w:val="22"/>
              </w:rPr>
              <w:t>1,339,705,456</w:t>
            </w:r>
          </w:p>
        </w:tc>
      </w:tr>
      <w:tr>
        <w:trPr>
          <w:trHeight w:val="279"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53" w:lineRule="exact"/>
              <w:ind w:left="281" w:right="0"/>
              <w:jc w:val="left"/>
              <w:rPr>
                <w:rFonts w:ascii="宋体" w:hAnsi="宋体" w:cs="宋体" w:eastAsia="宋体" w:hint="default"/>
                <w:sz w:val="22"/>
                <w:szCs w:val="22"/>
              </w:rPr>
            </w:pPr>
            <w:r>
              <w:rPr>
                <w:rFonts w:ascii="宋体" w:hAnsi="宋体" w:cs="宋体" w:eastAsia="宋体" w:hint="default"/>
                <w:sz w:val="22"/>
                <w:szCs w:val="22"/>
              </w:rPr>
              <w:t>相关成本</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1"/>
              <w:jc w:val="right"/>
              <w:rPr>
                <w:rFonts w:ascii="Arial" w:hAnsi="Arial" w:cs="Arial" w:eastAsia="Arial" w:hint="default"/>
                <w:sz w:val="22"/>
                <w:szCs w:val="22"/>
              </w:rPr>
            </w:pPr>
            <w:r>
              <w:rPr>
                <w:rFonts w:ascii="Arial"/>
                <w:w w:val="95"/>
                <w:sz w:val="22"/>
              </w:rPr>
              <w:t>423,168,864</w:t>
            </w:r>
            <w:r>
              <w:rPr>
                <w:rFonts w:ascii="Arial"/>
                <w:sz w:val="22"/>
              </w:rPr>
            </w:r>
          </w:p>
        </w:tc>
        <w:tc>
          <w:tcPr>
            <w:tcW w:w="11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
              <w:jc w:val="right"/>
              <w:rPr>
                <w:rFonts w:ascii="Arial" w:hAnsi="Arial" w:cs="Arial" w:eastAsia="Arial" w:hint="default"/>
                <w:sz w:val="22"/>
                <w:szCs w:val="22"/>
              </w:rPr>
            </w:pPr>
            <w:r>
              <w:rPr>
                <w:rFonts w:ascii="Arial"/>
                <w:w w:val="95"/>
                <w:sz w:val="22"/>
              </w:rPr>
              <w:t>241,725,546</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2"/>
              <w:jc w:val="right"/>
              <w:rPr>
                <w:rFonts w:ascii="Arial" w:hAnsi="Arial" w:cs="Arial" w:eastAsia="Arial" w:hint="default"/>
                <w:sz w:val="22"/>
                <w:szCs w:val="22"/>
              </w:rPr>
            </w:pPr>
            <w:r>
              <w:rPr>
                <w:rFonts w:ascii="Arial"/>
                <w:w w:val="95"/>
                <w:sz w:val="22"/>
              </w:rPr>
              <w:t>(274,317,357)</w:t>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8"/>
              <w:jc w:val="right"/>
              <w:rPr>
                <w:rFonts w:ascii="Arial" w:hAnsi="Arial" w:cs="Arial" w:eastAsia="Arial" w:hint="default"/>
                <w:sz w:val="22"/>
                <w:szCs w:val="22"/>
              </w:rPr>
            </w:pPr>
            <w:r>
              <w:rPr>
                <w:rFonts w:ascii="Arial"/>
                <w:w w:val="95"/>
                <w:sz w:val="22"/>
              </w:rPr>
              <w:t>390,577,053</w:t>
            </w:r>
            <w:r>
              <w:rPr>
                <w:rFonts w:ascii="Arial"/>
                <w:sz w:val="22"/>
              </w:rPr>
            </w:r>
          </w:p>
        </w:tc>
      </w:tr>
    </w:tbl>
    <w:p>
      <w:pPr>
        <w:pStyle w:val="BodyText"/>
        <w:spacing w:line="259" w:lineRule="exact"/>
        <w:ind w:left="576" w:right="0"/>
        <w:jc w:val="left"/>
      </w:pPr>
      <w:r>
        <w:rPr/>
        <w:t>长期预付线路租赁及网络</w:t>
      </w:r>
    </w:p>
    <w:p>
      <w:pPr>
        <w:spacing w:line="240" w:lineRule="auto" w:before="1"/>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58"/>
        <w:gridCol w:w="6980"/>
      </w:tblGrid>
      <w:tr>
        <w:trPr>
          <w:trHeight w:val="291"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46" w:lineRule="exact"/>
              <w:ind w:left="710" w:right="0"/>
              <w:jc w:val="left"/>
              <w:rPr>
                <w:rFonts w:ascii="宋体" w:hAnsi="宋体" w:cs="宋体" w:eastAsia="宋体" w:hint="default"/>
                <w:sz w:val="22"/>
                <w:szCs w:val="22"/>
              </w:rPr>
            </w:pPr>
            <w:r>
              <w:rPr>
                <w:rFonts w:ascii="宋体" w:hAnsi="宋体" w:cs="宋体" w:eastAsia="宋体" w:hint="default"/>
                <w:sz w:val="22"/>
                <w:szCs w:val="22"/>
              </w:rPr>
              <w:t>改良</w:t>
            </w:r>
          </w:p>
        </w:tc>
        <w:tc>
          <w:tcPr>
            <w:tcW w:w="6980" w:type="dxa"/>
            <w:tcBorders>
              <w:top w:val="nil" w:sz="6" w:space="0" w:color="auto"/>
              <w:left w:val="nil" w:sz="6" w:space="0" w:color="auto"/>
              <w:bottom w:val="nil" w:sz="6" w:space="0" w:color="auto"/>
              <w:right w:val="nil" w:sz="6" w:space="0" w:color="auto"/>
            </w:tcBorders>
          </w:tcPr>
          <w:p>
            <w:pPr>
              <w:pStyle w:val="TableParagraph"/>
              <w:tabs>
                <w:tab w:pos="1654" w:val="left" w:leader="none"/>
                <w:tab w:pos="3246" w:val="left" w:leader="none"/>
                <w:tab w:pos="5021" w:val="left" w:leader="none"/>
              </w:tabs>
              <w:spacing w:line="240" w:lineRule="auto" w:before="24"/>
              <w:ind w:right="87"/>
              <w:jc w:val="right"/>
              <w:rPr>
                <w:rFonts w:ascii="Arial" w:hAnsi="Arial" w:cs="Arial" w:eastAsia="Arial" w:hint="default"/>
                <w:sz w:val="22"/>
                <w:szCs w:val="22"/>
              </w:rPr>
            </w:pPr>
            <w:r>
              <w:rPr>
                <w:rFonts w:ascii="Arial"/>
                <w:w w:val="95"/>
                <w:sz w:val="22"/>
              </w:rPr>
              <w:t>366,423,548</w:t>
              <w:tab/>
              <w:t>462,531,665</w:t>
              <w:tab/>
              <w:t>(114,795,321)</w:t>
              <w:tab/>
              <w:t>714,159,892</w:t>
            </w:r>
            <w:r>
              <w:rPr>
                <w:rFonts w:ascii="Arial"/>
                <w:sz w:val="22"/>
              </w:rPr>
            </w:r>
          </w:p>
        </w:tc>
      </w:tr>
      <w:tr>
        <w:trPr>
          <w:trHeight w:val="419"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39" w:lineRule="exact"/>
              <w:ind w:left="46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6980" w:type="dxa"/>
            <w:tcBorders>
              <w:top w:val="nil" w:sz="6" w:space="0" w:color="auto"/>
              <w:left w:val="nil" w:sz="6" w:space="0" w:color="auto"/>
              <w:bottom w:val="nil" w:sz="6" w:space="0" w:color="auto"/>
              <w:right w:val="nil" w:sz="6" w:space="0" w:color="auto"/>
            </w:tcBorders>
          </w:tcPr>
          <w:p>
            <w:pPr>
              <w:pStyle w:val="TableParagraph"/>
              <w:tabs>
                <w:tab w:pos="289" w:val="left" w:leader="none"/>
                <w:tab w:pos="1943" w:val="left" w:leader="none"/>
                <w:tab w:pos="6614" w:val="left" w:leader="none"/>
              </w:tabs>
              <w:spacing w:line="240" w:lineRule="auto" w:before="17"/>
              <w:ind w:right="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417,196,301</w:t>
            </w:r>
            <w:r>
              <w:rPr>
                <w:rFonts w:ascii="Arial"/>
                <w:w w:val="95"/>
                <w:sz w:val="22"/>
              </w:rPr>
            </w:r>
            <w:r>
              <w:rPr>
                <w:rFonts w:ascii="Arial"/>
                <w:w w:val="95"/>
                <w:sz w:val="22"/>
                <w:u w:val="single" w:color="000000"/>
              </w:rPr>
              <w:t> </w:t>
              <w:tab/>
            </w:r>
            <w:r>
              <w:rPr>
                <w:rFonts w:ascii="Arial"/>
                <w:sz w:val="22"/>
                <w:u w:val="single" w:color="000000"/>
              </w:rPr>
              <w:t>209,591,240      </w:t>
            </w:r>
            <w:r>
              <w:rPr>
                <w:rFonts w:ascii="Arial"/>
                <w:sz w:val="22"/>
              </w:rPr>
            </w:r>
            <w:r>
              <w:rPr>
                <w:rFonts w:ascii="Arial"/>
                <w:sz w:val="22"/>
                <w:u w:val="single" w:color="000000"/>
              </w:rPr>
              <w:t> (124,027,439)     </w:t>
            </w:r>
            <w:r>
              <w:rPr>
                <w:rFonts w:ascii="Arial"/>
                <w:spacing w:val="30"/>
                <w:sz w:val="22"/>
                <w:u w:val="single" w:color="000000"/>
              </w:rPr>
              <w:t> </w:t>
            </w:r>
            <w:r>
              <w:rPr>
                <w:rFonts w:ascii="Arial"/>
                <w:spacing w:val="30"/>
                <w:sz w:val="22"/>
              </w:rPr>
            </w:r>
            <w:r>
              <w:rPr>
                <w:rFonts w:ascii="Arial"/>
                <w:spacing w:val="30"/>
                <w:sz w:val="22"/>
                <w:u w:val="single" w:color="000000"/>
              </w:rPr>
              <w:t> </w:t>
            </w:r>
            <w:r>
              <w:rPr>
                <w:rFonts w:ascii="Arial"/>
                <w:sz w:val="22"/>
                <w:u w:val="single" w:color="000000"/>
              </w:rPr>
              <w:t>502,760,102</w:t>
              <w:tab/>
            </w:r>
            <w:r>
              <w:rPr>
                <w:rFonts w:ascii="Arial"/>
                <w:sz w:val="22"/>
              </w:rPr>
            </w:r>
          </w:p>
        </w:tc>
      </w:tr>
      <w:tr>
        <w:trPr>
          <w:trHeight w:val="431"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68" w:right="0"/>
              <w:jc w:val="left"/>
              <w:rPr>
                <w:rFonts w:ascii="宋体" w:hAnsi="宋体" w:cs="宋体" w:eastAsia="宋体" w:hint="default"/>
                <w:sz w:val="22"/>
                <w:szCs w:val="22"/>
              </w:rPr>
            </w:pPr>
            <w:r>
              <w:rPr>
                <w:rFonts w:ascii="宋体" w:hAnsi="宋体" w:cs="宋体" w:eastAsia="宋体" w:hint="default"/>
                <w:sz w:val="22"/>
                <w:szCs w:val="22"/>
              </w:rPr>
              <w:t>长期待摊费用合计</w:t>
            </w:r>
          </w:p>
        </w:tc>
        <w:tc>
          <w:tcPr>
            <w:tcW w:w="6980" w:type="dxa"/>
            <w:tcBorders>
              <w:top w:val="nil" w:sz="6" w:space="0" w:color="auto"/>
              <w:left w:val="nil" w:sz="6" w:space="0" w:color="auto"/>
              <w:bottom w:val="single" w:sz="17" w:space="0" w:color="000000"/>
              <w:right w:val="nil" w:sz="6" w:space="0" w:color="auto"/>
            </w:tcBorders>
          </w:tcPr>
          <w:p>
            <w:pPr>
              <w:pStyle w:val="TableParagraph"/>
              <w:tabs>
                <w:tab w:pos="1654" w:val="left" w:leader="none"/>
                <w:tab w:pos="5021" w:val="left" w:leader="none"/>
              </w:tabs>
              <w:spacing w:line="240" w:lineRule="auto" w:before="151"/>
              <w:ind w:right="88"/>
              <w:jc w:val="right"/>
              <w:rPr>
                <w:rFonts w:ascii="Arial" w:hAnsi="Arial" w:cs="Arial" w:eastAsia="Arial" w:hint="default"/>
                <w:sz w:val="22"/>
                <w:szCs w:val="22"/>
              </w:rPr>
            </w:pPr>
            <w:r>
              <w:rPr>
                <w:rFonts w:ascii="Arial"/>
                <w:spacing w:val="-1"/>
                <w:sz w:val="22"/>
              </w:rPr>
              <w:t>7,724,362,908</w:t>
              <w:tab/>
              <w:t>2,902,760,028</w:t>
            </w:r>
            <w:r>
              <w:rPr>
                <w:rFonts w:ascii="Arial"/>
                <w:sz w:val="22"/>
              </w:rPr>
              <w:t>  </w:t>
            </w:r>
            <w:r>
              <w:rPr>
                <w:rFonts w:ascii="Arial"/>
                <w:spacing w:val="9"/>
                <w:sz w:val="22"/>
              </w:rPr>
              <w:t> </w:t>
            </w:r>
            <w:r>
              <w:rPr>
                <w:rFonts w:ascii="Arial"/>
                <w:sz w:val="22"/>
              </w:rPr>
              <w:t>(2,526,823,562)</w:t>
              <w:tab/>
            </w:r>
            <w:r>
              <w:rPr>
                <w:rFonts w:ascii="Arial"/>
                <w:spacing w:val="-1"/>
                <w:sz w:val="22"/>
              </w:rPr>
              <w:t>8,100,299,374</w:t>
            </w:r>
          </w:p>
        </w:tc>
      </w:tr>
      <w:tr>
        <w:trPr>
          <w:trHeight w:val="638"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14</w:t>
            </w:r>
            <w:r>
              <w:rPr>
                <w:rFonts w:ascii="宋体" w:hAnsi="宋体" w:cs="宋体" w:eastAsia="宋体" w:hint="default"/>
                <w:sz w:val="22"/>
                <w:szCs w:val="22"/>
              </w:rPr>
              <w:t>、资产减值准备</w:t>
            </w:r>
          </w:p>
        </w:tc>
        <w:tc>
          <w:tcPr>
            <w:tcW w:w="6980" w:type="dxa"/>
            <w:tcBorders>
              <w:top w:val="single" w:sz="17" w:space="0" w:color="000000"/>
              <w:left w:val="nil" w:sz="6" w:space="0" w:color="auto"/>
              <w:bottom w:val="nil" w:sz="6" w:space="0" w:color="auto"/>
              <w:right w:val="nil" w:sz="6" w:space="0" w:color="auto"/>
            </w:tcBorders>
          </w:tcPr>
          <w:p>
            <w:pPr/>
          </w:p>
        </w:tc>
      </w:tr>
      <w:tr>
        <w:trPr>
          <w:trHeight w:val="345" w:hRule="exact"/>
        </w:trPr>
        <w:tc>
          <w:tcPr>
            <w:tcW w:w="2658" w:type="dxa"/>
            <w:tcBorders>
              <w:top w:val="nil" w:sz="6" w:space="0" w:color="auto"/>
              <w:left w:val="nil" w:sz="6" w:space="0" w:color="auto"/>
              <w:bottom w:val="nil" w:sz="6" w:space="0" w:color="auto"/>
              <w:right w:val="nil" w:sz="6" w:space="0" w:color="auto"/>
            </w:tcBorders>
          </w:tcPr>
          <w:p>
            <w:pPr/>
          </w:p>
        </w:tc>
        <w:tc>
          <w:tcPr>
            <w:tcW w:w="6980" w:type="dxa"/>
            <w:tcBorders>
              <w:top w:val="nil" w:sz="6" w:space="0" w:color="auto"/>
              <w:left w:val="nil" w:sz="6" w:space="0" w:color="auto"/>
              <w:bottom w:val="nil" w:sz="6" w:space="0" w:color="auto"/>
              <w:right w:val="nil" w:sz="6" w:space="0" w:color="auto"/>
            </w:tcBorders>
          </w:tcPr>
          <w:p>
            <w:pPr>
              <w:pStyle w:val="TableParagraph"/>
              <w:tabs>
                <w:tab w:pos="5445" w:val="left" w:leader="none"/>
              </w:tabs>
              <w:spacing w:line="240" w:lineRule="auto" w:before="78"/>
              <w:ind w:right="43"/>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tab/>
            </w: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7" w:hRule="exact"/>
        </w:trPr>
        <w:tc>
          <w:tcPr>
            <w:tcW w:w="2658" w:type="dxa"/>
            <w:tcBorders>
              <w:top w:val="nil" w:sz="6" w:space="0" w:color="auto"/>
              <w:left w:val="nil" w:sz="6" w:space="0" w:color="auto"/>
              <w:bottom w:val="nil" w:sz="6" w:space="0" w:color="auto"/>
              <w:right w:val="nil" w:sz="6" w:space="0" w:color="auto"/>
            </w:tcBorders>
          </w:tcPr>
          <w:p>
            <w:pPr/>
          </w:p>
        </w:tc>
        <w:tc>
          <w:tcPr>
            <w:tcW w:w="6980" w:type="dxa"/>
            <w:tcBorders>
              <w:top w:val="nil" w:sz="6" w:space="0" w:color="auto"/>
              <w:left w:val="nil" w:sz="6" w:space="0" w:color="auto"/>
              <w:bottom w:val="single" w:sz="6" w:space="0" w:color="000000"/>
              <w:right w:val="nil" w:sz="6" w:space="0" w:color="auto"/>
            </w:tcBorders>
          </w:tcPr>
          <w:p>
            <w:pPr>
              <w:pStyle w:val="TableParagraph"/>
              <w:tabs>
                <w:tab w:pos="1263" w:val="left" w:leader="none"/>
                <w:tab w:pos="3221" w:val="left" w:leader="none"/>
                <w:tab w:pos="5445" w:val="left" w:leader="none"/>
              </w:tabs>
              <w:spacing w:line="215" w:lineRule="exact"/>
              <w:ind w:right="43"/>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本年增加</w:t>
              <w:tab/>
              <w:t>本年减少</w:t>
              <w:tab/>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2658" w:type="dxa"/>
            <w:tcBorders>
              <w:top w:val="nil" w:sz="6" w:space="0" w:color="auto"/>
              <w:left w:val="nil" w:sz="6" w:space="0" w:color="auto"/>
              <w:bottom w:val="nil" w:sz="6" w:space="0" w:color="auto"/>
              <w:right w:val="nil" w:sz="6" w:space="0" w:color="auto"/>
            </w:tcBorders>
          </w:tcPr>
          <w:p>
            <w:pPr/>
          </w:p>
        </w:tc>
        <w:tc>
          <w:tcPr>
            <w:tcW w:w="6980" w:type="dxa"/>
            <w:tcBorders>
              <w:top w:val="single" w:sz="6" w:space="0" w:color="000000"/>
              <w:left w:val="nil" w:sz="6" w:space="0" w:color="auto"/>
              <w:bottom w:val="single" w:sz="6" w:space="0" w:color="000000"/>
              <w:right w:val="nil" w:sz="6" w:space="0" w:color="auto"/>
            </w:tcBorders>
          </w:tcPr>
          <w:p>
            <w:pPr>
              <w:pStyle w:val="TableParagraph"/>
              <w:tabs>
                <w:tab w:pos="3043" w:val="left" w:leader="none"/>
                <w:tab w:pos="4543" w:val="left" w:leader="none"/>
              </w:tabs>
              <w:spacing w:line="207" w:lineRule="exact"/>
              <w:ind w:left="590" w:right="0"/>
              <w:jc w:val="left"/>
              <w:rPr>
                <w:rFonts w:ascii="宋体" w:hAnsi="宋体" w:cs="宋体" w:eastAsia="宋体" w:hint="default"/>
                <w:sz w:val="18"/>
                <w:szCs w:val="18"/>
              </w:rPr>
            </w:pPr>
            <w:r>
              <w:rPr>
                <w:rFonts w:ascii="宋体" w:hAnsi="宋体" w:cs="宋体" w:eastAsia="宋体" w:hint="default"/>
                <w:sz w:val="18"/>
                <w:szCs w:val="18"/>
              </w:rPr>
              <w:t>（经重列）</w:t>
              <w:tab/>
              <w:t>转回（注）</w:t>
              <w:tab/>
              <w:t>转销</w:t>
            </w:r>
          </w:p>
        </w:tc>
      </w:tr>
      <w:tr>
        <w:trPr>
          <w:trHeight w:val="456" w:hRule="exact"/>
        </w:trPr>
        <w:tc>
          <w:tcPr>
            <w:tcW w:w="2658"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980"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tabs>
                <w:tab w:pos="3054" w:val="left" w:leader="none"/>
                <w:tab w:pos="5643" w:val="left" w:leader="none"/>
              </w:tabs>
              <w:spacing w:line="240" w:lineRule="auto"/>
              <w:ind w:left="171" w:right="0"/>
              <w:jc w:val="left"/>
              <w:rPr>
                <w:rFonts w:ascii="Arial" w:hAnsi="Arial" w:cs="Arial" w:eastAsia="Arial" w:hint="default"/>
                <w:sz w:val="18"/>
                <w:szCs w:val="18"/>
              </w:rPr>
            </w:pPr>
            <w:r>
              <w:rPr>
                <w:rFonts w:ascii="Arial"/>
                <w:sz w:val="18"/>
              </w:rPr>
              <w:t>(4,512,552,422) </w:t>
            </w:r>
            <w:r>
              <w:rPr>
                <w:rFonts w:ascii="Arial"/>
                <w:spacing w:val="11"/>
                <w:sz w:val="18"/>
              </w:rPr>
              <w:t> </w:t>
            </w:r>
            <w:r>
              <w:rPr>
                <w:rFonts w:ascii="Arial"/>
                <w:sz w:val="18"/>
              </w:rPr>
              <w:t>(2,797,043,544)</w:t>
              <w:tab/>
              <w:t>76,210,794  </w:t>
            </w:r>
            <w:r>
              <w:rPr>
                <w:rFonts w:ascii="Arial"/>
                <w:spacing w:val="32"/>
                <w:sz w:val="18"/>
              </w:rPr>
              <w:t> </w:t>
            </w:r>
            <w:r>
              <w:rPr>
                <w:rFonts w:ascii="Arial"/>
                <w:sz w:val="18"/>
              </w:rPr>
              <w:t>3,200,348,747</w:t>
              <w:tab/>
              <w:t>(4,033,036,425)</w:t>
            </w:r>
          </w:p>
        </w:tc>
      </w:tr>
      <w:tr>
        <w:trPr>
          <w:trHeight w:val="251" w:hRule="exact"/>
        </w:trPr>
        <w:tc>
          <w:tcPr>
            <w:tcW w:w="2658" w:type="dxa"/>
            <w:tcBorders>
              <w:top w:val="single" w:sz="6" w:space="0" w:color="000000"/>
              <w:left w:val="nil" w:sz="6" w:space="0" w:color="auto"/>
              <w:bottom w:val="nil" w:sz="6" w:space="0" w:color="auto"/>
              <w:right w:val="nil" w:sz="6" w:space="0" w:color="auto"/>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其中：应收账款坏账准备</w:t>
            </w:r>
          </w:p>
        </w:tc>
        <w:tc>
          <w:tcPr>
            <w:tcW w:w="6980" w:type="dxa"/>
            <w:tcBorders>
              <w:top w:val="single" w:sz="6" w:space="0" w:color="000000"/>
              <w:left w:val="nil" w:sz="6" w:space="0" w:color="auto"/>
              <w:bottom w:val="nil" w:sz="6" w:space="0" w:color="auto"/>
              <w:right w:val="single" w:sz="6" w:space="0" w:color="000000"/>
            </w:tcBorders>
          </w:tcPr>
          <w:p>
            <w:pPr>
              <w:pStyle w:val="TableParagraph"/>
              <w:tabs>
                <w:tab w:pos="3054" w:val="left" w:leader="none"/>
                <w:tab w:pos="5643" w:val="left" w:leader="none"/>
              </w:tabs>
              <w:spacing w:line="240" w:lineRule="auto" w:before="24"/>
              <w:ind w:left="171" w:right="0"/>
              <w:jc w:val="left"/>
              <w:rPr>
                <w:rFonts w:ascii="Arial" w:hAnsi="Arial" w:cs="Arial" w:eastAsia="Arial" w:hint="default"/>
                <w:sz w:val="18"/>
                <w:szCs w:val="18"/>
              </w:rPr>
            </w:pPr>
            <w:r>
              <w:rPr>
                <w:rFonts w:ascii="Arial"/>
                <w:sz w:val="18"/>
              </w:rPr>
              <w:t>(4,015,921,529) </w:t>
            </w:r>
            <w:r>
              <w:rPr>
                <w:rFonts w:ascii="Arial"/>
                <w:spacing w:val="11"/>
                <w:sz w:val="18"/>
              </w:rPr>
              <w:t> </w:t>
            </w:r>
            <w:r>
              <w:rPr>
                <w:rFonts w:ascii="Arial"/>
                <w:sz w:val="18"/>
              </w:rPr>
              <w:t>(2,779,717,434)</w:t>
              <w:tab/>
              <w:t>61,059,391  </w:t>
            </w:r>
            <w:r>
              <w:rPr>
                <w:rFonts w:ascii="Arial"/>
                <w:spacing w:val="32"/>
                <w:sz w:val="18"/>
              </w:rPr>
              <w:t> </w:t>
            </w:r>
            <w:r>
              <w:rPr>
                <w:rFonts w:ascii="Arial"/>
                <w:sz w:val="18"/>
              </w:rPr>
              <w:t>3,179,698,731</w:t>
              <w:tab/>
              <w:t>(3,554,880,841)</w:t>
            </w:r>
          </w:p>
        </w:tc>
      </w:tr>
      <w:tr>
        <w:trPr>
          <w:trHeight w:val="231" w:hRule="exact"/>
        </w:trPr>
        <w:tc>
          <w:tcPr>
            <w:tcW w:w="2658" w:type="dxa"/>
            <w:tcBorders>
              <w:top w:val="nil" w:sz="6" w:space="0" w:color="auto"/>
              <w:left w:val="nil" w:sz="6" w:space="0" w:color="auto"/>
              <w:bottom w:val="single" w:sz="6" w:space="0" w:color="000000"/>
              <w:right w:val="nil" w:sz="6" w:space="0" w:color="auto"/>
            </w:tcBorders>
          </w:tcPr>
          <w:p>
            <w:pPr>
              <w:pStyle w:val="TableParagraph"/>
              <w:spacing w:line="196" w:lineRule="exact"/>
              <w:ind w:left="1036"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6980" w:type="dxa"/>
            <w:tcBorders>
              <w:top w:val="nil" w:sz="6" w:space="0" w:color="auto"/>
              <w:left w:val="nil" w:sz="6" w:space="0" w:color="auto"/>
              <w:bottom w:val="single" w:sz="6" w:space="0" w:color="000000"/>
              <w:right w:val="single" w:sz="6" w:space="0" w:color="000000"/>
            </w:tcBorders>
          </w:tcPr>
          <w:p>
            <w:pPr>
              <w:pStyle w:val="TableParagraph"/>
              <w:tabs>
                <w:tab w:pos="1825" w:val="left" w:leader="none"/>
                <w:tab w:pos="3055" w:val="left" w:leader="none"/>
                <w:tab w:pos="4404" w:val="left" w:leader="none"/>
                <w:tab w:pos="5794" w:val="left" w:leader="none"/>
              </w:tabs>
              <w:spacing w:line="240" w:lineRule="auto" w:before="15"/>
              <w:ind w:left="322" w:right="0"/>
              <w:jc w:val="left"/>
              <w:rPr>
                <w:rFonts w:ascii="Arial" w:hAnsi="Arial" w:cs="Arial" w:eastAsia="Arial" w:hint="default"/>
                <w:sz w:val="18"/>
                <w:szCs w:val="18"/>
              </w:rPr>
            </w:pPr>
            <w:r>
              <w:rPr>
                <w:rFonts w:ascii="Arial"/>
                <w:spacing w:val="-1"/>
                <w:sz w:val="18"/>
              </w:rPr>
              <w:t>(496,630,893)</w:t>
              <w:tab/>
              <w:t>(17,326,110)</w:t>
              <w:tab/>
              <w:t>15,151,403</w:t>
              <w:tab/>
              <w:t>20,650,016</w:t>
              <w:tab/>
              <w:t>(478,155,584)</w:t>
            </w:r>
            <w:r>
              <w:rPr>
                <w:rFonts w:ascii="Arial"/>
                <w:sz w:val="18"/>
              </w:rPr>
            </w:r>
          </w:p>
        </w:tc>
      </w:tr>
      <w:tr>
        <w:trPr>
          <w:trHeight w:val="251" w:hRule="exact"/>
        </w:trPr>
        <w:tc>
          <w:tcPr>
            <w:tcW w:w="2658" w:type="dxa"/>
            <w:tcBorders>
              <w:top w:val="single" w:sz="6" w:space="0" w:color="000000"/>
              <w:left w:val="nil" w:sz="6" w:space="0" w:color="auto"/>
              <w:bottom w:val="nil" w:sz="6" w:space="0" w:color="auto"/>
              <w:right w:val="nil" w:sz="6" w:space="0" w:color="auto"/>
            </w:tcBorders>
          </w:tcPr>
          <w:p>
            <w:pPr>
              <w:pStyle w:val="TableParagraph"/>
              <w:spacing w:line="207" w:lineRule="exact"/>
              <w:ind w:left="49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6980" w:type="dxa"/>
            <w:tcBorders>
              <w:top w:val="single" w:sz="6" w:space="0" w:color="000000"/>
              <w:left w:val="nil" w:sz="6" w:space="0" w:color="auto"/>
              <w:bottom w:val="nil" w:sz="6" w:space="0" w:color="auto"/>
              <w:right w:val="nil" w:sz="6" w:space="0" w:color="auto"/>
            </w:tcBorders>
          </w:tcPr>
          <w:p>
            <w:pPr>
              <w:pStyle w:val="TableParagraph"/>
              <w:tabs>
                <w:tab w:pos="1726" w:val="left" w:leader="none"/>
                <w:tab w:pos="3895" w:val="left" w:leader="none"/>
                <w:tab w:pos="4405" w:val="left" w:leader="none"/>
                <w:tab w:pos="5794" w:val="left" w:leader="none"/>
              </w:tabs>
              <w:spacing w:line="240" w:lineRule="auto" w:before="25"/>
              <w:ind w:left="322" w:right="0"/>
              <w:jc w:val="left"/>
              <w:rPr>
                <w:rFonts w:ascii="Arial" w:hAnsi="Arial" w:cs="Arial" w:eastAsia="Arial" w:hint="default"/>
                <w:sz w:val="18"/>
                <w:szCs w:val="18"/>
              </w:rPr>
            </w:pPr>
            <w:r>
              <w:rPr>
                <w:rFonts w:ascii="Arial"/>
                <w:spacing w:val="-1"/>
                <w:sz w:val="18"/>
              </w:rPr>
              <w:t>(127,629,364)</w:t>
              <w:tab/>
              <w:t>(126,591,113)</w:t>
              <w:tab/>
            </w:r>
            <w:r>
              <w:rPr>
                <w:rFonts w:ascii="Arial"/>
                <w:sz w:val="18"/>
              </w:rPr>
              <w:t>-</w:t>
              <w:tab/>
            </w:r>
            <w:r>
              <w:rPr>
                <w:rFonts w:ascii="Arial"/>
                <w:spacing w:val="-1"/>
                <w:sz w:val="18"/>
              </w:rPr>
              <w:t>58,178,003</w:t>
              <w:tab/>
              <w:t>(196,042,474)</w:t>
            </w:r>
            <w:r>
              <w:rPr>
                <w:rFonts w:ascii="Arial"/>
                <w:sz w:val="18"/>
              </w:rPr>
            </w:r>
          </w:p>
        </w:tc>
      </w:tr>
      <w:tr>
        <w:trPr>
          <w:trHeight w:val="233"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195" w:lineRule="exact"/>
              <w:ind w:left="494"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6980" w:type="dxa"/>
            <w:tcBorders>
              <w:top w:val="nil" w:sz="6" w:space="0" w:color="auto"/>
              <w:left w:val="nil" w:sz="6" w:space="0" w:color="auto"/>
              <w:bottom w:val="nil" w:sz="6" w:space="0" w:color="auto"/>
              <w:right w:val="nil" w:sz="6" w:space="0" w:color="auto"/>
            </w:tcBorders>
          </w:tcPr>
          <w:p>
            <w:pPr>
              <w:pStyle w:val="TableParagraph"/>
              <w:tabs>
                <w:tab w:pos="2725" w:val="left" w:leader="none"/>
                <w:tab w:pos="3895" w:val="left" w:leader="none"/>
                <w:tab w:pos="4404" w:val="left" w:leader="none"/>
                <w:tab w:pos="5543" w:val="left" w:leader="none"/>
              </w:tabs>
              <w:spacing w:line="240" w:lineRule="auto" w:before="14"/>
              <w:ind w:left="71" w:right="0"/>
              <w:jc w:val="left"/>
              <w:rPr>
                <w:rFonts w:ascii="Arial" w:hAnsi="Arial" w:cs="Arial" w:eastAsia="Arial" w:hint="default"/>
                <w:sz w:val="18"/>
                <w:szCs w:val="18"/>
              </w:rPr>
            </w:pPr>
            <w:r>
              <w:rPr>
                <w:rFonts w:ascii="Arial"/>
                <w:spacing w:val="-1"/>
                <w:sz w:val="18"/>
              </w:rPr>
              <w:t>(12,147,204,167)</w:t>
              <w:tab/>
            </w:r>
            <w:r>
              <w:rPr>
                <w:rFonts w:ascii="Arial"/>
                <w:sz w:val="18"/>
              </w:rPr>
              <w:t>-</w:t>
              <w:tab/>
              <w:t>-</w:t>
              <w:tab/>
            </w:r>
            <w:r>
              <w:rPr>
                <w:rFonts w:ascii="Arial"/>
                <w:spacing w:val="-1"/>
                <w:sz w:val="18"/>
              </w:rPr>
              <w:t>11,175,177</w:t>
              <w:tab/>
              <w:t>(12,136,028,990)</w:t>
            </w:r>
            <w:r>
              <w:rPr>
                <w:rFonts w:ascii="Arial"/>
                <w:sz w:val="18"/>
              </w:rPr>
            </w:r>
          </w:p>
        </w:tc>
      </w:tr>
      <w:tr>
        <w:trPr>
          <w:trHeight w:val="233"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196" w:lineRule="exact"/>
              <w:ind w:left="494"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6980" w:type="dxa"/>
            <w:tcBorders>
              <w:top w:val="nil" w:sz="6" w:space="0" w:color="auto"/>
              <w:left w:val="nil" w:sz="6" w:space="0" w:color="auto"/>
              <w:bottom w:val="nil" w:sz="6" w:space="0" w:color="auto"/>
              <w:right w:val="nil" w:sz="6" w:space="0" w:color="auto"/>
            </w:tcBorders>
          </w:tcPr>
          <w:p>
            <w:pPr>
              <w:pStyle w:val="TableParagraph"/>
              <w:tabs>
                <w:tab w:pos="2222" w:val="left" w:leader="none"/>
                <w:tab w:pos="3391" w:val="left" w:leader="none"/>
                <w:tab w:pos="4001" w:val="left" w:leader="none"/>
                <w:tab w:pos="5491" w:val="left" w:leader="none"/>
              </w:tabs>
              <w:spacing w:line="240" w:lineRule="auto" w:before="15"/>
              <w:ind w:right="64"/>
              <w:jc w:val="right"/>
              <w:rPr>
                <w:rFonts w:ascii="Arial" w:hAnsi="Arial" w:cs="Arial" w:eastAsia="Arial" w:hint="default"/>
                <w:sz w:val="18"/>
                <w:szCs w:val="18"/>
              </w:rPr>
            </w:pPr>
            <w:r>
              <w:rPr>
                <w:rFonts w:ascii="Arial"/>
                <w:spacing w:val="-1"/>
                <w:sz w:val="18"/>
              </w:rPr>
              <w:t>(8,761,556)</w:t>
              <w:tab/>
            </w:r>
            <w:r>
              <w:rPr>
                <w:rFonts w:ascii="Arial"/>
                <w:sz w:val="18"/>
              </w:rPr>
              <w:t>-</w:t>
              <w:tab/>
              <w:t>-</w:t>
              <w:tab/>
            </w:r>
            <w:r>
              <w:rPr>
                <w:rFonts w:ascii="Arial"/>
                <w:spacing w:val="-1"/>
                <w:sz w:val="18"/>
              </w:rPr>
              <w:t>2,909,506</w:t>
              <w:tab/>
              <w:t>(5,852,050)</w:t>
            </w:r>
            <w:r>
              <w:rPr>
                <w:rFonts w:ascii="Arial"/>
                <w:sz w:val="18"/>
              </w:rPr>
            </w:r>
          </w:p>
        </w:tc>
      </w:tr>
      <w:tr>
        <w:trPr>
          <w:trHeight w:val="233"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195" w:lineRule="exact"/>
              <w:ind w:left="494"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6980" w:type="dxa"/>
            <w:tcBorders>
              <w:top w:val="nil" w:sz="6" w:space="0" w:color="auto"/>
              <w:left w:val="nil" w:sz="6" w:space="0" w:color="auto"/>
              <w:bottom w:val="nil" w:sz="6" w:space="0" w:color="auto"/>
              <w:right w:val="nil" w:sz="6" w:space="0" w:color="auto"/>
            </w:tcBorders>
          </w:tcPr>
          <w:p>
            <w:pPr>
              <w:pStyle w:val="TableParagraph"/>
              <w:tabs>
                <w:tab w:pos="2202" w:val="left" w:leader="none"/>
                <w:tab w:pos="3372" w:val="left" w:leader="none"/>
                <w:tab w:pos="4132" w:val="left" w:leader="none"/>
                <w:tab w:pos="5471" w:val="left" w:leader="none"/>
              </w:tabs>
              <w:spacing w:line="240" w:lineRule="auto" w:before="14"/>
              <w:ind w:right="64"/>
              <w:jc w:val="right"/>
              <w:rPr>
                <w:rFonts w:ascii="Arial" w:hAnsi="Arial" w:cs="Arial" w:eastAsia="Arial" w:hint="default"/>
                <w:sz w:val="18"/>
                <w:szCs w:val="18"/>
              </w:rPr>
            </w:pPr>
            <w:r>
              <w:rPr>
                <w:rFonts w:ascii="Arial"/>
                <w:spacing w:val="-1"/>
                <w:sz w:val="18"/>
              </w:rPr>
              <w:t>(3,393,241)</w:t>
              <w:tab/>
            </w:r>
            <w:r>
              <w:rPr>
                <w:rFonts w:ascii="Arial"/>
                <w:sz w:val="18"/>
              </w:rPr>
              <w:t>-</w:t>
              <w:tab/>
              <w:t>-</w:t>
              <w:tab/>
            </w:r>
            <w:r>
              <w:rPr>
                <w:rFonts w:ascii="Arial"/>
                <w:spacing w:val="-1"/>
                <w:sz w:val="18"/>
              </w:rPr>
              <w:t>175,392</w:t>
              <w:tab/>
              <w:t>(3,217,849)</w:t>
            </w:r>
            <w:r>
              <w:rPr>
                <w:rFonts w:ascii="Arial"/>
                <w:sz w:val="18"/>
              </w:rPr>
            </w:r>
          </w:p>
        </w:tc>
      </w:tr>
      <w:tr>
        <w:trPr>
          <w:trHeight w:val="344"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196" w:lineRule="exact"/>
              <w:ind w:left="494" w:right="0"/>
              <w:jc w:val="left"/>
              <w:rPr>
                <w:rFonts w:ascii="宋体" w:hAnsi="宋体" w:cs="宋体" w:eastAsia="宋体" w:hint="default"/>
                <w:sz w:val="18"/>
                <w:szCs w:val="18"/>
              </w:rPr>
            </w:pPr>
            <w:r>
              <w:rPr>
                <w:rFonts w:ascii="宋体" w:hAnsi="宋体" w:cs="宋体" w:eastAsia="宋体" w:hint="default"/>
                <w:sz w:val="18"/>
                <w:szCs w:val="18"/>
              </w:rPr>
              <w:t>工程物资减值准备</w:t>
            </w:r>
          </w:p>
        </w:tc>
        <w:tc>
          <w:tcPr>
            <w:tcW w:w="6980" w:type="dxa"/>
            <w:tcBorders>
              <w:top w:val="nil" w:sz="6" w:space="0" w:color="auto"/>
              <w:left w:val="nil" w:sz="6" w:space="0" w:color="auto"/>
              <w:bottom w:val="nil" w:sz="6" w:space="0" w:color="auto"/>
              <w:right w:val="nil" w:sz="6" w:space="0" w:color="auto"/>
            </w:tcBorders>
          </w:tcPr>
          <w:p>
            <w:pPr>
              <w:pStyle w:val="TableParagraph"/>
              <w:tabs>
                <w:tab w:pos="422" w:val="left" w:leader="none"/>
                <w:tab w:pos="2725" w:val="left" w:leader="none"/>
                <w:tab w:pos="3895" w:val="left" w:leader="none"/>
                <w:tab w:pos="4654" w:val="left" w:leader="none"/>
                <w:tab w:pos="5894" w:val="left" w:leader="none"/>
                <w:tab w:pos="6980" w:val="left" w:leader="none"/>
              </w:tabs>
              <w:spacing w:line="240" w:lineRule="auto" w:before="15"/>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(18,576,893)</w:t>
            </w:r>
            <w:r>
              <w:rPr>
                <w:rFonts w:ascii="Arial"/>
                <w:spacing w:val="-1"/>
                <w:sz w:val="18"/>
              </w:rPr>
            </w:r>
            <w:r>
              <w:rPr>
                <w:rFonts w:ascii="Arial"/>
                <w:spacing w:val="-1"/>
                <w:sz w:val="18"/>
                <w:u w:val="single" w:color="000000"/>
              </w:rPr>
              <w:t> </w:t>
              <w:tab/>
            </w:r>
            <w:r>
              <w:rPr>
                <w:rFonts w:ascii="Arial"/>
                <w:sz w:val="18"/>
                <w:u w:val="single" w:color="000000"/>
              </w:rPr>
              <w:t>-</w:t>
            </w:r>
            <w:r>
              <w:rPr>
                <w:rFonts w:ascii="Arial"/>
                <w:sz w:val="18"/>
              </w:rPr>
            </w:r>
            <w:r>
              <w:rPr>
                <w:rFonts w:ascii="Arial"/>
                <w:sz w:val="18"/>
                <w:u w:val="single" w:color="000000"/>
              </w:rPr>
              <w:t> </w:t>
              <w:tab/>
              <w:t>-</w:t>
            </w:r>
            <w:r>
              <w:rPr>
                <w:rFonts w:ascii="Arial"/>
                <w:sz w:val="18"/>
              </w:rPr>
            </w:r>
            <w:r>
              <w:rPr>
                <w:rFonts w:ascii="Arial"/>
                <w:sz w:val="18"/>
                <w:u w:val="single" w:color="000000"/>
              </w:rPr>
              <w:t> </w:t>
              <w:tab/>
            </w:r>
            <w:r>
              <w:rPr>
                <w:rFonts w:ascii="Arial"/>
                <w:spacing w:val="-1"/>
                <w:sz w:val="18"/>
                <w:u w:val="single" w:color="000000"/>
              </w:rPr>
              <w:t>433,483</w:t>
            </w:r>
            <w:r>
              <w:rPr>
                <w:rFonts w:ascii="Arial"/>
                <w:spacing w:val="-1"/>
                <w:sz w:val="18"/>
              </w:rPr>
            </w:r>
            <w:r>
              <w:rPr>
                <w:rFonts w:ascii="Arial"/>
                <w:spacing w:val="-1"/>
                <w:sz w:val="18"/>
                <w:u w:val="single" w:color="000000"/>
              </w:rPr>
              <w:t> </w:t>
              <w:tab/>
              <w:t>(18,143,410)</w:t>
              <w:tab/>
            </w:r>
            <w:r>
              <w:rPr>
                <w:rFonts w:ascii="Arial"/>
                <w:spacing w:val="-1"/>
                <w:sz w:val="18"/>
              </w:rPr>
            </w:r>
          </w:p>
        </w:tc>
      </w:tr>
      <w:tr>
        <w:trPr>
          <w:trHeight w:val="358"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80" w:type="dxa"/>
            <w:tcBorders>
              <w:top w:val="nil" w:sz="6" w:space="0" w:color="auto"/>
              <w:left w:val="nil" w:sz="6" w:space="0" w:color="auto"/>
              <w:bottom w:val="single" w:sz="17" w:space="0" w:color="000000"/>
              <w:right w:val="nil" w:sz="6" w:space="0" w:color="auto"/>
            </w:tcBorders>
          </w:tcPr>
          <w:p>
            <w:pPr>
              <w:pStyle w:val="TableParagraph"/>
              <w:tabs>
                <w:tab w:pos="3054" w:val="left" w:leader="none"/>
                <w:tab w:pos="5543" w:val="left" w:leader="none"/>
              </w:tabs>
              <w:spacing w:line="240" w:lineRule="auto" w:before="125"/>
              <w:ind w:left="71" w:right="0"/>
              <w:jc w:val="left"/>
              <w:rPr>
                <w:rFonts w:ascii="Arial" w:hAnsi="Arial" w:cs="Arial" w:eastAsia="Arial" w:hint="default"/>
                <w:sz w:val="18"/>
                <w:szCs w:val="18"/>
              </w:rPr>
            </w:pPr>
            <w:r>
              <w:rPr>
                <w:rFonts w:ascii="Arial"/>
                <w:sz w:val="18"/>
              </w:rPr>
              <w:t>(16,818,117,643) </w:t>
            </w:r>
            <w:r>
              <w:rPr>
                <w:rFonts w:ascii="Arial"/>
                <w:spacing w:val="10"/>
                <w:sz w:val="18"/>
              </w:rPr>
              <w:t> </w:t>
            </w:r>
            <w:r>
              <w:rPr>
                <w:rFonts w:ascii="Arial"/>
                <w:sz w:val="18"/>
              </w:rPr>
              <w:t>(2,923,634,657)</w:t>
              <w:tab/>
              <w:t>76,210,794  </w:t>
            </w:r>
            <w:r>
              <w:rPr>
                <w:rFonts w:ascii="Arial"/>
                <w:spacing w:val="32"/>
                <w:sz w:val="18"/>
              </w:rPr>
              <w:t> </w:t>
            </w:r>
            <w:r>
              <w:rPr>
                <w:rFonts w:ascii="Arial"/>
                <w:sz w:val="18"/>
              </w:rPr>
              <w:t>3,273,220,308</w:t>
              <w:tab/>
              <w:t>(16,392,321,198)</w:t>
            </w:r>
          </w:p>
        </w:tc>
      </w:tr>
    </w:tbl>
    <w:p>
      <w:pPr>
        <w:spacing w:line="240" w:lineRule="auto" w:before="0"/>
        <w:rPr>
          <w:rFonts w:ascii="宋体" w:hAnsi="宋体" w:cs="宋体" w:eastAsia="宋体" w:hint="default"/>
          <w:sz w:val="10"/>
          <w:szCs w:val="10"/>
        </w:rPr>
      </w:pPr>
    </w:p>
    <w:p>
      <w:pPr>
        <w:pStyle w:val="BodyText"/>
        <w:spacing w:line="240" w:lineRule="auto" w:before="31"/>
        <w:ind w:left="631" w:right="0"/>
        <w:jc w:val="left"/>
      </w:pPr>
      <w:r>
        <w:rPr/>
        <w:pict>
          <v:group style="position:absolute;margin-left:92.099998pt;margin-top:-115.862045pt;width:.1pt;height:24.8pt;mso-position-horizontal-relative:page;mso-position-vertical-relative:paragraph;z-index:-819112" coordorigin="1842,-2317" coordsize="2,496">
            <v:shape style="position:absolute;left:1842;top:-2317;width:2;height:496" coordorigin="1842,-2317" coordsize="0,496" path="m1842,-2317l1842,-1822e" filled="false" stroked="true" strokeweight=".72pt" strokecolor="#000000">
              <v:path arrowok="t"/>
            </v:shape>
            <w10:wrap type="none"/>
          </v:group>
        </w:pict>
      </w:r>
      <w:r>
        <w:rPr/>
        <w:t>注：于</w:t>
      </w:r>
      <w:r>
        <w:rPr>
          <w:spacing w:val="-57"/>
        </w:rPr>
        <w:t> </w:t>
      </w:r>
      <w:r>
        <w:rPr>
          <w:rFonts w:ascii="Arial" w:hAnsi="Arial" w:cs="Arial" w:eastAsia="Arial" w:hint="default"/>
        </w:rPr>
        <w:t>2011</w:t>
      </w:r>
      <w:r>
        <w:rPr>
          <w:rFonts w:ascii="Arial" w:hAnsi="Arial" w:cs="Arial" w:eastAsia="Arial" w:hint="default"/>
          <w:spacing w:val="-8"/>
        </w:rPr>
        <w:t> </w:t>
      </w:r>
      <w:r>
        <w:rPr/>
        <w:t>年度，本集团收回已核销的应收款项而转回相关坏账准备约人民币</w:t>
      </w:r>
      <w:r>
        <w:rPr>
          <w:spacing w:val="-56"/>
        </w:rPr>
        <w:t> </w:t>
      </w:r>
      <w:r>
        <w:rPr>
          <w:rFonts w:ascii="Arial" w:hAnsi="Arial" w:cs="Arial" w:eastAsia="Arial" w:hint="default"/>
        </w:rPr>
        <w:t>0.76</w:t>
      </w:r>
      <w:r>
        <w:rPr>
          <w:rFonts w:ascii="Arial" w:hAnsi="Arial" w:cs="Arial" w:eastAsia="Arial" w:hint="default"/>
          <w:spacing w:val="-8"/>
        </w:rPr>
        <w:t> </w:t>
      </w:r>
      <w:r>
        <w:rPr/>
        <w:t>亿元。</w:t>
      </w:r>
    </w:p>
    <w:p>
      <w:pPr>
        <w:spacing w:line="240" w:lineRule="auto" w:before="5"/>
        <w:rPr>
          <w:rFonts w:ascii="宋体" w:hAnsi="宋体" w:cs="宋体" w:eastAsia="宋体" w:hint="default"/>
          <w:sz w:val="15"/>
          <w:szCs w:val="15"/>
        </w:rPr>
      </w:pPr>
    </w:p>
    <w:p>
      <w:pPr>
        <w:pStyle w:val="BodyText"/>
        <w:spacing w:line="240" w:lineRule="auto"/>
        <w:ind w:left="142" w:right="0"/>
        <w:jc w:val="left"/>
      </w:pPr>
      <w:r>
        <w:rPr>
          <w:rFonts w:ascii="Arial" w:hAnsi="Arial" w:cs="Arial" w:eastAsia="Arial" w:hint="default"/>
        </w:rPr>
        <w:t>15</w:t>
      </w:r>
      <w:r>
        <w:rPr/>
        <w:t>、短期借款</w:t>
      </w:r>
    </w:p>
    <w:p>
      <w:pPr>
        <w:spacing w:line="240" w:lineRule="auto" w:before="5"/>
        <w:rPr>
          <w:rFonts w:ascii="宋体" w:hAnsi="宋体" w:cs="宋体" w:eastAsia="宋体" w:hint="default"/>
          <w:sz w:val="15"/>
          <w:szCs w:val="15"/>
        </w:rPr>
      </w:pPr>
    </w:p>
    <w:p>
      <w:pPr>
        <w:pStyle w:val="BodyText"/>
        <w:tabs>
          <w:tab w:pos="5208" w:val="left" w:leader="none"/>
          <w:tab w:pos="7741" w:val="left" w:leader="none"/>
        </w:tabs>
        <w:spacing w:line="240" w:lineRule="auto"/>
        <w:ind w:left="4165" w:right="0"/>
        <w:jc w:val="left"/>
      </w:pPr>
      <w:r>
        <w:rPr>
          <w:w w:val="95"/>
        </w:rPr>
        <w:t>币种</w:t>
        <w:tab/>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3996" w:right="0" w:firstLine="0"/>
        <w:rPr>
          <w:rFonts w:ascii="宋体" w:hAnsi="宋体" w:cs="宋体" w:eastAsia="宋体" w:hint="default"/>
          <w:sz w:val="2"/>
          <w:szCs w:val="2"/>
        </w:rPr>
      </w:pPr>
      <w:r>
        <w:rPr>
          <w:rFonts w:ascii="宋体"/>
          <w:sz w:val="2"/>
        </w:rPr>
        <w:pict>
          <v:group style="width:38.950pt;height:.75pt;mso-position-horizontal-relative:char;mso-position-vertical-relative:line" coordorigin="0,0" coordsize="779,15">
            <v:group style="position:absolute;left:7;top:7;width:765;height:2" coordorigin="7,7" coordsize="765,2">
              <v:shape style="position:absolute;left:7;top:7;width:765;height:2" coordorigin="7,7" coordsize="765,0" path="m7,7l772,7e" filled="false" stroked="true" strokeweight=".72pt" strokecolor="#000000">
                <v:path arrowok="t"/>
              </v:shape>
            </v:group>
          </v:group>
        </w:pict>
      </w:r>
      <w:r>
        <w:rPr>
          <w:rFonts w:ascii="宋体"/>
          <w:sz w:val="2"/>
        </w:rPr>
      </w:r>
      <w:r>
        <w:rPr>
          <w:rFonts w:ascii="Times New Roman"/>
          <w:spacing w:val="85"/>
          <w:sz w:val="2"/>
        </w:rPr>
        <w:t> </w:t>
      </w:r>
      <w:r>
        <w:rPr>
          <w:rFonts w:ascii="宋体"/>
          <w:spacing w:val="85"/>
          <w:sz w:val="2"/>
        </w:rPr>
        <w:pict>
          <v:group style="width:116.65pt;height:.75pt;mso-position-horizontal-relative:char;mso-position-vertical-relative:line" coordorigin="0,0" coordsize="2333,15">
            <v:group style="position:absolute;left:7;top:7;width:2319;height:2" coordorigin="7,7" coordsize="2319,2">
              <v:shape style="position:absolute;left:7;top:7;width:2319;height:2" coordorigin="7,7" coordsize="2319,0" path="m7,7l2326,7e" filled="false" stroked="true" strokeweight=".72pt" strokecolor="#000000">
                <v:path arrowok="t"/>
              </v:shape>
            </v:group>
          </v:group>
        </w:pict>
      </w:r>
      <w:r>
        <w:rPr>
          <w:rFonts w:ascii="宋体"/>
          <w:spacing w:val="85"/>
          <w:sz w:val="2"/>
        </w:rPr>
      </w:r>
      <w:r>
        <w:rPr>
          <w:rFonts w:ascii="Times New Roman"/>
          <w:spacing w:val="94"/>
          <w:sz w:val="2"/>
        </w:rPr>
        <w:t> </w:t>
      </w:r>
      <w:r>
        <w:rPr>
          <w:rFonts w:ascii="宋体"/>
          <w:spacing w:val="94"/>
          <w:sz w:val="2"/>
        </w:rPr>
        <w:pict>
          <v:group style="width:122.5pt;height:.75pt;mso-position-horizontal-relative:char;mso-position-vertical-relative:line" coordorigin="0,0" coordsize="2450,15">
            <v:group style="position:absolute;left:7;top:7;width:2435;height:2" coordorigin="7,7" coordsize="2435,2">
              <v:shape style="position:absolute;left:7;top:7;width:2435;height:2" coordorigin="7,7" coordsize="2435,0" path="m7,7l2442,7e" filled="false" stroked="true" strokeweight=".72pt" strokecolor="#000000">
                <v:path arrowok="t"/>
              </v:shape>
            </v:group>
          </v:group>
        </w:pict>
      </w:r>
      <w:r>
        <w:rPr>
          <w:rFonts w:ascii="宋体"/>
          <w:spacing w:val="94"/>
          <w:sz w:val="2"/>
        </w:rPr>
      </w:r>
    </w:p>
    <w:p>
      <w:pPr>
        <w:spacing w:line="240" w:lineRule="auto" w:before="2"/>
        <w:rPr>
          <w:rFonts w:ascii="宋体" w:hAnsi="宋体" w:cs="宋体" w:eastAsia="宋体" w:hint="default"/>
          <w:sz w:val="15"/>
          <w:szCs w:val="15"/>
        </w:rPr>
      </w:pPr>
    </w:p>
    <w:p>
      <w:pPr>
        <w:pStyle w:val="BodyText"/>
        <w:tabs>
          <w:tab w:pos="4068" w:val="left" w:leader="none"/>
          <w:tab w:pos="5579" w:val="left" w:leader="none"/>
          <w:tab w:pos="8118" w:val="left" w:leader="none"/>
        </w:tabs>
        <w:spacing w:line="305" w:lineRule="exact" w:before="27"/>
        <w:ind w:left="601" w:right="0"/>
        <w:jc w:val="left"/>
        <w:rPr>
          <w:rFonts w:ascii="Arial" w:hAnsi="Arial" w:cs="Arial" w:eastAsia="Arial" w:hint="default"/>
        </w:rPr>
      </w:pPr>
      <w:r>
        <w:rPr>
          <w:w w:val="95"/>
          <w:position w:val="2"/>
        </w:rPr>
        <w:t>信用借款</w:t>
        <w:tab/>
        <w:t>人民币</w:t>
        <w:tab/>
      </w:r>
      <w:r>
        <w:rPr>
          <w:rFonts w:ascii="Arial" w:hAnsi="Arial" w:cs="Arial" w:eastAsia="Arial" w:hint="default"/>
          <w:spacing w:val="-1"/>
        </w:rPr>
        <w:t>17,810,000,000</w:t>
        <w:tab/>
        <w:t>25,805,000,000</w:t>
      </w:r>
    </w:p>
    <w:p>
      <w:pPr>
        <w:pStyle w:val="BodyText"/>
        <w:tabs>
          <w:tab w:pos="4876" w:val="left" w:leader="none"/>
          <w:tab w:pos="5579" w:val="left" w:leader="none"/>
          <w:tab w:pos="8118" w:val="left" w:leader="none"/>
          <w:tab w:pos="9745" w:val="left" w:leader="none"/>
        </w:tabs>
        <w:spacing w:line="305" w:lineRule="exact"/>
        <w:ind w:left="4165" w:right="0"/>
        <w:jc w:val="left"/>
        <w:rPr>
          <w:rFonts w:ascii="Arial" w:hAnsi="Arial" w:cs="Arial" w:eastAsia="Arial" w:hint="default"/>
        </w:rPr>
      </w:pPr>
      <w:r>
        <w:rPr>
          <w:w w:val="95"/>
          <w:position w:val="2"/>
        </w:rPr>
        <w:t>港币</w:t>
        <w:tab/>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spacing w:val="-1"/>
          <w:u w:val="single" w:color="000000"/>
        </w:rPr>
        <w:t>14,511,530,000</w:t>
      </w:r>
      <w:r>
        <w:rPr>
          <w:rFonts w:ascii="Arial" w:hAnsi="Arial" w:cs="Arial" w:eastAsia="Arial" w:hint="default"/>
          <w:spacing w:val="-1"/>
        </w:rPr>
      </w:r>
      <w:r>
        <w:rPr>
          <w:rFonts w:ascii="Arial" w:hAnsi="Arial" w:cs="Arial" w:eastAsia="Arial" w:hint="default"/>
          <w:spacing w:val="-1"/>
          <w:u w:val="single" w:color="000000"/>
        </w:rPr>
        <w:t> </w:t>
        <w:tab/>
        <w:t>10,891,520,000</w:t>
        <w:tab/>
      </w:r>
      <w:r>
        <w:rPr>
          <w:rFonts w:ascii="Arial" w:hAnsi="Arial" w:cs="Arial" w:eastAsia="Arial" w:hint="default"/>
          <w:spacing w:val="-1"/>
        </w:rPr>
      </w:r>
    </w:p>
    <w:p>
      <w:pPr>
        <w:pStyle w:val="BodyText"/>
        <w:tabs>
          <w:tab w:pos="8118" w:val="left" w:leader="none"/>
        </w:tabs>
        <w:spacing w:line="240" w:lineRule="auto" w:before="14"/>
        <w:ind w:left="5579" w:right="0"/>
        <w:jc w:val="left"/>
        <w:rPr>
          <w:rFonts w:ascii="Arial" w:hAnsi="Arial" w:cs="Arial" w:eastAsia="Arial" w:hint="default"/>
        </w:rPr>
      </w:pPr>
      <w:r>
        <w:rPr>
          <w:rFonts w:ascii="Arial"/>
          <w:spacing w:val="-1"/>
        </w:rPr>
        <w:t>32,321,530,000</w:t>
        <w:tab/>
        <w:t>36,696,520,000</w:t>
      </w:r>
    </w:p>
    <w:p>
      <w:pPr>
        <w:pStyle w:val="BodyText"/>
        <w:tabs>
          <w:tab w:pos="4068" w:val="left" w:leader="none"/>
          <w:tab w:pos="7035" w:val="left" w:leader="none"/>
          <w:tab w:pos="8545" w:val="left" w:leader="none"/>
          <w:tab w:pos="9745" w:val="left" w:leader="none"/>
        </w:tabs>
        <w:spacing w:line="240" w:lineRule="auto" w:before="64"/>
        <w:ind w:left="601" w:right="0"/>
        <w:jc w:val="left"/>
        <w:rPr>
          <w:rFonts w:ascii="Arial" w:hAnsi="Arial" w:cs="Arial" w:eastAsia="Arial" w:hint="default"/>
        </w:rPr>
      </w:pPr>
      <w:r>
        <w:rPr>
          <w:w w:val="95"/>
          <w:position w:val="2"/>
        </w:rPr>
        <w:t>保证借款</w:t>
        <w:tab/>
        <w:t>人民币</w:t>
      </w:r>
      <w:r>
        <w:rPr>
          <w:rFonts w:ascii="Arial" w:hAnsi="Arial" w:cs="Arial" w:eastAsia="Arial" w:hint="default"/>
          <w:w w:val="95"/>
        </w:rPr>
      </w:r>
      <w:r>
        <w:rPr>
          <w:rFonts w:ascii="Arial" w:hAnsi="Arial" w:cs="Arial" w:eastAsia="Arial" w:hint="default"/>
          <w:w w:val="95"/>
          <w:u w:val="single" w:color="000000"/>
        </w:rPr>
        <w:t> </w:t>
        <w:tab/>
        <w:t>-</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30,000,000</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579" w:val="left" w:leader="none"/>
          <w:tab w:pos="8118" w:val="left" w:leader="none"/>
        </w:tabs>
        <w:spacing w:line="240" w:lineRule="auto" w:before="27"/>
        <w:ind w:left="601" w:right="0"/>
        <w:jc w:val="left"/>
        <w:rPr>
          <w:rFonts w:ascii="Arial" w:hAnsi="Arial" w:cs="Arial" w:eastAsia="Arial" w:hint="default"/>
        </w:rPr>
      </w:pPr>
      <w:r>
        <w:rPr>
          <w:w w:val="95"/>
          <w:position w:val="2"/>
        </w:rPr>
        <w:t>合计</w:t>
        <w:tab/>
      </w:r>
      <w:r>
        <w:rPr>
          <w:rFonts w:ascii="Arial" w:hAnsi="Arial" w:cs="Arial" w:eastAsia="Arial" w:hint="default"/>
          <w:spacing w:val="-1"/>
        </w:rPr>
        <w:t>32,321,530,000</w:t>
        <w:tab/>
        <w:t>36,726,520,000</w:t>
      </w:r>
    </w:p>
    <w:p>
      <w:pPr>
        <w:spacing w:line="43" w:lineRule="exact"/>
        <w:ind w:left="4854" w:right="0" w:firstLine="0"/>
        <w:rPr>
          <w:rFonts w:ascii="Arial" w:hAnsi="Arial" w:cs="Arial" w:eastAsia="Arial" w:hint="default"/>
          <w:sz w:val="4"/>
          <w:szCs w:val="4"/>
        </w:rPr>
      </w:pPr>
      <w:r>
        <w:rPr>
          <w:rFonts w:ascii="Arial"/>
          <w:position w:val="0"/>
          <w:sz w:val="4"/>
        </w:rPr>
        <w:pict>
          <v:group style="width:117.4pt;height:2.2pt;mso-position-horizontal-relative:char;mso-position-vertical-relative:line" coordorigin="0,0" coordsize="2348,44">
            <v:group style="position:absolute;left:7;top:36;width:2333;height:2" coordorigin="7,36" coordsize="2333,2">
              <v:shape style="position:absolute;left:7;top:36;width:2333;height:2" coordorigin="7,36" coordsize="2333,0" path="m7,36l2340,36e" filled="false" stroked="true" strokeweight=".72pt" strokecolor="#000000">
                <v:path arrowok="t"/>
              </v:shape>
            </v:group>
            <v:group style="position:absolute;left:7;top:7;width:2333;height:2" coordorigin="7,7" coordsize="2333,2">
              <v:shape style="position:absolute;left:7;top:7;width:2333;height:2" coordorigin="7,7" coordsize="2333,0" path="m7,7l2340,7e" filled="false" stroked="true" strokeweight=".72pt" strokecolor="#000000">
                <v:path arrowok="t"/>
              </v:shape>
            </v:group>
          </v:group>
        </w:pict>
      </w:r>
      <w:r>
        <w:rPr>
          <w:rFonts w:ascii="Arial"/>
          <w:position w:val="0"/>
          <w:sz w:val="4"/>
        </w:rPr>
      </w:r>
      <w:r>
        <w:rPr>
          <w:rFonts w:ascii="Times New Roman"/>
          <w:spacing w:val="71"/>
          <w:position w:val="0"/>
          <w:sz w:val="4"/>
        </w:rPr>
        <w:t> </w:t>
      </w:r>
      <w:r>
        <w:rPr>
          <w:rFonts w:ascii="Arial"/>
          <w:spacing w:val="71"/>
          <w:position w:val="0"/>
          <w:sz w:val="4"/>
        </w:rPr>
        <w:pict>
          <v:group style="width:123.2pt;height:2.2pt;mso-position-horizontal-relative:char;mso-position-vertical-relative:line" coordorigin="0,0" coordsize="2464,44">
            <v:group style="position:absolute;left:7;top:36;width:2450;height:2" coordorigin="7,36" coordsize="2450,2">
              <v:shape style="position:absolute;left:7;top:36;width:2450;height:2" coordorigin="7,36" coordsize="2450,0" path="m7,36l2456,36e" filled="false" stroked="true" strokeweight=".72pt" strokecolor="#000000">
                <v:path arrowok="t"/>
              </v:shape>
            </v:group>
            <v:group style="position:absolute;left:7;top:7;width:2450;height:2" coordorigin="7,7" coordsize="2450,2">
              <v:shape style="position:absolute;left:7;top:7;width:2450;height:2" coordorigin="7,7" coordsize="2450,0" path="m7,7l2456,7e" filled="false" stroked="true" strokeweight=".72pt" strokecolor="#000000">
                <v:path arrowok="t"/>
              </v:shape>
            </v:group>
          </v:group>
        </w:pict>
      </w:r>
      <w:r>
        <w:rPr>
          <w:rFonts w:ascii="Arial"/>
          <w:spacing w:val="71"/>
          <w:position w:val="0"/>
          <w:sz w:val="4"/>
        </w:rPr>
      </w:r>
    </w:p>
    <w:p>
      <w:pPr>
        <w:spacing w:after="0" w:line="43" w:lineRule="exact"/>
        <w:rPr>
          <w:rFonts w:ascii="Arial" w:hAnsi="Arial" w:cs="Arial" w:eastAsia="Arial" w:hint="default"/>
          <w:sz w:val="4"/>
          <w:szCs w:val="4"/>
        </w:rPr>
        <w:sectPr>
          <w:headerReference w:type="default" r:id="rId102"/>
          <w:footerReference w:type="default" r:id="rId103"/>
          <w:pgSz w:w="11900" w:h="16840"/>
          <w:pgMar w:header="1189" w:footer="752" w:top="3040" w:bottom="940" w:left="1240" w:right="800"/>
          <w:pgNumType w:start="118"/>
        </w:sectPr>
      </w:pPr>
    </w:p>
    <w:p>
      <w:pPr>
        <w:spacing w:line="240" w:lineRule="auto" w:before="11"/>
        <w:rPr>
          <w:rFonts w:ascii="Arial" w:hAnsi="Arial" w:cs="Arial" w:eastAsia="Arial" w:hint="default"/>
          <w:sz w:val="18"/>
          <w:szCs w:val="18"/>
        </w:rPr>
      </w:pPr>
    </w:p>
    <w:p>
      <w:pPr>
        <w:pStyle w:val="BodyText"/>
        <w:spacing w:line="240" w:lineRule="auto" w:before="31"/>
        <w:ind w:left="102" w:right="0"/>
        <w:jc w:val="left"/>
      </w:pPr>
      <w:r>
        <w:rPr>
          <w:rFonts w:ascii="Arial" w:hAnsi="Arial" w:cs="Arial" w:eastAsia="Arial" w:hint="default"/>
        </w:rPr>
        <w:t>15</w:t>
      </w:r>
      <w:r>
        <w:rPr/>
        <w:t>、短期借款（续）</w:t>
      </w:r>
    </w:p>
    <w:p>
      <w:pPr>
        <w:spacing w:line="240" w:lineRule="auto" w:before="13"/>
        <w:rPr>
          <w:rFonts w:ascii="宋体" w:hAnsi="宋体" w:cs="宋体" w:eastAsia="宋体" w:hint="default"/>
          <w:sz w:val="17"/>
          <w:szCs w:val="17"/>
        </w:rPr>
      </w:pPr>
    </w:p>
    <w:p>
      <w:pPr>
        <w:pStyle w:val="BodyText"/>
        <w:spacing w:line="295" w:lineRule="exact"/>
        <w:ind w:left="550" w:right="0"/>
        <w:jc w:val="left"/>
      </w:pPr>
      <w:r>
        <w:rPr/>
        <w:t>于</w:t>
      </w:r>
      <w:r>
        <w:rPr>
          <w:spacing w:val="-62"/>
        </w:rPr>
        <w:t> </w:t>
      </w:r>
      <w:r>
        <w:rPr>
          <w:rFonts w:ascii="Arial" w:hAnsi="Arial" w:cs="Arial" w:eastAsia="Arial" w:hint="default"/>
        </w:rPr>
        <w:t>2011</w:t>
      </w:r>
      <w:r>
        <w:rPr>
          <w:rFonts w:ascii="Arial" w:hAnsi="Arial" w:cs="Arial" w:eastAsia="Arial" w:hint="default"/>
          <w:spacing w:val="-13"/>
        </w:rPr>
        <w:t> </w:t>
      </w:r>
      <w:r>
        <w:rPr/>
        <w:t>年</w:t>
      </w:r>
      <w:r>
        <w:rPr>
          <w:spacing w:val="-62"/>
        </w:rPr>
        <w:t> </w:t>
      </w:r>
      <w:r>
        <w:rPr>
          <w:rFonts w:ascii="Arial" w:hAnsi="Arial" w:cs="Arial" w:eastAsia="Arial" w:hint="default"/>
        </w:rPr>
        <w:t>12</w:t>
      </w:r>
      <w:r>
        <w:rPr>
          <w:rFonts w:ascii="Arial" w:hAnsi="Arial" w:cs="Arial" w:eastAsia="Arial" w:hint="default"/>
          <w:spacing w:val="-13"/>
        </w:rPr>
        <w:t> </w:t>
      </w:r>
      <w:r>
        <w:rPr/>
        <w:t>月</w:t>
      </w:r>
      <w:r>
        <w:rPr>
          <w:spacing w:val="-62"/>
        </w:rPr>
        <w:t> </w:t>
      </w:r>
      <w:r>
        <w:rPr>
          <w:rFonts w:ascii="Arial" w:hAnsi="Arial" w:cs="Arial" w:eastAsia="Arial" w:hint="default"/>
        </w:rPr>
        <w:t>31</w:t>
      </w:r>
      <w:r>
        <w:rPr>
          <w:rFonts w:ascii="Arial" w:hAnsi="Arial" w:cs="Arial" w:eastAsia="Arial" w:hint="default"/>
          <w:spacing w:val="-13"/>
        </w:rPr>
        <w:t> </w:t>
      </w:r>
      <w:r>
        <w:rPr/>
        <w:t>日，人民币短期借款的年利率的利率范围为</w:t>
      </w:r>
      <w:r>
        <w:rPr>
          <w:spacing w:val="-62"/>
        </w:rPr>
        <w:t> </w:t>
      </w:r>
      <w:r>
        <w:rPr>
          <w:rFonts w:ascii="Arial" w:hAnsi="Arial" w:cs="Arial" w:eastAsia="Arial" w:hint="default"/>
        </w:rPr>
        <w:t>1.09%-6.10%</w:t>
      </w:r>
      <w:r>
        <w:rPr/>
        <w:t>（</w:t>
      </w:r>
      <w:r>
        <w:rPr>
          <w:rFonts w:ascii="Arial" w:hAnsi="Arial" w:cs="Arial" w:eastAsia="Arial" w:hint="default"/>
        </w:rPr>
        <w:t>2010</w:t>
      </w:r>
      <w:r>
        <w:rPr>
          <w:rFonts w:ascii="Arial" w:hAnsi="Arial" w:cs="Arial" w:eastAsia="Arial" w:hint="default"/>
          <w:spacing w:val="-13"/>
        </w:rPr>
        <w:t> </w:t>
      </w:r>
      <w:r>
        <w:rPr/>
        <w:t>年</w:t>
      </w:r>
      <w:r>
        <w:rPr>
          <w:spacing w:val="-62"/>
        </w:rPr>
        <w:t> </w:t>
      </w:r>
      <w:r>
        <w:rPr>
          <w:rFonts w:ascii="Arial" w:hAnsi="Arial" w:cs="Arial" w:eastAsia="Arial" w:hint="default"/>
        </w:rPr>
        <w:t>12</w:t>
      </w:r>
      <w:r>
        <w:rPr>
          <w:rFonts w:ascii="Arial" w:hAnsi="Arial" w:cs="Arial" w:eastAsia="Arial" w:hint="default"/>
          <w:spacing w:val="-13"/>
        </w:rPr>
        <w:t> </w:t>
      </w:r>
      <w:r>
        <w:rPr/>
        <w:t>月</w:t>
      </w:r>
    </w:p>
    <w:p>
      <w:pPr>
        <w:pStyle w:val="BodyText"/>
        <w:spacing w:line="286" w:lineRule="exact"/>
        <w:ind w:left="550" w:right="0"/>
        <w:jc w:val="left"/>
        <w:rPr>
          <w:rFonts w:ascii="Arial" w:hAnsi="Arial" w:cs="Arial" w:eastAsia="Arial" w:hint="default"/>
        </w:rPr>
      </w:pPr>
      <w:r>
        <w:rPr>
          <w:rFonts w:ascii="Arial" w:hAnsi="Arial" w:cs="Arial" w:eastAsia="Arial" w:hint="default"/>
        </w:rPr>
        <w:t>31 </w:t>
      </w:r>
      <w:r>
        <w:rPr>
          <w:spacing w:val="-2"/>
        </w:rPr>
        <w:t>日：</w:t>
      </w:r>
      <w:r>
        <w:rPr>
          <w:rFonts w:ascii="Arial" w:hAnsi="Arial" w:cs="Arial" w:eastAsia="Arial" w:hint="default"/>
          <w:spacing w:val="-2"/>
        </w:rPr>
        <w:t>2.88%-5.00%</w:t>
      </w:r>
      <w:r>
        <w:rPr>
          <w:spacing w:val="-2"/>
        </w:rPr>
        <w:t>），港币短期借款的年利率的利率范围为香港银行同业拆借利率加</w:t>
      </w:r>
      <w:r>
        <w:rPr>
          <w:spacing w:val="-73"/>
        </w:rPr>
        <w:t> </w:t>
      </w:r>
      <w:r>
        <w:rPr>
          <w:rFonts w:ascii="Arial" w:hAnsi="Arial" w:cs="Arial" w:eastAsia="Arial" w:hint="default"/>
        </w:rPr>
        <w:t>0.63%</w:t>
      </w:r>
    </w:p>
    <w:p>
      <w:pPr>
        <w:pStyle w:val="BodyText"/>
        <w:spacing w:line="295" w:lineRule="exact"/>
        <w:ind w:left="550" w:right="0"/>
        <w:jc w:val="left"/>
      </w:pPr>
      <w:r>
        <w:rPr/>
        <w:t>至</w:t>
      </w:r>
      <w:r>
        <w:rPr>
          <w:spacing w:val="-57"/>
        </w:rPr>
        <w:t> </w:t>
      </w:r>
      <w:r>
        <w:rPr>
          <w:rFonts w:ascii="Arial" w:hAnsi="Arial" w:cs="Arial" w:eastAsia="Arial" w:hint="default"/>
        </w:rPr>
        <w:t>2.15%</w:t>
      </w:r>
      <w:r>
        <w:rPr/>
        <w:t>（</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日：香港银行同业拆借利率加</w:t>
      </w:r>
      <w:r>
        <w:rPr>
          <w:spacing w:val="-57"/>
        </w:rPr>
        <w:t> </w:t>
      </w:r>
      <w:r>
        <w:rPr>
          <w:rFonts w:ascii="Arial" w:hAnsi="Arial" w:cs="Arial" w:eastAsia="Arial" w:hint="default"/>
        </w:rPr>
        <w:t>0.40%</w:t>
      </w:r>
      <w:r>
        <w:rPr/>
        <w:t>至</w:t>
      </w:r>
      <w:r>
        <w:rPr>
          <w:spacing w:val="-57"/>
        </w:rPr>
        <w:t> </w:t>
      </w:r>
      <w:r>
        <w:rPr>
          <w:rFonts w:ascii="Arial" w:hAnsi="Arial" w:cs="Arial" w:eastAsia="Arial" w:hint="default"/>
        </w:rPr>
        <w:t>1.00%</w:t>
      </w:r>
      <w:r>
        <w:rPr/>
        <w:t>）。</w:t>
      </w:r>
    </w:p>
    <w:p>
      <w:pPr>
        <w:spacing w:line="240" w:lineRule="auto" w:before="12"/>
        <w:rPr>
          <w:rFonts w:ascii="宋体" w:hAnsi="宋体" w:cs="宋体" w:eastAsia="宋体" w:hint="default"/>
          <w:sz w:val="17"/>
          <w:szCs w:val="17"/>
        </w:rPr>
      </w:pPr>
    </w:p>
    <w:p>
      <w:pPr>
        <w:pStyle w:val="BodyText"/>
        <w:spacing w:line="240" w:lineRule="auto"/>
        <w:ind w:left="544" w:right="0"/>
        <w:jc w:val="left"/>
      </w:pPr>
      <w:r>
        <w:rPr/>
        <w:t>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日，本集团无银行保证借款（</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日：人民币</w:t>
      </w:r>
      <w:r>
        <w:rPr>
          <w:spacing w:val="-58"/>
        </w:rPr>
        <w:t> </w:t>
      </w:r>
      <w:r>
        <w:rPr>
          <w:rFonts w:ascii="Arial" w:hAnsi="Arial" w:cs="Arial" w:eastAsia="Arial" w:hint="default"/>
        </w:rPr>
        <w:t>3,000</w:t>
      </w:r>
      <w:r>
        <w:rPr>
          <w:rFonts w:ascii="Arial" w:hAnsi="Arial" w:cs="Arial" w:eastAsia="Arial" w:hint="default"/>
          <w:spacing w:val="-9"/>
        </w:rPr>
        <w:t> </w:t>
      </w:r>
      <w:r>
        <w:rPr/>
        <w:t>万元）。</w:t>
      </w:r>
    </w:p>
    <w:p>
      <w:pPr>
        <w:spacing w:line="240" w:lineRule="auto" w:before="13"/>
        <w:rPr>
          <w:rFonts w:ascii="宋体" w:hAnsi="宋体" w:cs="宋体" w:eastAsia="宋体" w:hint="default"/>
          <w:sz w:val="17"/>
          <w:szCs w:val="17"/>
        </w:rPr>
      </w:pPr>
    </w:p>
    <w:p>
      <w:pPr>
        <w:pStyle w:val="BodyText"/>
        <w:spacing w:line="240" w:lineRule="auto"/>
        <w:ind w:left="544" w:right="0"/>
        <w:jc w:val="left"/>
      </w:pPr>
      <w:r>
        <w:rPr/>
        <w:t>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日，本集团无已到期但尚未偿还的短期借款（</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日：无）。</w:t>
      </w:r>
    </w:p>
    <w:p>
      <w:pPr>
        <w:spacing w:line="240" w:lineRule="auto" w:before="1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16</w:t>
      </w:r>
      <w:r>
        <w:rPr/>
        <w:t>、应付短期债券</w:t>
      </w:r>
    </w:p>
    <w:p>
      <w:pPr>
        <w:spacing w:line="240" w:lineRule="auto" w:before="0"/>
        <w:rPr>
          <w:rFonts w:ascii="宋体" w:hAnsi="宋体" w:cs="宋体" w:eastAsia="宋体" w:hint="default"/>
          <w:sz w:val="15"/>
          <w:szCs w:val="15"/>
        </w:rPr>
      </w:pPr>
    </w:p>
    <w:tbl>
      <w:tblPr>
        <w:tblW w:w="0" w:type="auto"/>
        <w:jc w:val="left"/>
        <w:tblInd w:w="527" w:type="dxa"/>
        <w:tblLayout w:type="fixed"/>
        <w:tblCellMar>
          <w:top w:w="0" w:type="dxa"/>
          <w:left w:w="0" w:type="dxa"/>
          <w:bottom w:w="0" w:type="dxa"/>
          <w:right w:w="0" w:type="dxa"/>
        </w:tblCellMar>
        <w:tblLook w:val="01E0"/>
      </w:tblPr>
      <w:tblGrid>
        <w:gridCol w:w="1303"/>
        <w:gridCol w:w="859"/>
        <w:gridCol w:w="116"/>
        <w:gridCol w:w="1525"/>
        <w:gridCol w:w="107"/>
        <w:gridCol w:w="790"/>
        <w:gridCol w:w="112"/>
        <w:gridCol w:w="1357"/>
        <w:gridCol w:w="106"/>
        <w:gridCol w:w="1379"/>
        <w:gridCol w:w="112"/>
        <w:gridCol w:w="1357"/>
      </w:tblGrid>
      <w:tr>
        <w:trPr>
          <w:trHeight w:val="549" w:hRule="exact"/>
        </w:trPr>
        <w:tc>
          <w:tcPr>
            <w:tcW w:w="1303"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项目</w:t>
            </w:r>
          </w:p>
        </w:tc>
        <w:tc>
          <w:tcPr>
            <w:tcW w:w="859"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11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07"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12"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面值总额</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6" w:space="0" w:color="000000"/>
              <w:right w:val="nil" w:sz="6" w:space="0" w:color="auto"/>
            </w:tcBorders>
          </w:tcPr>
          <w:p>
            <w:pPr>
              <w:pStyle w:val="TableParagraph"/>
              <w:spacing w:line="241" w:lineRule="exact" w:before="44"/>
              <w:ind w:right="1"/>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2"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single" w:sz="6" w:space="0" w:color="000000"/>
              <w:right w:val="nil" w:sz="6" w:space="0" w:color="auto"/>
            </w:tcBorders>
          </w:tcPr>
          <w:p>
            <w:pPr>
              <w:pStyle w:val="TableParagraph"/>
              <w:spacing w:line="241" w:lineRule="exact" w:before="44"/>
              <w:ind w:right="68"/>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1" w:lineRule="exact"/>
              <w:ind w:right="67"/>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80"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年第一期</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Arial" w:hAnsi="Arial" w:cs="Arial" w:eastAsia="Arial" w:hint="default"/>
                <w:sz w:val="18"/>
                <w:szCs w:val="18"/>
              </w:rPr>
              <w:t>365</w:t>
            </w:r>
            <w:r>
              <w:rPr>
                <w:rFonts w:ascii="Arial" w:hAnsi="Arial" w:cs="Arial" w:eastAsia="Arial" w:hint="default"/>
                <w:spacing w:val="-9"/>
                <w:sz w:val="18"/>
                <w:szCs w:val="18"/>
              </w:rPr>
              <w:t> </w:t>
            </w:r>
            <w:r>
              <w:rPr>
                <w:rFonts w:ascii="宋体" w:hAnsi="宋体" w:cs="宋体" w:eastAsia="宋体" w:hint="default"/>
                <w:sz w:val="18"/>
                <w:szCs w:val="18"/>
              </w:rPr>
              <w:t>天</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71" w:right="0"/>
              <w:jc w:val="left"/>
              <w:rPr>
                <w:rFonts w:ascii="Arial" w:hAnsi="Arial" w:cs="Arial" w:eastAsia="Arial" w:hint="default"/>
                <w:sz w:val="18"/>
                <w:szCs w:val="18"/>
              </w:rPr>
            </w:pPr>
            <w:r>
              <w:rPr>
                <w:rFonts w:ascii="Arial"/>
                <w:sz w:val="18"/>
              </w:rPr>
              <w:t>2.64%</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7" w:right="0"/>
              <w:jc w:val="left"/>
              <w:rPr>
                <w:rFonts w:ascii="Arial" w:hAnsi="Arial" w:cs="Arial" w:eastAsia="Arial" w:hint="default"/>
                <w:sz w:val="18"/>
                <w:szCs w:val="18"/>
              </w:rPr>
            </w:pPr>
            <w:r>
              <w:rPr>
                <w:rFonts w:ascii="Arial"/>
                <w:sz w:val="18"/>
              </w:rPr>
              <w:t>15,000,000,000</w:t>
            </w:r>
          </w:p>
        </w:tc>
        <w:tc>
          <w:tcPr>
            <w:tcW w:w="14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w w:val="99"/>
                <w:sz w:val="18"/>
              </w:rPr>
              <w:t>-</w:t>
            </w:r>
            <w:r>
              <w:rPr>
                <w:rFonts w:ascii="Arial"/>
                <w:sz w:val="18"/>
              </w:rPr>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3" w:right="0"/>
              <w:jc w:val="left"/>
              <w:rPr>
                <w:rFonts w:ascii="Arial" w:hAnsi="Arial" w:cs="Arial" w:eastAsia="Arial" w:hint="default"/>
                <w:sz w:val="18"/>
                <w:szCs w:val="18"/>
              </w:rPr>
            </w:pPr>
            <w:r>
              <w:rPr>
                <w:rFonts w:ascii="Arial"/>
                <w:sz w:val="18"/>
              </w:rPr>
              <w:t>15,000,000,000</w:t>
            </w:r>
          </w:p>
        </w:tc>
      </w:tr>
      <w:tr>
        <w:trPr>
          <w:trHeight w:val="233"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09" w:lineRule="exact"/>
              <w:ind w:right="102"/>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年第二期</w:t>
            </w:r>
          </w:p>
        </w:tc>
        <w:tc>
          <w:tcPr>
            <w:tcW w:w="859" w:type="dxa"/>
            <w:tcBorders>
              <w:top w:val="nil" w:sz="6" w:space="0" w:color="auto"/>
              <w:left w:val="nil" w:sz="6" w:space="0" w:color="auto"/>
              <w:bottom w:val="nil" w:sz="6" w:space="0" w:color="auto"/>
              <w:right w:val="nil" w:sz="6" w:space="0" w:color="auto"/>
            </w:tcBorders>
          </w:tcPr>
          <w:p>
            <w:pPr>
              <w:pStyle w:val="TableParagraph"/>
              <w:spacing w:line="209" w:lineRule="exact"/>
              <w:ind w:left="177" w:right="0"/>
              <w:jc w:val="left"/>
              <w:rPr>
                <w:rFonts w:ascii="宋体" w:hAnsi="宋体" w:cs="宋体" w:eastAsia="宋体" w:hint="default"/>
                <w:sz w:val="18"/>
                <w:szCs w:val="18"/>
              </w:rPr>
            </w:pPr>
            <w:r>
              <w:rPr>
                <w:rFonts w:ascii="Arial" w:hAnsi="Arial" w:cs="Arial" w:eastAsia="Arial" w:hint="default"/>
                <w:sz w:val="18"/>
                <w:szCs w:val="18"/>
              </w:rPr>
              <w:t>365</w:t>
            </w:r>
            <w:r>
              <w:rPr>
                <w:rFonts w:ascii="Arial" w:hAnsi="Arial" w:cs="Arial" w:eastAsia="Arial" w:hint="default"/>
                <w:spacing w:val="-9"/>
                <w:sz w:val="18"/>
                <w:szCs w:val="18"/>
              </w:rPr>
              <w:t> </w:t>
            </w:r>
            <w:r>
              <w:rPr>
                <w:rFonts w:ascii="宋体" w:hAnsi="宋体" w:cs="宋体" w:eastAsia="宋体" w:hint="default"/>
                <w:sz w:val="18"/>
                <w:szCs w:val="18"/>
              </w:rPr>
              <w:t>天</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14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71" w:right="0"/>
              <w:jc w:val="left"/>
              <w:rPr>
                <w:rFonts w:ascii="Arial" w:hAnsi="Arial" w:cs="Arial" w:eastAsia="Arial" w:hint="default"/>
                <w:sz w:val="18"/>
                <w:szCs w:val="18"/>
              </w:rPr>
            </w:pPr>
            <w:r>
              <w:rPr>
                <w:rFonts w:ascii="Arial"/>
                <w:sz w:val="18"/>
              </w:rPr>
              <w:t>2.81%</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77" w:right="0"/>
              <w:jc w:val="left"/>
              <w:rPr>
                <w:rFonts w:ascii="Arial" w:hAnsi="Arial" w:cs="Arial" w:eastAsia="Arial" w:hint="default"/>
                <w:sz w:val="18"/>
                <w:szCs w:val="18"/>
              </w:rPr>
            </w:pPr>
            <w:r>
              <w:rPr>
                <w:rFonts w:ascii="Arial"/>
                <w:sz w:val="18"/>
              </w:rPr>
              <w:t>8,000,000,000</w:t>
            </w:r>
          </w:p>
        </w:tc>
        <w:tc>
          <w:tcPr>
            <w:tcW w:w="14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47"/>
              <w:jc w:val="right"/>
              <w:rPr>
                <w:rFonts w:ascii="Arial" w:hAnsi="Arial" w:cs="Arial" w:eastAsia="Arial" w:hint="default"/>
                <w:sz w:val="18"/>
                <w:szCs w:val="18"/>
              </w:rPr>
            </w:pPr>
            <w:r>
              <w:rPr>
                <w:rFonts w:ascii="Arial"/>
                <w:w w:val="99"/>
                <w:sz w:val="18"/>
              </w:rPr>
              <w:t>-</w:t>
            </w:r>
            <w:r>
              <w:rPr>
                <w:rFonts w:ascii="Arial"/>
                <w:sz w:val="18"/>
              </w:rPr>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83" w:right="0"/>
              <w:jc w:val="left"/>
              <w:rPr>
                <w:rFonts w:ascii="Arial" w:hAnsi="Arial" w:cs="Arial" w:eastAsia="Arial" w:hint="default"/>
                <w:sz w:val="18"/>
                <w:szCs w:val="18"/>
              </w:rPr>
            </w:pPr>
            <w:r>
              <w:rPr>
                <w:rFonts w:ascii="Arial"/>
                <w:sz w:val="18"/>
              </w:rPr>
              <w:t>8,000,000,000</w:t>
            </w:r>
          </w:p>
        </w:tc>
      </w:tr>
      <w:tr>
        <w:trPr>
          <w:trHeight w:val="233"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08" w:lineRule="exact"/>
              <w:ind w:right="102"/>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年第一期</w:t>
            </w:r>
          </w:p>
        </w:tc>
        <w:tc>
          <w:tcPr>
            <w:tcW w:w="859" w:type="dxa"/>
            <w:tcBorders>
              <w:top w:val="nil" w:sz="6" w:space="0" w:color="auto"/>
              <w:left w:val="nil" w:sz="6" w:space="0" w:color="auto"/>
              <w:bottom w:val="nil" w:sz="6" w:space="0" w:color="auto"/>
              <w:right w:val="nil" w:sz="6" w:space="0" w:color="auto"/>
            </w:tcBorders>
          </w:tcPr>
          <w:p>
            <w:pPr>
              <w:pStyle w:val="TableParagraph"/>
              <w:spacing w:line="208" w:lineRule="exact"/>
              <w:ind w:left="177" w:right="0"/>
              <w:jc w:val="left"/>
              <w:rPr>
                <w:rFonts w:ascii="宋体" w:hAnsi="宋体" w:cs="宋体" w:eastAsia="宋体" w:hint="default"/>
                <w:sz w:val="18"/>
                <w:szCs w:val="18"/>
              </w:rPr>
            </w:pPr>
            <w:r>
              <w:rPr>
                <w:rFonts w:ascii="Arial" w:hAnsi="Arial" w:cs="Arial" w:eastAsia="Arial" w:hint="default"/>
                <w:sz w:val="18"/>
                <w:szCs w:val="18"/>
              </w:rPr>
              <w:t>365</w:t>
            </w:r>
            <w:r>
              <w:rPr>
                <w:rFonts w:ascii="Arial" w:hAnsi="Arial" w:cs="Arial" w:eastAsia="Arial" w:hint="default"/>
                <w:spacing w:val="-9"/>
                <w:sz w:val="18"/>
                <w:szCs w:val="18"/>
              </w:rPr>
              <w:t> </w:t>
            </w:r>
            <w:r>
              <w:rPr>
                <w:rFonts w:ascii="宋体" w:hAnsi="宋体" w:cs="宋体" w:eastAsia="宋体" w:hint="default"/>
                <w:sz w:val="18"/>
                <w:szCs w:val="18"/>
              </w:rPr>
              <w:t>天</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140"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271" w:right="0"/>
              <w:jc w:val="left"/>
              <w:rPr>
                <w:rFonts w:ascii="Arial" w:hAnsi="Arial" w:cs="Arial" w:eastAsia="Arial" w:hint="default"/>
                <w:sz w:val="18"/>
                <w:szCs w:val="18"/>
              </w:rPr>
            </w:pPr>
            <w:r>
              <w:rPr>
                <w:rFonts w:ascii="Arial"/>
                <w:sz w:val="18"/>
              </w:rPr>
              <w:t>5.23%</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177" w:right="0"/>
              <w:jc w:val="left"/>
              <w:rPr>
                <w:rFonts w:ascii="Arial" w:hAnsi="Arial" w:cs="Arial" w:eastAsia="Arial" w:hint="default"/>
                <w:sz w:val="18"/>
                <w:szCs w:val="18"/>
              </w:rPr>
            </w:pPr>
            <w:r>
              <w:rPr>
                <w:rFonts w:ascii="Arial"/>
                <w:sz w:val="18"/>
              </w:rPr>
              <w:t>15,000,000,000</w:t>
            </w:r>
          </w:p>
        </w:tc>
        <w:tc>
          <w:tcPr>
            <w:tcW w:w="14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184" w:right="0"/>
              <w:jc w:val="left"/>
              <w:rPr>
                <w:rFonts w:ascii="Arial" w:hAnsi="Arial" w:cs="Arial" w:eastAsia="Arial" w:hint="default"/>
                <w:sz w:val="18"/>
                <w:szCs w:val="18"/>
              </w:rPr>
            </w:pPr>
            <w:r>
              <w:rPr>
                <w:rFonts w:ascii="Arial"/>
                <w:sz w:val="18"/>
              </w:rPr>
              <w:t>15,000,000,000</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60"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年第二期</w:t>
            </w:r>
          </w:p>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年第五期</w:t>
            </w:r>
          </w:p>
        </w:tc>
        <w:tc>
          <w:tcPr>
            <w:tcW w:w="859" w:type="dxa"/>
            <w:tcBorders>
              <w:top w:val="nil" w:sz="6" w:space="0" w:color="auto"/>
              <w:left w:val="nil" w:sz="6" w:space="0" w:color="auto"/>
              <w:bottom w:val="nil" w:sz="6" w:space="0" w:color="auto"/>
              <w:right w:val="nil" w:sz="6" w:space="0" w:color="auto"/>
            </w:tcBorders>
          </w:tcPr>
          <w:p>
            <w:pPr>
              <w:pStyle w:val="TableParagraph"/>
              <w:spacing w:line="209" w:lineRule="exact"/>
              <w:ind w:left="177" w:right="0"/>
              <w:jc w:val="left"/>
              <w:rPr>
                <w:rFonts w:ascii="宋体" w:hAnsi="宋体" w:cs="宋体" w:eastAsia="宋体" w:hint="default"/>
                <w:sz w:val="18"/>
                <w:szCs w:val="18"/>
              </w:rPr>
            </w:pPr>
            <w:r>
              <w:rPr>
                <w:rFonts w:ascii="Arial" w:hAnsi="Arial" w:cs="Arial" w:eastAsia="Arial" w:hint="default"/>
                <w:sz w:val="18"/>
                <w:szCs w:val="18"/>
              </w:rPr>
              <w:t>365</w:t>
            </w:r>
            <w:r>
              <w:rPr>
                <w:rFonts w:ascii="Arial" w:hAnsi="Arial" w:cs="Arial" w:eastAsia="Arial" w:hint="default"/>
                <w:spacing w:val="-9"/>
                <w:sz w:val="18"/>
                <w:szCs w:val="18"/>
              </w:rPr>
              <w:t> </w:t>
            </w:r>
            <w:r>
              <w:rPr>
                <w:rFonts w:ascii="宋体" w:hAnsi="宋体" w:cs="宋体" w:eastAsia="宋体" w:hint="default"/>
                <w:sz w:val="18"/>
                <w:szCs w:val="18"/>
              </w:rPr>
              <w:t>天</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140" w:right="-2"/>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10</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20</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71" w:right="0"/>
              <w:jc w:val="left"/>
              <w:rPr>
                <w:rFonts w:ascii="Arial" w:hAnsi="Arial" w:cs="Arial" w:eastAsia="Arial" w:hint="default"/>
                <w:sz w:val="18"/>
                <w:szCs w:val="18"/>
              </w:rPr>
            </w:pPr>
            <w:r>
              <w:rPr>
                <w:rFonts w:ascii="Arial"/>
                <w:sz w:val="18"/>
              </w:rPr>
              <w:t>5.78%</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77" w:right="0"/>
              <w:jc w:val="left"/>
              <w:rPr>
                <w:rFonts w:ascii="Arial" w:hAnsi="Arial" w:cs="Arial" w:eastAsia="Arial" w:hint="default"/>
                <w:sz w:val="18"/>
                <w:szCs w:val="18"/>
              </w:rPr>
            </w:pPr>
            <w:r>
              <w:rPr>
                <w:rFonts w:ascii="Arial"/>
                <w:sz w:val="18"/>
              </w:rPr>
              <w:t>8,000,000,000</w:t>
            </w:r>
          </w:p>
        </w:tc>
        <w:tc>
          <w:tcPr>
            <w:tcW w:w="14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84" w:right="0"/>
              <w:jc w:val="left"/>
              <w:rPr>
                <w:rFonts w:ascii="Arial" w:hAnsi="Arial" w:cs="Arial" w:eastAsia="Arial" w:hint="default"/>
                <w:sz w:val="18"/>
                <w:szCs w:val="18"/>
              </w:rPr>
            </w:pPr>
            <w:r>
              <w:rPr>
                <w:rFonts w:ascii="Arial"/>
                <w:sz w:val="18"/>
              </w:rPr>
              <w:t>8,000,000,000</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25"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超短期融资券</w:t>
            </w:r>
          </w:p>
        </w:tc>
        <w:tc>
          <w:tcPr>
            <w:tcW w:w="859" w:type="dxa"/>
            <w:tcBorders>
              <w:top w:val="nil" w:sz="6" w:space="0" w:color="auto"/>
              <w:left w:val="nil" w:sz="6" w:space="0" w:color="auto"/>
              <w:bottom w:val="nil" w:sz="6" w:space="0" w:color="auto"/>
              <w:right w:val="nil" w:sz="6" w:space="0" w:color="auto"/>
            </w:tcBorders>
          </w:tcPr>
          <w:p>
            <w:pPr>
              <w:pStyle w:val="TableParagraph"/>
              <w:spacing w:line="215" w:lineRule="exact"/>
              <w:ind w:left="177" w:right="0"/>
              <w:jc w:val="left"/>
              <w:rPr>
                <w:rFonts w:ascii="宋体" w:hAnsi="宋体" w:cs="宋体" w:eastAsia="宋体" w:hint="default"/>
                <w:sz w:val="18"/>
                <w:szCs w:val="18"/>
              </w:rPr>
            </w:pPr>
            <w:r>
              <w:rPr>
                <w:rFonts w:ascii="Arial" w:hAnsi="Arial" w:cs="Arial" w:eastAsia="Arial" w:hint="default"/>
                <w:sz w:val="18"/>
                <w:szCs w:val="18"/>
              </w:rPr>
              <w:t>180</w:t>
            </w:r>
            <w:r>
              <w:rPr>
                <w:rFonts w:ascii="Arial" w:hAnsi="Arial" w:cs="Arial" w:eastAsia="Arial" w:hint="default"/>
                <w:spacing w:val="-9"/>
                <w:sz w:val="18"/>
                <w:szCs w:val="18"/>
              </w:rPr>
              <w:t> </w:t>
            </w:r>
            <w:r>
              <w:rPr>
                <w:rFonts w:ascii="宋体" w:hAnsi="宋体" w:cs="宋体" w:eastAsia="宋体" w:hint="default"/>
                <w:sz w:val="18"/>
                <w:szCs w:val="18"/>
              </w:rPr>
              <w:t>天</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140" w:right="-2"/>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11</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21</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71" w:right="0"/>
              <w:jc w:val="left"/>
              <w:rPr>
                <w:rFonts w:ascii="Arial" w:hAnsi="Arial" w:cs="Arial" w:eastAsia="Arial" w:hint="default"/>
                <w:sz w:val="18"/>
                <w:szCs w:val="18"/>
              </w:rPr>
            </w:pPr>
            <w:r>
              <w:rPr>
                <w:rFonts w:ascii="Arial"/>
                <w:sz w:val="18"/>
              </w:rPr>
              <w:t>4.65%</w:t>
            </w:r>
          </w:p>
        </w:tc>
        <w:tc>
          <w:tcPr>
            <w:tcW w:w="1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77" w:right="0"/>
              <w:jc w:val="left"/>
              <w:rPr>
                <w:rFonts w:ascii="Arial" w:hAnsi="Arial" w:cs="Arial" w:eastAsia="Arial" w:hint="default"/>
                <w:sz w:val="18"/>
                <w:szCs w:val="18"/>
              </w:rPr>
            </w:pPr>
            <w:r>
              <w:rPr>
                <w:rFonts w:ascii="Arial"/>
                <w:sz w:val="18"/>
              </w:rPr>
              <w:t>15,000,000,000</w:t>
            </w:r>
          </w:p>
        </w:tc>
        <w:tc>
          <w:tcPr>
            <w:tcW w:w="1484" w:type="dxa"/>
            <w:gridSpan w:val="2"/>
            <w:tcBorders>
              <w:top w:val="nil" w:sz="6" w:space="0" w:color="auto"/>
              <w:left w:val="nil" w:sz="6" w:space="0" w:color="auto"/>
              <w:bottom w:val="nil" w:sz="6" w:space="0" w:color="auto"/>
              <w:right w:val="nil" w:sz="6" w:space="0" w:color="auto"/>
            </w:tcBorders>
          </w:tcPr>
          <w:p>
            <w:pPr>
              <w:pStyle w:val="TableParagraph"/>
              <w:tabs>
                <w:tab w:pos="1484" w:val="left" w:leader="none"/>
              </w:tabs>
              <w:spacing w:line="240" w:lineRule="auto" w:before="21"/>
              <w:ind w:left="10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21"/>
                <w:sz w:val="18"/>
                <w:u w:val="single" w:color="000000"/>
              </w:rPr>
              <w:t> </w:t>
            </w:r>
            <w:r>
              <w:rPr>
                <w:rFonts w:ascii="Arial"/>
                <w:sz w:val="18"/>
                <w:u w:val="single" w:color="000000"/>
              </w:rPr>
              <w:t>15,000,000,000</w:t>
              <w:tab/>
            </w:r>
            <w:r>
              <w:rPr>
                <w:rFonts w:ascii="Arial"/>
                <w:sz w:val="18"/>
              </w:rPr>
            </w:r>
          </w:p>
        </w:tc>
        <w:tc>
          <w:tcPr>
            <w:tcW w:w="1469" w:type="dxa"/>
            <w:gridSpan w:val="2"/>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21"/>
              <w:ind w:left="11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bl>
    <w:p>
      <w:pPr>
        <w:tabs>
          <w:tab w:pos="6881" w:val="left" w:leader="none"/>
          <w:tab w:pos="8364" w:val="left" w:leader="none"/>
        </w:tabs>
        <w:spacing w:before="100"/>
        <w:ind w:left="546" w:right="0"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38,000,000,000</w:t>
        <w:tab/>
        <w:t>23,000,000,000</w:t>
      </w:r>
    </w:p>
    <w:p>
      <w:pPr>
        <w:spacing w:line="43" w:lineRule="exact"/>
        <w:ind w:left="6780" w:right="0" w:firstLine="0"/>
        <w:rPr>
          <w:rFonts w:ascii="Arial" w:hAnsi="Arial" w:cs="Arial" w:eastAsia="Arial" w:hint="default"/>
          <w:sz w:val="4"/>
          <w:szCs w:val="4"/>
        </w:rPr>
      </w:pPr>
      <w:r>
        <w:rPr>
          <w:rFonts w:ascii="Arial"/>
          <w:position w:val="0"/>
          <w:sz w:val="4"/>
        </w:rPr>
        <w:pict>
          <v:group style="width:70.4pt;height:2.2pt;mso-position-horizontal-relative:char;mso-position-vertical-relative:line" coordorigin="0,0" coordsize="1408,44">
            <v:group style="position:absolute;left:7;top:36;width:1394;height:2" coordorigin="7,36" coordsize="1394,2">
              <v:shape style="position:absolute;left:7;top:36;width:1394;height:2" coordorigin="7,36" coordsize="1394,0" path="m7,36l1400,36e" filled="false" stroked="true" strokeweight=".72pt" strokecolor="#000000">
                <v:path arrowok="t"/>
              </v:shape>
            </v:group>
            <v:group style="position:absolute;left:7;top:7;width:1394;height:2" coordorigin="7,7" coordsize="1394,2">
              <v:shape style="position:absolute;left:7;top:7;width:1394;height:2" coordorigin="7,7" coordsize="1394,0" path="m7,7l1400,7e" filled="false" stroked="true" strokeweight=".72pt" strokecolor="#000000">
                <v:path arrowok="t"/>
              </v:shape>
            </v:group>
          </v:group>
        </w:pict>
      </w:r>
      <w:r>
        <w:rPr>
          <w:rFonts w:ascii="Arial"/>
          <w:position w:val="0"/>
          <w:sz w:val="4"/>
        </w:rPr>
      </w:r>
      <w:r>
        <w:rPr>
          <w:rFonts w:ascii="Times New Roman"/>
          <w:spacing w:val="67"/>
          <w:position w:val="0"/>
          <w:sz w:val="4"/>
        </w:rPr>
        <w:t> </w:t>
      </w:r>
      <w:r>
        <w:rPr>
          <w:rFonts w:ascii="Arial"/>
          <w:spacing w:val="67"/>
          <w:position w:val="0"/>
          <w:sz w:val="4"/>
        </w:rPr>
        <w:pict>
          <v:group style="width:68.95pt;height:2.2pt;mso-position-horizontal-relative:char;mso-position-vertical-relative:line" coordorigin="0,0" coordsize="1379,44">
            <v:group style="position:absolute;left:7;top:36;width:1365;height:2" coordorigin="7,36" coordsize="1365,2">
              <v:shape style="position:absolute;left:7;top:36;width:1365;height:2" coordorigin="7,36" coordsize="1365,0" path="m7,36l1372,36e" filled="false" stroked="true" strokeweight=".72pt" strokecolor="#000000">
                <v:path arrowok="t"/>
              </v:shape>
            </v:group>
            <v:group style="position:absolute;left:7;top:7;width:1365;height:2" coordorigin="7,7" coordsize="1365,2">
              <v:shape style="position:absolute;left:7;top:7;width:1365;height:2" coordorigin="7,7" coordsize="1365,0" path="m7,7l1372,7e" filled="false" stroked="true" strokeweight=".72pt" strokecolor="#000000">
                <v:path arrowok="t"/>
              </v:shape>
            </v:group>
          </v:group>
        </w:pict>
      </w:r>
      <w:r>
        <w:rPr>
          <w:rFonts w:ascii="Arial"/>
          <w:spacing w:val="67"/>
          <w:position w:val="0"/>
          <w:sz w:val="4"/>
        </w:rPr>
      </w:r>
    </w:p>
    <w:p>
      <w:pPr>
        <w:spacing w:line="240" w:lineRule="auto" w:before="5"/>
        <w:rPr>
          <w:rFonts w:ascii="Arial" w:hAnsi="Arial" w:cs="Arial" w:eastAsia="Arial" w:hint="default"/>
          <w:sz w:val="16"/>
          <w:szCs w:val="16"/>
        </w:rPr>
      </w:pPr>
    </w:p>
    <w:p>
      <w:pPr>
        <w:pStyle w:val="BodyText"/>
        <w:spacing w:line="240" w:lineRule="auto" w:before="31"/>
        <w:ind w:left="550" w:right="0"/>
        <w:jc w:val="left"/>
      </w:pPr>
      <w:r>
        <w:rPr/>
        <w:t>短期债券之应计利息分析如下：</w:t>
      </w:r>
    </w:p>
    <w:p>
      <w:pPr>
        <w:spacing w:line="240" w:lineRule="auto" w:before="7"/>
        <w:rPr>
          <w:rFonts w:ascii="宋体" w:hAnsi="宋体" w:cs="宋体" w:eastAsia="宋体" w:hint="default"/>
          <w:sz w:val="20"/>
          <w:szCs w:val="20"/>
        </w:rPr>
      </w:pPr>
    </w:p>
    <w:p>
      <w:pPr>
        <w:spacing w:before="44"/>
        <w:ind w:left="5364" w:right="0" w:firstLine="0"/>
        <w:jc w:val="left"/>
        <w:rPr>
          <w:rFonts w:ascii="宋体" w:hAnsi="宋体" w:cs="宋体" w:eastAsia="宋体" w:hint="default"/>
          <w:sz w:val="18"/>
          <w:szCs w:val="18"/>
        </w:rPr>
      </w:pPr>
      <w:r>
        <w:rPr>
          <w:rFonts w:ascii="宋体" w:hAnsi="宋体" w:cs="宋体" w:eastAsia="宋体" w:hint="default"/>
          <w:sz w:val="18"/>
          <w:szCs w:val="18"/>
        </w:rPr>
        <w:t>应计利息（附注五</w:t>
      </w:r>
      <w:r>
        <w:rPr>
          <w:rFonts w:ascii="Arial" w:hAnsi="Arial" w:cs="Arial" w:eastAsia="Arial" w:hint="default"/>
          <w:sz w:val="18"/>
          <w:szCs w:val="18"/>
        </w:rPr>
        <w:t>(22)</w:t>
      </w:r>
      <w:r>
        <w:rPr>
          <w:rFonts w:ascii="宋体" w:hAnsi="宋体" w:cs="宋体" w:eastAsia="宋体" w:hint="default"/>
          <w:sz w:val="18"/>
          <w:szCs w:val="18"/>
        </w:rPr>
        <w:t>）</w:t>
      </w:r>
    </w:p>
    <w:tbl>
      <w:tblPr>
        <w:tblW w:w="0" w:type="auto"/>
        <w:jc w:val="left"/>
        <w:tblInd w:w="572" w:type="dxa"/>
        <w:tblLayout w:type="fixed"/>
        <w:tblCellMar>
          <w:top w:w="0" w:type="dxa"/>
          <w:left w:w="0" w:type="dxa"/>
          <w:bottom w:w="0" w:type="dxa"/>
          <w:right w:w="0" w:type="dxa"/>
        </w:tblCellMar>
        <w:tblLook w:val="01E0"/>
      </w:tblPr>
      <w:tblGrid>
        <w:gridCol w:w="2878"/>
        <w:gridCol w:w="1710"/>
        <w:gridCol w:w="1350"/>
        <w:gridCol w:w="1332"/>
        <w:gridCol w:w="1792"/>
      </w:tblGrid>
      <w:tr>
        <w:trPr>
          <w:trHeight w:val="306" w:hRule="exact"/>
        </w:trPr>
        <w:tc>
          <w:tcPr>
            <w:tcW w:w="2878" w:type="dxa"/>
            <w:tcBorders>
              <w:top w:val="nil" w:sz="6" w:space="0" w:color="auto"/>
              <w:left w:val="nil" w:sz="6" w:space="0" w:color="auto"/>
              <w:bottom w:val="nil" w:sz="6" w:space="0" w:color="auto"/>
              <w:right w:val="nil" w:sz="6" w:space="0" w:color="auto"/>
            </w:tcBorders>
          </w:tcPr>
          <w:p>
            <w:pPr/>
          </w:p>
        </w:tc>
        <w:tc>
          <w:tcPr>
            <w:tcW w:w="1710" w:type="dxa"/>
            <w:tcBorders>
              <w:top w:val="single" w:sz="6" w:space="0" w:color="000000"/>
              <w:left w:val="nil" w:sz="6" w:space="0" w:color="auto"/>
              <w:bottom w:val="single" w:sz="6" w:space="0" w:color="000000"/>
              <w:right w:val="nil" w:sz="6" w:space="0" w:color="auto"/>
            </w:tcBorders>
          </w:tcPr>
          <w:p>
            <w:pPr>
              <w:pStyle w:val="TableParagraph"/>
              <w:spacing w:line="240" w:lineRule="auto" w:before="27"/>
              <w:ind w:right="144"/>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50" w:type="dxa"/>
            <w:tcBorders>
              <w:top w:val="single" w:sz="6" w:space="0" w:color="000000"/>
              <w:left w:val="nil" w:sz="6" w:space="0" w:color="auto"/>
              <w:bottom w:val="single" w:sz="6" w:space="0" w:color="000000"/>
              <w:right w:val="nil" w:sz="6" w:space="0" w:color="auto"/>
            </w:tcBorders>
          </w:tcPr>
          <w:p>
            <w:pPr>
              <w:pStyle w:val="TableParagraph"/>
              <w:spacing w:line="240" w:lineRule="auto" w:before="27"/>
              <w:ind w:right="97"/>
              <w:jc w:val="right"/>
              <w:rPr>
                <w:rFonts w:ascii="宋体" w:hAnsi="宋体" w:cs="宋体" w:eastAsia="宋体" w:hint="default"/>
                <w:sz w:val="18"/>
                <w:szCs w:val="18"/>
              </w:rPr>
            </w:pPr>
            <w:r>
              <w:rPr>
                <w:rFonts w:ascii="宋体" w:hAnsi="宋体" w:cs="宋体" w:eastAsia="宋体" w:hint="default"/>
                <w:sz w:val="18"/>
                <w:szCs w:val="18"/>
              </w:rPr>
              <w:t>本年应计利息</w:t>
            </w:r>
          </w:p>
        </w:tc>
        <w:tc>
          <w:tcPr>
            <w:tcW w:w="1332" w:type="dxa"/>
            <w:tcBorders>
              <w:top w:val="single" w:sz="6" w:space="0" w:color="000000"/>
              <w:left w:val="nil" w:sz="6" w:space="0" w:color="auto"/>
              <w:bottom w:val="single" w:sz="6" w:space="0" w:color="000000"/>
              <w:right w:val="nil" w:sz="6" w:space="0" w:color="auto"/>
            </w:tcBorders>
          </w:tcPr>
          <w:p>
            <w:pPr>
              <w:pStyle w:val="TableParagraph"/>
              <w:spacing w:line="240" w:lineRule="auto" w:before="27"/>
              <w:ind w:left="125" w:right="0"/>
              <w:jc w:val="left"/>
              <w:rPr>
                <w:rFonts w:ascii="宋体" w:hAnsi="宋体" w:cs="宋体" w:eastAsia="宋体" w:hint="default"/>
                <w:sz w:val="18"/>
                <w:szCs w:val="18"/>
              </w:rPr>
            </w:pPr>
            <w:r>
              <w:rPr>
                <w:rFonts w:ascii="宋体" w:hAnsi="宋体" w:cs="宋体" w:eastAsia="宋体" w:hint="default"/>
                <w:sz w:val="18"/>
                <w:szCs w:val="18"/>
              </w:rPr>
              <w:t>本年已付利息</w:t>
            </w:r>
          </w:p>
        </w:tc>
        <w:tc>
          <w:tcPr>
            <w:tcW w:w="1792" w:type="dxa"/>
            <w:tcBorders>
              <w:top w:val="single" w:sz="6" w:space="0" w:color="000000"/>
              <w:left w:val="nil" w:sz="6" w:space="0" w:color="auto"/>
              <w:bottom w:val="single" w:sz="6" w:space="0" w:color="000000"/>
              <w:right w:val="nil" w:sz="6" w:space="0" w:color="auto"/>
            </w:tcBorders>
          </w:tcPr>
          <w:p>
            <w:pPr>
              <w:pStyle w:val="TableParagraph"/>
              <w:spacing w:line="240" w:lineRule="auto" w:before="27"/>
              <w:ind w:right="62"/>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25"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年第一期</w:t>
            </w:r>
          </w:p>
        </w:tc>
        <w:tc>
          <w:tcPr>
            <w:tcW w:w="171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51"/>
              <w:jc w:val="right"/>
              <w:rPr>
                <w:rFonts w:ascii="Arial" w:hAnsi="Arial" w:cs="Arial" w:eastAsia="Arial" w:hint="default"/>
                <w:sz w:val="18"/>
                <w:szCs w:val="18"/>
              </w:rPr>
            </w:pPr>
            <w:r>
              <w:rPr>
                <w:rFonts w:ascii="Arial"/>
                <w:spacing w:val="-1"/>
                <w:sz w:val="18"/>
              </w:rPr>
              <w:t>298,356,165</w:t>
            </w:r>
          </w:p>
        </w:tc>
        <w:tc>
          <w:tcPr>
            <w:tcW w:w="135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07"/>
              <w:jc w:val="right"/>
              <w:rPr>
                <w:rFonts w:ascii="Arial" w:hAnsi="Arial" w:cs="Arial" w:eastAsia="Arial" w:hint="default"/>
                <w:sz w:val="18"/>
                <w:szCs w:val="18"/>
              </w:rPr>
            </w:pPr>
            <w:r>
              <w:rPr>
                <w:rFonts w:ascii="Arial"/>
                <w:spacing w:val="-1"/>
                <w:sz w:val="18"/>
              </w:rPr>
              <w:t>97,643,835</w:t>
            </w:r>
          </w:p>
        </w:tc>
        <w:tc>
          <w:tcPr>
            <w:tcW w:w="133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53"/>
              <w:jc w:val="right"/>
              <w:rPr>
                <w:rFonts w:ascii="Arial" w:hAnsi="Arial" w:cs="Arial" w:eastAsia="Arial" w:hint="default"/>
                <w:sz w:val="18"/>
                <w:szCs w:val="18"/>
              </w:rPr>
            </w:pPr>
            <w:r>
              <w:rPr>
                <w:rFonts w:ascii="Arial"/>
                <w:spacing w:val="-1"/>
                <w:sz w:val="18"/>
              </w:rPr>
              <w:t>(396,000,000)</w:t>
            </w:r>
            <w:r>
              <w:rPr>
                <w:rFonts w:ascii="Arial"/>
                <w:sz w:val="18"/>
              </w:rPr>
            </w:r>
          </w:p>
        </w:tc>
        <w:tc>
          <w:tcPr>
            <w:tcW w:w="179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7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年第二期</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1"/>
              <w:jc w:val="right"/>
              <w:rPr>
                <w:rFonts w:ascii="Arial" w:hAnsi="Arial" w:cs="Arial" w:eastAsia="Arial" w:hint="default"/>
                <w:sz w:val="18"/>
                <w:szCs w:val="18"/>
              </w:rPr>
            </w:pPr>
            <w:r>
              <w:rPr>
                <w:rFonts w:ascii="Arial"/>
                <w:spacing w:val="-1"/>
                <w:sz w:val="18"/>
              </w:rPr>
              <w:t>63,436,712</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Arial" w:hAnsi="Arial" w:cs="Arial" w:eastAsia="Arial" w:hint="default"/>
                <w:sz w:val="18"/>
                <w:szCs w:val="18"/>
              </w:rPr>
            </w:pPr>
            <w:r>
              <w:rPr>
                <w:rFonts w:ascii="Arial"/>
                <w:spacing w:val="-1"/>
                <w:sz w:val="18"/>
              </w:rPr>
              <w:t>161,363,288</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3"/>
              <w:jc w:val="right"/>
              <w:rPr>
                <w:rFonts w:ascii="Arial" w:hAnsi="Arial" w:cs="Arial" w:eastAsia="Arial" w:hint="default"/>
                <w:sz w:val="18"/>
                <w:szCs w:val="18"/>
              </w:rPr>
            </w:pPr>
            <w:r>
              <w:rPr>
                <w:rFonts w:ascii="Arial"/>
                <w:spacing w:val="-1"/>
                <w:sz w:val="18"/>
              </w:rPr>
              <w:t>(224,800,000)</w:t>
            </w:r>
            <w:r>
              <w:rPr>
                <w:rFonts w:ascii="Arial"/>
                <w:sz w:val="18"/>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年第一期</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Arial" w:hAnsi="Arial" w:cs="Arial" w:eastAsia="Arial" w:hint="default"/>
                <w:sz w:val="18"/>
                <w:szCs w:val="18"/>
              </w:rPr>
            </w:pPr>
            <w:r>
              <w:rPr>
                <w:rFonts w:ascii="Arial"/>
                <w:spacing w:val="-1"/>
                <w:sz w:val="18"/>
              </w:rPr>
              <w:t>276,504,098</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7"/>
              <w:jc w:val="right"/>
              <w:rPr>
                <w:rFonts w:ascii="Arial" w:hAnsi="Arial" w:cs="Arial" w:eastAsia="Arial" w:hint="default"/>
                <w:sz w:val="18"/>
                <w:szCs w:val="18"/>
              </w:rPr>
            </w:pPr>
            <w:r>
              <w:rPr>
                <w:rFonts w:ascii="Arial"/>
                <w:w w:val="99"/>
                <w:sz w:val="18"/>
              </w:rPr>
              <w:t>-</w:t>
            </w:r>
            <w:r>
              <w:rPr>
                <w:rFonts w:ascii="Arial"/>
                <w:sz w:val="18"/>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0"/>
              <w:jc w:val="right"/>
              <w:rPr>
                <w:rFonts w:ascii="Arial" w:hAnsi="Arial" w:cs="Arial" w:eastAsia="Arial" w:hint="default"/>
                <w:sz w:val="18"/>
                <w:szCs w:val="18"/>
              </w:rPr>
            </w:pPr>
            <w:r>
              <w:rPr>
                <w:rFonts w:ascii="Arial"/>
                <w:spacing w:val="-1"/>
                <w:sz w:val="18"/>
              </w:rPr>
              <w:t>276,504,098</w:t>
            </w:r>
          </w:p>
        </w:tc>
      </w:tr>
      <w:tr>
        <w:trPr>
          <w:trHeight w:val="29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年第二期</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Arial" w:hAnsi="Arial" w:cs="Arial" w:eastAsia="Arial" w:hint="default"/>
                <w:sz w:val="18"/>
                <w:szCs w:val="18"/>
              </w:rPr>
            </w:pPr>
            <w:r>
              <w:rPr>
                <w:rFonts w:ascii="Arial"/>
                <w:spacing w:val="-1"/>
                <w:sz w:val="18"/>
              </w:rPr>
              <w:t>92,227,322</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8"/>
              <w:jc w:val="right"/>
              <w:rPr>
                <w:rFonts w:ascii="Arial" w:hAnsi="Arial" w:cs="Arial" w:eastAsia="Arial" w:hint="default"/>
                <w:sz w:val="18"/>
                <w:szCs w:val="18"/>
              </w:rPr>
            </w:pPr>
            <w:r>
              <w:rPr>
                <w:rFonts w:ascii="Arial"/>
                <w:w w:val="99"/>
                <w:sz w:val="18"/>
              </w:rPr>
              <w:t>-</w:t>
            </w:r>
            <w:r>
              <w:rPr>
                <w:rFonts w:ascii="Arial"/>
                <w:sz w:val="18"/>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0"/>
              <w:jc w:val="right"/>
              <w:rPr>
                <w:rFonts w:ascii="Arial" w:hAnsi="Arial" w:cs="Arial" w:eastAsia="Arial" w:hint="default"/>
                <w:sz w:val="18"/>
                <w:szCs w:val="18"/>
              </w:rPr>
            </w:pPr>
            <w:r>
              <w:rPr>
                <w:rFonts w:ascii="Arial"/>
                <w:spacing w:val="-1"/>
                <w:sz w:val="18"/>
              </w:rPr>
              <w:t>92,227,322</w:t>
            </w:r>
          </w:p>
        </w:tc>
      </w:tr>
      <w:tr>
        <w:trPr>
          <w:trHeight w:val="29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年第一期超短期融资券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Arial" w:hAnsi="Arial" w:cs="Arial" w:eastAsia="Arial" w:hint="default"/>
                <w:sz w:val="18"/>
                <w:szCs w:val="18"/>
              </w:rPr>
            </w:pPr>
            <w:r>
              <w:rPr>
                <w:rFonts w:ascii="Arial"/>
                <w:spacing w:val="-1"/>
                <w:sz w:val="18"/>
              </w:rPr>
              <w:t>152,655,738</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3"/>
              <w:jc w:val="right"/>
              <w:rPr>
                <w:rFonts w:ascii="Arial" w:hAnsi="Arial" w:cs="Arial" w:eastAsia="Arial" w:hint="default"/>
                <w:sz w:val="18"/>
                <w:szCs w:val="18"/>
              </w:rPr>
            </w:pPr>
            <w:r>
              <w:rPr>
                <w:rFonts w:ascii="Arial"/>
                <w:spacing w:val="-1"/>
                <w:sz w:val="18"/>
              </w:rPr>
              <w:t>(152,655,738)</w:t>
            </w:r>
            <w:r>
              <w:rPr>
                <w:rFonts w:ascii="Arial"/>
                <w:sz w:val="18"/>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年第二期超短期融资券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Arial" w:hAnsi="Arial" w:cs="Arial" w:eastAsia="Arial" w:hint="default"/>
                <w:sz w:val="18"/>
                <w:szCs w:val="18"/>
              </w:rPr>
            </w:pPr>
            <w:r>
              <w:rPr>
                <w:rFonts w:ascii="Arial"/>
                <w:spacing w:val="-1"/>
                <w:sz w:val="18"/>
              </w:rPr>
              <w:t>152,655,738</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3"/>
              <w:jc w:val="right"/>
              <w:rPr>
                <w:rFonts w:ascii="Arial" w:hAnsi="Arial" w:cs="Arial" w:eastAsia="Arial" w:hint="default"/>
                <w:sz w:val="18"/>
                <w:szCs w:val="18"/>
              </w:rPr>
            </w:pPr>
            <w:r>
              <w:rPr>
                <w:rFonts w:ascii="Arial"/>
                <w:spacing w:val="-1"/>
                <w:sz w:val="18"/>
              </w:rPr>
              <w:t>(152,655,738)</w:t>
            </w:r>
            <w:r>
              <w:rPr>
                <w:rFonts w:ascii="Arial"/>
                <w:sz w:val="18"/>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年第三期超短期融资券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Arial" w:hAnsi="Arial" w:cs="Arial" w:eastAsia="Arial" w:hint="default"/>
                <w:sz w:val="18"/>
                <w:szCs w:val="18"/>
              </w:rPr>
            </w:pPr>
            <w:r>
              <w:rPr>
                <w:rFonts w:ascii="Arial"/>
                <w:spacing w:val="-1"/>
                <w:sz w:val="18"/>
              </w:rPr>
              <w:t>17,540,984</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4"/>
              <w:jc w:val="right"/>
              <w:rPr>
                <w:rFonts w:ascii="Arial" w:hAnsi="Arial" w:cs="Arial" w:eastAsia="Arial" w:hint="default"/>
                <w:sz w:val="18"/>
                <w:szCs w:val="18"/>
              </w:rPr>
            </w:pPr>
            <w:r>
              <w:rPr>
                <w:rFonts w:ascii="Arial"/>
                <w:spacing w:val="-1"/>
                <w:sz w:val="18"/>
              </w:rPr>
              <w:t>(17,540,984)</w:t>
            </w:r>
            <w:r>
              <w:rPr>
                <w:rFonts w:ascii="Arial"/>
                <w:sz w:val="18"/>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0"/>
              <w:jc w:val="right"/>
              <w:rPr>
                <w:rFonts w:ascii="Arial" w:hAnsi="Arial" w:cs="Arial" w:eastAsia="Arial" w:hint="default"/>
                <w:sz w:val="18"/>
                <w:szCs w:val="18"/>
              </w:rPr>
            </w:pPr>
            <w:r>
              <w:rPr>
                <w:rFonts w:ascii="Arial"/>
                <w:w w:val="99"/>
                <w:sz w:val="18"/>
              </w:rPr>
              <w:t>-</w:t>
            </w:r>
            <w:r>
              <w:rPr>
                <w:rFonts w:ascii="Arial"/>
                <w:sz w:val="18"/>
              </w:rPr>
            </w:r>
          </w:p>
        </w:tc>
      </w:tr>
      <w:tr>
        <w:trPr>
          <w:trHeight w:val="294"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年第四期超短期融资券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Arial" w:hAnsi="Arial" w:cs="Arial" w:eastAsia="Arial" w:hint="default"/>
                <w:sz w:val="18"/>
                <w:szCs w:val="18"/>
              </w:rPr>
            </w:pPr>
            <w:r>
              <w:rPr>
                <w:rFonts w:ascii="Arial"/>
                <w:spacing w:val="-1"/>
                <w:sz w:val="18"/>
              </w:rPr>
              <w:t>17,540,984</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4"/>
              <w:jc w:val="right"/>
              <w:rPr>
                <w:rFonts w:ascii="Arial" w:hAnsi="Arial" w:cs="Arial" w:eastAsia="Arial" w:hint="default"/>
                <w:sz w:val="18"/>
                <w:szCs w:val="18"/>
              </w:rPr>
            </w:pPr>
            <w:r>
              <w:rPr>
                <w:rFonts w:ascii="Arial"/>
                <w:spacing w:val="-1"/>
                <w:sz w:val="18"/>
              </w:rPr>
              <w:t>(17,540,984)</w:t>
            </w:r>
            <w:r>
              <w:rPr>
                <w:rFonts w:ascii="Arial"/>
                <w:sz w:val="18"/>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
              <w:jc w:val="right"/>
              <w:rPr>
                <w:rFonts w:ascii="Arial" w:hAnsi="Arial" w:cs="Arial" w:eastAsia="Arial" w:hint="default"/>
                <w:sz w:val="18"/>
                <w:szCs w:val="18"/>
              </w:rPr>
            </w:pPr>
            <w:r>
              <w:rPr>
                <w:rFonts w:ascii="Arial"/>
                <w:w w:val="99"/>
                <w:sz w:val="18"/>
              </w:rPr>
              <w:t>-</w:t>
            </w:r>
            <w:r>
              <w:rPr>
                <w:rFonts w:ascii="Arial"/>
                <w:sz w:val="18"/>
              </w:rPr>
            </w:r>
          </w:p>
        </w:tc>
      </w:tr>
    </w:tbl>
    <w:p>
      <w:pPr>
        <w:tabs>
          <w:tab w:pos="3450" w:val="left" w:leader="none"/>
          <w:tab w:pos="4948" w:val="left" w:leader="none"/>
          <w:tab w:pos="5501" w:val="left" w:leader="none"/>
          <w:tab w:pos="7692" w:val="left" w:leader="none"/>
          <w:tab w:pos="8650" w:val="left" w:leader="none"/>
          <w:tab w:pos="9633" w:val="left" w:leader="none"/>
        </w:tabs>
        <w:spacing w:before="9"/>
        <w:ind w:left="607" w:right="0" w:firstLine="0"/>
        <w:jc w:val="left"/>
        <w:rPr>
          <w:rFonts w:ascii="Arial" w:hAnsi="Arial" w:cs="Arial" w:eastAsia="Arial" w:hint="default"/>
          <w:sz w:val="18"/>
          <w:szCs w:val="18"/>
        </w:rPr>
      </w:pPr>
      <w:r>
        <w:rPr>
          <w:rFonts w:ascii="Arial" w:hAnsi="Arial" w:cs="Arial" w:eastAsia="Arial" w:hint="default"/>
          <w:spacing w:val="-1"/>
          <w:position w:val="1"/>
          <w:sz w:val="18"/>
          <w:szCs w:val="18"/>
        </w:rPr>
        <w:t>2011</w:t>
      </w:r>
      <w:r>
        <w:rPr>
          <w:rFonts w:ascii="Arial" w:hAnsi="Arial" w:cs="Arial" w:eastAsia="Arial" w:hint="default"/>
          <w:spacing w:val="-4"/>
          <w:position w:val="1"/>
          <w:sz w:val="18"/>
          <w:szCs w:val="18"/>
        </w:rPr>
        <w:t> </w:t>
      </w:r>
      <w:r>
        <w:rPr>
          <w:rFonts w:ascii="宋体" w:hAnsi="宋体" w:cs="宋体" w:eastAsia="宋体" w:hint="default"/>
          <w:position w:val="1"/>
          <w:sz w:val="18"/>
          <w:szCs w:val="18"/>
        </w:rPr>
        <w:t>年第五期超短期融资券</w:t>
        <w:tab/>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78,135,247</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78,135,247</w:t>
        <w:tab/>
      </w:r>
      <w:r>
        <w:rPr>
          <w:rFonts w:ascii="Arial" w:hAnsi="Arial" w:cs="Arial" w:eastAsia="Arial" w:hint="default"/>
          <w:spacing w:val="-1"/>
          <w:sz w:val="18"/>
          <w:szCs w:val="18"/>
        </w:rPr>
      </w:r>
    </w:p>
    <w:p>
      <w:pPr>
        <w:spacing w:line="240" w:lineRule="auto" w:before="2"/>
        <w:rPr>
          <w:rFonts w:ascii="Arial" w:hAnsi="Arial" w:cs="Arial" w:eastAsia="Arial" w:hint="default"/>
          <w:sz w:val="25"/>
          <w:szCs w:val="25"/>
        </w:rPr>
      </w:pPr>
    </w:p>
    <w:p>
      <w:pPr>
        <w:tabs>
          <w:tab w:pos="4007" w:val="left" w:leader="none"/>
          <w:tab w:pos="5251" w:val="left" w:leader="none"/>
          <w:tab w:pos="6667" w:val="left" w:leader="none"/>
          <w:tab w:pos="8551" w:val="left" w:leader="none"/>
        </w:tabs>
        <w:spacing w:before="47"/>
        <w:ind w:left="561" w:right="0"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361,792,877</w:t>
        <w:tab/>
        <w:t>1,046,267,234</w:t>
        <w:tab/>
        <w:t>(961,193,444)</w:t>
        <w:tab/>
        <w:t>446,866,667</w:t>
      </w:r>
    </w:p>
    <w:p>
      <w:pPr>
        <w:spacing w:line="43" w:lineRule="exact"/>
        <w:ind w:left="3428" w:right="0" w:firstLine="0"/>
        <w:rPr>
          <w:rFonts w:ascii="Arial" w:hAnsi="Arial" w:cs="Arial" w:eastAsia="Arial" w:hint="default"/>
          <w:sz w:val="4"/>
          <w:szCs w:val="4"/>
        </w:rPr>
      </w:pPr>
      <w:r>
        <w:rPr>
          <w:rFonts w:ascii="Arial" w:hAnsi="Arial" w:cs="Arial" w:eastAsia="Arial" w:hint="default"/>
          <w:position w:val="0"/>
          <w:sz w:val="4"/>
          <w:szCs w:val="4"/>
        </w:rPr>
        <w:pict>
          <v:group style="width:310.650pt;height:2.2pt;mso-position-horizontal-relative:char;mso-position-vertical-relative:line" coordorigin="0,0" coordsize="6213,44">
            <v:group style="position:absolute;left:7;top:36;width:1725;height:2" coordorigin="7,36" coordsize="1725,2">
              <v:shape style="position:absolute;left:7;top:36;width:1725;height:2" coordorigin="7,36" coordsize="1725,0" path="m7,36l1732,36e" filled="false" stroked="true" strokeweight=".72pt" strokecolor="#000000">
                <v:path arrowok="t"/>
              </v:shape>
            </v:group>
            <v:group style="position:absolute;left:7;top:7;width:1725;height:2" coordorigin="7,7" coordsize="1725,2">
              <v:shape style="position:absolute;left:7;top:7;width:1725;height:2" coordorigin="7,7" coordsize="1725,0" path="m7,7l1732,7e" filled="false" stroked="true" strokeweight=".72pt" strokecolor="#000000">
                <v:path arrowok="t"/>
              </v:shape>
            </v:group>
            <v:group style="position:absolute;left:1807;top:36;width:1275;height:2" coordorigin="1807,36" coordsize="1275,2">
              <v:shape style="position:absolute;left:1807;top:36;width:1275;height:2" coordorigin="1807,36" coordsize="1275,0" path="m1807,36l3082,36e" filled="false" stroked="true" strokeweight=".72pt" strokecolor="#000000">
                <v:path arrowok="t"/>
              </v:shape>
            </v:group>
            <v:group style="position:absolute;left:1807;top:7;width:1275;height:2" coordorigin="1807,7" coordsize="1275,2">
              <v:shape style="position:absolute;left:1807;top:7;width:1275;height:2" coordorigin="1807,7" coordsize="1275,0" path="m1807,7l3082,7e" filled="false" stroked="true" strokeweight=".72pt" strokecolor="#000000">
                <v:path arrowok="t"/>
              </v:shape>
            </v:group>
            <v:group style="position:absolute;left:3157;top:36;width:1257;height:2" coordorigin="3157,36" coordsize="1257,2">
              <v:shape style="position:absolute;left:3157;top:36;width:1257;height:2" coordorigin="3157,36" coordsize="1257,0" path="m3157,36l4414,36e" filled="false" stroked="true" strokeweight=".72pt" strokecolor="#000000">
                <v:path arrowok="t"/>
              </v:shape>
            </v:group>
            <v:group style="position:absolute;left:3157;top:7;width:1257;height:2" coordorigin="3157,7" coordsize="1257,2">
              <v:shape style="position:absolute;left:3157;top:7;width:1257;height:2" coordorigin="3157,7" coordsize="1257,0" path="m3157,7l4414,7e" filled="false" stroked="true" strokeweight=".72pt" strokecolor="#000000">
                <v:path arrowok="t"/>
              </v:shape>
            </v:group>
            <v:group style="position:absolute;left:4489;top:36;width:1716;height:2" coordorigin="4489,36" coordsize="1716,2">
              <v:shape style="position:absolute;left:4489;top:36;width:1716;height:2" coordorigin="4489,36" coordsize="1716,0" path="m4489,36l6205,36e" filled="false" stroked="true" strokeweight=".72pt" strokecolor="#000000">
                <v:path arrowok="t"/>
              </v:shape>
            </v:group>
            <v:group style="position:absolute;left:4489;top:7;width:1716;height:2" coordorigin="4489,7" coordsize="1716,2">
              <v:shape style="position:absolute;left:4489;top:7;width:1716;height:2" coordorigin="4489,7" coordsize="1716,0" path="m4489,7l6205,7e" filled="false" stroked="true" strokeweight=".72pt" strokecolor="#000000">
                <v:path arrowok="t"/>
              </v:shape>
            </v:group>
          </v:group>
        </w:pict>
      </w:r>
      <w:r>
        <w:rPr>
          <w:rFonts w:ascii="Arial" w:hAnsi="Arial" w:cs="Arial" w:eastAsia="Arial" w:hint="default"/>
          <w:position w:val="0"/>
          <w:sz w:val="4"/>
          <w:szCs w:val="4"/>
        </w:rPr>
      </w:r>
    </w:p>
    <w:p>
      <w:pPr>
        <w:spacing w:after="0" w:line="43" w:lineRule="exact"/>
        <w:rPr>
          <w:rFonts w:ascii="Arial" w:hAnsi="Arial" w:cs="Arial" w:eastAsia="Arial" w:hint="default"/>
          <w:sz w:val="4"/>
          <w:szCs w:val="4"/>
        </w:rPr>
        <w:sectPr>
          <w:headerReference w:type="default" r:id="rId104"/>
          <w:pgSz w:w="11900" w:h="16840"/>
          <w:pgMar w:header="1189" w:footer="752" w:top="3040" w:bottom="940" w:left="1280" w:right="820"/>
        </w:sectPr>
      </w:pPr>
    </w:p>
    <w:p>
      <w:pPr>
        <w:spacing w:line="240" w:lineRule="auto" w:before="11"/>
        <w:rPr>
          <w:rFonts w:ascii="Arial" w:hAnsi="Arial" w:cs="Arial" w:eastAsia="Arial" w:hint="default"/>
          <w:sz w:val="18"/>
          <w:szCs w:val="18"/>
        </w:rPr>
      </w:pPr>
    </w:p>
    <w:p>
      <w:pPr>
        <w:pStyle w:val="BodyText"/>
        <w:spacing w:line="240" w:lineRule="auto" w:before="31"/>
        <w:ind w:left="102" w:right="0"/>
        <w:jc w:val="left"/>
      </w:pPr>
      <w:r>
        <w:rPr>
          <w:rFonts w:ascii="Arial" w:hAnsi="Arial" w:cs="Arial" w:eastAsia="Arial" w:hint="default"/>
        </w:rPr>
        <w:t>16</w:t>
      </w:r>
      <w:r>
        <w:rPr/>
        <w:t>、应付短期债券（续）</w:t>
      </w:r>
    </w:p>
    <w:p>
      <w:pPr>
        <w:spacing w:line="240" w:lineRule="auto" w:before="2"/>
        <w:rPr>
          <w:rFonts w:ascii="宋体" w:hAnsi="宋体" w:cs="宋体" w:eastAsia="宋体" w:hint="default"/>
          <w:sz w:val="20"/>
          <w:szCs w:val="20"/>
        </w:rPr>
      </w:pPr>
    </w:p>
    <w:p>
      <w:pPr>
        <w:pStyle w:val="BodyText"/>
        <w:spacing w:line="286" w:lineRule="exact"/>
        <w:ind w:left="984" w:right="174" w:hanging="414"/>
        <w:jc w:val="left"/>
      </w:pPr>
      <w:r>
        <w:rPr/>
        <w:t>注：应付短期债券为本集团所属联通运营公司面向银行间债券市场发行的短期融资券以及超短</w:t>
      </w:r>
      <w:r>
        <w:rPr>
          <w:w w:val="99"/>
        </w:rPr>
        <w:t> </w:t>
      </w:r>
      <w:r>
        <w:rPr/>
        <w:t>期融资券，均无担保，并于到期按面值加利息兑付。联通运营公司于</w:t>
      </w:r>
      <w:r>
        <w:rPr>
          <w:spacing w:val="-55"/>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10</w:t>
      </w:r>
      <w:r>
        <w:rPr>
          <w:rFonts w:ascii="Arial" w:hAnsi="Arial" w:cs="Arial" w:eastAsia="Arial" w:hint="default"/>
          <w:spacing w:val="-7"/>
        </w:rPr>
        <w:t> </w:t>
      </w:r>
      <w:r>
        <w:rPr/>
        <w:t>日，</w:t>
      </w:r>
    </w:p>
    <w:p>
      <w:pPr>
        <w:pStyle w:val="BodyText"/>
        <w:spacing w:line="265" w:lineRule="exact"/>
        <w:ind w:left="984" w:right="0"/>
        <w:jc w:val="left"/>
      </w:pPr>
      <w:r>
        <w:rPr/>
        <w:t>向银行间债券市场发行</w:t>
      </w:r>
      <w:r>
        <w:rPr>
          <w:spacing w:val="-56"/>
        </w:rPr>
        <w:t> </w:t>
      </w:r>
      <w:r>
        <w:rPr>
          <w:rFonts w:ascii="Arial" w:hAnsi="Arial" w:cs="Arial" w:eastAsia="Arial" w:hint="default"/>
        </w:rPr>
        <w:t>2011</w:t>
      </w:r>
      <w:r>
        <w:rPr>
          <w:rFonts w:ascii="Arial" w:hAnsi="Arial" w:cs="Arial" w:eastAsia="Arial" w:hint="default"/>
          <w:spacing w:val="-8"/>
        </w:rPr>
        <w:t> </w:t>
      </w:r>
      <w:r>
        <w:rPr/>
        <w:t>年第一期及第二期超短期融资券，票面总额分别为</w:t>
      </w:r>
      <w:r>
        <w:rPr>
          <w:spacing w:val="-57"/>
        </w:rPr>
        <w:t> </w:t>
      </w:r>
      <w:r>
        <w:rPr>
          <w:rFonts w:ascii="Arial" w:hAnsi="Arial" w:cs="Arial" w:eastAsia="Arial" w:hint="default"/>
        </w:rPr>
        <w:t>80</w:t>
      </w:r>
      <w:r>
        <w:rPr>
          <w:rFonts w:ascii="Arial" w:hAnsi="Arial" w:cs="Arial" w:eastAsia="Arial" w:hint="default"/>
          <w:spacing w:val="-8"/>
        </w:rPr>
        <w:t> </w:t>
      </w:r>
      <w:r>
        <w:rPr/>
        <w:t>亿元，</w:t>
      </w:r>
    </w:p>
    <w:p>
      <w:pPr>
        <w:pStyle w:val="BodyText"/>
        <w:spacing w:line="285" w:lineRule="exact"/>
        <w:ind w:left="984" w:right="0"/>
        <w:jc w:val="left"/>
      </w:pPr>
      <w:r>
        <w:rPr/>
        <w:t>票面利率均为</w:t>
      </w:r>
      <w:r>
        <w:rPr>
          <w:spacing w:val="-45"/>
        </w:rPr>
        <w:t> </w:t>
      </w:r>
      <w:r>
        <w:rPr>
          <w:rFonts w:ascii="Arial" w:hAnsi="Arial" w:cs="Arial" w:eastAsia="Arial" w:hint="default"/>
        </w:rPr>
        <w:t>3.88%</w:t>
      </w:r>
      <w:r>
        <w:rPr/>
        <w:t>，债券期限均为</w:t>
      </w:r>
      <w:r>
        <w:rPr>
          <w:spacing w:val="-45"/>
        </w:rPr>
        <w:t> </w:t>
      </w:r>
      <w:r>
        <w:rPr>
          <w:rFonts w:ascii="Arial" w:hAnsi="Arial" w:cs="Arial" w:eastAsia="Arial" w:hint="default"/>
        </w:rPr>
        <w:t>180</w:t>
      </w:r>
      <w:r>
        <w:rPr>
          <w:rFonts w:ascii="Arial" w:hAnsi="Arial" w:cs="Arial" w:eastAsia="Arial" w:hint="default"/>
          <w:spacing w:val="4"/>
        </w:rPr>
        <w:t> </w:t>
      </w:r>
      <w:r>
        <w:rPr/>
        <w:t>天；于</w:t>
      </w:r>
      <w:r>
        <w:rPr>
          <w:spacing w:val="-45"/>
        </w:rPr>
        <w:t> </w:t>
      </w:r>
      <w:r>
        <w:rPr>
          <w:rFonts w:ascii="Arial" w:hAnsi="Arial" w:cs="Arial" w:eastAsia="Arial" w:hint="default"/>
        </w:rPr>
        <w:t>2011</w:t>
      </w:r>
      <w:r>
        <w:rPr>
          <w:rFonts w:ascii="Arial" w:hAnsi="Arial" w:cs="Arial" w:eastAsia="Arial" w:hint="default"/>
          <w:spacing w:val="4"/>
        </w:rPr>
        <w:t> </w:t>
      </w:r>
      <w:r>
        <w:rPr/>
        <w:t>年</w:t>
      </w:r>
      <w:r>
        <w:rPr>
          <w:spacing w:val="-45"/>
        </w:rPr>
        <w:t> </w:t>
      </w:r>
      <w:r>
        <w:rPr>
          <w:rFonts w:ascii="Arial" w:hAnsi="Arial" w:cs="Arial" w:eastAsia="Arial" w:hint="default"/>
        </w:rPr>
        <w:t>9</w:t>
      </w:r>
      <w:r>
        <w:rPr>
          <w:rFonts w:ascii="Arial" w:hAnsi="Arial" w:cs="Arial" w:eastAsia="Arial" w:hint="default"/>
          <w:spacing w:val="4"/>
        </w:rPr>
        <w:t> </w:t>
      </w:r>
      <w:r>
        <w:rPr/>
        <w:t>月</w:t>
      </w:r>
      <w:r>
        <w:rPr>
          <w:spacing w:val="-45"/>
        </w:rPr>
        <w:t> </w:t>
      </w:r>
      <w:r>
        <w:rPr>
          <w:rFonts w:ascii="Arial" w:hAnsi="Arial" w:cs="Arial" w:eastAsia="Arial" w:hint="default"/>
        </w:rPr>
        <w:t>20</w:t>
      </w:r>
      <w:r>
        <w:rPr>
          <w:rFonts w:ascii="Arial" w:hAnsi="Arial" w:cs="Arial" w:eastAsia="Arial" w:hint="default"/>
          <w:spacing w:val="4"/>
        </w:rPr>
        <w:t> </w:t>
      </w:r>
      <w:r>
        <w:rPr/>
        <w:t>日，向银行间债券市场</w:t>
      </w:r>
    </w:p>
    <w:p>
      <w:pPr>
        <w:pStyle w:val="BodyText"/>
        <w:spacing w:line="286" w:lineRule="exact"/>
        <w:ind w:left="984" w:right="0"/>
        <w:jc w:val="left"/>
      </w:pPr>
      <w:r>
        <w:rPr/>
        <w:t>发行 </w:t>
      </w:r>
      <w:r>
        <w:rPr>
          <w:rFonts w:ascii="Arial" w:hAnsi="Arial" w:cs="Arial" w:eastAsia="Arial" w:hint="default"/>
        </w:rPr>
        <w:t>2011  </w:t>
      </w:r>
      <w:r>
        <w:rPr>
          <w:spacing w:val="4"/>
        </w:rPr>
        <w:t>年第三期及第四期超短期融资券，票面总额分别为 </w:t>
      </w:r>
      <w:r>
        <w:rPr>
          <w:rFonts w:ascii="Arial" w:hAnsi="Arial" w:cs="Arial" w:eastAsia="Arial" w:hint="default"/>
        </w:rPr>
        <w:t>40</w:t>
      </w:r>
      <w:r>
        <w:rPr>
          <w:rFonts w:ascii="Arial" w:hAnsi="Arial" w:cs="Arial" w:eastAsia="Arial" w:hint="default"/>
          <w:spacing w:val="57"/>
        </w:rPr>
        <w:t> </w:t>
      </w:r>
      <w:r>
        <w:rPr>
          <w:spacing w:val="4"/>
        </w:rPr>
        <w:t>亿元，票面利率均为</w:t>
      </w:r>
      <w:r>
        <w:rPr/>
      </w:r>
    </w:p>
    <w:p>
      <w:pPr>
        <w:pStyle w:val="BodyText"/>
        <w:spacing w:line="286" w:lineRule="exact" w:before="19"/>
        <w:ind w:left="984" w:right="258" w:hanging="1"/>
        <w:jc w:val="left"/>
      </w:pPr>
      <w:r>
        <w:rPr>
          <w:rFonts w:ascii="Arial" w:hAnsi="Arial" w:cs="Arial" w:eastAsia="Arial" w:hint="default"/>
        </w:rPr>
        <w:t>5.35%</w:t>
      </w:r>
      <w:r>
        <w:rPr/>
        <w:t>，债券期限均为</w:t>
      </w:r>
      <w:r>
        <w:rPr>
          <w:spacing w:val="-57"/>
        </w:rPr>
        <w:t> </w:t>
      </w:r>
      <w:r>
        <w:rPr>
          <w:rFonts w:ascii="Arial" w:hAnsi="Arial" w:cs="Arial" w:eastAsia="Arial" w:hint="default"/>
        </w:rPr>
        <w:t>30</w:t>
      </w:r>
      <w:r>
        <w:rPr>
          <w:rFonts w:ascii="Arial" w:hAnsi="Arial" w:cs="Arial" w:eastAsia="Arial" w:hint="default"/>
          <w:spacing w:val="-9"/>
        </w:rPr>
        <w:t> </w:t>
      </w:r>
      <w:r>
        <w:rPr/>
        <w:t>天。于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日，上述</w:t>
      </w:r>
      <w:r>
        <w:rPr>
          <w:spacing w:val="-58"/>
        </w:rPr>
        <w:t> </w:t>
      </w:r>
      <w:r>
        <w:rPr>
          <w:rFonts w:ascii="Arial" w:hAnsi="Arial" w:cs="Arial" w:eastAsia="Arial" w:hint="default"/>
        </w:rPr>
        <w:t>2011</w:t>
      </w:r>
      <w:r>
        <w:rPr>
          <w:rFonts w:ascii="Arial" w:hAnsi="Arial" w:cs="Arial" w:eastAsia="Arial" w:hint="default"/>
          <w:spacing w:val="-9"/>
        </w:rPr>
        <w:t> </w:t>
      </w:r>
      <w:r>
        <w:rPr/>
        <w:t>年第一期、第二期、第</w:t>
      </w:r>
      <w:r>
        <w:rPr>
          <w:w w:val="99"/>
        </w:rPr>
        <w:t> </w:t>
      </w:r>
      <w:r>
        <w:rPr/>
        <w:t>三期及第四期超短期融资券均已到期并全额还本付息。</w:t>
      </w:r>
    </w:p>
    <w:p>
      <w:pPr>
        <w:spacing w:line="240" w:lineRule="auto" w:before="1"/>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17</w:t>
      </w:r>
      <w:r>
        <w:rPr/>
        <w:t>、应付票据</w:t>
      </w:r>
    </w:p>
    <w:p>
      <w:pPr>
        <w:spacing w:line="240" w:lineRule="auto" w:before="5"/>
        <w:rPr>
          <w:rFonts w:ascii="宋体" w:hAnsi="宋体" w:cs="宋体" w:eastAsia="宋体" w:hint="default"/>
          <w:sz w:val="22"/>
          <w:szCs w:val="22"/>
        </w:rPr>
      </w:pPr>
    </w:p>
    <w:p>
      <w:pPr>
        <w:pStyle w:val="BodyText"/>
        <w:tabs>
          <w:tab w:pos="7755" w:val="left" w:leader="none"/>
        </w:tabs>
        <w:spacing w:line="240" w:lineRule="auto"/>
        <w:ind w:left="5191"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852" w:right="0" w:firstLine="0"/>
        <w:rPr>
          <w:rFonts w:ascii="宋体" w:hAnsi="宋体" w:cs="宋体" w:eastAsia="宋体" w:hint="default"/>
          <w:sz w:val="2"/>
          <w:szCs w:val="2"/>
        </w:rPr>
      </w:pPr>
      <w:r>
        <w:rPr>
          <w:rFonts w:ascii="宋体"/>
          <w:sz w:val="2"/>
        </w:rPr>
        <w:pict>
          <v:group style="width:115.3pt;height:.75pt;mso-position-horizontal-relative:char;mso-position-vertical-relative:line" coordorigin="0,0" coordsize="2306,15">
            <v:group style="position:absolute;left:7;top:7;width:2291;height:2" coordorigin="7,7" coordsize="2291,2">
              <v:shape style="position:absolute;left:7;top:7;width:2291;height:2" coordorigin="7,7" coordsize="2291,0" path="m7,7l2298,7e" filled="false" stroked="true" strokeweight=".72pt" strokecolor="#000000">
                <v:path arrowok="t"/>
              </v:shape>
            </v:group>
          </v:group>
        </w:pict>
      </w:r>
      <w:r>
        <w:rPr>
          <w:rFonts w:ascii="宋体"/>
          <w:sz w:val="2"/>
        </w:rPr>
      </w:r>
      <w:r>
        <w:rPr>
          <w:rFonts w:ascii="Times New Roman"/>
          <w:spacing w:val="87"/>
          <w:sz w:val="2"/>
        </w:rPr>
        <w:t> </w:t>
      </w:r>
      <w:r>
        <w:rPr>
          <w:rFonts w:ascii="宋体"/>
          <w:spacing w:val="87"/>
          <w:sz w:val="2"/>
        </w:rPr>
        <w:pict>
          <v:group style="width:124.35pt;height:.75pt;mso-position-horizontal-relative:char;mso-position-vertical-relative:line" coordorigin="0,0" coordsize="2487,15">
            <v:group style="position:absolute;left:7;top:7;width:2472;height:2" coordorigin="7,7" coordsize="2472,2">
              <v:shape style="position:absolute;left:7;top:7;width:2472;height:2" coordorigin="7,7" coordsize="2472,0" path="m7,7l2479,7e" filled="false" stroked="true" strokeweight=".72pt" strokecolor="#000000">
                <v:path arrowok="t"/>
              </v:shape>
            </v:group>
          </v:group>
        </w:pict>
      </w:r>
      <w:r>
        <w:rPr>
          <w:rFonts w:ascii="宋体"/>
          <w:spacing w:val="87"/>
          <w:sz w:val="2"/>
        </w:rPr>
      </w:r>
    </w:p>
    <w:p>
      <w:pPr>
        <w:spacing w:line="240" w:lineRule="auto" w:before="0"/>
        <w:rPr>
          <w:rFonts w:ascii="宋体" w:hAnsi="宋体" w:cs="宋体" w:eastAsia="宋体" w:hint="default"/>
          <w:sz w:val="16"/>
          <w:szCs w:val="16"/>
        </w:rPr>
      </w:pPr>
    </w:p>
    <w:p>
      <w:pPr>
        <w:pStyle w:val="BodyText"/>
        <w:tabs>
          <w:tab w:pos="5663" w:val="left" w:leader="none"/>
          <w:tab w:pos="8401" w:val="left" w:leader="none"/>
        </w:tabs>
        <w:spacing w:line="240" w:lineRule="auto" w:before="27"/>
        <w:ind w:left="551" w:right="0"/>
        <w:jc w:val="left"/>
        <w:rPr>
          <w:rFonts w:ascii="Arial" w:hAnsi="Arial" w:cs="Arial" w:eastAsia="Arial" w:hint="default"/>
        </w:rPr>
      </w:pPr>
      <w:r>
        <w:rPr>
          <w:w w:val="95"/>
          <w:position w:val="2"/>
        </w:rPr>
        <w:t>商业承兑汇票</w:t>
        <w:tab/>
      </w:r>
      <w:r>
        <w:rPr>
          <w:rFonts w:ascii="Arial" w:hAnsi="Arial" w:cs="Arial" w:eastAsia="Arial" w:hint="default"/>
          <w:spacing w:val="-1"/>
        </w:rPr>
        <w:t>1,046,319,417</w:t>
        <w:tab/>
      </w:r>
      <w:r>
        <w:rPr>
          <w:rFonts w:ascii="Arial" w:hAnsi="Arial" w:cs="Arial" w:eastAsia="Arial" w:hint="default"/>
        </w:rPr>
        <w:t>585,181,600</w:t>
      </w:r>
    </w:p>
    <w:p>
      <w:pPr>
        <w:spacing w:line="43" w:lineRule="exact"/>
        <w:ind w:left="4837" w:right="0" w:firstLine="0"/>
        <w:rPr>
          <w:rFonts w:ascii="Arial" w:hAnsi="Arial" w:cs="Arial" w:eastAsia="Arial" w:hint="default"/>
          <w:sz w:val="4"/>
          <w:szCs w:val="4"/>
        </w:rPr>
      </w:pPr>
      <w:r>
        <w:rPr>
          <w:rFonts w:ascii="Arial"/>
          <w:position w:val="0"/>
          <w:sz w:val="4"/>
        </w:rPr>
        <w:pict>
          <v:group style="width:116pt;height:2.2pt;mso-position-horizontal-relative:char;mso-position-vertical-relative:line" coordorigin="0,0" coordsize="2320,44">
            <v:group style="position:absolute;left:7;top:36;width:2306;height:2" coordorigin="7,36" coordsize="2306,2">
              <v:shape style="position:absolute;left:7;top:36;width:2306;height:2" coordorigin="7,36" coordsize="2306,0" path="m7,36l2312,36e" filled="false" stroked="true" strokeweight=".72pt" strokecolor="#000000">
                <v:path arrowok="t"/>
              </v:shape>
            </v:group>
            <v:group style="position:absolute;left:7;top:7;width:2306;height:2" coordorigin="7,7" coordsize="2306,2">
              <v:shape style="position:absolute;left:7;top:7;width:2306;height:2" coordorigin="7,7" coordsize="2306,0" path="m7,7l2312,7e" filled="false" stroked="true" strokeweight=".72pt" strokecolor="#000000">
                <v:path arrowok="t"/>
              </v:shape>
            </v:group>
          </v:group>
        </w:pict>
      </w:r>
      <w:r>
        <w:rPr>
          <w:rFonts w:ascii="Arial"/>
          <w:position w:val="0"/>
          <w:sz w:val="4"/>
        </w:rPr>
      </w:r>
      <w:r>
        <w:rPr>
          <w:rFonts w:ascii="Times New Roman"/>
          <w:spacing w:val="66"/>
          <w:position w:val="0"/>
          <w:sz w:val="4"/>
        </w:rPr>
        <w:t> </w:t>
      </w:r>
      <w:r>
        <w:rPr>
          <w:rFonts w:ascii="Arial"/>
          <w:spacing w:val="66"/>
          <w:position w:val="0"/>
          <w:sz w:val="4"/>
        </w:rPr>
        <w:pict>
          <v:group style="width:125.05pt;height:2.2pt;mso-position-horizontal-relative:char;mso-position-vertical-relative:line" coordorigin="0,0" coordsize="2501,44">
            <v:group style="position:absolute;left:7;top:36;width:2487;height:2" coordorigin="7,36" coordsize="2487,2">
              <v:shape style="position:absolute;left:7;top:36;width:2487;height:2" coordorigin="7,36" coordsize="2487,0" path="m7,36l2494,36e" filled="false" stroked="true" strokeweight=".72pt" strokecolor="#000000">
                <v:path arrowok="t"/>
              </v:shape>
            </v:group>
            <v:group style="position:absolute;left:7;top:7;width:2487;height:2" coordorigin="7,7" coordsize="2487,2">
              <v:shape style="position:absolute;left:7;top:7;width:2487;height:2" coordorigin="7,7" coordsize="2487,0" path="m7,7l2494,7e" filled="false" stroked="true" strokeweight=".72pt" strokecolor="#000000">
                <v:path arrowok="t"/>
              </v:shape>
            </v:group>
          </v:group>
        </w:pict>
      </w:r>
      <w:r>
        <w:rPr>
          <w:rFonts w:ascii="Arial"/>
          <w:spacing w:val="66"/>
          <w:position w:val="0"/>
          <w:sz w:val="4"/>
        </w:rPr>
      </w:r>
    </w:p>
    <w:p>
      <w:pPr>
        <w:spacing w:line="240" w:lineRule="auto" w:before="5"/>
        <w:rPr>
          <w:rFonts w:ascii="Arial" w:hAnsi="Arial" w:cs="Arial" w:eastAsia="Arial" w:hint="default"/>
          <w:sz w:val="16"/>
          <w:szCs w:val="16"/>
        </w:rPr>
      </w:pPr>
    </w:p>
    <w:p>
      <w:pPr>
        <w:pStyle w:val="BodyText"/>
        <w:spacing w:line="240" w:lineRule="auto" w:before="31"/>
        <w:ind w:left="578"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日，本集团应付票据均在一年内到期。</w:t>
      </w:r>
    </w:p>
    <w:p>
      <w:pPr>
        <w:spacing w:line="240" w:lineRule="auto" w:before="13"/>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18</w:t>
      </w:r>
      <w:r>
        <w:rPr/>
        <w:t>、应付账款</w:t>
      </w:r>
    </w:p>
    <w:p>
      <w:pPr>
        <w:spacing w:line="240" w:lineRule="auto" w:before="7"/>
        <w:rPr>
          <w:rFonts w:ascii="宋体" w:hAnsi="宋体" w:cs="宋体" w:eastAsia="宋体" w:hint="default"/>
          <w:sz w:val="15"/>
          <w:szCs w:val="15"/>
        </w:rPr>
      </w:pPr>
    </w:p>
    <w:tbl>
      <w:tblPr>
        <w:tblW w:w="0" w:type="auto"/>
        <w:jc w:val="left"/>
        <w:tblInd w:w="527" w:type="dxa"/>
        <w:tblLayout w:type="fixed"/>
        <w:tblCellMar>
          <w:top w:w="0" w:type="dxa"/>
          <w:left w:w="0" w:type="dxa"/>
          <w:bottom w:w="0" w:type="dxa"/>
          <w:right w:w="0" w:type="dxa"/>
        </w:tblCellMar>
        <w:tblLook w:val="01E0"/>
      </w:tblPr>
      <w:tblGrid>
        <w:gridCol w:w="4342"/>
        <w:gridCol w:w="2303"/>
        <w:gridCol w:w="2405"/>
      </w:tblGrid>
      <w:tr>
        <w:trPr>
          <w:trHeight w:val="360" w:hRule="exact"/>
        </w:trPr>
        <w:tc>
          <w:tcPr>
            <w:tcW w:w="4342" w:type="dxa"/>
            <w:vMerge w:val="restart"/>
            <w:tcBorders>
              <w:top w:val="nil" w:sz="6" w:space="0" w:color="auto"/>
              <w:left w:val="nil" w:sz="6" w:space="0" w:color="auto"/>
              <w:right w:val="nil" w:sz="6" w:space="0" w:color="auto"/>
            </w:tcBorders>
          </w:tcPr>
          <w:p>
            <w:pPr/>
          </w:p>
        </w:tc>
        <w:tc>
          <w:tcPr>
            <w:tcW w:w="2303"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3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0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38"/>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93" w:hRule="exact"/>
        </w:trPr>
        <w:tc>
          <w:tcPr>
            <w:tcW w:w="4342" w:type="dxa"/>
            <w:vMerge/>
            <w:tcBorders>
              <w:left w:val="nil" w:sz="6" w:space="0" w:color="auto"/>
              <w:bottom w:val="nil" w:sz="6" w:space="0" w:color="auto"/>
              <w:right w:val="nil" w:sz="6" w:space="0" w:color="auto"/>
            </w:tcBorders>
          </w:tcPr>
          <w:p>
            <w:pPr/>
          </w:p>
        </w:tc>
        <w:tc>
          <w:tcPr>
            <w:tcW w:w="2303" w:type="dxa"/>
            <w:tcBorders>
              <w:top w:val="single" w:sz="6" w:space="0" w:color="000000"/>
              <w:left w:val="nil" w:sz="6" w:space="0" w:color="auto"/>
              <w:bottom w:val="nil" w:sz="6" w:space="0" w:color="auto"/>
              <w:right w:val="nil" w:sz="6" w:space="0" w:color="auto"/>
            </w:tcBorders>
          </w:tcPr>
          <w:p>
            <w:pPr/>
          </w:p>
        </w:tc>
        <w:tc>
          <w:tcPr>
            <w:tcW w:w="2405" w:type="dxa"/>
            <w:tcBorders>
              <w:top w:val="single" w:sz="6" w:space="0" w:color="000000"/>
              <w:left w:val="nil" w:sz="6" w:space="0" w:color="auto"/>
              <w:bottom w:val="nil" w:sz="6" w:space="0" w:color="auto"/>
              <w:right w:val="nil" w:sz="6" w:space="0" w:color="auto"/>
            </w:tcBorders>
          </w:tcPr>
          <w:p>
            <w:pPr>
              <w:pStyle w:val="TableParagraph"/>
              <w:spacing w:line="253" w:lineRule="exact"/>
              <w:ind w:right="39"/>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98"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应付工程及设备款</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1"/>
              <w:jc w:val="right"/>
              <w:rPr>
                <w:rFonts w:ascii="Arial" w:hAnsi="Arial" w:cs="Arial" w:eastAsia="Arial" w:hint="default"/>
                <w:sz w:val="22"/>
                <w:szCs w:val="22"/>
              </w:rPr>
            </w:pPr>
            <w:r>
              <w:rPr>
                <w:rFonts w:ascii="Arial"/>
                <w:spacing w:val="-1"/>
                <w:sz w:val="22"/>
              </w:rPr>
              <w:t>73,561,408,772</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1"/>
              <w:jc w:val="right"/>
              <w:rPr>
                <w:rFonts w:ascii="Arial" w:hAnsi="Arial" w:cs="Arial" w:eastAsia="Arial" w:hint="default"/>
                <w:sz w:val="22"/>
                <w:szCs w:val="22"/>
              </w:rPr>
            </w:pPr>
            <w:r>
              <w:rPr>
                <w:rFonts w:ascii="Arial"/>
                <w:spacing w:val="-1"/>
                <w:sz w:val="22"/>
              </w:rPr>
              <w:t>78,154,205,851</w:t>
            </w:r>
          </w:p>
        </w:tc>
      </w:tr>
      <w:tr>
        <w:trPr>
          <w:trHeight w:val="285"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应付网间结算及租赁费</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5,444,747,445</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spacing w:val="-1"/>
                <w:sz w:val="22"/>
              </w:rPr>
              <w:t>4,422,491,854</w:t>
            </w:r>
          </w:p>
        </w:tc>
      </w:tr>
      <w:tr>
        <w:trPr>
          <w:trHeight w:val="286"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应付采购通信终端款等</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3,855,808,237</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spacing w:val="-1"/>
                <w:sz w:val="22"/>
              </w:rPr>
              <w:t>3,194,786,917</w:t>
            </w:r>
          </w:p>
        </w:tc>
      </w:tr>
      <w:tr>
        <w:trPr>
          <w:trHeight w:val="286"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应付代理费及广告费</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2,874,668,512</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spacing w:val="-1"/>
                <w:sz w:val="22"/>
              </w:rPr>
              <w:t>2,509,774,796</w:t>
            </w:r>
          </w:p>
        </w:tc>
      </w:tr>
      <w:tr>
        <w:trPr>
          <w:trHeight w:val="266"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应付维修及维护费</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2,406,655,393</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spacing w:val="-1"/>
                <w:sz w:val="22"/>
              </w:rPr>
              <w:t>2,480,892,657</w:t>
            </w:r>
          </w:p>
        </w:tc>
      </w:tr>
    </w:tbl>
    <w:p>
      <w:pPr>
        <w:pStyle w:val="BodyText"/>
        <w:tabs>
          <w:tab w:pos="4868" w:val="left" w:leader="none"/>
          <w:tab w:pos="5661" w:val="left" w:leader="none"/>
          <w:tab w:pos="8056" w:val="left" w:leader="none"/>
          <w:tab w:pos="9576" w:val="left" w:leader="none"/>
        </w:tabs>
        <w:spacing w:line="289" w:lineRule="exact"/>
        <w:ind w:left="562" w:right="0"/>
        <w:jc w:val="left"/>
        <w:rPr>
          <w:rFonts w:ascii="Arial" w:hAnsi="Arial" w:cs="Arial" w:eastAsia="Arial" w:hint="default"/>
        </w:rPr>
      </w:pPr>
      <w:r>
        <w:rPr>
          <w:w w:val="95"/>
          <w:position w:val="2"/>
        </w:rPr>
        <w:t>其他</w:t>
        <w:tab/>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spacing w:val="-1"/>
          <w:u w:val="single" w:color="000000"/>
        </w:rPr>
        <w:t>2,995,396,472</w:t>
      </w:r>
      <w:r>
        <w:rPr>
          <w:rFonts w:ascii="Arial" w:hAnsi="Arial" w:cs="Arial" w:eastAsia="Arial" w:hint="default"/>
          <w:spacing w:val="-1"/>
        </w:rPr>
      </w:r>
      <w:r>
        <w:rPr>
          <w:rFonts w:ascii="Arial" w:hAnsi="Arial" w:cs="Arial" w:eastAsia="Arial" w:hint="default"/>
          <w:spacing w:val="-1"/>
          <w:u w:val="single" w:color="000000"/>
        </w:rPr>
        <w:t> </w:t>
        <w:tab/>
        <w:t>2,926,628,245</w:t>
        <w:tab/>
      </w:r>
      <w:r>
        <w:rPr>
          <w:rFonts w:ascii="Arial" w:hAnsi="Arial" w:cs="Arial" w:eastAsia="Arial" w:hint="default"/>
          <w:spacing w:val="-1"/>
        </w:rPr>
      </w:r>
    </w:p>
    <w:p>
      <w:pPr>
        <w:spacing w:line="240" w:lineRule="auto" w:before="9"/>
        <w:rPr>
          <w:rFonts w:ascii="Arial" w:hAnsi="Arial" w:cs="Arial" w:eastAsia="Arial" w:hint="default"/>
          <w:sz w:val="18"/>
          <w:szCs w:val="18"/>
        </w:rPr>
      </w:pPr>
    </w:p>
    <w:p>
      <w:pPr>
        <w:pStyle w:val="BodyText"/>
        <w:tabs>
          <w:tab w:pos="5539" w:val="left" w:leader="none"/>
          <w:tab w:pos="7934" w:val="left" w:leader="none"/>
        </w:tabs>
        <w:spacing w:line="240" w:lineRule="auto" w:before="27"/>
        <w:ind w:left="561" w:right="0"/>
        <w:jc w:val="left"/>
        <w:rPr>
          <w:rFonts w:ascii="Arial" w:hAnsi="Arial" w:cs="Arial" w:eastAsia="Arial" w:hint="default"/>
        </w:rPr>
      </w:pPr>
      <w:r>
        <w:rPr>
          <w:w w:val="95"/>
          <w:position w:val="2"/>
        </w:rPr>
        <w:t>合计</w:t>
        <w:tab/>
      </w:r>
      <w:r>
        <w:rPr>
          <w:rFonts w:ascii="Arial" w:hAnsi="Arial" w:cs="Arial" w:eastAsia="Arial" w:hint="default"/>
          <w:spacing w:val="-1"/>
        </w:rPr>
        <w:t>91,138,684,831</w:t>
        <w:tab/>
        <w:t>93,688,780,320</w:t>
      </w:r>
    </w:p>
    <w:p>
      <w:pPr>
        <w:spacing w:line="43" w:lineRule="exact"/>
        <w:ind w:left="4847" w:right="0" w:firstLine="0"/>
        <w:rPr>
          <w:rFonts w:ascii="Arial" w:hAnsi="Arial" w:cs="Arial" w:eastAsia="Arial" w:hint="default"/>
          <w:sz w:val="4"/>
          <w:szCs w:val="4"/>
        </w:rPr>
      </w:pPr>
      <w:r>
        <w:rPr>
          <w:rFonts w:ascii="Arial"/>
          <w:position w:val="0"/>
          <w:sz w:val="4"/>
        </w:rPr>
        <w:pict>
          <v:group style="width:116.6pt;height:2.2pt;mso-position-horizontal-relative:char;mso-position-vertical-relative:line" coordorigin="0,0" coordsize="2332,44">
            <v:group style="position:absolute;left:7;top:36;width:2318;height:2" coordorigin="7,36" coordsize="2318,2">
              <v:shape style="position:absolute;left:7;top:36;width:2318;height:2" coordorigin="7,36" coordsize="2318,0" path="m7,36l2324,36e" filled="false" stroked="true" strokeweight=".72pt" strokecolor="#000000">
                <v:path arrowok="t"/>
              </v:shape>
            </v:group>
            <v:group style="position:absolute;left:7;top:7;width:2318;height:2" coordorigin="7,7" coordsize="2318,2">
              <v:shape style="position:absolute;left:7;top:7;width:2318;height:2" coordorigin="7,7" coordsize="2318,0" path="m7,7l2324,7e" filled="false" stroked="true" strokeweight=".72pt" strokecolor="#000000">
                <v:path arrowok="t"/>
              </v:shape>
            </v:group>
          </v:group>
        </w:pict>
      </w:r>
      <w:r>
        <w:rPr>
          <w:rFonts w:ascii="Arial"/>
          <w:position w:val="0"/>
          <w:sz w:val="4"/>
        </w:rPr>
      </w:r>
      <w:r>
        <w:rPr>
          <w:rFonts w:ascii="Times New Roman"/>
          <w:spacing w:val="54"/>
          <w:position w:val="0"/>
          <w:sz w:val="4"/>
        </w:rPr>
        <w:t> </w:t>
      </w:r>
      <w:r>
        <w:rPr>
          <w:rFonts w:ascii="Arial"/>
          <w:spacing w:val="54"/>
          <w:position w:val="0"/>
          <w:sz w:val="4"/>
        </w:rPr>
        <w:pict>
          <v:group style="width:116.8pt;height:2.2pt;mso-position-horizontal-relative:char;mso-position-vertical-relative:line" coordorigin="0,0" coordsize="2336,44">
            <v:group style="position:absolute;left:7;top:36;width:2321;height:2" coordorigin="7,36" coordsize="2321,2">
              <v:shape style="position:absolute;left:7;top:36;width:2321;height:2" coordorigin="7,36" coordsize="2321,0" path="m7,36l2328,36e" filled="false" stroked="true" strokeweight=".72pt" strokecolor="#000000">
                <v:path arrowok="t"/>
              </v:shape>
            </v:group>
            <v:group style="position:absolute;left:7;top:7;width:2321;height:2" coordorigin="7,7" coordsize="2321,2">
              <v:shape style="position:absolute;left:7;top:7;width:2321;height:2" coordorigin="7,7" coordsize="2321,0" path="m7,7l2328,7e" filled="false" stroked="true" strokeweight=".72pt" strokecolor="#000000">
                <v:path arrowok="t"/>
              </v:shape>
            </v:group>
          </v:group>
        </w:pict>
      </w:r>
      <w:r>
        <w:rPr>
          <w:rFonts w:ascii="Arial"/>
          <w:spacing w:val="54"/>
          <w:position w:val="0"/>
          <w:sz w:val="4"/>
        </w:rPr>
      </w:r>
    </w:p>
    <w:p>
      <w:pPr>
        <w:spacing w:line="240" w:lineRule="auto" w:before="5"/>
        <w:rPr>
          <w:rFonts w:ascii="Arial" w:hAnsi="Arial" w:cs="Arial" w:eastAsia="Arial" w:hint="default"/>
          <w:sz w:val="16"/>
          <w:szCs w:val="16"/>
        </w:rPr>
      </w:pPr>
    </w:p>
    <w:p>
      <w:pPr>
        <w:pStyle w:val="BodyText"/>
        <w:spacing w:line="240" w:lineRule="auto" w:before="31"/>
        <w:ind w:left="102" w:right="0"/>
        <w:jc w:val="left"/>
      </w:pPr>
      <w:r>
        <w:rPr>
          <w:rFonts w:ascii="Arial" w:hAnsi="Arial" w:cs="Arial" w:eastAsia="Arial" w:hint="default"/>
        </w:rPr>
        <w:t>(a)  </w:t>
      </w:r>
      <w:r>
        <w:rPr/>
        <w:t>应付持有本公司 </w:t>
      </w:r>
      <w:r>
        <w:rPr>
          <w:rFonts w:ascii="Arial" w:hAnsi="Arial" w:cs="Arial" w:eastAsia="Arial" w:hint="default"/>
        </w:rPr>
        <w:t>5%</w:t>
      </w:r>
      <w:r>
        <w:rPr/>
        <w:t>（含</w:t>
      </w:r>
      <w:r>
        <w:rPr>
          <w:spacing w:val="-88"/>
        </w:rPr>
        <w:t> </w:t>
      </w:r>
      <w:r>
        <w:rPr>
          <w:rFonts w:ascii="Arial" w:hAnsi="Arial" w:cs="Arial" w:eastAsia="Arial" w:hint="default"/>
        </w:rPr>
        <w:t>5%</w:t>
      </w:r>
      <w:r>
        <w:rPr/>
        <w:t>）以上表决权股份的股东单位的应付账款：</w:t>
      </w:r>
    </w:p>
    <w:p>
      <w:pPr>
        <w:spacing w:line="240" w:lineRule="auto" w:before="7"/>
        <w:rPr>
          <w:rFonts w:ascii="宋体" w:hAnsi="宋体" w:cs="宋体" w:eastAsia="宋体" w:hint="default"/>
          <w:sz w:val="15"/>
          <w:szCs w:val="15"/>
        </w:rPr>
      </w:pPr>
    </w:p>
    <w:tbl>
      <w:tblPr>
        <w:tblW w:w="0" w:type="auto"/>
        <w:jc w:val="left"/>
        <w:tblInd w:w="527" w:type="dxa"/>
        <w:tblLayout w:type="fixed"/>
        <w:tblCellMar>
          <w:top w:w="0" w:type="dxa"/>
          <w:left w:w="0" w:type="dxa"/>
          <w:bottom w:w="0" w:type="dxa"/>
          <w:right w:w="0" w:type="dxa"/>
        </w:tblCellMar>
        <w:tblLook w:val="01E0"/>
      </w:tblPr>
      <w:tblGrid>
        <w:gridCol w:w="4336"/>
        <w:gridCol w:w="2309"/>
        <w:gridCol w:w="2464"/>
      </w:tblGrid>
      <w:tr>
        <w:trPr>
          <w:trHeight w:val="360" w:hRule="exact"/>
        </w:trPr>
        <w:tc>
          <w:tcPr>
            <w:tcW w:w="4336"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4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64"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486"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602"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309" w:type="dxa"/>
            <w:tcBorders>
              <w:top w:val="single" w:sz="6" w:space="0" w:color="000000"/>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66"/>
              <w:jc w:val="right"/>
              <w:rPr>
                <w:rFonts w:ascii="Arial" w:hAnsi="Arial" w:cs="Arial" w:eastAsia="Arial" w:hint="default"/>
                <w:sz w:val="22"/>
                <w:szCs w:val="22"/>
              </w:rPr>
            </w:pPr>
            <w:r>
              <w:rPr>
                <w:rFonts w:ascii="Arial"/>
                <w:w w:val="95"/>
                <w:sz w:val="22"/>
              </w:rPr>
              <w:t>92,330,099</w:t>
            </w:r>
            <w:r>
              <w:rPr>
                <w:rFonts w:ascii="Arial"/>
                <w:sz w:val="22"/>
              </w:rPr>
            </w:r>
          </w:p>
        </w:tc>
        <w:tc>
          <w:tcPr>
            <w:tcW w:w="2464" w:type="dxa"/>
            <w:tcBorders>
              <w:top w:val="single" w:sz="6" w:space="0" w:color="000000"/>
              <w:left w:val="nil" w:sz="6" w:space="0" w:color="auto"/>
              <w:bottom w:val="single" w:sz="17" w:space="0" w:color="000000"/>
              <w:right w:val="nil" w:sz="6" w:space="0" w:color="auto"/>
            </w:tcBorders>
          </w:tcPr>
          <w:p>
            <w:pPr>
              <w:pStyle w:val="TableParagraph"/>
              <w:spacing w:line="253" w:lineRule="exact"/>
              <w:ind w:left="1329" w:right="0"/>
              <w:jc w:val="left"/>
              <w:rPr>
                <w:rFonts w:ascii="宋体" w:hAnsi="宋体" w:cs="宋体" w:eastAsia="宋体" w:hint="default"/>
                <w:sz w:val="22"/>
                <w:szCs w:val="22"/>
              </w:rPr>
            </w:pPr>
            <w:r>
              <w:rPr>
                <w:rFonts w:ascii="宋体" w:hAnsi="宋体" w:cs="宋体" w:eastAsia="宋体" w:hint="default"/>
                <w:sz w:val="22"/>
                <w:szCs w:val="22"/>
              </w:rPr>
              <w:t>（经重列）</w:t>
            </w:r>
          </w:p>
          <w:p>
            <w:pPr>
              <w:pStyle w:val="TableParagraph"/>
              <w:spacing w:line="240" w:lineRule="auto" w:before="64"/>
              <w:ind w:left="1115" w:right="0"/>
              <w:jc w:val="left"/>
              <w:rPr>
                <w:rFonts w:ascii="Arial" w:hAnsi="Arial" w:cs="Arial" w:eastAsia="Arial" w:hint="default"/>
                <w:sz w:val="22"/>
                <w:szCs w:val="22"/>
              </w:rPr>
            </w:pPr>
            <w:r>
              <w:rPr>
                <w:rFonts w:ascii="Arial"/>
                <w:sz w:val="22"/>
              </w:rPr>
              <w:t>100,080,818</w:t>
            </w:r>
          </w:p>
        </w:tc>
      </w:tr>
    </w:tbl>
    <w:p>
      <w:pPr>
        <w:spacing w:after="0" w:line="240" w:lineRule="auto"/>
        <w:jc w:val="left"/>
        <w:rPr>
          <w:rFonts w:ascii="Arial" w:hAnsi="Arial" w:cs="Arial" w:eastAsia="Arial" w:hint="default"/>
          <w:sz w:val="22"/>
          <w:szCs w:val="22"/>
        </w:rPr>
        <w:sectPr>
          <w:headerReference w:type="default" r:id="rId105"/>
          <w:pgSz w:w="11900" w:h="16840"/>
          <w:pgMar w:header="1189" w:footer="752" w:top="3040" w:bottom="940" w:left="1280" w:right="780"/>
        </w:sectPr>
      </w:pPr>
    </w:p>
    <w:p>
      <w:pPr>
        <w:spacing w:line="240" w:lineRule="auto" w:before="9"/>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4734"/>
        <w:gridCol w:w="2433"/>
        <w:gridCol w:w="2401"/>
      </w:tblGrid>
      <w:tr>
        <w:trPr>
          <w:trHeight w:val="1437"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18</w:t>
            </w:r>
            <w:r>
              <w:rPr>
                <w:rFonts w:ascii="宋体" w:hAnsi="宋体" w:cs="宋体" w:eastAsia="宋体" w:hint="default"/>
                <w:sz w:val="22"/>
                <w:szCs w:val="22"/>
              </w:rPr>
              <w:t>、应付账款（续）</w:t>
            </w:r>
          </w:p>
          <w:p>
            <w:pPr>
              <w:pStyle w:val="TableParagraph"/>
              <w:spacing w:line="240" w:lineRule="auto" w:before="13"/>
              <w:ind w:right="0"/>
              <w:jc w:val="left"/>
              <w:rPr>
                <w:rFonts w:ascii="宋体" w:hAnsi="宋体" w:cs="宋体" w:eastAsia="宋体" w:hint="default"/>
                <w:sz w:val="17"/>
                <w:szCs w:val="17"/>
              </w:rPr>
            </w:pPr>
          </w:p>
          <w:p>
            <w:pPr>
              <w:pStyle w:val="TableParagraph"/>
              <w:tabs>
                <w:tab w:pos="511" w:val="left" w:leader="none"/>
              </w:tabs>
              <w:spacing w:line="240" w:lineRule="auto"/>
              <w:ind w:left="35" w:right="0"/>
              <w:jc w:val="left"/>
              <w:rPr>
                <w:rFonts w:ascii="宋体" w:hAnsi="宋体" w:cs="宋体" w:eastAsia="宋体" w:hint="default"/>
                <w:sz w:val="22"/>
                <w:szCs w:val="22"/>
              </w:rPr>
            </w:pPr>
            <w:r>
              <w:rPr>
                <w:rFonts w:ascii="Arial" w:hAnsi="Arial" w:cs="Arial" w:eastAsia="Arial" w:hint="default"/>
                <w:w w:val="95"/>
                <w:sz w:val="22"/>
                <w:szCs w:val="22"/>
              </w:rPr>
              <w:t>(b)</w:t>
              <w:tab/>
            </w:r>
            <w:r>
              <w:rPr>
                <w:rFonts w:ascii="宋体" w:hAnsi="宋体" w:cs="宋体" w:eastAsia="宋体" w:hint="default"/>
                <w:sz w:val="22"/>
                <w:szCs w:val="22"/>
              </w:rPr>
              <w:t>应付关联方的应付账款：</w:t>
            </w:r>
          </w:p>
        </w:tc>
        <w:tc>
          <w:tcPr>
            <w:tcW w:w="243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01"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93" w:hRule="exact"/>
        </w:trPr>
        <w:tc>
          <w:tcPr>
            <w:tcW w:w="4734" w:type="dxa"/>
            <w:tcBorders>
              <w:top w:val="nil" w:sz="6" w:space="0" w:color="auto"/>
              <w:left w:val="nil" w:sz="6" w:space="0" w:color="auto"/>
              <w:bottom w:val="nil" w:sz="6" w:space="0" w:color="auto"/>
              <w:right w:val="nil" w:sz="6" w:space="0" w:color="auto"/>
            </w:tcBorders>
          </w:tcPr>
          <w:p>
            <w:pPr/>
          </w:p>
        </w:tc>
        <w:tc>
          <w:tcPr>
            <w:tcW w:w="2433" w:type="dxa"/>
            <w:tcBorders>
              <w:top w:val="single" w:sz="6" w:space="0" w:color="000000"/>
              <w:left w:val="nil" w:sz="6" w:space="0" w:color="auto"/>
              <w:bottom w:val="nil" w:sz="6" w:space="0" w:color="auto"/>
              <w:right w:val="nil" w:sz="6" w:space="0" w:color="auto"/>
            </w:tcBorders>
          </w:tcPr>
          <w:p>
            <w:pPr/>
          </w:p>
        </w:tc>
        <w:tc>
          <w:tcPr>
            <w:tcW w:w="2401" w:type="dxa"/>
            <w:tcBorders>
              <w:top w:val="single" w:sz="6" w:space="0" w:color="000000"/>
              <w:left w:val="nil" w:sz="6" w:space="0" w:color="auto"/>
              <w:bottom w:val="nil" w:sz="6" w:space="0" w:color="auto"/>
              <w:right w:val="nil" w:sz="6" w:space="0" w:color="auto"/>
            </w:tcBorders>
          </w:tcPr>
          <w:p>
            <w:pPr>
              <w:pStyle w:val="TableParagraph"/>
              <w:spacing w:line="253" w:lineRule="exact"/>
              <w:ind w:right="33"/>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98"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53" w:lineRule="exact"/>
              <w:ind w:left="494"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9"/>
              <w:jc w:val="right"/>
              <w:rPr>
                <w:rFonts w:ascii="Arial" w:hAnsi="Arial" w:cs="Arial" w:eastAsia="Arial" w:hint="default"/>
                <w:sz w:val="22"/>
                <w:szCs w:val="22"/>
              </w:rPr>
            </w:pPr>
            <w:r>
              <w:rPr>
                <w:rFonts w:ascii="Arial"/>
                <w:w w:val="95"/>
                <w:sz w:val="22"/>
              </w:rPr>
              <w:t>92,330,099</w:t>
            </w:r>
            <w:r>
              <w:rPr>
                <w:rFonts w:ascii="Arial"/>
                <w:sz w:val="22"/>
              </w:rPr>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5"/>
              <w:jc w:val="right"/>
              <w:rPr>
                <w:rFonts w:ascii="Arial" w:hAnsi="Arial" w:cs="Arial" w:eastAsia="Arial" w:hint="default"/>
                <w:sz w:val="22"/>
                <w:szCs w:val="22"/>
              </w:rPr>
            </w:pPr>
            <w:r>
              <w:rPr>
                <w:rFonts w:ascii="Arial"/>
                <w:w w:val="95"/>
                <w:sz w:val="22"/>
              </w:rPr>
              <w:t>100,080,818</w:t>
            </w:r>
            <w:r>
              <w:rPr>
                <w:rFonts w:ascii="Arial"/>
                <w:sz w:val="22"/>
              </w:rPr>
            </w:r>
          </w:p>
        </w:tc>
      </w:tr>
      <w:tr>
        <w:trPr>
          <w:trHeight w:val="285"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39" w:lineRule="exact"/>
              <w:ind w:left="494"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606,324,002</w:t>
            </w:r>
            <w:r>
              <w:rPr>
                <w:rFonts w:ascii="Arial"/>
                <w:sz w:val="22"/>
              </w:rPr>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562,869,876</w:t>
            </w:r>
            <w:r>
              <w:rPr>
                <w:rFonts w:ascii="Arial"/>
                <w:sz w:val="22"/>
              </w:rPr>
            </w:r>
          </w:p>
        </w:tc>
      </w:tr>
      <w:tr>
        <w:trPr>
          <w:trHeight w:val="286"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39" w:lineRule="exact"/>
              <w:ind w:left="494"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w w:val="95"/>
                <w:sz w:val="22"/>
              </w:rPr>
              <w:t>1,689,851</w:t>
            </w:r>
            <w:r>
              <w:rPr>
                <w:rFonts w:ascii="Arial"/>
                <w:sz w:val="22"/>
              </w:rPr>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22"/>
                <w:szCs w:val="22"/>
              </w:rPr>
            </w:pPr>
            <w:r>
              <w:rPr>
                <w:rFonts w:ascii="Arial"/>
                <w:w w:val="95"/>
                <w:sz w:val="22"/>
              </w:rPr>
              <w:t>2,960,265</w:t>
            </w:r>
            <w:r>
              <w:rPr>
                <w:rFonts w:ascii="Arial"/>
                <w:sz w:val="22"/>
              </w:rPr>
            </w:r>
          </w:p>
        </w:tc>
      </w:tr>
      <w:tr>
        <w:trPr>
          <w:trHeight w:val="286"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39" w:lineRule="exact"/>
              <w:ind w:left="494" w:right="0"/>
              <w:jc w:val="left"/>
              <w:rPr>
                <w:rFonts w:ascii="宋体" w:hAnsi="宋体" w:cs="宋体" w:eastAsia="宋体" w:hint="default"/>
                <w:sz w:val="22"/>
                <w:szCs w:val="22"/>
              </w:rPr>
            </w:pPr>
            <w:r>
              <w:rPr>
                <w:rFonts w:ascii="宋体" w:hAnsi="宋体" w:cs="宋体" w:eastAsia="宋体" w:hint="default"/>
                <w:sz w:val="22"/>
                <w:szCs w:val="22"/>
              </w:rPr>
              <w:t>联通时科</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w w:val="95"/>
                <w:sz w:val="22"/>
              </w:rPr>
              <w:t>24,903,605</w:t>
            </w:r>
            <w:r>
              <w:rPr>
                <w:rFonts w:ascii="Arial"/>
                <w:sz w:val="22"/>
              </w:rPr>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22"/>
                <w:szCs w:val="22"/>
              </w:rPr>
            </w:pPr>
            <w:r>
              <w:rPr>
                <w:rFonts w:ascii="Arial"/>
                <w:w w:val="95"/>
                <w:sz w:val="22"/>
              </w:rPr>
              <w:t>19,913,307</w:t>
            </w:r>
            <w:r>
              <w:rPr>
                <w:rFonts w:ascii="Arial"/>
                <w:sz w:val="22"/>
              </w:rPr>
            </w:r>
          </w:p>
        </w:tc>
      </w:tr>
      <w:tr>
        <w:trPr>
          <w:trHeight w:val="419"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39" w:lineRule="exact"/>
              <w:ind w:left="494"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433" w:type="dxa"/>
            <w:tcBorders>
              <w:top w:val="nil" w:sz="6" w:space="0" w:color="auto"/>
              <w:left w:val="nil" w:sz="6" w:space="0" w:color="auto"/>
              <w:bottom w:val="nil" w:sz="6" w:space="0" w:color="auto"/>
              <w:right w:val="nil" w:sz="6" w:space="0" w:color="auto"/>
            </w:tcBorders>
          </w:tcPr>
          <w:p>
            <w:pPr>
              <w:pStyle w:val="TableParagraph"/>
              <w:tabs>
                <w:tab w:pos="901" w:val="left" w:leader="none"/>
              </w:tabs>
              <w:spacing w:line="240" w:lineRule="auto" w:before="17"/>
              <w:ind w:right="10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2,611,520,276</w:t>
            </w:r>
            <w:r>
              <w:rPr>
                <w:rFonts w:ascii="Arial"/>
                <w:spacing w:val="-1"/>
                <w:sz w:val="22"/>
              </w:rPr>
            </w:r>
          </w:p>
        </w:tc>
        <w:tc>
          <w:tcPr>
            <w:tcW w:w="2401" w:type="dxa"/>
            <w:tcBorders>
              <w:top w:val="nil" w:sz="6" w:space="0" w:color="auto"/>
              <w:left w:val="nil" w:sz="6" w:space="0" w:color="auto"/>
              <w:bottom w:val="nil" w:sz="6" w:space="0" w:color="auto"/>
              <w:right w:val="nil" w:sz="6" w:space="0" w:color="auto"/>
            </w:tcBorders>
          </w:tcPr>
          <w:p>
            <w:pPr>
              <w:pStyle w:val="TableParagraph"/>
              <w:tabs>
                <w:tab w:pos="835" w:val="left" w:leader="none"/>
                <w:tab w:pos="2300" w:val="left" w:leader="none"/>
              </w:tabs>
              <w:spacing w:line="240" w:lineRule="auto" w:before="17"/>
              <w:ind w:right="5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2,374,659,426</w:t>
              <w:tab/>
            </w:r>
            <w:r>
              <w:rPr>
                <w:rFonts w:ascii="Arial"/>
                <w:spacing w:val="-1"/>
                <w:sz w:val="22"/>
              </w:rPr>
            </w:r>
          </w:p>
        </w:tc>
      </w:tr>
      <w:tr>
        <w:trPr>
          <w:trHeight w:val="430"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433"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9"/>
              <w:jc w:val="right"/>
              <w:rPr>
                <w:rFonts w:ascii="Arial" w:hAnsi="Arial" w:cs="Arial" w:eastAsia="Arial" w:hint="default"/>
                <w:sz w:val="22"/>
                <w:szCs w:val="22"/>
              </w:rPr>
            </w:pPr>
            <w:r>
              <w:rPr>
                <w:rFonts w:ascii="Arial"/>
                <w:spacing w:val="-1"/>
                <w:sz w:val="22"/>
              </w:rPr>
              <w:t>3,336,767,833</w:t>
            </w:r>
          </w:p>
        </w:tc>
        <w:tc>
          <w:tcPr>
            <w:tcW w:w="240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6"/>
              <w:jc w:val="right"/>
              <w:rPr>
                <w:rFonts w:ascii="Arial" w:hAnsi="Arial" w:cs="Arial" w:eastAsia="Arial" w:hint="default"/>
                <w:sz w:val="22"/>
                <w:szCs w:val="22"/>
              </w:rPr>
            </w:pPr>
            <w:r>
              <w:rPr>
                <w:rFonts w:ascii="Arial"/>
                <w:spacing w:val="-1"/>
                <w:sz w:val="22"/>
              </w:rPr>
              <w:t>3,060,483,692</w:t>
            </w:r>
          </w:p>
        </w:tc>
      </w:tr>
    </w:tbl>
    <w:p>
      <w:pPr>
        <w:spacing w:line="240" w:lineRule="auto" w:before="7"/>
        <w:rPr>
          <w:rFonts w:ascii="宋体" w:hAnsi="宋体" w:cs="宋体" w:eastAsia="宋体" w:hint="default"/>
          <w:sz w:val="12"/>
          <w:szCs w:val="12"/>
        </w:rPr>
      </w:pPr>
    </w:p>
    <w:p>
      <w:pPr>
        <w:pStyle w:val="BodyText"/>
        <w:tabs>
          <w:tab w:pos="618" w:val="left" w:leader="none"/>
        </w:tabs>
        <w:spacing w:line="295" w:lineRule="exact" w:before="31"/>
        <w:ind w:left="142" w:right="0"/>
        <w:jc w:val="left"/>
      </w:pPr>
      <w:r>
        <w:rPr>
          <w:rFonts w:ascii="Arial" w:hAnsi="Arial" w:cs="Arial" w:eastAsia="Arial" w:hint="default"/>
          <w:w w:val="95"/>
        </w:rPr>
        <w:t>(c)</w:t>
        <w:tab/>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6"/>
        </w:rPr>
        <w:t>日，账龄超过</w:t>
      </w:r>
      <w:r>
        <w:rPr>
          <w:spacing w:val="-56"/>
        </w:rPr>
        <w:t> </w:t>
      </w:r>
      <w:r>
        <w:rPr>
          <w:rFonts w:ascii="Arial" w:hAnsi="Arial" w:cs="Arial" w:eastAsia="Arial" w:hint="default"/>
        </w:rPr>
        <w:t>1</w:t>
      </w:r>
      <w:r>
        <w:rPr>
          <w:rFonts w:ascii="Arial" w:hAnsi="Arial" w:cs="Arial" w:eastAsia="Arial" w:hint="default"/>
          <w:spacing w:val="-6"/>
        </w:rPr>
        <w:t> </w:t>
      </w:r>
      <w:r>
        <w:rPr/>
        <w:t>年的应付账款约人民币</w:t>
      </w:r>
      <w:r>
        <w:rPr>
          <w:spacing w:val="-55"/>
        </w:rPr>
        <w:t> </w:t>
      </w:r>
      <w:r>
        <w:rPr>
          <w:rFonts w:ascii="Arial" w:hAnsi="Arial" w:cs="Arial" w:eastAsia="Arial" w:hint="default"/>
        </w:rPr>
        <w:t>73.01</w:t>
      </w:r>
      <w:r>
        <w:rPr>
          <w:rFonts w:ascii="Arial" w:hAnsi="Arial" w:cs="Arial" w:eastAsia="Arial" w:hint="default"/>
          <w:spacing w:val="-7"/>
        </w:rPr>
        <w:t> </w:t>
      </w:r>
      <w:r>
        <w:rPr>
          <w:spacing w:val="-5"/>
        </w:rPr>
        <w:t>亿元（</w:t>
      </w:r>
      <w:r>
        <w:rPr>
          <w:rFonts w:ascii="Arial" w:hAnsi="Arial" w:cs="Arial" w:eastAsia="Arial" w:hint="default"/>
          <w:spacing w:val="-5"/>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4" w:lineRule="exact" w:before="20"/>
        <w:ind w:left="618" w:right="241"/>
        <w:jc w:val="left"/>
      </w:pPr>
      <w:r>
        <w:rPr/>
        <w:t>约人民币</w:t>
      </w:r>
      <w:r>
        <w:rPr>
          <w:spacing w:val="-65"/>
        </w:rPr>
        <w:t> </w:t>
      </w:r>
      <w:r>
        <w:rPr>
          <w:rFonts w:ascii="Arial" w:hAnsi="Arial" w:cs="Arial" w:eastAsia="Arial" w:hint="default"/>
        </w:rPr>
        <w:t>72.83</w:t>
      </w:r>
      <w:r>
        <w:rPr>
          <w:rFonts w:ascii="Arial" w:hAnsi="Arial" w:cs="Arial" w:eastAsia="Arial" w:hint="default"/>
          <w:spacing w:val="-16"/>
        </w:rPr>
        <w:t> </w:t>
      </w:r>
      <w:r>
        <w:rPr/>
        <w:t>亿元），主要为应付工程及设备款，包括账龄超过一年尚未支付的工程或设备</w:t>
      </w:r>
      <w:r>
        <w:rPr>
          <w:w w:val="99"/>
        </w:rPr>
        <w:t> </w:t>
      </w:r>
      <w:r>
        <w:rPr/>
        <w:t>质保金等，鉴于债权债务双方仍继续发生业务往来，该项账款尚未结清。</w:t>
      </w:r>
    </w:p>
    <w:p>
      <w:pPr>
        <w:spacing w:line="240" w:lineRule="auto" w:before="3"/>
        <w:rPr>
          <w:rFonts w:ascii="宋体" w:hAnsi="宋体" w:cs="宋体" w:eastAsia="宋体" w:hint="default"/>
          <w:sz w:val="17"/>
          <w:szCs w:val="17"/>
        </w:rPr>
      </w:pPr>
    </w:p>
    <w:p>
      <w:pPr>
        <w:pStyle w:val="BodyText"/>
        <w:tabs>
          <w:tab w:pos="618" w:val="left" w:leader="none"/>
        </w:tabs>
        <w:spacing w:line="240" w:lineRule="auto"/>
        <w:ind w:left="142" w:right="0"/>
        <w:jc w:val="left"/>
      </w:pPr>
      <w:r>
        <w:rPr>
          <w:rFonts w:ascii="Arial" w:hAnsi="Arial" w:cs="Arial" w:eastAsia="Arial" w:hint="default"/>
          <w:w w:val="99"/>
        </w:rPr>
        <w:t>(d)</w:t>
      </w:r>
      <w:r>
        <w:rPr>
          <w:rFonts w:ascii="Arial" w:hAnsi="Arial" w:cs="Arial" w:eastAsia="Arial" w:hint="default"/>
        </w:rPr>
        <w:tab/>
      </w:r>
      <w:r>
        <w:rPr>
          <w:w w:val="99"/>
        </w:rPr>
        <w:t>于</w:t>
      </w:r>
      <w:r>
        <w:rPr>
          <w:spacing w:val="-55"/>
        </w:rPr>
        <w:t> </w:t>
      </w:r>
      <w:r>
        <w:rPr>
          <w:rFonts w:ascii="Arial" w:hAnsi="Arial" w:cs="Arial" w:eastAsia="Arial" w:hint="default"/>
          <w:w w:val="99"/>
        </w:rPr>
        <w:t>2011</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日及</w:t>
      </w:r>
      <w:r>
        <w:rPr>
          <w:spacing w:val="-55"/>
        </w:rPr>
        <w:t> </w:t>
      </w:r>
      <w:r>
        <w:rPr>
          <w:rFonts w:ascii="Arial" w:hAnsi="Arial" w:cs="Arial" w:eastAsia="Arial" w:hint="default"/>
          <w:w w:val="99"/>
        </w:rPr>
        <w:t>2010</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w:t>
      </w:r>
      <w:r>
        <w:rPr>
          <w:spacing w:val="-104"/>
          <w:w w:val="99"/>
        </w:rPr>
        <w:t>，</w:t>
      </w:r>
      <w:r>
        <w:rPr>
          <w:w w:val="99"/>
        </w:rPr>
        <w:t>本集团</w:t>
      </w:r>
      <w:r>
        <w:rPr>
          <w:spacing w:val="1"/>
          <w:w w:val="99"/>
        </w:rPr>
        <w:t>应付</w:t>
      </w:r>
      <w:r>
        <w:rPr>
          <w:w w:val="99"/>
        </w:rPr>
        <w:t>账款中</w:t>
      </w:r>
      <w:r>
        <w:rPr>
          <w:spacing w:val="1"/>
          <w:w w:val="99"/>
        </w:rPr>
        <w:t>以外</w:t>
      </w:r>
      <w:r>
        <w:rPr>
          <w:w w:val="99"/>
        </w:rPr>
        <w:t>币计价</w:t>
      </w:r>
      <w:r>
        <w:rPr>
          <w:spacing w:val="1"/>
          <w:w w:val="99"/>
        </w:rPr>
        <w:t>的余</w:t>
      </w:r>
      <w:r>
        <w:rPr>
          <w:w w:val="99"/>
        </w:rPr>
        <w:t>额并不</w:t>
      </w:r>
      <w:r>
        <w:rPr>
          <w:spacing w:val="1"/>
          <w:w w:val="99"/>
        </w:rPr>
        <w:t>重</w:t>
      </w:r>
      <w:r>
        <w:rPr>
          <w:w w:val="99"/>
        </w:rPr>
        <w:t>大。</w:t>
      </w:r>
      <w:r>
        <w:rPr/>
      </w:r>
    </w:p>
    <w:p>
      <w:pPr>
        <w:spacing w:line="240" w:lineRule="auto" w:before="12"/>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19</w:t>
      </w:r>
      <w:r>
        <w:rPr/>
        <w:t>、预收款项</w:t>
      </w:r>
    </w:p>
    <w:p>
      <w:pPr>
        <w:spacing w:line="240" w:lineRule="auto" w:before="13"/>
        <w:rPr>
          <w:rFonts w:ascii="宋体" w:hAnsi="宋体" w:cs="宋体" w:eastAsia="宋体" w:hint="default"/>
          <w:sz w:val="17"/>
          <w:szCs w:val="17"/>
        </w:rPr>
      </w:pPr>
    </w:p>
    <w:p>
      <w:pPr>
        <w:pStyle w:val="BodyText"/>
        <w:tabs>
          <w:tab w:pos="2705" w:val="left" w:leader="none"/>
        </w:tabs>
        <w:spacing w:line="302" w:lineRule="exact"/>
        <w:ind w:left="0" w:right="212"/>
        <w:jc w:val="righ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6" w:lineRule="exact"/>
        <w:ind w:left="0" w:right="125"/>
        <w:jc w:val="right"/>
      </w:pPr>
      <w:r>
        <w:rPr/>
        <w:pict>
          <v:group style="position:absolute;margin-left:298.739990pt;margin-top:1.360663pt;width:112.65pt;height:.1pt;mso-position-horizontal-relative:page;mso-position-vertical-relative:paragraph;z-index:5488" coordorigin="5975,27" coordsize="2253,2">
            <v:shape style="position:absolute;left:5975;top:27;width:2253;height:2" coordorigin="5975,27" coordsize="2253,0" path="m5975,27l8227,27e" filled="false" stroked="true" strokeweight=".72pt" strokecolor="#000000">
              <v:path arrowok="t"/>
            </v:shape>
            <w10:wrap type="none"/>
          </v:group>
        </w:pict>
      </w:r>
      <w:r>
        <w:rPr/>
        <w:pict>
          <v:group style="position:absolute;margin-left:422.399994pt;margin-top:1.360663pt;width:126pt;height:.1pt;mso-position-horizontal-relative:page;mso-position-vertical-relative:paragraph;z-index:-818800" coordorigin="8448,27" coordsize="2520,2">
            <v:shape style="position:absolute;left:8448;top:27;width:2520;height:2" coordorigin="8448,27" coordsize="2520,0" path="m8448,27l10968,27e" filled="false" stroked="true" strokeweight=".72pt" strokecolor="#000000">
              <v:path arrowok="t"/>
            </v:shape>
            <w10:wrap type="none"/>
          </v:group>
        </w:pict>
      </w:r>
      <w:r>
        <w:rPr>
          <w:w w:val="95"/>
        </w:rPr>
        <w:t>（经重列）</w:t>
      </w:r>
      <w:r>
        <w:rPr/>
      </w:r>
    </w:p>
    <w:p>
      <w:pPr>
        <w:spacing w:line="240" w:lineRule="auto" w:before="1"/>
        <w:rPr>
          <w:rFonts w:ascii="宋体" w:hAnsi="宋体" w:cs="宋体" w:eastAsia="宋体" w:hint="default"/>
          <w:sz w:val="3"/>
          <w:szCs w:val="3"/>
        </w:rPr>
      </w:pPr>
    </w:p>
    <w:tbl>
      <w:tblPr>
        <w:tblW w:w="0" w:type="auto"/>
        <w:jc w:val="left"/>
        <w:tblInd w:w="567" w:type="dxa"/>
        <w:tblLayout w:type="fixed"/>
        <w:tblCellMar>
          <w:top w:w="0" w:type="dxa"/>
          <w:left w:w="0" w:type="dxa"/>
          <w:bottom w:w="0" w:type="dxa"/>
          <w:right w:w="0" w:type="dxa"/>
        </w:tblCellMar>
        <w:tblLook w:val="01E0"/>
      </w:tblPr>
      <w:tblGrid>
        <w:gridCol w:w="3727"/>
        <w:gridCol w:w="2804"/>
        <w:gridCol w:w="2665"/>
      </w:tblGrid>
      <w:tr>
        <w:trPr>
          <w:trHeight w:val="292"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预收用户预存通信服务费</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2"/>
              <w:jc w:val="right"/>
              <w:rPr>
                <w:rFonts w:ascii="Arial" w:hAnsi="Arial" w:cs="Arial" w:eastAsia="Arial" w:hint="default"/>
                <w:sz w:val="22"/>
                <w:szCs w:val="22"/>
              </w:rPr>
            </w:pPr>
            <w:r>
              <w:rPr>
                <w:rFonts w:ascii="Arial"/>
                <w:spacing w:val="-1"/>
                <w:sz w:val="22"/>
              </w:rPr>
              <w:t>34,927,788,432</w:t>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67" w:right="0"/>
              <w:jc w:val="left"/>
              <w:rPr>
                <w:rFonts w:ascii="Arial" w:hAnsi="Arial" w:cs="Arial" w:eastAsia="Arial" w:hint="default"/>
                <w:sz w:val="22"/>
                <w:szCs w:val="22"/>
              </w:rPr>
            </w:pPr>
            <w:r>
              <w:rPr>
                <w:rFonts w:ascii="Arial"/>
                <w:sz w:val="22"/>
              </w:rPr>
              <w:t>28,241,321,445</w:t>
            </w:r>
          </w:p>
        </w:tc>
      </w:tr>
      <w:tr>
        <w:trPr>
          <w:trHeight w:val="286"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预收工程款</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1"/>
              <w:jc w:val="right"/>
              <w:rPr>
                <w:rFonts w:ascii="Arial" w:hAnsi="Arial" w:cs="Arial" w:eastAsia="Arial" w:hint="default"/>
                <w:sz w:val="22"/>
                <w:szCs w:val="22"/>
              </w:rPr>
            </w:pPr>
            <w:r>
              <w:rPr>
                <w:rFonts w:ascii="Arial"/>
                <w:w w:val="95"/>
                <w:sz w:val="22"/>
              </w:rPr>
              <w:t>220,744,415</w:t>
            </w:r>
            <w:r>
              <w:rPr>
                <w:rFonts w:ascii="Arial"/>
                <w:sz w:val="22"/>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72" w:right="0"/>
              <w:jc w:val="left"/>
              <w:rPr>
                <w:rFonts w:ascii="Arial" w:hAnsi="Arial" w:cs="Arial" w:eastAsia="Arial" w:hint="default"/>
                <w:sz w:val="22"/>
                <w:szCs w:val="22"/>
              </w:rPr>
            </w:pPr>
            <w:r>
              <w:rPr>
                <w:rFonts w:ascii="Arial"/>
                <w:sz w:val="22"/>
              </w:rPr>
              <w:t>111,226,276</w:t>
            </w:r>
          </w:p>
        </w:tc>
      </w:tr>
      <w:tr>
        <w:trPr>
          <w:trHeight w:val="285"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递延收益流动部分（附注五</w:t>
            </w:r>
            <w:r>
              <w:rPr>
                <w:rFonts w:ascii="Arial" w:hAnsi="Arial" w:cs="Arial" w:eastAsia="Arial" w:hint="default"/>
                <w:sz w:val="22"/>
                <w:szCs w:val="22"/>
              </w:rPr>
              <w:t>(29)</w:t>
            </w:r>
            <w:r>
              <w:rPr>
                <w:rFonts w:ascii="宋体" w:hAnsi="宋体" w:cs="宋体" w:eastAsia="宋体" w:hint="default"/>
                <w:sz w:val="22"/>
                <w:szCs w:val="22"/>
              </w:rPr>
              <w:t>）</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1"/>
              <w:jc w:val="right"/>
              <w:rPr>
                <w:rFonts w:ascii="Arial" w:hAnsi="Arial" w:cs="Arial" w:eastAsia="Arial" w:hint="default"/>
                <w:sz w:val="22"/>
                <w:szCs w:val="22"/>
              </w:rPr>
            </w:pPr>
            <w:r>
              <w:rPr>
                <w:rFonts w:ascii="Arial"/>
                <w:w w:val="95"/>
                <w:sz w:val="22"/>
              </w:rPr>
              <w:t>881,652,188</w:t>
            </w:r>
            <w:r>
              <w:rPr>
                <w:rFonts w:ascii="Arial"/>
                <w:sz w:val="22"/>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9" w:right="0"/>
              <w:jc w:val="left"/>
              <w:rPr>
                <w:rFonts w:ascii="Arial" w:hAnsi="Arial" w:cs="Arial" w:eastAsia="Arial" w:hint="default"/>
                <w:sz w:val="22"/>
                <w:szCs w:val="22"/>
              </w:rPr>
            </w:pPr>
            <w:r>
              <w:rPr>
                <w:rFonts w:ascii="Arial"/>
                <w:sz w:val="22"/>
              </w:rPr>
              <w:t>1,042,085,610</w:t>
            </w:r>
          </w:p>
        </w:tc>
      </w:tr>
      <w:tr>
        <w:trPr>
          <w:trHeight w:val="365"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04" w:type="dxa"/>
            <w:tcBorders>
              <w:top w:val="nil" w:sz="6" w:space="0" w:color="auto"/>
              <w:left w:val="nil" w:sz="6" w:space="0" w:color="auto"/>
              <w:bottom w:val="nil" w:sz="6" w:space="0" w:color="auto"/>
              <w:right w:val="nil" w:sz="6" w:space="0" w:color="auto"/>
            </w:tcBorders>
          </w:tcPr>
          <w:p>
            <w:pPr>
              <w:pStyle w:val="TableParagraph"/>
              <w:tabs>
                <w:tab w:pos="945" w:val="left" w:leader="none"/>
                <w:tab w:pos="2252" w:val="left" w:leader="none"/>
              </w:tabs>
              <w:spacing w:line="240" w:lineRule="auto" w:before="17"/>
              <w:ind w:right="10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590,519,850</w:t>
            </w:r>
            <w:r>
              <w:rPr>
                <w:rFonts w:ascii="Arial"/>
                <w:sz w:val="22"/>
                <w:u w:val="single" w:color="000000"/>
              </w:rPr>
              <w:tab/>
            </w:r>
            <w:r>
              <w:rPr>
                <w:rFonts w:ascii="Arial"/>
                <w:sz w:val="22"/>
              </w:rPr>
            </w:r>
          </w:p>
        </w:tc>
        <w:tc>
          <w:tcPr>
            <w:tcW w:w="2665" w:type="dxa"/>
            <w:tcBorders>
              <w:top w:val="nil" w:sz="6" w:space="0" w:color="auto"/>
              <w:left w:val="nil" w:sz="6" w:space="0" w:color="auto"/>
              <w:bottom w:val="nil" w:sz="6" w:space="0" w:color="auto"/>
              <w:right w:val="nil" w:sz="6" w:space="0" w:color="auto"/>
            </w:tcBorders>
          </w:tcPr>
          <w:p>
            <w:pPr>
              <w:pStyle w:val="TableParagraph"/>
              <w:tabs>
                <w:tab w:pos="1272" w:val="left" w:leader="none"/>
                <w:tab w:pos="2630" w:val="left" w:leader="none"/>
              </w:tabs>
              <w:spacing w:line="240" w:lineRule="auto" w:before="17"/>
              <w:ind w:left="110"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577,651,773</w:t>
              <w:tab/>
            </w:r>
            <w:r>
              <w:rPr>
                <w:rFonts w:ascii="Arial"/>
                <w:sz w:val="22"/>
              </w:rPr>
            </w:r>
          </w:p>
        </w:tc>
      </w:tr>
    </w:tbl>
    <w:p>
      <w:pPr>
        <w:spacing w:line="240" w:lineRule="auto" w:before="3"/>
        <w:rPr>
          <w:rFonts w:ascii="宋体" w:hAnsi="宋体" w:cs="宋体" w:eastAsia="宋体" w:hint="default"/>
          <w:sz w:val="8"/>
          <w:szCs w:val="8"/>
        </w:rPr>
      </w:pPr>
    </w:p>
    <w:p>
      <w:pPr>
        <w:pStyle w:val="BodyText"/>
        <w:tabs>
          <w:tab w:pos="5363" w:val="left" w:leader="none"/>
          <w:tab w:pos="8064" w:val="left" w:leader="none"/>
        </w:tabs>
        <w:spacing w:line="240" w:lineRule="auto" w:before="27"/>
        <w:ind w:left="601" w:right="0"/>
        <w:jc w:val="left"/>
        <w:rPr>
          <w:rFonts w:ascii="Arial" w:hAnsi="Arial" w:cs="Arial" w:eastAsia="Arial" w:hint="default"/>
        </w:rPr>
      </w:pPr>
      <w:r>
        <w:rPr>
          <w:w w:val="95"/>
          <w:position w:val="2"/>
        </w:rPr>
        <w:t>合计</w:t>
        <w:tab/>
      </w:r>
      <w:r>
        <w:rPr>
          <w:rFonts w:ascii="Arial" w:hAnsi="Arial" w:cs="Arial" w:eastAsia="Arial" w:hint="default"/>
          <w:spacing w:val="-1"/>
        </w:rPr>
        <w:t>36,620,704,885</w:t>
        <w:tab/>
        <w:t>29,972,285,104</w:t>
      </w:r>
    </w:p>
    <w:p>
      <w:pPr>
        <w:spacing w:line="43" w:lineRule="exact"/>
        <w:ind w:left="4713" w:right="0" w:firstLine="0"/>
        <w:rPr>
          <w:rFonts w:ascii="Arial" w:hAnsi="Arial" w:cs="Arial" w:eastAsia="Arial" w:hint="default"/>
          <w:sz w:val="4"/>
          <w:szCs w:val="4"/>
        </w:rPr>
      </w:pPr>
      <w:r>
        <w:rPr>
          <w:rFonts w:ascii="Arial"/>
          <w:position w:val="0"/>
          <w:sz w:val="4"/>
        </w:rPr>
        <w:pict>
          <v:group style="width:114.1pt;height:2.2pt;mso-position-horizontal-relative:char;mso-position-vertical-relative:line" coordorigin="0,0" coordsize="2282,44">
            <v:group style="position:absolute;left:7;top:36;width:2267;height:2" coordorigin="7,36" coordsize="2267,2">
              <v:shape style="position:absolute;left:7;top:36;width:2267;height:2" coordorigin="7,36" coordsize="2267,0" path="m7,36l2274,36e" filled="false" stroked="true" strokeweight=".72pt" strokecolor="#000000">
                <v:path arrowok="t"/>
              </v:shape>
            </v:group>
            <v:group style="position:absolute;left:7;top:7;width:2267;height:2" coordorigin="7,7" coordsize="2267,2">
              <v:shape style="position:absolute;left:7;top:7;width:2267;height:2" coordorigin="7,7" coordsize="2267,0" path="m7,7l2274,7e" filled="false" stroked="true" strokeweight=".72pt" strokecolor="#000000">
                <v:path arrowok="t"/>
              </v:shape>
            </v:group>
          </v:group>
        </w:pict>
      </w:r>
      <w:r>
        <w:rPr>
          <w:rFonts w:ascii="Arial"/>
          <w:position w:val="0"/>
          <w:sz w:val="4"/>
        </w:rPr>
      </w:r>
      <w:r>
        <w:rPr>
          <w:rFonts w:ascii="Times New Roman"/>
          <w:spacing w:val="176"/>
          <w:position w:val="0"/>
          <w:sz w:val="4"/>
        </w:rPr>
        <w:t> </w:t>
      </w:r>
      <w:r>
        <w:rPr>
          <w:rFonts w:ascii="Arial"/>
          <w:spacing w:val="176"/>
          <w:position w:val="0"/>
          <w:sz w:val="4"/>
        </w:rPr>
        <w:pict>
          <v:group style="width:127.45pt;height:2.2pt;mso-position-horizontal-relative:char;mso-position-vertical-relative:line" coordorigin="0,0" coordsize="2549,44">
            <v:group style="position:absolute;left:7;top:36;width:2535;height:2" coordorigin="7,36" coordsize="2535,2">
              <v:shape style="position:absolute;left:7;top:36;width:2535;height:2" coordorigin="7,36" coordsize="2535,0" path="m7,36l2542,36e" filled="false" stroked="true" strokeweight=".72pt" strokecolor="#000000">
                <v:path arrowok="t"/>
              </v:shape>
            </v:group>
            <v:group style="position:absolute;left:7;top:7;width:2535;height:2" coordorigin="7,7" coordsize="2535,2">
              <v:shape style="position:absolute;left:7;top:7;width:2535;height:2" coordorigin="7,7" coordsize="2535,0" path="m7,7l2542,7e" filled="false" stroked="true" strokeweight=".72pt" strokecolor="#000000">
                <v:path arrowok="t"/>
              </v:shape>
            </v:group>
          </v:group>
        </w:pict>
      </w:r>
      <w:r>
        <w:rPr>
          <w:rFonts w:ascii="Arial"/>
          <w:spacing w:val="176"/>
          <w:position w:val="0"/>
          <w:sz w:val="4"/>
        </w:rPr>
      </w:r>
    </w:p>
    <w:p>
      <w:pPr>
        <w:spacing w:line="240" w:lineRule="auto" w:before="6"/>
        <w:rPr>
          <w:rFonts w:ascii="Arial" w:hAnsi="Arial" w:cs="Arial" w:eastAsia="Arial" w:hint="default"/>
          <w:sz w:val="16"/>
          <w:szCs w:val="16"/>
        </w:rPr>
      </w:pPr>
    </w:p>
    <w:p>
      <w:pPr>
        <w:pStyle w:val="BodyText"/>
        <w:spacing w:line="284" w:lineRule="exact" w:before="61"/>
        <w:ind w:left="562" w:right="0" w:hanging="420"/>
        <w:jc w:val="left"/>
      </w:pPr>
      <w:r>
        <w:rPr>
          <w:rFonts w:ascii="Arial" w:hAnsi="Arial" w:cs="Arial" w:eastAsia="Arial" w:hint="default"/>
        </w:rPr>
        <w:t>(a)</w:t>
      </w:r>
      <w:r>
        <w:rPr>
          <w:rFonts w:ascii="Arial" w:hAnsi="Arial" w:cs="Arial" w:eastAsia="Arial" w:hint="default"/>
          <w:spacing w:val="21"/>
        </w:rPr>
        <w:t> </w:t>
      </w:r>
      <w:r>
        <w:rPr/>
        <w:t>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日，预收款项中无预收持有本公司</w:t>
      </w:r>
      <w:r>
        <w:rPr>
          <w:spacing w:val="-58"/>
        </w:rPr>
        <w:t> </w:t>
      </w:r>
      <w:r>
        <w:rPr>
          <w:rFonts w:ascii="Arial" w:hAnsi="Arial" w:cs="Arial" w:eastAsia="Arial" w:hint="default"/>
          <w:spacing w:val="-8"/>
        </w:rPr>
        <w:t>5%</w:t>
      </w:r>
      <w:r>
        <w:rPr>
          <w:spacing w:val="-8"/>
        </w:rPr>
        <w:t>（含</w:t>
      </w:r>
      <w:r>
        <w:rPr>
          <w:spacing w:val="-58"/>
        </w:rPr>
        <w:t> </w:t>
      </w:r>
      <w:r>
        <w:rPr>
          <w:rFonts w:ascii="Arial" w:hAnsi="Arial" w:cs="Arial" w:eastAsia="Arial" w:hint="default"/>
          <w:spacing w:val="-3"/>
        </w:rPr>
        <w:t>5%</w:t>
      </w:r>
      <w:r>
        <w:rPr>
          <w:spacing w:val="-3"/>
        </w:rPr>
        <w:t>）以上表决权股份股东的款</w:t>
      </w:r>
      <w:r>
        <w:rPr>
          <w:w w:val="99"/>
        </w:rPr>
        <w:t> </w:t>
      </w:r>
      <w:r>
        <w:rPr/>
        <w:t>项。</w:t>
      </w:r>
    </w:p>
    <w:p>
      <w:pPr>
        <w:spacing w:line="240" w:lineRule="auto" w:before="3"/>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(b) </w:t>
      </w:r>
      <w:r>
        <w:rPr>
          <w:rFonts w:ascii="Arial" w:hAnsi="Arial" w:cs="Arial" w:eastAsia="Arial" w:hint="default"/>
          <w:spacing w:val="24"/>
        </w:rPr>
        <w:t> </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日，预收款项中无预收关联方的款项。</w:t>
      </w:r>
    </w:p>
    <w:p>
      <w:pPr>
        <w:spacing w:line="240" w:lineRule="auto" w:before="12"/>
        <w:rPr>
          <w:rFonts w:ascii="宋体" w:hAnsi="宋体" w:cs="宋体" w:eastAsia="宋体" w:hint="default"/>
          <w:sz w:val="17"/>
          <w:szCs w:val="17"/>
        </w:rPr>
      </w:pPr>
    </w:p>
    <w:p>
      <w:pPr>
        <w:pStyle w:val="BodyText"/>
        <w:spacing w:line="295" w:lineRule="exact"/>
        <w:ind w:left="142" w:right="0"/>
        <w:jc w:val="left"/>
      </w:pPr>
      <w:r>
        <w:rPr>
          <w:rFonts w:ascii="Arial" w:hAnsi="Arial" w:cs="Arial" w:eastAsia="Arial" w:hint="default"/>
        </w:rPr>
        <w:t>(c) </w:t>
      </w:r>
      <w:r>
        <w:rPr>
          <w:rFonts w:ascii="Arial" w:hAnsi="Arial" w:cs="Arial" w:eastAsia="Arial" w:hint="default"/>
          <w:spacing w:val="38"/>
        </w:rPr>
        <w:t> </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日，账龄超过</w:t>
      </w:r>
      <w:r>
        <w:rPr>
          <w:spacing w:val="-56"/>
        </w:rPr>
        <w:t> </w:t>
      </w:r>
      <w:r>
        <w:rPr>
          <w:rFonts w:ascii="Arial" w:hAnsi="Arial" w:cs="Arial" w:eastAsia="Arial" w:hint="default"/>
        </w:rPr>
        <w:t>1</w:t>
      </w:r>
      <w:r>
        <w:rPr>
          <w:rFonts w:ascii="Arial" w:hAnsi="Arial" w:cs="Arial" w:eastAsia="Arial" w:hint="default"/>
          <w:spacing w:val="-6"/>
        </w:rPr>
        <w:t> </w:t>
      </w:r>
      <w:r>
        <w:rPr/>
        <w:t>年的预收款项约人民币</w:t>
      </w:r>
      <w:r>
        <w:rPr>
          <w:spacing w:val="-55"/>
        </w:rPr>
        <w:t> </w:t>
      </w:r>
      <w:r>
        <w:rPr>
          <w:rFonts w:ascii="Arial" w:hAnsi="Arial" w:cs="Arial" w:eastAsia="Arial" w:hint="default"/>
        </w:rPr>
        <w:t>5.50</w:t>
      </w:r>
      <w:r>
        <w:rPr>
          <w:rFonts w:ascii="Arial" w:hAnsi="Arial" w:cs="Arial" w:eastAsia="Arial" w:hint="default"/>
          <w:spacing w:val="-7"/>
        </w:rPr>
        <w:t> </w:t>
      </w:r>
      <w:r>
        <w:rPr/>
        <w:t>亿元（</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6" w:lineRule="exact"/>
        <w:ind w:left="562" w:right="0"/>
        <w:jc w:val="left"/>
      </w:pPr>
      <w:r>
        <w:rPr/>
        <w:t>约人民币 </w:t>
      </w:r>
      <w:r>
        <w:rPr>
          <w:rFonts w:ascii="Arial" w:hAnsi="Arial" w:cs="Arial" w:eastAsia="Arial" w:hint="default"/>
        </w:rPr>
        <w:t>4.14</w:t>
      </w:r>
      <w:r>
        <w:rPr>
          <w:rFonts w:ascii="Arial" w:hAnsi="Arial" w:cs="Arial" w:eastAsia="Arial" w:hint="default"/>
          <w:spacing w:val="37"/>
        </w:rPr>
        <w:t> </w:t>
      </w:r>
      <w:r>
        <w:rPr/>
        <w:t>亿元），这些预收款主要为部分用户交纳的未消费完毕的预存通信服务费，属</w:t>
      </w:r>
    </w:p>
    <w:p>
      <w:pPr>
        <w:pStyle w:val="BodyText"/>
        <w:spacing w:line="286" w:lineRule="exact" w:before="19"/>
        <w:ind w:left="562" w:right="302"/>
        <w:jc w:val="left"/>
      </w:pPr>
      <w:r>
        <w:rPr/>
        <w:t>于正常情况结余的预收款项。于 </w:t>
      </w:r>
      <w:r>
        <w:rPr>
          <w:rFonts w:ascii="Arial" w:hAnsi="Arial" w:cs="Arial" w:eastAsia="Arial" w:hint="default"/>
        </w:rPr>
        <w:t>2012</w:t>
      </w:r>
      <w:r>
        <w:rPr>
          <w:rFonts w:ascii="Arial" w:hAnsi="Arial" w:cs="Arial" w:eastAsia="Arial" w:hint="default"/>
          <w:spacing w:val="-25"/>
        </w:rPr>
        <w:t> </w:t>
      </w:r>
      <w:r>
        <w:rPr/>
        <w:t>年度及以后年度，此部分预收款项将随着服务的提供而</w:t>
      </w:r>
      <w:r>
        <w:rPr>
          <w:w w:val="99"/>
        </w:rPr>
        <w:t> </w:t>
      </w:r>
      <w:r>
        <w:rPr/>
        <w:t>结转。</w:t>
      </w:r>
    </w:p>
    <w:p>
      <w:pPr>
        <w:spacing w:line="240" w:lineRule="auto" w:before="1"/>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w w:val="99"/>
        </w:rPr>
        <w:t>(d)</w:t>
      </w:r>
      <w:r>
        <w:rPr>
          <w:rFonts w:ascii="Arial" w:hAnsi="Arial" w:cs="Arial" w:eastAsia="Arial" w:hint="default"/>
        </w:rPr>
        <w:t> </w:t>
      </w:r>
      <w:r>
        <w:rPr>
          <w:rFonts w:ascii="Arial" w:hAnsi="Arial" w:cs="Arial" w:eastAsia="Arial" w:hint="default"/>
          <w:spacing w:val="14"/>
        </w:rPr>
        <w:t> </w:t>
      </w:r>
      <w:r>
        <w:rPr>
          <w:w w:val="99"/>
        </w:rPr>
        <w:t>于</w:t>
      </w:r>
      <w:r>
        <w:rPr>
          <w:spacing w:val="-55"/>
        </w:rPr>
        <w:t> </w:t>
      </w:r>
      <w:r>
        <w:rPr>
          <w:rFonts w:ascii="Arial" w:hAnsi="Arial" w:cs="Arial" w:eastAsia="Arial" w:hint="default"/>
          <w:w w:val="99"/>
        </w:rPr>
        <w:t>2011</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日及</w:t>
      </w:r>
      <w:r>
        <w:rPr>
          <w:spacing w:val="-55"/>
        </w:rPr>
        <w:t> </w:t>
      </w:r>
      <w:r>
        <w:rPr>
          <w:rFonts w:ascii="Arial" w:hAnsi="Arial" w:cs="Arial" w:eastAsia="Arial" w:hint="default"/>
          <w:w w:val="99"/>
        </w:rPr>
        <w:t>2010</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w:t>
      </w:r>
      <w:r>
        <w:rPr>
          <w:spacing w:val="-93"/>
          <w:w w:val="99"/>
        </w:rPr>
        <w:t>，</w:t>
      </w:r>
      <w:r>
        <w:rPr>
          <w:w w:val="99"/>
        </w:rPr>
        <w:t>本集团</w:t>
      </w:r>
      <w:r>
        <w:rPr>
          <w:spacing w:val="1"/>
          <w:w w:val="99"/>
        </w:rPr>
        <w:t>预收</w:t>
      </w:r>
      <w:r>
        <w:rPr>
          <w:w w:val="99"/>
        </w:rPr>
        <w:t>款项中</w:t>
      </w:r>
      <w:r>
        <w:rPr>
          <w:spacing w:val="1"/>
          <w:w w:val="99"/>
        </w:rPr>
        <w:t>以外</w:t>
      </w:r>
      <w:r>
        <w:rPr>
          <w:w w:val="99"/>
        </w:rPr>
        <w:t>币计价</w:t>
      </w:r>
      <w:r>
        <w:rPr>
          <w:spacing w:val="1"/>
          <w:w w:val="99"/>
        </w:rPr>
        <w:t>的余</w:t>
      </w:r>
      <w:r>
        <w:rPr>
          <w:w w:val="99"/>
        </w:rPr>
        <w:t>额并不</w:t>
      </w:r>
      <w:r>
        <w:rPr>
          <w:spacing w:val="1"/>
          <w:w w:val="99"/>
        </w:rPr>
        <w:t>重</w:t>
      </w:r>
      <w:r>
        <w:rPr>
          <w:w w:val="99"/>
        </w:rPr>
        <w:t>大。</w:t>
      </w:r>
      <w:r>
        <w:rPr/>
      </w:r>
    </w:p>
    <w:p>
      <w:pPr>
        <w:spacing w:after="0" w:line="240" w:lineRule="auto"/>
        <w:jc w:val="left"/>
        <w:sectPr>
          <w:headerReference w:type="default" r:id="rId106"/>
          <w:pgSz w:w="11900" w:h="16840"/>
          <w:pgMar w:header="1189" w:footer="752" w:top="3040" w:bottom="940" w:left="1240" w:right="780"/>
        </w:sectPr>
      </w:pPr>
    </w:p>
    <w:p>
      <w:pPr>
        <w:spacing w:line="240" w:lineRule="auto" w:before="9"/>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3129"/>
        <w:gridCol w:w="1567"/>
        <w:gridCol w:w="1622"/>
        <w:gridCol w:w="1798"/>
        <w:gridCol w:w="1505"/>
      </w:tblGrid>
      <w:tr>
        <w:trPr>
          <w:trHeight w:val="871"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20</w:t>
            </w:r>
            <w:r>
              <w:rPr>
                <w:rFonts w:ascii="宋体" w:hAnsi="宋体" w:cs="宋体" w:eastAsia="宋体" w:hint="default"/>
                <w:sz w:val="22"/>
                <w:szCs w:val="22"/>
              </w:rPr>
              <w:t>、应付职工薪酬</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68"/>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2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8"/>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tc>
      </w:tr>
      <w:tr>
        <w:trPr>
          <w:trHeight w:val="262" w:hRule="exact"/>
        </w:trPr>
        <w:tc>
          <w:tcPr>
            <w:tcW w:w="312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6" w:space="0" w:color="000000"/>
              <w:right w:val="nil" w:sz="6" w:space="0" w:color="auto"/>
            </w:tcBorders>
          </w:tcPr>
          <w:p>
            <w:pPr>
              <w:pStyle w:val="TableParagraph"/>
              <w:spacing w:line="239" w:lineRule="exact"/>
              <w:ind w:right="68"/>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622" w:type="dxa"/>
            <w:tcBorders>
              <w:top w:val="nil" w:sz="6" w:space="0" w:color="auto"/>
              <w:left w:val="nil" w:sz="6" w:space="0" w:color="auto"/>
              <w:bottom w:val="single" w:sz="6" w:space="0" w:color="000000"/>
              <w:right w:val="nil" w:sz="6" w:space="0" w:color="auto"/>
            </w:tcBorders>
          </w:tcPr>
          <w:p>
            <w:pPr>
              <w:pStyle w:val="TableParagraph"/>
              <w:spacing w:line="225" w:lineRule="exact"/>
              <w:ind w:right="124"/>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798" w:type="dxa"/>
            <w:tcBorders>
              <w:top w:val="nil" w:sz="6" w:space="0" w:color="auto"/>
              <w:left w:val="nil" w:sz="6" w:space="0" w:color="auto"/>
              <w:bottom w:val="single" w:sz="6" w:space="0" w:color="000000"/>
              <w:right w:val="nil" w:sz="6" w:space="0" w:color="auto"/>
            </w:tcBorders>
          </w:tcPr>
          <w:p>
            <w:pPr>
              <w:pStyle w:val="TableParagraph"/>
              <w:spacing w:line="225" w:lineRule="exact"/>
              <w:ind w:right="142"/>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505" w:type="dxa"/>
            <w:tcBorders>
              <w:top w:val="nil" w:sz="6" w:space="0" w:color="auto"/>
              <w:left w:val="nil" w:sz="6" w:space="0" w:color="auto"/>
              <w:bottom w:val="single" w:sz="6" w:space="0" w:color="000000"/>
              <w:right w:val="nil" w:sz="6" w:space="0" w:color="auto"/>
            </w:tcBorders>
          </w:tcPr>
          <w:p>
            <w:pPr>
              <w:pStyle w:val="TableParagraph"/>
              <w:spacing w:line="239" w:lineRule="exact"/>
              <w:ind w:right="38"/>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268" w:hRule="exact"/>
        </w:trPr>
        <w:tc>
          <w:tcPr>
            <w:tcW w:w="3129" w:type="dxa"/>
            <w:tcBorders>
              <w:top w:val="nil" w:sz="6" w:space="0" w:color="auto"/>
              <w:left w:val="nil" w:sz="6" w:space="0" w:color="auto"/>
              <w:bottom w:val="nil" w:sz="6" w:space="0" w:color="auto"/>
              <w:right w:val="nil" w:sz="6" w:space="0" w:color="auto"/>
            </w:tcBorders>
          </w:tcPr>
          <w:p>
            <w:pPr/>
          </w:p>
        </w:tc>
        <w:tc>
          <w:tcPr>
            <w:tcW w:w="1567" w:type="dxa"/>
            <w:tcBorders>
              <w:top w:val="single" w:sz="6" w:space="0" w:color="000000"/>
              <w:left w:val="nil" w:sz="6" w:space="0" w:color="auto"/>
              <w:bottom w:val="nil" w:sz="6" w:space="0" w:color="auto"/>
              <w:right w:val="nil" w:sz="6" w:space="0" w:color="auto"/>
            </w:tcBorders>
          </w:tcPr>
          <w:p>
            <w:pPr>
              <w:pStyle w:val="TableParagraph"/>
              <w:spacing w:line="231" w:lineRule="exact"/>
              <w:ind w:right="68"/>
              <w:jc w:val="right"/>
              <w:rPr>
                <w:rFonts w:ascii="宋体" w:hAnsi="宋体" w:cs="宋体" w:eastAsia="宋体" w:hint="default"/>
                <w:sz w:val="20"/>
                <w:szCs w:val="20"/>
              </w:rPr>
            </w:pPr>
            <w:r>
              <w:rPr>
                <w:rFonts w:ascii="宋体" w:hAnsi="宋体" w:cs="宋体" w:eastAsia="宋体" w:hint="default"/>
                <w:spacing w:val="-1"/>
                <w:sz w:val="20"/>
                <w:szCs w:val="20"/>
              </w:rPr>
              <w:t>（经重列）</w:t>
            </w:r>
          </w:p>
        </w:tc>
        <w:tc>
          <w:tcPr>
            <w:tcW w:w="1622" w:type="dxa"/>
            <w:tcBorders>
              <w:top w:val="single" w:sz="6" w:space="0" w:color="000000"/>
              <w:left w:val="nil" w:sz="6" w:space="0" w:color="auto"/>
              <w:bottom w:val="nil" w:sz="6" w:space="0" w:color="auto"/>
              <w:right w:val="nil" w:sz="6" w:space="0" w:color="auto"/>
            </w:tcBorders>
          </w:tcPr>
          <w:p>
            <w:pPr/>
          </w:p>
        </w:tc>
        <w:tc>
          <w:tcPr>
            <w:tcW w:w="1798" w:type="dxa"/>
            <w:tcBorders>
              <w:top w:val="single" w:sz="6" w:space="0" w:color="000000"/>
              <w:left w:val="nil" w:sz="6" w:space="0" w:color="auto"/>
              <w:bottom w:val="nil" w:sz="6" w:space="0" w:color="auto"/>
              <w:right w:val="nil" w:sz="6" w:space="0" w:color="auto"/>
            </w:tcBorders>
          </w:tcPr>
          <w:p>
            <w:pPr/>
          </w:p>
        </w:tc>
        <w:tc>
          <w:tcPr>
            <w:tcW w:w="1505" w:type="dxa"/>
            <w:tcBorders>
              <w:top w:val="single" w:sz="6" w:space="0" w:color="000000"/>
              <w:left w:val="nil" w:sz="6" w:space="0" w:color="auto"/>
              <w:bottom w:val="nil" w:sz="6" w:space="0" w:color="auto"/>
              <w:right w:val="nil" w:sz="6" w:space="0" w:color="auto"/>
            </w:tcBorders>
          </w:tcPr>
          <w:p>
            <w:pPr/>
          </w:p>
        </w:tc>
      </w:tr>
      <w:tr>
        <w:trPr>
          <w:trHeight w:val="270"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30" w:lineRule="exact"/>
              <w:ind w:right="397"/>
              <w:jc w:val="right"/>
              <w:rPr>
                <w:rFonts w:ascii="宋体" w:hAnsi="宋体" w:cs="宋体" w:eastAsia="宋体" w:hint="default"/>
                <w:sz w:val="20"/>
                <w:szCs w:val="20"/>
              </w:rPr>
            </w:pPr>
            <w:r>
              <w:rPr>
                <w:rFonts w:ascii="宋体" w:hAnsi="宋体" w:cs="宋体" w:eastAsia="宋体" w:hint="default"/>
                <w:spacing w:val="-1"/>
                <w:sz w:val="20"/>
                <w:szCs w:val="20"/>
              </w:rPr>
              <w:t>工资、奖金、津贴和补贴</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2"/>
              <w:jc w:val="right"/>
              <w:rPr>
                <w:rFonts w:ascii="Arial" w:hAnsi="Arial" w:cs="Arial" w:eastAsia="Arial" w:hint="default"/>
                <w:sz w:val="20"/>
                <w:szCs w:val="20"/>
              </w:rPr>
            </w:pPr>
            <w:r>
              <w:rPr>
                <w:rFonts w:ascii="Arial"/>
                <w:spacing w:val="-1"/>
                <w:sz w:val="20"/>
              </w:rPr>
              <w:t>397,338,690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8"/>
              <w:jc w:val="right"/>
              <w:rPr>
                <w:rFonts w:ascii="Arial" w:hAnsi="Arial" w:cs="Arial" w:eastAsia="Arial" w:hint="default"/>
                <w:sz w:val="20"/>
                <w:szCs w:val="20"/>
              </w:rPr>
            </w:pPr>
            <w:r>
              <w:rPr>
                <w:rFonts w:ascii="Arial"/>
                <w:spacing w:val="-1"/>
                <w:sz w:val="20"/>
              </w:rPr>
              <w:t>18,667,983,734</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4"/>
              <w:jc w:val="right"/>
              <w:rPr>
                <w:rFonts w:ascii="Arial" w:hAnsi="Arial" w:cs="Arial" w:eastAsia="Arial" w:hint="default"/>
                <w:sz w:val="20"/>
                <w:szCs w:val="20"/>
              </w:rPr>
            </w:pPr>
            <w:r>
              <w:rPr>
                <w:rFonts w:ascii="Arial"/>
                <w:spacing w:val="-1"/>
                <w:sz w:val="20"/>
              </w:rPr>
              <w:t>(18,534,555,397)</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20"/>
                <w:szCs w:val="20"/>
              </w:rPr>
            </w:pPr>
            <w:r>
              <w:rPr>
                <w:rFonts w:ascii="Arial"/>
                <w:spacing w:val="-1"/>
                <w:sz w:val="20"/>
              </w:rPr>
              <w:t>530,767,027</w:t>
            </w:r>
          </w:p>
        </w:tc>
      </w:tr>
      <w:tr>
        <w:trPr>
          <w:trHeight w:val="260"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19" w:lineRule="exact"/>
              <w:ind w:left="528"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Arial" w:hAnsi="Arial" w:cs="Arial" w:eastAsia="Arial" w:hint="default"/>
                <w:sz w:val="20"/>
                <w:szCs w:val="20"/>
              </w:rPr>
            </w:pPr>
            <w:r>
              <w:rPr>
                <w:rFonts w:ascii="Arial"/>
                <w:w w:val="100"/>
                <w:sz w:val="20"/>
              </w:rPr>
              <w:t>-</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9"/>
              <w:jc w:val="right"/>
              <w:rPr>
                <w:rFonts w:ascii="Arial" w:hAnsi="Arial" w:cs="Arial" w:eastAsia="Arial" w:hint="default"/>
                <w:sz w:val="20"/>
                <w:szCs w:val="20"/>
              </w:rPr>
            </w:pPr>
            <w:r>
              <w:rPr>
                <w:rFonts w:ascii="Arial"/>
                <w:spacing w:val="-1"/>
                <w:sz w:val="20"/>
              </w:rPr>
              <w:t>1,832,209,624</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Arial" w:hAnsi="Arial" w:cs="Arial" w:eastAsia="Arial" w:hint="default"/>
                <w:sz w:val="20"/>
                <w:szCs w:val="20"/>
              </w:rPr>
            </w:pPr>
            <w:r>
              <w:rPr>
                <w:rFonts w:ascii="Arial"/>
                <w:spacing w:val="-2"/>
                <w:sz w:val="20"/>
              </w:rPr>
              <w:t>(1,832,209,624)</w:t>
            </w:r>
            <w:r>
              <w:rPr>
                <w:rFonts w:ascii="Arial"/>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8"/>
              <w:jc w:val="right"/>
              <w:rPr>
                <w:rFonts w:ascii="Arial" w:hAnsi="Arial" w:cs="Arial" w:eastAsia="Arial" w:hint="default"/>
                <w:sz w:val="20"/>
                <w:szCs w:val="20"/>
              </w:rPr>
            </w:pPr>
            <w:r>
              <w:rPr>
                <w:rFonts w:ascii="Arial"/>
                <w:w w:val="100"/>
                <w:sz w:val="20"/>
              </w:rPr>
              <w:t>-</w:t>
            </w:r>
          </w:p>
        </w:tc>
      </w:tr>
      <w:tr>
        <w:trPr>
          <w:trHeight w:val="259"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18" w:lineRule="exact"/>
              <w:ind w:left="528"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20"/>
                <w:szCs w:val="20"/>
              </w:rPr>
            </w:pPr>
            <w:r>
              <w:rPr>
                <w:rFonts w:ascii="Arial"/>
                <w:spacing w:val="-1"/>
                <w:sz w:val="20"/>
              </w:rPr>
              <w:t>271,595,541</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9"/>
              <w:jc w:val="right"/>
              <w:rPr>
                <w:rFonts w:ascii="Arial" w:hAnsi="Arial" w:cs="Arial" w:eastAsia="Arial" w:hint="default"/>
                <w:sz w:val="20"/>
                <w:szCs w:val="20"/>
              </w:rPr>
            </w:pPr>
            <w:r>
              <w:rPr>
                <w:rFonts w:ascii="Arial"/>
                <w:spacing w:val="-1"/>
                <w:sz w:val="20"/>
              </w:rPr>
              <w:t>4,342,568,220</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Arial" w:hAnsi="Arial" w:cs="Arial" w:eastAsia="Arial" w:hint="default"/>
                <w:sz w:val="20"/>
                <w:szCs w:val="20"/>
              </w:rPr>
            </w:pPr>
            <w:r>
              <w:rPr>
                <w:rFonts w:ascii="Arial"/>
                <w:spacing w:val="-1"/>
                <w:sz w:val="20"/>
              </w:rPr>
              <w:t>(4,322,018,454)</w:t>
            </w:r>
            <w:r>
              <w:rPr>
                <w:rFonts w:ascii="Arial"/>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8"/>
              <w:jc w:val="right"/>
              <w:rPr>
                <w:rFonts w:ascii="Arial" w:hAnsi="Arial" w:cs="Arial" w:eastAsia="Arial" w:hint="default"/>
                <w:sz w:val="20"/>
                <w:szCs w:val="20"/>
              </w:rPr>
            </w:pPr>
            <w:r>
              <w:rPr>
                <w:rFonts w:ascii="Arial"/>
                <w:spacing w:val="-2"/>
                <w:sz w:val="20"/>
              </w:rPr>
              <w:t>292,145,307</w:t>
            </w:r>
            <w:r>
              <w:rPr>
                <w:rFonts w:ascii="Arial"/>
                <w:sz w:val="20"/>
              </w:rPr>
            </w:r>
          </w:p>
        </w:tc>
      </w:tr>
      <w:tr>
        <w:trPr>
          <w:trHeight w:val="260"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18" w:lineRule="exact"/>
              <w:ind w:left="528"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20"/>
                <w:szCs w:val="20"/>
              </w:rPr>
            </w:pPr>
            <w:r>
              <w:rPr>
                <w:rFonts w:ascii="Arial"/>
                <w:spacing w:val="-1"/>
                <w:sz w:val="20"/>
              </w:rPr>
              <w:t>33,080,010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9"/>
              <w:jc w:val="right"/>
              <w:rPr>
                <w:rFonts w:ascii="Arial" w:hAnsi="Arial" w:cs="Arial" w:eastAsia="Arial" w:hint="default"/>
                <w:sz w:val="20"/>
                <w:szCs w:val="20"/>
              </w:rPr>
            </w:pPr>
            <w:r>
              <w:rPr>
                <w:rFonts w:ascii="Arial"/>
                <w:spacing w:val="-1"/>
                <w:sz w:val="20"/>
              </w:rPr>
              <w:t>1,104,382,209</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20"/>
                <w:szCs w:val="20"/>
              </w:rPr>
            </w:pPr>
            <w:r>
              <w:rPr>
                <w:rFonts w:ascii="Arial"/>
                <w:spacing w:val="-2"/>
                <w:sz w:val="20"/>
              </w:rPr>
              <w:t>(1,091,558,715)</w:t>
            </w:r>
            <w:r>
              <w:rPr>
                <w:rFonts w:ascii="Arial"/>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9"/>
              <w:jc w:val="right"/>
              <w:rPr>
                <w:rFonts w:ascii="Arial" w:hAnsi="Arial" w:cs="Arial" w:eastAsia="Arial" w:hint="default"/>
                <w:sz w:val="20"/>
                <w:szCs w:val="20"/>
              </w:rPr>
            </w:pPr>
            <w:r>
              <w:rPr>
                <w:rFonts w:ascii="Arial"/>
                <w:spacing w:val="-1"/>
                <w:sz w:val="20"/>
              </w:rPr>
              <w:t>45,903,504</w:t>
            </w:r>
          </w:p>
        </w:tc>
      </w:tr>
      <w:tr>
        <w:trPr>
          <w:trHeight w:val="259"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19" w:lineRule="exact"/>
              <w:ind w:left="1130" w:right="0"/>
              <w:jc w:val="left"/>
              <w:rPr>
                <w:rFonts w:ascii="宋体" w:hAnsi="宋体" w:cs="宋体" w:eastAsia="宋体" w:hint="default"/>
                <w:sz w:val="20"/>
                <w:szCs w:val="20"/>
              </w:rPr>
            </w:pPr>
            <w:r>
              <w:rPr>
                <w:rFonts w:ascii="宋体" w:hAnsi="宋体" w:cs="宋体" w:eastAsia="宋体" w:hint="default"/>
                <w:sz w:val="20"/>
                <w:szCs w:val="20"/>
              </w:rPr>
              <w:t>养老保险费</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20"/>
                <w:szCs w:val="20"/>
              </w:rPr>
            </w:pPr>
            <w:r>
              <w:rPr>
                <w:rFonts w:ascii="Arial"/>
                <w:spacing w:val="-1"/>
                <w:sz w:val="20"/>
              </w:rPr>
              <w:t>192,921,643</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9"/>
              <w:jc w:val="right"/>
              <w:rPr>
                <w:rFonts w:ascii="Arial" w:hAnsi="Arial" w:cs="Arial" w:eastAsia="Arial" w:hint="default"/>
                <w:sz w:val="20"/>
                <w:szCs w:val="20"/>
              </w:rPr>
            </w:pPr>
            <w:r>
              <w:rPr>
                <w:rFonts w:ascii="Arial"/>
                <w:spacing w:val="-1"/>
                <w:sz w:val="20"/>
              </w:rPr>
              <w:t>2,840,677,076</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Arial" w:hAnsi="Arial" w:cs="Arial" w:eastAsia="Arial" w:hint="default"/>
                <w:sz w:val="20"/>
                <w:szCs w:val="20"/>
              </w:rPr>
            </w:pPr>
            <w:r>
              <w:rPr>
                <w:rFonts w:ascii="Arial"/>
                <w:spacing w:val="-1"/>
                <w:sz w:val="20"/>
              </w:rPr>
              <w:t>(2,831,985,467)</w:t>
            </w:r>
            <w:r>
              <w:rPr>
                <w:rFonts w:ascii="Arial"/>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8"/>
              <w:jc w:val="right"/>
              <w:rPr>
                <w:rFonts w:ascii="Arial" w:hAnsi="Arial" w:cs="Arial" w:eastAsia="Arial" w:hint="default"/>
                <w:sz w:val="20"/>
                <w:szCs w:val="20"/>
              </w:rPr>
            </w:pPr>
            <w:r>
              <w:rPr>
                <w:rFonts w:ascii="Arial"/>
                <w:spacing w:val="-2"/>
                <w:sz w:val="20"/>
              </w:rPr>
              <w:t>201,613,252</w:t>
            </w:r>
            <w:r>
              <w:rPr>
                <w:rFonts w:ascii="Arial"/>
                <w:sz w:val="20"/>
              </w:rPr>
            </w:r>
          </w:p>
        </w:tc>
      </w:tr>
      <w:tr>
        <w:trPr>
          <w:trHeight w:val="259"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19" w:lineRule="exact"/>
              <w:ind w:left="1130"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20"/>
                <w:szCs w:val="20"/>
              </w:rPr>
            </w:pPr>
            <w:r>
              <w:rPr>
                <w:rFonts w:ascii="Arial"/>
                <w:spacing w:val="-1"/>
                <w:sz w:val="20"/>
              </w:rPr>
              <w:t>29,255,260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8"/>
              <w:jc w:val="right"/>
              <w:rPr>
                <w:rFonts w:ascii="Arial" w:hAnsi="Arial" w:cs="Arial" w:eastAsia="Arial" w:hint="default"/>
                <w:sz w:val="20"/>
                <w:szCs w:val="20"/>
              </w:rPr>
            </w:pPr>
            <w:r>
              <w:rPr>
                <w:rFonts w:ascii="Arial"/>
                <w:spacing w:val="-1"/>
                <w:sz w:val="20"/>
              </w:rPr>
              <w:t>228,192,422</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20"/>
                <w:szCs w:val="20"/>
              </w:rPr>
            </w:pPr>
            <w:r>
              <w:rPr>
                <w:rFonts w:ascii="Arial"/>
                <w:spacing w:val="-1"/>
                <w:sz w:val="20"/>
              </w:rPr>
              <w:t>(228,229,303)</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9"/>
              <w:jc w:val="right"/>
              <w:rPr>
                <w:rFonts w:ascii="Arial" w:hAnsi="Arial" w:cs="Arial" w:eastAsia="Arial" w:hint="default"/>
                <w:sz w:val="20"/>
                <w:szCs w:val="20"/>
              </w:rPr>
            </w:pPr>
            <w:r>
              <w:rPr>
                <w:rFonts w:ascii="Arial"/>
                <w:spacing w:val="-1"/>
                <w:sz w:val="20"/>
              </w:rPr>
              <w:t>29,218,379</w:t>
            </w:r>
          </w:p>
        </w:tc>
      </w:tr>
      <w:tr>
        <w:trPr>
          <w:trHeight w:val="259"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19" w:lineRule="exact"/>
              <w:ind w:left="1130"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20"/>
                <w:szCs w:val="20"/>
              </w:rPr>
            </w:pPr>
            <w:r>
              <w:rPr>
                <w:rFonts w:ascii="Arial"/>
                <w:spacing w:val="-1"/>
                <w:sz w:val="20"/>
              </w:rPr>
              <w:t>2,881,056</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9"/>
              <w:jc w:val="right"/>
              <w:rPr>
                <w:rFonts w:ascii="Arial" w:hAnsi="Arial" w:cs="Arial" w:eastAsia="Arial" w:hint="default"/>
                <w:sz w:val="20"/>
                <w:szCs w:val="20"/>
              </w:rPr>
            </w:pPr>
            <w:r>
              <w:rPr>
                <w:rFonts w:ascii="Arial"/>
                <w:spacing w:val="-1"/>
                <w:sz w:val="20"/>
              </w:rPr>
              <w:t>72,747,199</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20"/>
                <w:szCs w:val="20"/>
              </w:rPr>
            </w:pPr>
            <w:r>
              <w:rPr>
                <w:rFonts w:ascii="Arial"/>
                <w:spacing w:val="-1"/>
                <w:sz w:val="20"/>
              </w:rPr>
              <w:t>(71,434,210)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9"/>
              <w:jc w:val="right"/>
              <w:rPr>
                <w:rFonts w:ascii="Arial" w:hAnsi="Arial" w:cs="Arial" w:eastAsia="Arial" w:hint="default"/>
                <w:sz w:val="20"/>
                <w:szCs w:val="20"/>
              </w:rPr>
            </w:pPr>
            <w:r>
              <w:rPr>
                <w:rFonts w:ascii="Arial"/>
                <w:spacing w:val="-1"/>
                <w:sz w:val="20"/>
              </w:rPr>
              <w:t>4,194,045</w:t>
            </w:r>
          </w:p>
        </w:tc>
      </w:tr>
      <w:tr>
        <w:trPr>
          <w:trHeight w:val="259"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19" w:lineRule="exact"/>
              <w:ind w:left="1130"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20"/>
                <w:szCs w:val="20"/>
              </w:rPr>
            </w:pPr>
            <w:r>
              <w:rPr>
                <w:rFonts w:ascii="Arial"/>
                <w:spacing w:val="-1"/>
                <w:sz w:val="20"/>
              </w:rPr>
              <w:t>3,378,024</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9"/>
              <w:jc w:val="right"/>
              <w:rPr>
                <w:rFonts w:ascii="Arial" w:hAnsi="Arial" w:cs="Arial" w:eastAsia="Arial" w:hint="default"/>
                <w:sz w:val="20"/>
                <w:szCs w:val="20"/>
              </w:rPr>
            </w:pPr>
            <w:r>
              <w:rPr>
                <w:rFonts w:ascii="Arial"/>
                <w:spacing w:val="-1"/>
                <w:sz w:val="20"/>
              </w:rPr>
              <w:t>85,511,546</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20"/>
                <w:szCs w:val="20"/>
              </w:rPr>
            </w:pPr>
            <w:r>
              <w:rPr>
                <w:rFonts w:ascii="Arial"/>
                <w:spacing w:val="-1"/>
                <w:sz w:val="20"/>
              </w:rPr>
              <w:t>(84,417,829)</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9"/>
              <w:jc w:val="right"/>
              <w:rPr>
                <w:rFonts w:ascii="Arial" w:hAnsi="Arial" w:cs="Arial" w:eastAsia="Arial" w:hint="default"/>
                <w:sz w:val="20"/>
                <w:szCs w:val="20"/>
              </w:rPr>
            </w:pPr>
            <w:r>
              <w:rPr>
                <w:rFonts w:ascii="Arial"/>
                <w:spacing w:val="-1"/>
                <w:sz w:val="20"/>
              </w:rPr>
              <w:t>4,471,741</w:t>
            </w:r>
          </w:p>
        </w:tc>
      </w:tr>
      <w:tr>
        <w:trPr>
          <w:trHeight w:val="260"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19" w:lineRule="exact"/>
              <w:ind w:left="528"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Arial" w:hAnsi="Arial" w:cs="Arial" w:eastAsia="Arial" w:hint="default"/>
                <w:sz w:val="20"/>
                <w:szCs w:val="20"/>
              </w:rPr>
            </w:pPr>
            <w:r>
              <w:rPr>
                <w:rFonts w:ascii="Arial"/>
                <w:spacing w:val="-1"/>
                <w:sz w:val="20"/>
              </w:rPr>
              <w:t>67,454,024</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9"/>
              <w:jc w:val="right"/>
              <w:rPr>
                <w:rFonts w:ascii="Arial" w:hAnsi="Arial" w:cs="Arial" w:eastAsia="Arial" w:hint="default"/>
                <w:sz w:val="20"/>
                <w:szCs w:val="20"/>
              </w:rPr>
            </w:pPr>
            <w:r>
              <w:rPr>
                <w:rFonts w:ascii="Arial"/>
                <w:spacing w:val="-1"/>
                <w:sz w:val="20"/>
              </w:rPr>
              <w:t>1,638,071,976</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Arial" w:hAnsi="Arial" w:cs="Arial" w:eastAsia="Arial" w:hint="default"/>
                <w:sz w:val="20"/>
                <w:szCs w:val="20"/>
              </w:rPr>
            </w:pPr>
            <w:r>
              <w:rPr>
                <w:rFonts w:ascii="Arial"/>
                <w:spacing w:val="-2"/>
                <w:sz w:val="20"/>
              </w:rPr>
              <w:t>(1,648,096,610)</w:t>
            </w:r>
            <w:r>
              <w:rPr>
                <w:rFonts w:ascii="Arial"/>
                <w:sz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9"/>
              <w:jc w:val="right"/>
              <w:rPr>
                <w:rFonts w:ascii="Arial" w:hAnsi="Arial" w:cs="Arial" w:eastAsia="Arial" w:hint="default"/>
                <w:sz w:val="20"/>
                <w:szCs w:val="20"/>
              </w:rPr>
            </w:pPr>
            <w:r>
              <w:rPr>
                <w:rFonts w:ascii="Arial"/>
                <w:spacing w:val="-1"/>
                <w:sz w:val="20"/>
              </w:rPr>
              <w:t>57,429,390</w:t>
            </w:r>
          </w:p>
        </w:tc>
      </w:tr>
      <w:tr>
        <w:trPr>
          <w:trHeight w:val="259"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18" w:lineRule="exact"/>
              <w:ind w:right="397"/>
              <w:jc w:val="right"/>
              <w:rPr>
                <w:rFonts w:ascii="宋体" w:hAnsi="宋体" w:cs="宋体" w:eastAsia="宋体" w:hint="default"/>
                <w:sz w:val="20"/>
                <w:szCs w:val="20"/>
              </w:rPr>
            </w:pPr>
            <w:r>
              <w:rPr>
                <w:rFonts w:ascii="宋体" w:hAnsi="宋体" w:cs="宋体" w:eastAsia="宋体" w:hint="default"/>
                <w:spacing w:val="-1"/>
                <w:sz w:val="20"/>
                <w:szCs w:val="20"/>
              </w:rPr>
              <w:t>工会经费和职工教育经费</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20"/>
                <w:szCs w:val="20"/>
              </w:rPr>
            </w:pPr>
            <w:r>
              <w:rPr>
                <w:rFonts w:ascii="Arial"/>
                <w:spacing w:val="-1"/>
                <w:sz w:val="20"/>
              </w:rPr>
              <w:t>89,276,114</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8"/>
              <w:jc w:val="right"/>
              <w:rPr>
                <w:rFonts w:ascii="Arial" w:hAnsi="Arial" w:cs="Arial" w:eastAsia="Arial" w:hint="default"/>
                <w:sz w:val="20"/>
                <w:szCs w:val="20"/>
              </w:rPr>
            </w:pPr>
            <w:r>
              <w:rPr>
                <w:rFonts w:ascii="Arial"/>
                <w:spacing w:val="-1"/>
                <w:sz w:val="20"/>
              </w:rPr>
              <w:t>619,653,777</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Arial" w:hAnsi="Arial" w:cs="Arial" w:eastAsia="Arial" w:hint="default"/>
                <w:sz w:val="20"/>
                <w:szCs w:val="20"/>
              </w:rPr>
            </w:pPr>
            <w:r>
              <w:rPr>
                <w:rFonts w:ascii="Arial"/>
                <w:spacing w:val="-1"/>
                <w:sz w:val="20"/>
              </w:rPr>
              <w:t>(607,386,007)</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8"/>
              <w:jc w:val="right"/>
              <w:rPr>
                <w:rFonts w:ascii="Arial" w:hAnsi="Arial" w:cs="Arial" w:eastAsia="Arial" w:hint="default"/>
                <w:sz w:val="20"/>
                <w:szCs w:val="20"/>
              </w:rPr>
            </w:pPr>
            <w:r>
              <w:rPr>
                <w:rFonts w:ascii="Arial"/>
                <w:spacing w:val="-1"/>
                <w:sz w:val="20"/>
              </w:rPr>
              <w:t>101,543,884</w:t>
            </w:r>
          </w:p>
        </w:tc>
      </w:tr>
      <w:tr>
        <w:trPr>
          <w:trHeight w:val="508"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25" w:lineRule="exact"/>
              <w:ind w:left="528" w:right="0"/>
              <w:jc w:val="left"/>
              <w:rPr>
                <w:rFonts w:ascii="宋体" w:hAnsi="宋体" w:cs="宋体" w:eastAsia="宋体" w:hint="default"/>
                <w:sz w:val="20"/>
                <w:szCs w:val="20"/>
              </w:rPr>
            </w:pPr>
            <w:r>
              <w:rPr>
                <w:rFonts w:ascii="宋体" w:hAnsi="宋体" w:cs="宋体" w:eastAsia="宋体" w:hint="default"/>
                <w:sz w:val="20"/>
                <w:szCs w:val="20"/>
              </w:rPr>
              <w:t>一次性货币住房补贴（注</w:t>
            </w:r>
            <w:r>
              <w:rPr>
                <w:rFonts w:ascii="宋体" w:hAnsi="宋体" w:cs="宋体" w:eastAsia="宋体" w:hint="default"/>
                <w:spacing w:val="-53"/>
                <w:sz w:val="20"/>
                <w:szCs w:val="20"/>
              </w:rPr>
              <w:t> </w:t>
            </w:r>
            <w:r>
              <w:rPr>
                <w:rFonts w:ascii="Arial" w:hAnsi="Arial" w:cs="Arial" w:eastAsia="Arial" w:hint="default"/>
                <w:sz w:val="20"/>
                <w:szCs w:val="20"/>
              </w:rPr>
              <w:t>1</w:t>
            </w:r>
            <w:r>
              <w:rPr>
                <w:rFonts w:ascii="宋体" w:hAnsi="宋体" w:cs="宋体" w:eastAsia="宋体" w:hint="default"/>
                <w:sz w:val="20"/>
                <w:szCs w:val="20"/>
              </w:rPr>
              <w:t>）</w:t>
            </w:r>
          </w:p>
          <w:p>
            <w:pPr>
              <w:pStyle w:val="TableParagraph"/>
              <w:spacing w:line="254" w:lineRule="exact"/>
              <w:ind w:left="528" w:right="0"/>
              <w:jc w:val="left"/>
              <w:rPr>
                <w:rFonts w:ascii="宋体" w:hAnsi="宋体" w:cs="宋体" w:eastAsia="宋体" w:hint="default"/>
                <w:sz w:val="20"/>
                <w:szCs w:val="20"/>
              </w:rPr>
            </w:pPr>
            <w:r>
              <w:rPr>
                <w:rFonts w:ascii="宋体" w:hAnsi="宋体" w:cs="宋体" w:eastAsia="宋体" w:hint="default"/>
                <w:spacing w:val="-1"/>
                <w:sz w:val="20"/>
                <w:szCs w:val="20"/>
              </w:rPr>
              <w:t>内退员工补偿费（流动部分）</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4"/>
              <w:jc w:val="right"/>
              <w:rPr>
                <w:rFonts w:ascii="Arial" w:hAnsi="Arial" w:cs="Arial" w:eastAsia="Arial" w:hint="default"/>
                <w:sz w:val="20"/>
                <w:szCs w:val="20"/>
              </w:rPr>
            </w:pPr>
            <w:r>
              <w:rPr>
                <w:rFonts w:ascii="Arial"/>
                <w:spacing w:val="-2"/>
                <w:sz w:val="20"/>
              </w:rPr>
              <w:t>2,508,341,201</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9"/>
              <w:jc w:val="right"/>
              <w:rPr>
                <w:rFonts w:ascii="Arial" w:hAnsi="Arial" w:cs="Arial" w:eastAsia="Arial" w:hint="default"/>
                <w:sz w:val="20"/>
                <w:szCs w:val="20"/>
              </w:rPr>
            </w:pPr>
            <w:r>
              <w:rPr>
                <w:rFonts w:ascii="Arial"/>
                <w:w w:val="100"/>
                <w:sz w:val="20"/>
              </w:rPr>
              <w:t>-</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0"/>
              <w:jc w:val="right"/>
              <w:rPr>
                <w:rFonts w:ascii="Arial" w:hAnsi="Arial" w:cs="Arial" w:eastAsia="Arial" w:hint="default"/>
                <w:sz w:val="20"/>
                <w:szCs w:val="20"/>
              </w:rPr>
            </w:pPr>
            <w:r>
              <w:rPr>
                <w:rFonts w:ascii="Arial"/>
                <w:w w:val="100"/>
                <w:sz w:val="20"/>
              </w:rPr>
              <w:t>-</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20"/>
                <w:szCs w:val="20"/>
              </w:rPr>
            </w:pPr>
            <w:r>
              <w:rPr>
                <w:rFonts w:ascii="Arial"/>
                <w:spacing w:val="-2"/>
                <w:sz w:val="20"/>
              </w:rPr>
              <w:t>2,508,341,201</w:t>
            </w:r>
          </w:p>
        </w:tc>
      </w:tr>
      <w:tr>
        <w:trPr>
          <w:trHeight w:val="252"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4" w:lineRule="exact"/>
              <w:ind w:left="736"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Arial" w:hAnsi="Arial" w:cs="Arial" w:eastAsia="Arial" w:hint="default"/>
                <w:sz w:val="20"/>
                <w:szCs w:val="20"/>
              </w:rPr>
              <w:t>2</w:t>
            </w:r>
            <w:r>
              <w:rPr>
                <w:rFonts w:ascii="宋体" w:hAnsi="宋体" w:cs="宋体" w:eastAsia="宋体" w:hint="default"/>
                <w:sz w:val="20"/>
                <w:szCs w:val="20"/>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2"/>
              <w:jc w:val="right"/>
              <w:rPr>
                <w:rFonts w:ascii="Arial" w:hAnsi="Arial" w:cs="Arial" w:eastAsia="Arial" w:hint="default"/>
                <w:sz w:val="20"/>
                <w:szCs w:val="20"/>
              </w:rPr>
            </w:pPr>
            <w:r>
              <w:rPr>
                <w:rFonts w:ascii="Arial"/>
                <w:spacing w:val="-1"/>
                <w:sz w:val="20"/>
              </w:rPr>
              <w:t>13,382,757</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8"/>
              <w:jc w:val="right"/>
              <w:rPr>
                <w:rFonts w:ascii="Arial" w:hAnsi="Arial" w:cs="Arial" w:eastAsia="Arial" w:hint="default"/>
                <w:sz w:val="20"/>
                <w:szCs w:val="20"/>
              </w:rPr>
            </w:pPr>
            <w:r>
              <w:rPr>
                <w:rFonts w:ascii="Arial"/>
                <w:spacing w:val="-1"/>
                <w:sz w:val="20"/>
              </w:rPr>
              <w:t>1,383,595</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4"/>
              <w:jc w:val="right"/>
              <w:rPr>
                <w:rFonts w:ascii="Arial" w:hAnsi="Arial" w:cs="Arial" w:eastAsia="Arial" w:hint="default"/>
                <w:sz w:val="20"/>
                <w:szCs w:val="20"/>
              </w:rPr>
            </w:pPr>
            <w:r>
              <w:rPr>
                <w:rFonts w:ascii="Arial"/>
                <w:spacing w:val="-1"/>
                <w:sz w:val="20"/>
              </w:rPr>
              <w:t>(2,712,424)</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9"/>
              <w:jc w:val="right"/>
              <w:rPr>
                <w:rFonts w:ascii="Arial" w:hAnsi="Arial" w:cs="Arial" w:eastAsia="Arial" w:hint="default"/>
                <w:sz w:val="20"/>
                <w:szCs w:val="20"/>
              </w:rPr>
            </w:pPr>
            <w:r>
              <w:rPr>
                <w:rFonts w:ascii="Arial"/>
                <w:spacing w:val="-1"/>
                <w:sz w:val="20"/>
              </w:rPr>
              <w:t>12,053,928</w:t>
            </w:r>
          </w:p>
        </w:tc>
      </w:tr>
    </w:tbl>
    <w:p>
      <w:pPr>
        <w:tabs>
          <w:tab w:pos="3214" w:val="left" w:leader="none"/>
          <w:tab w:pos="3696" w:val="left" w:leader="none"/>
          <w:tab w:pos="5262" w:val="left" w:leader="none"/>
          <w:tab w:pos="6941" w:val="left" w:leader="none"/>
          <w:tab w:pos="8645" w:val="left" w:leader="none"/>
          <w:tab w:pos="9727" w:val="left" w:leader="none"/>
        </w:tabs>
        <w:spacing w:line="264" w:lineRule="exact" w:before="0"/>
        <w:ind w:left="635"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其他（注</w:t>
      </w:r>
      <w:r>
        <w:rPr>
          <w:rFonts w:ascii="宋体" w:hAnsi="宋体" w:cs="宋体" w:eastAsia="宋体" w:hint="default"/>
          <w:spacing w:val="-46"/>
          <w:position w:val="1"/>
          <w:sz w:val="20"/>
          <w:szCs w:val="20"/>
        </w:rPr>
        <w:t> </w:t>
      </w:r>
      <w:r>
        <w:rPr>
          <w:rFonts w:ascii="Arial" w:hAnsi="Arial" w:cs="Arial" w:eastAsia="Arial" w:hint="default"/>
          <w:position w:val="1"/>
          <w:sz w:val="20"/>
          <w:szCs w:val="20"/>
        </w:rPr>
        <w:t>3</w:t>
      </w:r>
      <w:r>
        <w:rPr>
          <w:rFonts w:ascii="宋体" w:hAnsi="宋体" w:cs="宋体" w:eastAsia="宋体" w:hint="default"/>
          <w:position w:val="1"/>
          <w:sz w:val="20"/>
          <w:szCs w:val="20"/>
        </w:rPr>
        <w:t>）</w:t>
        <w:tab/>
      </w:r>
      <w:r>
        <w:rPr>
          <w:rFonts w:ascii="Arial" w:hAnsi="Arial" w:cs="Arial" w:eastAsia="Arial" w:hint="default"/>
          <w:sz w:val="20"/>
          <w:szCs w:val="20"/>
        </w:rPr>
      </w:r>
      <w:r>
        <w:rPr>
          <w:rFonts w:ascii="Arial" w:hAnsi="Arial" w:cs="Arial" w:eastAsia="Arial" w:hint="default"/>
          <w:sz w:val="20"/>
          <w:szCs w:val="20"/>
          <w:u w:val="single" w:color="000000"/>
        </w:rPr>
        <w:t> </w:t>
        <w:tab/>
      </w:r>
      <w:r>
        <w:rPr>
          <w:rFonts w:ascii="Arial" w:hAnsi="Arial" w:cs="Arial" w:eastAsia="Arial" w:hint="default"/>
          <w:spacing w:val="-1"/>
          <w:sz w:val="20"/>
          <w:szCs w:val="20"/>
          <w:u w:val="single" w:color="000000"/>
        </w:rPr>
        <w:t>57,518,309</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75,680,974</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pacing w:val="-2"/>
          <w:sz w:val="20"/>
          <w:szCs w:val="20"/>
          <w:u w:val="single" w:color="000000"/>
        </w:rPr>
        <w:t>(85,159,329)</w:t>
      </w:r>
      <w:r>
        <w:rPr>
          <w:rFonts w:ascii="Arial" w:hAnsi="Arial" w:cs="Arial" w:eastAsia="Arial" w:hint="default"/>
          <w:spacing w:val="-2"/>
          <w:sz w:val="20"/>
          <w:szCs w:val="20"/>
        </w:rPr>
      </w:r>
      <w:r>
        <w:rPr>
          <w:rFonts w:ascii="Arial" w:hAnsi="Arial" w:cs="Arial" w:eastAsia="Arial" w:hint="default"/>
          <w:spacing w:val="-2"/>
          <w:sz w:val="20"/>
          <w:szCs w:val="20"/>
          <w:u w:val="single" w:color="000000"/>
        </w:rPr>
        <w:t> </w:t>
        <w:tab/>
      </w:r>
      <w:r>
        <w:rPr>
          <w:rFonts w:ascii="Arial" w:hAnsi="Arial" w:cs="Arial" w:eastAsia="Arial" w:hint="default"/>
          <w:spacing w:val="-1"/>
          <w:sz w:val="20"/>
          <w:szCs w:val="20"/>
          <w:u w:val="single" w:color="000000"/>
        </w:rPr>
        <w:t>48,039,954</w:t>
        <w:tab/>
      </w:r>
      <w:r>
        <w:rPr>
          <w:rFonts w:ascii="Arial" w:hAnsi="Arial" w:cs="Arial" w:eastAsia="Arial" w:hint="default"/>
          <w:spacing w:val="-1"/>
          <w:sz w:val="20"/>
          <w:szCs w:val="20"/>
        </w:rPr>
      </w:r>
    </w:p>
    <w:p>
      <w:pPr>
        <w:spacing w:line="240" w:lineRule="auto" w:before="5"/>
        <w:rPr>
          <w:rFonts w:ascii="Arial" w:hAnsi="Arial" w:cs="Arial" w:eastAsia="Arial" w:hint="default"/>
          <w:sz w:val="15"/>
          <w:szCs w:val="15"/>
        </w:rPr>
      </w:pPr>
    </w:p>
    <w:p>
      <w:pPr>
        <w:tabs>
          <w:tab w:pos="3418" w:val="left" w:leader="none"/>
          <w:tab w:pos="6551" w:val="left" w:leader="none"/>
          <w:tab w:pos="8367" w:val="left" w:leader="none"/>
        </w:tabs>
        <w:spacing w:before="42"/>
        <w:ind w:left="635" w:right="0" w:firstLine="0"/>
        <w:jc w:val="left"/>
        <w:rPr>
          <w:rFonts w:ascii="Arial" w:hAnsi="Arial" w:cs="Arial" w:eastAsia="Arial" w:hint="default"/>
          <w:sz w:val="20"/>
          <w:szCs w:val="20"/>
        </w:rPr>
      </w:pPr>
      <w:r>
        <w:rPr>
          <w:rFonts w:ascii="宋体" w:hAnsi="宋体" w:cs="宋体" w:eastAsia="宋体" w:hint="default"/>
          <w:position w:val="1"/>
          <w:sz w:val="20"/>
          <w:szCs w:val="20"/>
        </w:rPr>
        <w:t>合计</w:t>
        <w:tab/>
      </w:r>
      <w:r>
        <w:rPr>
          <w:rFonts w:ascii="Arial" w:hAnsi="Arial" w:cs="Arial" w:eastAsia="Arial" w:hint="default"/>
          <w:spacing w:val="-2"/>
          <w:sz w:val="20"/>
          <w:szCs w:val="20"/>
        </w:rPr>
        <w:t>3,404,906,636</w:t>
      </w:r>
      <w:r>
        <w:rPr>
          <w:rFonts w:ascii="Arial" w:hAnsi="Arial" w:cs="Arial" w:eastAsia="Arial" w:hint="default"/>
          <w:sz w:val="20"/>
          <w:szCs w:val="20"/>
        </w:rPr>
        <w:t>  </w:t>
      </w:r>
      <w:r>
        <w:rPr>
          <w:rFonts w:ascii="Arial" w:hAnsi="Arial" w:cs="Arial" w:eastAsia="Arial" w:hint="default"/>
          <w:spacing w:val="25"/>
          <w:sz w:val="20"/>
          <w:szCs w:val="20"/>
        </w:rPr>
        <w:t> </w:t>
      </w:r>
      <w:r>
        <w:rPr>
          <w:rFonts w:ascii="Arial" w:hAnsi="Arial" w:cs="Arial" w:eastAsia="Arial" w:hint="default"/>
          <w:spacing w:val="-1"/>
          <w:sz w:val="20"/>
          <w:szCs w:val="20"/>
        </w:rPr>
        <w:t>27,177,551,900</w:t>
        <w:tab/>
        <w:t>(27,032,137,845)</w:t>
        <w:tab/>
        <w:t>3,550,320,691</w:t>
      </w:r>
    </w:p>
    <w:p>
      <w:pPr>
        <w:spacing w:line="43" w:lineRule="exact"/>
        <w:ind w:left="3192" w:right="0" w:firstLine="0"/>
        <w:rPr>
          <w:rFonts w:ascii="Arial" w:hAnsi="Arial" w:cs="Arial" w:eastAsia="Arial" w:hint="default"/>
          <w:sz w:val="4"/>
          <w:szCs w:val="4"/>
        </w:rPr>
      </w:pPr>
      <w:r>
        <w:rPr>
          <w:rFonts w:ascii="Arial" w:hAnsi="Arial" w:cs="Arial" w:eastAsia="Arial" w:hint="default"/>
          <w:position w:val="0"/>
          <w:sz w:val="4"/>
          <w:szCs w:val="4"/>
        </w:rPr>
        <w:pict>
          <v:group style="width:327.150pt;height:2.2pt;mso-position-horizontal-relative:char;mso-position-vertical-relative:line" coordorigin="0,0" coordsize="6543,44">
            <v:group style="position:absolute;left:7;top:36;width:1577;height:2" coordorigin="7,36" coordsize="1577,2">
              <v:shape style="position:absolute;left:7;top:36;width:1577;height:2" coordorigin="7,36" coordsize="1577,0" path="m7,36l1584,36e" filled="false" stroked="true" strokeweight=".72pt" strokecolor="#000000">
                <v:path arrowok="t"/>
              </v:shape>
            </v:group>
            <v:group style="position:absolute;left:7;top:7;width:1577;height:2" coordorigin="7,7" coordsize="1577,2">
              <v:shape style="position:absolute;left:7;top:7;width:1577;height:2" coordorigin="7,7" coordsize="1577,0" path="m7,7l1584,7e" filled="false" stroked="true" strokeweight=".72pt" strokecolor="#000000">
                <v:path arrowok="t"/>
              </v:shape>
            </v:group>
            <v:group style="position:absolute;left:1627;top:36;width:1533;height:2" coordorigin="1627,36" coordsize="1533,2">
              <v:shape style="position:absolute;left:1627;top:36;width:1533;height:2" coordorigin="1627,36" coordsize="1533,0" path="m1627,36l3160,36e" filled="false" stroked="true" strokeweight=".72pt" strokecolor="#000000">
                <v:path arrowok="t"/>
              </v:shape>
            </v:group>
            <v:group style="position:absolute;left:1627;top:7;width:1533;height:2" coordorigin="1627,7" coordsize="1533,2">
              <v:shape style="position:absolute;left:1627;top:7;width:1533;height:2" coordorigin="1627,7" coordsize="1533,0" path="m1627,7l3160,7e" filled="false" stroked="true" strokeweight=".72pt" strokecolor="#000000">
                <v:path arrowok="t"/>
              </v:shape>
            </v:group>
            <v:group style="position:absolute;left:3203;top:36;width:1731;height:2" coordorigin="3203,36" coordsize="1731,2">
              <v:shape style="position:absolute;left:3203;top:36;width:1731;height:2" coordorigin="3203,36" coordsize="1731,0" path="m3203,36l4933,36e" filled="false" stroked="true" strokeweight=".72pt" strokecolor="#000000">
                <v:path arrowok="t"/>
              </v:shape>
            </v:group>
            <v:group style="position:absolute;left:3203;top:7;width:1731;height:2" coordorigin="3203,7" coordsize="1731,2">
              <v:shape style="position:absolute;left:3203;top:7;width:1731;height:2" coordorigin="3203,7" coordsize="1731,0" path="m3203,7l4933,7e" filled="false" stroked="true" strokeweight=".72pt" strokecolor="#000000">
                <v:path arrowok="t"/>
              </v:shape>
            </v:group>
            <v:group style="position:absolute;left:4976;top:36;width:1559;height:2" coordorigin="4976,36" coordsize="1559,2">
              <v:shape style="position:absolute;left:4976;top:36;width:1559;height:2" coordorigin="4976,36" coordsize="1559,0" path="m4976,36l6535,36e" filled="false" stroked="true" strokeweight=".72pt" strokecolor="#000000">
                <v:path arrowok="t"/>
              </v:shape>
            </v:group>
            <v:group style="position:absolute;left:4976;top:7;width:1559;height:2" coordorigin="4976,7" coordsize="1559,2">
              <v:shape style="position:absolute;left:4976;top:7;width:1559;height:2" coordorigin="4976,7" coordsize="1559,0" path="m4976,7l6535,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spacing w:line="294" w:lineRule="exact" w:before="31"/>
        <w:ind w:left="590" w:right="0"/>
        <w:jc w:val="left"/>
      </w:pPr>
      <w:r>
        <w:rPr/>
        <w:t>于</w:t>
      </w:r>
      <w:r>
        <w:rPr>
          <w:spacing w:val="-43"/>
        </w:rPr>
        <w:t> </w:t>
      </w:r>
      <w:r>
        <w:rPr>
          <w:rFonts w:ascii="Arial" w:hAnsi="Arial" w:cs="Arial" w:eastAsia="Arial" w:hint="default"/>
        </w:rPr>
        <w:t>2011</w:t>
      </w:r>
      <w:r>
        <w:rPr>
          <w:rFonts w:ascii="Arial" w:hAnsi="Arial" w:cs="Arial" w:eastAsia="Arial" w:hint="default"/>
          <w:spacing w:val="6"/>
        </w:rPr>
        <w:t> </w:t>
      </w:r>
      <w:r>
        <w:rPr/>
        <w:t>年</w:t>
      </w:r>
      <w:r>
        <w:rPr>
          <w:spacing w:val="-42"/>
        </w:rPr>
        <w:t> </w:t>
      </w:r>
      <w:r>
        <w:rPr>
          <w:rFonts w:ascii="Arial" w:hAnsi="Arial" w:cs="Arial" w:eastAsia="Arial" w:hint="default"/>
        </w:rPr>
        <w:t>12</w:t>
      </w:r>
      <w:r>
        <w:rPr>
          <w:rFonts w:ascii="Arial" w:hAnsi="Arial" w:cs="Arial" w:eastAsia="Arial" w:hint="default"/>
          <w:spacing w:val="6"/>
        </w:rPr>
        <w:t> </w:t>
      </w:r>
      <w:r>
        <w:rPr/>
        <w:t>月</w:t>
      </w:r>
      <w:r>
        <w:rPr>
          <w:spacing w:val="-43"/>
        </w:rPr>
        <w:t> </w:t>
      </w:r>
      <w:r>
        <w:rPr>
          <w:rFonts w:ascii="Arial" w:hAnsi="Arial" w:cs="Arial" w:eastAsia="Arial" w:hint="default"/>
        </w:rPr>
        <w:t>31</w:t>
      </w:r>
      <w:r>
        <w:rPr>
          <w:rFonts w:ascii="Arial" w:hAnsi="Arial" w:cs="Arial" w:eastAsia="Arial" w:hint="default"/>
          <w:spacing w:val="6"/>
        </w:rPr>
        <w:t> </w:t>
      </w:r>
      <w:r>
        <w:rPr/>
        <w:t>日，应付职工薪酬中没有属于拖欠性质的应付款，本集团于</w:t>
      </w:r>
      <w:r>
        <w:rPr>
          <w:spacing w:val="-42"/>
        </w:rPr>
        <w:t> </w:t>
      </w:r>
      <w:r>
        <w:rPr>
          <w:rFonts w:ascii="Arial" w:hAnsi="Arial" w:cs="Arial" w:eastAsia="Arial" w:hint="default"/>
        </w:rPr>
        <w:t>2011</w:t>
      </w:r>
      <w:r>
        <w:rPr>
          <w:rFonts w:ascii="Arial" w:hAnsi="Arial" w:cs="Arial" w:eastAsia="Arial" w:hint="default"/>
          <w:spacing w:val="6"/>
        </w:rPr>
        <w:t> </w:t>
      </w:r>
      <w:r>
        <w:rPr/>
        <w:t>年度及</w:t>
      </w:r>
    </w:p>
    <w:p>
      <w:pPr>
        <w:pStyle w:val="BodyText"/>
        <w:spacing w:line="294" w:lineRule="exact"/>
        <w:ind w:left="590" w:right="0"/>
        <w:jc w:val="left"/>
      </w:pPr>
      <w:r>
        <w:rPr>
          <w:rFonts w:ascii="Arial" w:hAnsi="Arial" w:cs="Arial" w:eastAsia="Arial" w:hint="default"/>
        </w:rPr>
        <w:t>2010</w:t>
      </w:r>
      <w:r>
        <w:rPr>
          <w:rFonts w:ascii="Arial" w:hAnsi="Arial" w:cs="Arial" w:eastAsia="Arial" w:hint="default"/>
          <w:spacing w:val="-9"/>
        </w:rPr>
        <w:t> </w:t>
      </w:r>
      <w:r>
        <w:rPr/>
        <w:t>年度并无重大非货币性职工福利支出。</w:t>
      </w:r>
    </w:p>
    <w:p>
      <w:pPr>
        <w:spacing w:line="240" w:lineRule="auto" w:before="7"/>
        <w:rPr>
          <w:rFonts w:ascii="宋体" w:hAnsi="宋体" w:cs="宋体" w:eastAsia="宋体" w:hint="default"/>
          <w:sz w:val="18"/>
          <w:szCs w:val="18"/>
        </w:rPr>
      </w:pPr>
    </w:p>
    <w:p>
      <w:pPr>
        <w:pStyle w:val="BodyText"/>
        <w:spacing w:line="232" w:lineRule="auto"/>
        <w:ind w:left="1186" w:right="177" w:hanging="610"/>
        <w:jc w:val="both"/>
      </w:pPr>
      <w:r>
        <w:rPr/>
        <w:t>注</w:t>
      </w:r>
      <w:r>
        <w:rPr>
          <w:spacing w:val="-68"/>
        </w:rPr>
        <w:t> </w:t>
      </w:r>
      <w:r>
        <w:rPr>
          <w:rFonts w:ascii="Arial" w:hAnsi="Arial" w:cs="Arial" w:eastAsia="Arial" w:hint="default"/>
          <w:spacing w:val="-4"/>
        </w:rPr>
        <w:t>1</w:t>
      </w:r>
      <w:r>
        <w:rPr>
          <w:spacing w:val="-4"/>
        </w:rPr>
        <w:t>：国务院</w:t>
      </w:r>
      <w:r>
        <w:rPr>
          <w:spacing w:val="-68"/>
        </w:rPr>
        <w:t> </w:t>
      </w:r>
      <w:r>
        <w:rPr>
          <w:rFonts w:ascii="Arial" w:hAnsi="Arial" w:cs="Arial" w:eastAsia="Arial" w:hint="default"/>
        </w:rPr>
        <w:t>1998</w:t>
      </w:r>
      <w:r>
        <w:rPr>
          <w:rFonts w:ascii="Arial" w:hAnsi="Arial" w:cs="Arial" w:eastAsia="Arial" w:hint="default"/>
          <w:spacing w:val="-19"/>
        </w:rPr>
        <w:t> </w:t>
      </w:r>
      <w:r>
        <w:rPr/>
        <w:t>年公布的住房改革政策，企业应停止向员工进行实物分房，而应采用现金补</w:t>
      </w:r>
      <w:r>
        <w:rPr>
          <w:w w:val="99"/>
        </w:rPr>
        <w:t> </w:t>
      </w:r>
      <w:r>
        <w:rPr>
          <w:spacing w:val="-3"/>
        </w:rPr>
        <w:t>贴形式实行货币分房。在住房改革政策实施中，企业可按照自身实际情况及财务能力考虑</w:t>
      </w:r>
      <w:r>
        <w:rPr>
          <w:w w:val="99"/>
        </w:rPr>
        <w:t> </w:t>
      </w:r>
      <w:r>
        <w:rPr>
          <w:spacing w:val="-3"/>
        </w:rPr>
        <w:t>了制定适合本企业的房改方案。另外，还需按属地化原则在各省市内执行当地政府的房改</w:t>
      </w:r>
      <w:r>
        <w:rPr>
          <w:w w:val="99"/>
        </w:rPr>
        <w:t> </w:t>
      </w:r>
      <w:r>
        <w:rPr/>
        <w:t>条例。</w:t>
      </w:r>
    </w:p>
    <w:p>
      <w:pPr>
        <w:spacing w:line="240" w:lineRule="auto" w:before="3"/>
        <w:rPr>
          <w:rFonts w:ascii="宋体" w:hAnsi="宋体" w:cs="宋体" w:eastAsia="宋体" w:hint="default"/>
          <w:sz w:val="19"/>
          <w:szCs w:val="19"/>
        </w:rPr>
      </w:pPr>
    </w:p>
    <w:p>
      <w:pPr>
        <w:pStyle w:val="BodyText"/>
        <w:spacing w:line="295" w:lineRule="exact"/>
        <w:ind w:left="1164" w:right="0"/>
        <w:jc w:val="both"/>
      </w:pPr>
      <w:r>
        <w:rPr>
          <w:rFonts w:ascii="Arial" w:hAnsi="Arial" w:cs="Arial" w:eastAsia="Arial" w:hint="default"/>
        </w:rPr>
        <w:t>1998</w:t>
      </w:r>
      <w:r>
        <w:rPr>
          <w:rFonts w:ascii="Arial" w:hAnsi="Arial" w:cs="Arial" w:eastAsia="Arial" w:hint="default"/>
          <w:spacing w:val="20"/>
        </w:rPr>
        <w:t> </w:t>
      </w:r>
      <w:r>
        <w:rPr/>
        <w:t>年以前，网通运营公司以优惠价向其符合规定的员工出售员工住房（“优惠出售计</w:t>
      </w:r>
    </w:p>
    <w:p>
      <w:pPr>
        <w:pStyle w:val="BodyText"/>
        <w:spacing w:line="285" w:lineRule="exact"/>
        <w:ind w:left="1164" w:right="0"/>
        <w:jc w:val="both"/>
      </w:pPr>
      <w:r>
        <w:rPr/>
        <w:t>划”），根据国务院</w:t>
      </w:r>
      <w:r>
        <w:rPr>
          <w:spacing w:val="-58"/>
        </w:rPr>
        <w:t> </w:t>
      </w:r>
      <w:r>
        <w:rPr>
          <w:rFonts w:ascii="Arial" w:hAnsi="Arial" w:cs="Arial" w:eastAsia="Arial" w:hint="default"/>
        </w:rPr>
        <w:t>1998</w:t>
      </w:r>
      <w:r>
        <w:rPr>
          <w:rFonts w:ascii="Arial" w:hAnsi="Arial" w:cs="Arial" w:eastAsia="Arial" w:hint="default"/>
          <w:spacing w:val="-9"/>
        </w:rPr>
        <w:t> </w:t>
      </w:r>
      <w:r>
        <w:rPr/>
        <w:t>年公布的住房改革政策，网通运营公司取消了优惠出售计划。</w:t>
      </w:r>
    </w:p>
    <w:p>
      <w:pPr>
        <w:pStyle w:val="BodyText"/>
        <w:spacing w:line="235" w:lineRule="auto"/>
        <w:ind w:left="1164" w:right="177" w:hanging="1"/>
        <w:jc w:val="both"/>
      </w:pPr>
      <w:r>
        <w:rPr/>
        <w:t>于</w:t>
      </w:r>
      <w:r>
        <w:rPr>
          <w:spacing w:val="-69"/>
        </w:rPr>
        <w:t> </w:t>
      </w:r>
      <w:r>
        <w:rPr>
          <w:rFonts w:ascii="Arial" w:hAnsi="Arial" w:cs="Arial" w:eastAsia="Arial" w:hint="default"/>
        </w:rPr>
        <w:t>2000</w:t>
      </w:r>
      <w:r>
        <w:rPr>
          <w:rFonts w:ascii="Arial" w:hAnsi="Arial" w:cs="Arial" w:eastAsia="Arial" w:hint="default"/>
          <w:spacing w:val="-20"/>
        </w:rPr>
        <w:t> </w:t>
      </w:r>
      <w:r>
        <w:rPr/>
        <w:t>年，国务院进一步发布通告，说明取消员工住房分配后，须给予符合条件的员工</w:t>
      </w:r>
      <w:r>
        <w:rPr>
          <w:w w:val="99"/>
        </w:rPr>
        <w:t> </w:t>
      </w:r>
      <w:r>
        <w:rPr>
          <w:spacing w:val="-2"/>
          <w:w w:val="95"/>
        </w:rPr>
        <w:t>现金补贴，故网通运营公司所属各省分公司按照当地政府颁布的相关详细条例采纳了现金</w:t>
      </w:r>
      <w:r>
        <w:rPr>
          <w:w w:val="95"/>
        </w:rPr>
        <w:t> </w:t>
      </w:r>
      <w:r>
        <w:rPr>
          <w:w w:val="95"/>
        </w:rPr>
      </w:r>
      <w:r>
        <w:rPr>
          <w:spacing w:val="-2"/>
          <w:w w:val="95"/>
        </w:rPr>
        <w:t>住房补贴计划。根据现金住房补贴计划，对于在优惠出售计划终止前未获分配住房或分配</w:t>
      </w:r>
      <w:r>
        <w:rPr>
          <w:w w:val="95"/>
        </w:rPr>
        <w:t> </w:t>
      </w:r>
      <w:r>
        <w:rPr>
          <w:w w:val="95"/>
        </w:rPr>
      </w:r>
      <w:r>
        <w:rPr>
          <w:spacing w:val="-2"/>
          <w:w w:val="95"/>
        </w:rPr>
        <w:t>住房不达标的符合资格员工，网通运营公司须支付一笔按其服务年份、职位和其他标准计</w:t>
      </w:r>
      <w:r>
        <w:rPr>
          <w:w w:val="95"/>
        </w:rPr>
        <w:t> </w:t>
      </w:r>
      <w:r>
        <w:rPr>
          <w:w w:val="95"/>
        </w:rPr>
      </w:r>
      <w:r>
        <w:rPr>
          <w:spacing w:val="-3"/>
        </w:rPr>
        <w:t>算的一次性货币住房补贴。网通运营公司据此全额计提了约人民币</w:t>
      </w:r>
      <w:r>
        <w:rPr>
          <w:spacing w:val="-57"/>
        </w:rPr>
        <w:t> </w:t>
      </w:r>
      <w:r>
        <w:rPr>
          <w:rFonts w:ascii="Arial" w:hAnsi="Arial" w:cs="Arial" w:eastAsia="Arial" w:hint="default"/>
        </w:rPr>
        <w:t>41.42</w:t>
      </w:r>
      <w:r>
        <w:rPr>
          <w:rFonts w:ascii="Arial" w:hAnsi="Arial" w:cs="Arial" w:eastAsia="Arial" w:hint="default"/>
          <w:spacing w:val="-8"/>
        </w:rPr>
        <w:t> </w:t>
      </w:r>
      <w:r>
        <w:rPr/>
        <w:t>亿元的现金住房</w:t>
      </w:r>
    </w:p>
    <w:p>
      <w:pPr>
        <w:pStyle w:val="BodyText"/>
        <w:spacing w:line="232" w:lineRule="auto"/>
        <w:ind w:left="1164" w:right="177"/>
        <w:jc w:val="both"/>
      </w:pPr>
      <w:r>
        <w:rPr>
          <w:spacing w:val="-10"/>
        </w:rPr>
        <w:t>补贴。于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5"/>
        </w:rPr>
        <w:t>日，尚有约人民币</w:t>
      </w:r>
      <w:r>
        <w:rPr>
          <w:spacing w:val="-56"/>
        </w:rPr>
        <w:t> </w:t>
      </w:r>
      <w:r>
        <w:rPr>
          <w:rFonts w:ascii="Arial" w:hAnsi="Arial" w:cs="Arial" w:eastAsia="Arial" w:hint="default"/>
        </w:rPr>
        <w:t>25.08</w:t>
      </w:r>
      <w:r>
        <w:rPr>
          <w:rFonts w:ascii="Arial" w:hAnsi="Arial" w:cs="Arial" w:eastAsia="Arial" w:hint="default"/>
          <w:spacing w:val="-7"/>
        </w:rPr>
        <w:t> </w:t>
      </w:r>
      <w:r>
        <w:rPr/>
        <w:t>亿元的一次性货币住房补贴尚未支付</w:t>
      </w:r>
      <w:r>
        <w:rPr>
          <w:w w:val="99"/>
        </w:rPr>
        <w:t> </w:t>
      </w:r>
      <w:r>
        <w:rPr>
          <w:spacing w:val="-2"/>
          <w:w w:val="95"/>
        </w:rPr>
        <w:t>完毕，对于实际支付金额多于已计提金额，网通集团将补发其差额，如果实际支付金额少</w:t>
      </w:r>
      <w:r>
        <w:rPr>
          <w:spacing w:val="103"/>
          <w:w w:val="95"/>
        </w:rPr>
        <w:t> </w:t>
      </w:r>
      <w:r>
        <w:rPr>
          <w:spacing w:val="103"/>
          <w:w w:val="95"/>
        </w:rPr>
      </w:r>
      <w:r>
        <w:rPr/>
        <w:t>于已计提金额，网通运营公司将支付给网通集团。于</w:t>
      </w:r>
      <w:r>
        <w:rPr>
          <w:spacing w:val="-65"/>
        </w:rPr>
        <w:t> </w:t>
      </w:r>
      <w:r>
        <w:rPr>
          <w:rFonts w:ascii="Arial" w:hAnsi="Arial" w:cs="Arial" w:eastAsia="Arial" w:hint="default"/>
        </w:rPr>
        <w:t>2009</w:t>
      </w:r>
      <w:r>
        <w:rPr>
          <w:rFonts w:ascii="Arial" w:hAnsi="Arial" w:cs="Arial" w:eastAsia="Arial" w:hint="default"/>
          <w:spacing w:val="-16"/>
        </w:rPr>
        <w:t> </w:t>
      </w:r>
      <w:r>
        <w:rPr/>
        <w:t>年</w:t>
      </w:r>
      <w:r>
        <w:rPr>
          <w:spacing w:val="-65"/>
        </w:rPr>
        <w:t> </w:t>
      </w:r>
      <w:r>
        <w:rPr>
          <w:rFonts w:ascii="Arial" w:hAnsi="Arial" w:cs="Arial" w:eastAsia="Arial" w:hint="default"/>
        </w:rPr>
        <w:t>1</w:t>
      </w:r>
      <w:r>
        <w:rPr>
          <w:rFonts w:ascii="Arial" w:hAnsi="Arial" w:cs="Arial" w:eastAsia="Arial" w:hint="default"/>
          <w:spacing w:val="-16"/>
        </w:rPr>
        <w:t> </w:t>
      </w:r>
      <w:r>
        <w:rPr/>
        <w:t>月，由于网通运营公司已</w:t>
      </w:r>
      <w:r>
        <w:rPr>
          <w:w w:val="99"/>
        </w:rPr>
        <w:t> </w:t>
      </w:r>
      <w:r>
        <w:rPr>
          <w:spacing w:val="-2"/>
          <w:w w:val="95"/>
        </w:rPr>
        <w:t>被联通运营公司吸收合并，网通集团也被联通集团吸收合并，因此网通运营公司和网通集</w:t>
      </w:r>
      <w:r>
        <w:rPr>
          <w:spacing w:val="1"/>
          <w:w w:val="95"/>
        </w:rPr>
        <w:t> </w:t>
      </w:r>
      <w:r>
        <w:rPr>
          <w:spacing w:val="1"/>
          <w:w w:val="95"/>
        </w:rPr>
      </w:r>
      <w:r>
        <w:rPr/>
        <w:t>团在上述一次性货币住房补贴中的权利和义务分别由联通运营公司和联通集团承继。</w:t>
      </w:r>
    </w:p>
    <w:p>
      <w:pPr>
        <w:spacing w:after="0" w:line="232" w:lineRule="auto"/>
        <w:jc w:val="both"/>
        <w:sectPr>
          <w:headerReference w:type="default" r:id="rId107"/>
          <w:pgSz w:w="11900" w:h="16840"/>
          <w:pgMar w:header="1189" w:footer="752" w:top="3040" w:bottom="940" w:left="1240" w:right="820"/>
        </w:sectPr>
      </w:pPr>
    </w:p>
    <w:p>
      <w:pPr>
        <w:spacing w:line="240" w:lineRule="auto" w:before="9"/>
        <w:rPr>
          <w:rFonts w:ascii="宋体" w:hAnsi="宋体" w:cs="宋体" w:eastAsia="宋体" w:hint="default"/>
          <w:sz w:val="16"/>
          <w:szCs w:val="16"/>
        </w:rPr>
      </w:pPr>
    </w:p>
    <w:p>
      <w:pPr>
        <w:pStyle w:val="BodyText"/>
        <w:spacing w:line="240" w:lineRule="auto" w:before="31"/>
        <w:ind w:left="102" w:right="0"/>
        <w:jc w:val="left"/>
      </w:pPr>
      <w:r>
        <w:rPr>
          <w:rFonts w:ascii="Arial" w:hAnsi="Arial" w:cs="Arial" w:eastAsia="Arial" w:hint="default"/>
        </w:rPr>
        <w:t>20</w:t>
      </w:r>
      <w:r>
        <w:rPr/>
        <w:t>、应付职工薪酬（续）</w:t>
      </w:r>
    </w:p>
    <w:p>
      <w:pPr>
        <w:spacing w:line="240" w:lineRule="auto" w:before="7"/>
        <w:rPr>
          <w:rFonts w:ascii="宋体" w:hAnsi="宋体" w:cs="宋体" w:eastAsia="宋体" w:hint="default"/>
          <w:sz w:val="18"/>
          <w:szCs w:val="18"/>
        </w:rPr>
      </w:pPr>
    </w:p>
    <w:p>
      <w:pPr>
        <w:pStyle w:val="BodyText"/>
        <w:spacing w:line="232" w:lineRule="auto"/>
        <w:ind w:left="1182" w:right="293" w:hanging="622"/>
        <w:jc w:val="both"/>
      </w:pPr>
      <w:r>
        <w:rPr/>
        <w:t>注</w:t>
      </w:r>
      <w:r>
        <w:rPr>
          <w:spacing w:val="-57"/>
        </w:rPr>
        <w:t> </w:t>
      </w:r>
      <w:r>
        <w:rPr>
          <w:rFonts w:ascii="Arial" w:hAnsi="Arial" w:cs="Arial" w:eastAsia="Arial" w:hint="default"/>
        </w:rPr>
        <w:t>2</w:t>
      </w:r>
      <w:r>
        <w:rPr/>
        <w:t>：根据联通运营公司及其子公司中讯设计院于以前年度与内退员工签署的内退协议，其将</w:t>
      </w:r>
      <w:r>
        <w:rPr>
          <w:w w:val="99"/>
        </w:rPr>
        <w:t> </w:t>
      </w:r>
      <w:r>
        <w:rPr/>
        <w:t>在内退员工达到国家法定退休年龄前分期支付一定的经济补偿，该等经济补偿已于内退</w:t>
      </w:r>
      <w:r>
        <w:rPr>
          <w:w w:val="99"/>
        </w:rPr>
        <w:t> </w:t>
      </w:r>
      <w:r>
        <w:rPr/>
        <w:t>协议签署期间折现后分别由联通运营公司和中讯设计院全额一次性计入签约期间的费用</w:t>
      </w:r>
      <w:r>
        <w:rPr>
          <w:w w:val="99"/>
        </w:rPr>
        <w:t> </w:t>
      </w:r>
      <w:r>
        <w:rPr/>
        <w:t>当中。</w:t>
      </w:r>
    </w:p>
    <w:p>
      <w:pPr>
        <w:spacing w:line="240" w:lineRule="auto" w:before="11"/>
        <w:rPr>
          <w:rFonts w:ascii="宋体" w:hAnsi="宋体" w:cs="宋体" w:eastAsia="宋体" w:hint="default"/>
          <w:sz w:val="19"/>
          <w:szCs w:val="19"/>
        </w:rPr>
      </w:pPr>
    </w:p>
    <w:p>
      <w:pPr>
        <w:pStyle w:val="BodyText"/>
        <w:spacing w:line="232" w:lineRule="auto"/>
        <w:ind w:left="1146" w:right="0" w:hanging="603"/>
        <w:jc w:val="left"/>
      </w:pPr>
      <w:r>
        <w:rPr/>
        <w:t>注</w:t>
      </w:r>
      <w:r>
        <w:rPr>
          <w:spacing w:val="-56"/>
        </w:rPr>
        <w:t> </w:t>
      </w:r>
      <w:r>
        <w:rPr>
          <w:rFonts w:ascii="Arial" w:hAnsi="Arial" w:cs="Arial" w:eastAsia="Arial" w:hint="default"/>
        </w:rPr>
        <w:t>3</w:t>
      </w:r>
      <w:r>
        <w:rPr/>
        <w:t>：其他中包括本集团所属个别子公司向职工提供其他离退休后补充福利，主要包括补充退</w:t>
      </w:r>
      <w:r>
        <w:rPr>
          <w:w w:val="99"/>
        </w:rPr>
        <w:t> </w:t>
      </w:r>
      <w:r>
        <w:rPr>
          <w:w w:val="95"/>
        </w:rPr>
        <w:t>休金津贴，医药费用报销及补充医疗保险，该等离退休后补充福利被视为设定受益计划。</w:t>
      </w:r>
      <w:r>
        <w:rPr>
          <w:w w:val="99"/>
        </w:rPr>
        <w:t> </w:t>
      </w:r>
      <w:r>
        <w:rPr/>
        <w:t>设定受益计划的现值以到期日与有关离退休后补充福利预计支付期相近的政府债券的利</w:t>
      </w:r>
      <w:r>
        <w:rPr>
          <w:w w:val="99"/>
        </w:rPr>
        <w:t> </w:t>
      </w:r>
      <w:r>
        <w:rPr/>
        <w:t>率，按估计未来现金流出折现确定。</w:t>
      </w:r>
    </w:p>
    <w:p>
      <w:pPr>
        <w:spacing w:line="240" w:lineRule="auto" w:before="3"/>
        <w:rPr>
          <w:rFonts w:ascii="宋体" w:hAnsi="宋体" w:cs="宋体" w:eastAsia="宋体" w:hint="default"/>
          <w:sz w:val="19"/>
          <w:szCs w:val="19"/>
        </w:rPr>
      </w:pPr>
    </w:p>
    <w:p>
      <w:pPr>
        <w:pStyle w:val="BodyText"/>
        <w:spacing w:line="240" w:lineRule="auto"/>
        <w:ind w:left="102" w:right="0"/>
        <w:jc w:val="left"/>
      </w:pPr>
      <w:r>
        <w:rPr>
          <w:rFonts w:ascii="Arial" w:hAnsi="Arial" w:cs="Arial" w:eastAsia="Arial" w:hint="default"/>
        </w:rPr>
        <w:t>21</w:t>
      </w:r>
      <w:r>
        <w:rPr/>
        <w:t>、应交税费</w:t>
      </w:r>
    </w:p>
    <w:p>
      <w:pPr>
        <w:spacing w:line="240" w:lineRule="auto" w:before="13"/>
        <w:rPr>
          <w:rFonts w:ascii="宋体" w:hAnsi="宋体" w:cs="宋体" w:eastAsia="宋体" w:hint="default"/>
          <w:sz w:val="11"/>
          <w:szCs w:val="11"/>
        </w:rPr>
      </w:pPr>
    </w:p>
    <w:tbl>
      <w:tblPr>
        <w:tblW w:w="0" w:type="auto"/>
        <w:jc w:val="left"/>
        <w:tblInd w:w="530" w:type="dxa"/>
        <w:tblLayout w:type="fixed"/>
        <w:tblCellMar>
          <w:top w:w="0" w:type="dxa"/>
          <w:left w:w="0" w:type="dxa"/>
          <w:bottom w:w="0" w:type="dxa"/>
          <w:right w:w="0" w:type="dxa"/>
        </w:tblCellMar>
        <w:tblLook w:val="01E0"/>
      </w:tblPr>
      <w:tblGrid>
        <w:gridCol w:w="4341"/>
        <w:gridCol w:w="2320"/>
        <w:gridCol w:w="2389"/>
      </w:tblGrid>
      <w:tr>
        <w:trPr>
          <w:trHeight w:val="361" w:hRule="exact"/>
        </w:trPr>
        <w:tc>
          <w:tcPr>
            <w:tcW w:w="4341" w:type="dxa"/>
            <w:vMerge w:val="restart"/>
            <w:tcBorders>
              <w:top w:val="nil" w:sz="6" w:space="0" w:color="auto"/>
              <w:left w:val="nil" w:sz="6" w:space="0" w:color="auto"/>
              <w:right w:val="nil" w:sz="6" w:space="0" w:color="auto"/>
            </w:tcBorders>
          </w:tcPr>
          <w:p>
            <w:pPr/>
          </w:p>
        </w:tc>
        <w:tc>
          <w:tcPr>
            <w:tcW w:w="2320"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5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8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26"/>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92" w:hRule="exact"/>
        </w:trPr>
        <w:tc>
          <w:tcPr>
            <w:tcW w:w="4341" w:type="dxa"/>
            <w:vMerge/>
            <w:tcBorders>
              <w:left w:val="nil" w:sz="6" w:space="0" w:color="auto"/>
              <w:bottom w:val="nil" w:sz="6" w:space="0" w:color="auto"/>
              <w:right w:val="nil" w:sz="6" w:space="0" w:color="auto"/>
            </w:tcBorders>
          </w:tcPr>
          <w:p>
            <w:pPr/>
          </w:p>
        </w:tc>
        <w:tc>
          <w:tcPr>
            <w:tcW w:w="2320" w:type="dxa"/>
            <w:tcBorders>
              <w:top w:val="single" w:sz="6" w:space="0" w:color="000000"/>
              <w:left w:val="nil" w:sz="6" w:space="0" w:color="auto"/>
              <w:bottom w:val="nil" w:sz="6" w:space="0" w:color="auto"/>
              <w:right w:val="nil" w:sz="6" w:space="0" w:color="auto"/>
            </w:tcBorders>
          </w:tcPr>
          <w:p>
            <w:pPr/>
          </w:p>
        </w:tc>
        <w:tc>
          <w:tcPr>
            <w:tcW w:w="2389" w:type="dxa"/>
            <w:tcBorders>
              <w:top w:val="single" w:sz="6" w:space="0" w:color="000000"/>
              <w:left w:val="nil" w:sz="6" w:space="0" w:color="auto"/>
              <w:bottom w:val="nil" w:sz="6" w:space="0" w:color="auto"/>
              <w:right w:val="nil" w:sz="6" w:space="0" w:color="auto"/>
            </w:tcBorders>
          </w:tcPr>
          <w:p>
            <w:pPr>
              <w:pStyle w:val="TableParagraph"/>
              <w:spacing w:line="252" w:lineRule="exact"/>
              <w:ind w:right="2"/>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99"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应交营业税</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Arial" w:hAnsi="Arial" w:cs="Arial" w:eastAsia="Arial" w:hint="default"/>
                <w:sz w:val="22"/>
                <w:szCs w:val="22"/>
              </w:rPr>
            </w:pPr>
            <w:r>
              <w:rPr>
                <w:rFonts w:ascii="Arial"/>
                <w:w w:val="95"/>
                <w:sz w:val="22"/>
              </w:rPr>
              <w:t>636,208,084</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5"/>
              <w:jc w:val="right"/>
              <w:rPr>
                <w:rFonts w:ascii="Arial" w:hAnsi="Arial" w:cs="Arial" w:eastAsia="Arial" w:hint="default"/>
                <w:sz w:val="22"/>
                <w:szCs w:val="22"/>
              </w:rPr>
            </w:pPr>
            <w:r>
              <w:rPr>
                <w:rFonts w:ascii="Arial"/>
                <w:w w:val="95"/>
                <w:sz w:val="22"/>
              </w:rPr>
              <w:t>559,588,545</w:t>
            </w:r>
            <w:r>
              <w:rPr>
                <w:rFonts w:ascii="Arial"/>
                <w:sz w:val="22"/>
              </w:rPr>
            </w:r>
          </w:p>
        </w:tc>
      </w:tr>
      <w:tr>
        <w:trPr>
          <w:trHeight w:val="285"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应交增值税（注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
              <w:jc w:val="right"/>
              <w:rPr>
                <w:rFonts w:ascii="Arial" w:hAnsi="Arial" w:cs="Arial" w:eastAsia="Arial" w:hint="default"/>
                <w:sz w:val="22"/>
                <w:szCs w:val="22"/>
              </w:rPr>
            </w:pPr>
            <w:r>
              <w:rPr>
                <w:rFonts w:ascii="Arial"/>
                <w:w w:val="95"/>
                <w:sz w:val="22"/>
              </w:rPr>
              <w:t>(148,655,465)</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
              <w:jc w:val="right"/>
              <w:rPr>
                <w:rFonts w:ascii="Arial" w:hAnsi="Arial" w:cs="Arial" w:eastAsia="Arial" w:hint="default"/>
                <w:sz w:val="22"/>
                <w:szCs w:val="22"/>
              </w:rPr>
            </w:pPr>
            <w:r>
              <w:rPr>
                <w:rFonts w:ascii="Arial"/>
                <w:w w:val="95"/>
                <w:sz w:val="22"/>
              </w:rPr>
              <w:t>(66,249,087)</w:t>
            </w:r>
            <w:r>
              <w:rPr>
                <w:rFonts w:ascii="Arial"/>
                <w:sz w:val="22"/>
              </w:rPr>
            </w:r>
          </w:p>
        </w:tc>
      </w:tr>
      <w:tr>
        <w:trPr>
          <w:trHeight w:val="285"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应交企业所得税（注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2"/>
                <w:szCs w:val="22"/>
              </w:rPr>
            </w:pPr>
            <w:r>
              <w:rPr>
                <w:rFonts w:ascii="Arial"/>
                <w:w w:val="95"/>
                <w:sz w:val="22"/>
              </w:rPr>
              <w:t>221,183,366</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258,261,756</w:t>
            </w:r>
            <w:r>
              <w:rPr>
                <w:rFonts w:ascii="Arial"/>
                <w:sz w:val="22"/>
              </w:rPr>
            </w:r>
          </w:p>
        </w:tc>
      </w:tr>
      <w:tr>
        <w:trPr>
          <w:trHeight w:val="286"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应交个人所得税</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2"/>
                <w:szCs w:val="22"/>
              </w:rPr>
            </w:pPr>
            <w:r>
              <w:rPr>
                <w:rFonts w:ascii="Arial"/>
                <w:w w:val="95"/>
                <w:sz w:val="22"/>
              </w:rPr>
              <w:t>209,484,845</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226,676,660</w:t>
            </w:r>
            <w:r>
              <w:rPr>
                <w:rFonts w:ascii="Arial"/>
                <w:sz w:val="22"/>
              </w:rPr>
            </w:r>
          </w:p>
        </w:tc>
      </w:tr>
      <w:tr>
        <w:trPr>
          <w:trHeight w:val="266"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应交房产税</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52,868,907</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Arial" w:hAnsi="Arial" w:cs="Arial" w:eastAsia="Arial" w:hint="default"/>
                <w:sz w:val="22"/>
                <w:szCs w:val="22"/>
              </w:rPr>
            </w:pPr>
            <w:r>
              <w:rPr>
                <w:rFonts w:ascii="Arial"/>
                <w:w w:val="95"/>
                <w:sz w:val="22"/>
              </w:rPr>
              <w:t>45,802,018</w:t>
            </w:r>
            <w:r>
              <w:rPr>
                <w:rFonts w:ascii="Arial"/>
                <w:sz w:val="22"/>
              </w:rPr>
            </w:r>
          </w:p>
        </w:tc>
      </w:tr>
    </w:tbl>
    <w:p>
      <w:pPr>
        <w:pStyle w:val="BodyText"/>
        <w:tabs>
          <w:tab w:pos="4871" w:val="left" w:leader="none"/>
          <w:tab w:pos="5857" w:val="left" w:leader="none"/>
          <w:tab w:pos="8258" w:val="left" w:leader="none"/>
          <w:tab w:pos="9579" w:val="left" w:leader="none"/>
        </w:tabs>
        <w:spacing w:line="291" w:lineRule="exact"/>
        <w:ind w:left="565" w:right="0"/>
        <w:jc w:val="left"/>
        <w:rPr>
          <w:rFonts w:ascii="Arial" w:hAnsi="Arial" w:cs="Arial" w:eastAsia="Arial" w:hint="default"/>
        </w:rPr>
      </w:pPr>
      <w:r>
        <w:rPr>
          <w:w w:val="95"/>
          <w:position w:val="2"/>
        </w:rPr>
        <w:t>其他</w:t>
        <w:tab/>
      </w:r>
      <w:r>
        <w:rPr>
          <w:rFonts w:ascii="Arial" w:hAnsi="Arial" w:cs="Arial" w:eastAsia="Arial" w:hint="default"/>
          <w:w w:val="95"/>
        </w:rPr>
      </w:r>
      <w:r>
        <w:rPr>
          <w:rFonts w:ascii="Arial" w:hAnsi="Arial" w:cs="Arial" w:eastAsia="Arial" w:hint="default"/>
          <w:w w:val="95"/>
          <w:u w:val="single" w:color="000000"/>
        </w:rPr>
        <w:t> </w:t>
        <w:tab/>
        <w:t>262,344,052</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459,403,660</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673" w:val="left" w:leader="none"/>
          <w:tab w:pos="8074" w:val="left" w:leader="none"/>
        </w:tabs>
        <w:spacing w:line="240" w:lineRule="auto" w:before="27"/>
        <w:ind w:left="565" w:right="0"/>
        <w:jc w:val="left"/>
        <w:rPr>
          <w:rFonts w:ascii="Arial" w:hAnsi="Arial" w:cs="Arial" w:eastAsia="Arial" w:hint="default"/>
        </w:rPr>
      </w:pPr>
      <w:r>
        <w:rPr>
          <w:w w:val="95"/>
          <w:position w:val="2"/>
        </w:rPr>
        <w:t>合计</w:t>
        <w:tab/>
      </w:r>
      <w:r>
        <w:rPr>
          <w:rFonts w:ascii="Arial" w:hAnsi="Arial" w:cs="Arial" w:eastAsia="Arial" w:hint="default"/>
          <w:spacing w:val="-1"/>
        </w:rPr>
        <w:t>1,233,433,789</w:t>
        <w:tab/>
        <w:t>1,483,483,552</w:t>
      </w:r>
    </w:p>
    <w:p>
      <w:pPr>
        <w:spacing w:line="43" w:lineRule="exact"/>
        <w:ind w:left="4849" w:right="0" w:firstLine="0"/>
        <w:rPr>
          <w:rFonts w:ascii="Arial" w:hAnsi="Arial" w:cs="Arial" w:eastAsia="Arial" w:hint="default"/>
          <w:sz w:val="4"/>
          <w:szCs w:val="4"/>
        </w:rPr>
      </w:pPr>
      <w:r>
        <w:rPr>
          <w:rFonts w:ascii="Arial" w:hAnsi="Arial" w:cs="Arial" w:eastAsia="Arial" w:hint="default"/>
          <w:position w:val="0"/>
          <w:sz w:val="4"/>
          <w:szCs w:val="4"/>
        </w:rPr>
        <w:pict>
          <v:group style="width:236.9pt;height:2.2pt;mso-position-horizontal-relative:char;mso-position-vertical-relative:line" coordorigin="0,0" coordsize="4738,44">
            <v:group style="position:absolute;left:7;top:36;width:2334;height:2" coordorigin="7,36" coordsize="2334,2">
              <v:shape style="position:absolute;left:7;top:36;width:2334;height:2" coordorigin="7,36" coordsize="2334,0" path="m7,36l2341,36e" filled="false" stroked="true" strokeweight=".72pt" strokecolor="#000000">
                <v:path arrowok="t"/>
              </v:shape>
            </v:group>
            <v:group style="position:absolute;left:7;top:7;width:2334;height:2" coordorigin="7,7" coordsize="2334,2">
              <v:shape style="position:absolute;left:7;top:7;width:2334;height:2" coordorigin="7,7" coordsize="2334,0" path="m7,7l2341,7e" filled="false" stroked="true" strokeweight=".72pt" strokecolor="#000000">
                <v:path arrowok="t"/>
              </v:shape>
            </v:group>
            <v:group style="position:absolute;left:2410;top:36;width:2321;height:2" coordorigin="2410,36" coordsize="2321,2">
              <v:shape style="position:absolute;left:2410;top:36;width:2321;height:2" coordorigin="2410,36" coordsize="2321,0" path="m2410,36l4730,36e" filled="false" stroked="true" strokeweight=".72pt" strokecolor="#000000">
                <v:path arrowok="t"/>
              </v:shape>
            </v:group>
            <v:group style="position:absolute;left:2410;top:7;width:2321;height:2" coordorigin="2410,7" coordsize="2321,2">
              <v:shape style="position:absolute;left:2410;top:7;width:2321;height:2" coordorigin="2410,7" coordsize="2321,0" path="m2410,7l4730,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550" w:right="0"/>
        <w:jc w:val="left"/>
      </w:pPr>
      <w:r>
        <w:rPr/>
        <w:t>注</w:t>
      </w:r>
      <w:r>
        <w:rPr>
          <w:spacing w:val="-56"/>
        </w:rPr>
        <w:t> </w:t>
      </w:r>
      <w:r>
        <w:rPr>
          <w:rFonts w:ascii="Arial" w:hAnsi="Arial" w:cs="Arial" w:eastAsia="Arial" w:hint="default"/>
        </w:rPr>
        <w:t>1</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日，联通运营公司所属子公司有约人民币</w:t>
      </w:r>
      <w:r>
        <w:rPr>
          <w:spacing w:val="-56"/>
        </w:rPr>
        <w:t> </w:t>
      </w:r>
      <w:r>
        <w:rPr>
          <w:rFonts w:ascii="Arial" w:hAnsi="Arial" w:cs="Arial" w:eastAsia="Arial" w:hint="default"/>
        </w:rPr>
        <w:t>1.6</w:t>
      </w:r>
      <w:r>
        <w:rPr>
          <w:rFonts w:ascii="Arial" w:hAnsi="Arial" w:cs="Arial" w:eastAsia="Arial" w:hint="default"/>
          <w:spacing w:val="-7"/>
        </w:rPr>
        <w:t> </w:t>
      </w:r>
      <w:r>
        <w:rPr/>
        <w:t>亿元增值税进项税余</w:t>
      </w:r>
    </w:p>
    <w:p>
      <w:pPr>
        <w:pStyle w:val="BodyText"/>
        <w:spacing w:line="295" w:lineRule="exact"/>
        <w:ind w:left="1166" w:right="0"/>
        <w:jc w:val="left"/>
      </w:pPr>
      <w:r>
        <w:rPr/>
        <w:t>额尚未进行抵扣（</w:t>
      </w:r>
      <w:r>
        <w:rPr>
          <w:rFonts w:ascii="Arial" w:hAnsi="Arial" w:cs="Arial" w:eastAsia="Arial" w:hint="default"/>
        </w:rPr>
        <w:t>2010</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日：约人民币</w:t>
      </w:r>
      <w:r>
        <w:rPr>
          <w:spacing w:val="-57"/>
        </w:rPr>
        <w:t> </w:t>
      </w:r>
      <w:r>
        <w:rPr>
          <w:rFonts w:ascii="Arial" w:hAnsi="Arial" w:cs="Arial" w:eastAsia="Arial" w:hint="default"/>
        </w:rPr>
        <w:t>7,116</w:t>
      </w:r>
      <w:r>
        <w:rPr>
          <w:rFonts w:ascii="Arial" w:hAnsi="Arial" w:cs="Arial" w:eastAsia="Arial" w:hint="default"/>
          <w:spacing w:val="-8"/>
        </w:rPr>
        <w:t> </w:t>
      </w:r>
      <w:r>
        <w:rPr/>
        <w:t>万元）。</w:t>
      </w:r>
    </w:p>
    <w:p>
      <w:pPr>
        <w:spacing w:line="240" w:lineRule="auto" w:before="12"/>
        <w:rPr>
          <w:rFonts w:ascii="宋体" w:hAnsi="宋体" w:cs="宋体" w:eastAsia="宋体" w:hint="default"/>
          <w:sz w:val="17"/>
          <w:szCs w:val="17"/>
        </w:rPr>
      </w:pPr>
    </w:p>
    <w:p>
      <w:pPr>
        <w:pStyle w:val="BodyText"/>
        <w:spacing w:line="295" w:lineRule="exact"/>
        <w:ind w:left="550" w:right="0"/>
        <w:jc w:val="left"/>
      </w:pPr>
      <w:r>
        <w:rPr/>
        <w:t>注</w:t>
      </w:r>
      <w:r>
        <w:rPr>
          <w:spacing w:val="-56"/>
        </w:rPr>
        <w:t> </w:t>
      </w:r>
      <w:r>
        <w:rPr>
          <w:rFonts w:ascii="Arial" w:hAnsi="Arial" w:cs="Arial" w:eastAsia="Arial" w:hint="default"/>
        </w:rPr>
        <w:t>2</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日，联通运营公司及其所属部分子公司实际预缴的企业所得税超过</w:t>
      </w:r>
    </w:p>
    <w:p>
      <w:pPr>
        <w:pStyle w:val="BodyText"/>
        <w:spacing w:line="286" w:lineRule="exact"/>
        <w:ind w:left="1166" w:right="0"/>
        <w:jc w:val="left"/>
        <w:rPr>
          <w:rFonts w:ascii="Arial" w:hAnsi="Arial" w:cs="Arial" w:eastAsia="Arial" w:hint="default"/>
        </w:rPr>
      </w:pPr>
      <w:r>
        <w:rPr/>
        <w:t>本集团预计应缴纳的企业所得税约人民币</w:t>
      </w:r>
      <w:r>
        <w:rPr>
          <w:spacing w:val="-60"/>
        </w:rPr>
        <w:t> </w:t>
      </w:r>
      <w:r>
        <w:rPr>
          <w:rFonts w:ascii="Arial" w:hAnsi="Arial" w:cs="Arial" w:eastAsia="Arial" w:hint="default"/>
        </w:rPr>
        <w:t>6.96</w:t>
      </w:r>
      <w:r>
        <w:rPr>
          <w:rFonts w:ascii="Arial" w:hAnsi="Arial" w:cs="Arial" w:eastAsia="Arial" w:hint="default"/>
          <w:spacing w:val="-11"/>
        </w:rPr>
        <w:t> </w:t>
      </w:r>
      <w:r>
        <w:rPr/>
        <w:t>亿元被记录于其他流动资产（</w:t>
      </w:r>
      <w:r>
        <w:rPr>
          <w:rFonts w:ascii="Arial" w:hAnsi="Arial" w:cs="Arial" w:eastAsia="Arial" w:hint="default"/>
        </w:rPr>
        <w:t>2010</w:t>
      </w:r>
      <w:r>
        <w:rPr>
          <w:rFonts w:ascii="Arial" w:hAnsi="Arial" w:cs="Arial" w:eastAsia="Arial" w:hint="default"/>
          <w:spacing w:val="-10"/>
        </w:rPr>
        <w:t> </w:t>
      </w:r>
      <w:r>
        <w:rPr/>
        <w:t>年</w:t>
      </w:r>
      <w:r>
        <w:rPr>
          <w:spacing w:val="-60"/>
        </w:rPr>
        <w:t> </w:t>
      </w:r>
      <w:r>
        <w:rPr>
          <w:rFonts w:ascii="Arial" w:hAnsi="Arial" w:cs="Arial" w:eastAsia="Arial" w:hint="default"/>
        </w:rPr>
        <w:t>12</w:t>
      </w:r>
    </w:p>
    <w:p>
      <w:pPr>
        <w:pStyle w:val="BodyText"/>
        <w:spacing w:line="295" w:lineRule="exact"/>
        <w:ind w:left="1166" w:right="0"/>
        <w:jc w:val="left"/>
      </w:pPr>
      <w:r>
        <w:rPr/>
        <w:t>月</w:t>
      </w:r>
      <w:r>
        <w:rPr>
          <w:spacing w:val="-56"/>
        </w:rPr>
        <w:t> </w:t>
      </w:r>
      <w:r>
        <w:rPr>
          <w:rFonts w:ascii="Arial" w:hAnsi="Arial" w:cs="Arial" w:eastAsia="Arial" w:hint="default"/>
        </w:rPr>
        <w:t>31</w:t>
      </w:r>
      <w:r>
        <w:rPr>
          <w:rFonts w:ascii="Arial" w:hAnsi="Arial" w:cs="Arial" w:eastAsia="Arial" w:hint="default"/>
          <w:spacing w:val="-7"/>
        </w:rPr>
        <w:t> </w:t>
      </w:r>
      <w:r>
        <w:rPr/>
        <w:t>日：约人民币</w:t>
      </w:r>
      <w:r>
        <w:rPr>
          <w:spacing w:val="-56"/>
        </w:rPr>
        <w:t> </w:t>
      </w:r>
      <w:r>
        <w:rPr>
          <w:rFonts w:ascii="Arial" w:hAnsi="Arial" w:cs="Arial" w:eastAsia="Arial" w:hint="default"/>
        </w:rPr>
        <w:t>6.20</w:t>
      </w:r>
      <w:r>
        <w:rPr>
          <w:rFonts w:ascii="Arial" w:hAnsi="Arial" w:cs="Arial" w:eastAsia="Arial" w:hint="default"/>
          <w:spacing w:val="-7"/>
        </w:rPr>
        <w:t> </w:t>
      </w:r>
      <w:r>
        <w:rPr/>
        <w:t>亿元）。</w:t>
      </w:r>
    </w:p>
    <w:p>
      <w:pPr>
        <w:spacing w:line="240" w:lineRule="auto" w:before="1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22</w:t>
      </w:r>
      <w:r>
        <w:rPr/>
        <w:t>、应付利息</w:t>
      </w:r>
    </w:p>
    <w:p>
      <w:pPr>
        <w:spacing w:line="240" w:lineRule="auto" w:before="13"/>
        <w:rPr>
          <w:rFonts w:ascii="宋体" w:hAnsi="宋体" w:cs="宋体" w:eastAsia="宋体" w:hint="default"/>
          <w:sz w:val="17"/>
          <w:szCs w:val="17"/>
        </w:rPr>
      </w:pPr>
    </w:p>
    <w:p>
      <w:pPr>
        <w:pStyle w:val="BodyText"/>
        <w:tabs>
          <w:tab w:pos="7635" w:val="left" w:leader="none"/>
        </w:tabs>
        <w:spacing w:line="240" w:lineRule="auto"/>
        <w:ind w:left="5206"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826" w:right="0" w:firstLine="0"/>
        <w:rPr>
          <w:rFonts w:ascii="宋体" w:hAnsi="宋体" w:cs="宋体" w:eastAsia="宋体" w:hint="default"/>
          <w:sz w:val="2"/>
          <w:szCs w:val="2"/>
        </w:rPr>
      </w:pPr>
      <w:r>
        <w:rPr>
          <w:rFonts w:ascii="宋体"/>
          <w:sz w:val="2"/>
        </w:rPr>
        <w:pict>
          <v:group style="width:115.15pt;height:.75pt;mso-position-horizontal-relative:char;mso-position-vertical-relative:line" coordorigin="0,0" coordsize="2303,15">
            <v:group style="position:absolute;left:7;top:7;width:2289;height:2" coordorigin="7,7" coordsize="2289,2">
              <v:shape style="position:absolute;left:7;top:7;width:2289;height:2" coordorigin="7,7" coordsize="2289,0" path="m7,7l2296,7e" filled="false" stroked="true" strokeweight=".72pt" strokecolor="#000000">
                <v:path arrowok="t"/>
              </v:shape>
            </v:group>
          </v:group>
        </w:pict>
      </w:r>
      <w:r>
        <w:rPr>
          <w:rFonts w:ascii="宋体"/>
          <w:sz w:val="2"/>
        </w:rPr>
      </w:r>
      <w:r>
        <w:rPr>
          <w:rFonts w:ascii="Times New Roman"/>
          <w:spacing w:val="83"/>
          <w:sz w:val="2"/>
        </w:rPr>
        <w:t> </w:t>
      </w:r>
      <w:r>
        <w:rPr>
          <w:rFonts w:ascii="宋体"/>
          <w:spacing w:val="83"/>
          <w:sz w:val="2"/>
        </w:rPr>
        <w:pict>
          <v:group style="width:116.95pt;height:.75pt;mso-position-horizontal-relative:char;mso-position-vertical-relative:line" coordorigin="0,0" coordsize="2339,15">
            <v:group style="position:absolute;left:7;top:7;width:2325;height:2" coordorigin="7,7" coordsize="2325,2">
              <v:shape style="position:absolute;left:7;top:7;width:2325;height:2" coordorigin="7,7" coordsize="2325,0" path="m7,7l2332,7e" filled="false" stroked="true" strokeweight=".72pt" strokecolor="#000000">
                <v:path arrowok="t"/>
              </v:shape>
            </v:group>
          </v:group>
        </w:pict>
      </w:r>
      <w:r>
        <w:rPr>
          <w:rFonts w:ascii="宋体"/>
          <w:spacing w:val="83"/>
          <w:sz w:val="2"/>
        </w:rPr>
      </w:r>
    </w:p>
    <w:p>
      <w:pPr>
        <w:spacing w:line="240" w:lineRule="auto" w:before="2"/>
        <w:rPr>
          <w:rFonts w:ascii="宋体" w:hAnsi="宋体" w:cs="宋体" w:eastAsia="宋体" w:hint="default"/>
          <w:sz w:val="15"/>
          <w:szCs w:val="15"/>
        </w:rPr>
      </w:pPr>
    </w:p>
    <w:tbl>
      <w:tblPr>
        <w:tblW w:w="0" w:type="auto"/>
        <w:jc w:val="left"/>
        <w:tblInd w:w="510" w:type="dxa"/>
        <w:tblLayout w:type="fixed"/>
        <w:tblCellMar>
          <w:top w:w="0" w:type="dxa"/>
          <w:left w:w="0" w:type="dxa"/>
          <w:bottom w:w="0" w:type="dxa"/>
          <w:right w:w="0" w:type="dxa"/>
        </w:tblCellMar>
        <w:tblLook w:val="01E0"/>
      </w:tblPr>
      <w:tblGrid>
        <w:gridCol w:w="3059"/>
        <w:gridCol w:w="3606"/>
        <w:gridCol w:w="2412"/>
      </w:tblGrid>
      <w:tr>
        <w:trPr>
          <w:trHeight w:val="366"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应付短期借款利息</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9"/>
              <w:jc w:val="right"/>
              <w:rPr>
                <w:rFonts w:ascii="Arial" w:hAnsi="Arial" w:cs="Arial" w:eastAsia="Arial" w:hint="default"/>
                <w:sz w:val="22"/>
                <w:szCs w:val="22"/>
              </w:rPr>
            </w:pPr>
            <w:r>
              <w:rPr>
                <w:rFonts w:ascii="Arial"/>
                <w:w w:val="95"/>
                <w:sz w:val="22"/>
              </w:rPr>
              <w:t>47,844,562</w:t>
            </w:r>
            <w:r>
              <w:rPr>
                <w:rFonts w:ascii="Arial"/>
                <w:sz w:val="22"/>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4"/>
              <w:jc w:val="right"/>
              <w:rPr>
                <w:rFonts w:ascii="Arial" w:hAnsi="Arial" w:cs="Arial" w:eastAsia="Arial" w:hint="default"/>
                <w:sz w:val="22"/>
                <w:szCs w:val="22"/>
              </w:rPr>
            </w:pPr>
            <w:r>
              <w:rPr>
                <w:rFonts w:ascii="Arial"/>
                <w:w w:val="95"/>
                <w:sz w:val="22"/>
              </w:rPr>
              <w:t>39,781,683</w:t>
            </w:r>
            <w:r>
              <w:rPr>
                <w:rFonts w:ascii="Arial"/>
                <w:sz w:val="22"/>
              </w:rPr>
            </w:r>
          </w:p>
        </w:tc>
      </w:tr>
      <w:tr>
        <w:trPr>
          <w:trHeight w:val="286"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应付长期借款利息</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9"/>
              <w:jc w:val="right"/>
              <w:rPr>
                <w:rFonts w:ascii="Arial" w:hAnsi="Arial" w:cs="Arial" w:eastAsia="Arial" w:hint="default"/>
                <w:sz w:val="22"/>
                <w:szCs w:val="22"/>
              </w:rPr>
            </w:pPr>
            <w:r>
              <w:rPr>
                <w:rFonts w:ascii="Arial"/>
                <w:w w:val="95"/>
                <w:sz w:val="22"/>
              </w:rPr>
              <w:t>5,796,413</w:t>
            </w:r>
            <w:r>
              <w:rPr>
                <w:rFonts w:ascii="Arial"/>
                <w:sz w:val="22"/>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Arial" w:hAnsi="Arial" w:cs="Arial" w:eastAsia="Arial" w:hint="default"/>
                <w:sz w:val="22"/>
                <w:szCs w:val="22"/>
              </w:rPr>
            </w:pPr>
            <w:r>
              <w:rPr>
                <w:rFonts w:ascii="Arial"/>
                <w:w w:val="95"/>
                <w:sz w:val="22"/>
              </w:rPr>
              <w:t>8,247,046</w:t>
            </w:r>
            <w:r>
              <w:rPr>
                <w:rFonts w:ascii="Arial"/>
                <w:sz w:val="22"/>
              </w:rPr>
            </w:r>
          </w:p>
        </w:tc>
      </w:tr>
      <w:tr>
        <w:trPr>
          <w:trHeight w:val="284"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应付短期债券利息</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8"/>
              <w:jc w:val="right"/>
              <w:rPr>
                <w:rFonts w:ascii="Arial" w:hAnsi="Arial" w:cs="Arial" w:eastAsia="Arial" w:hint="default"/>
                <w:sz w:val="22"/>
                <w:szCs w:val="22"/>
              </w:rPr>
            </w:pPr>
            <w:r>
              <w:rPr>
                <w:rFonts w:ascii="Arial"/>
                <w:w w:val="95"/>
                <w:sz w:val="22"/>
              </w:rPr>
              <w:t>446,866,667</w:t>
            </w:r>
            <w:r>
              <w:rPr>
                <w:rFonts w:ascii="Arial"/>
                <w:sz w:val="22"/>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22"/>
                <w:szCs w:val="22"/>
              </w:rPr>
            </w:pPr>
            <w:r>
              <w:rPr>
                <w:rFonts w:ascii="Arial"/>
                <w:w w:val="95"/>
                <w:sz w:val="22"/>
              </w:rPr>
              <w:t>361,792,877</w:t>
            </w:r>
            <w:r>
              <w:rPr>
                <w:rFonts w:ascii="Arial"/>
                <w:sz w:val="22"/>
              </w:rPr>
            </w:r>
          </w:p>
        </w:tc>
      </w:tr>
      <w:tr>
        <w:trPr>
          <w:trHeight w:val="366"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应付长期债券利息</w:t>
            </w:r>
          </w:p>
        </w:tc>
        <w:tc>
          <w:tcPr>
            <w:tcW w:w="3606" w:type="dxa"/>
            <w:tcBorders>
              <w:top w:val="nil" w:sz="6" w:space="0" w:color="auto"/>
              <w:left w:val="nil" w:sz="6" w:space="0" w:color="auto"/>
              <w:bottom w:val="nil" w:sz="6" w:space="0" w:color="auto"/>
              <w:right w:val="nil" w:sz="6" w:space="0" w:color="auto"/>
            </w:tcBorders>
          </w:tcPr>
          <w:p>
            <w:pPr>
              <w:pStyle w:val="TableParagraph"/>
              <w:tabs>
                <w:tab w:pos="976" w:val="left" w:leader="none"/>
                <w:tab w:pos="2288" w:val="left" w:leader="none"/>
              </w:tabs>
              <w:spacing w:line="240" w:lineRule="auto" w:before="17"/>
              <w:ind w:right="5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334,088,219</w:t>
            </w:r>
            <w:r>
              <w:rPr>
                <w:rFonts w:ascii="Arial"/>
                <w:sz w:val="22"/>
                <w:u w:val="single" w:color="000000"/>
              </w:rPr>
              <w:tab/>
            </w:r>
            <w:r>
              <w:rPr>
                <w:rFonts w:ascii="Arial"/>
                <w:sz w:val="22"/>
              </w:rPr>
            </w:r>
          </w:p>
        </w:tc>
        <w:tc>
          <w:tcPr>
            <w:tcW w:w="2412" w:type="dxa"/>
            <w:tcBorders>
              <w:top w:val="nil" w:sz="6" w:space="0" w:color="auto"/>
              <w:left w:val="nil" w:sz="6" w:space="0" w:color="auto"/>
              <w:bottom w:val="nil" w:sz="6" w:space="0" w:color="auto"/>
              <w:right w:val="nil" w:sz="6" w:space="0" w:color="auto"/>
            </w:tcBorders>
          </w:tcPr>
          <w:p>
            <w:pPr>
              <w:pStyle w:val="TableParagraph"/>
              <w:tabs>
                <w:tab w:pos="1030" w:val="left" w:leader="none"/>
                <w:tab w:pos="2324"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334,088,219</w:t>
            </w:r>
            <w:r>
              <w:rPr>
                <w:rFonts w:ascii="Arial"/>
                <w:sz w:val="22"/>
                <w:u w:val="single" w:color="000000"/>
              </w:rPr>
              <w:tab/>
            </w:r>
            <w:r>
              <w:rPr>
                <w:rFonts w:ascii="Arial"/>
                <w:sz w:val="22"/>
              </w:rPr>
            </w:r>
          </w:p>
        </w:tc>
      </w:tr>
    </w:tbl>
    <w:p>
      <w:pPr>
        <w:spacing w:line="240" w:lineRule="auto" w:before="3"/>
        <w:rPr>
          <w:rFonts w:ascii="宋体" w:hAnsi="宋体" w:cs="宋体" w:eastAsia="宋体" w:hint="default"/>
          <w:sz w:val="8"/>
          <w:szCs w:val="8"/>
        </w:rPr>
      </w:pPr>
    </w:p>
    <w:p>
      <w:pPr>
        <w:pStyle w:val="BodyText"/>
        <w:tabs>
          <w:tab w:pos="5810" w:val="left" w:leader="none"/>
          <w:tab w:pos="8258" w:val="left" w:leader="none"/>
        </w:tabs>
        <w:spacing w:line="240" w:lineRule="auto" w:before="27"/>
        <w:ind w:left="545" w:right="0"/>
        <w:jc w:val="left"/>
        <w:rPr>
          <w:rFonts w:ascii="Arial" w:hAnsi="Arial" w:cs="Arial" w:eastAsia="Arial" w:hint="default"/>
        </w:rPr>
      </w:pPr>
      <w:r>
        <w:rPr>
          <w:w w:val="95"/>
          <w:position w:val="2"/>
        </w:rPr>
        <w:t>合计</w:t>
        <w:tab/>
      </w:r>
      <w:r>
        <w:rPr>
          <w:rFonts w:ascii="Arial" w:hAnsi="Arial" w:cs="Arial" w:eastAsia="Arial" w:hint="default"/>
          <w:w w:val="95"/>
        </w:rPr>
        <w:t>834,595,861</w:t>
        <w:tab/>
      </w:r>
      <w:r>
        <w:rPr>
          <w:rFonts w:ascii="Arial" w:hAnsi="Arial" w:cs="Arial" w:eastAsia="Arial" w:hint="default"/>
        </w:rPr>
        <w:t>743,909,825</w:t>
      </w:r>
    </w:p>
    <w:p>
      <w:pPr>
        <w:spacing w:line="43" w:lineRule="exact"/>
        <w:ind w:left="4812" w:right="0" w:firstLine="0"/>
        <w:rPr>
          <w:rFonts w:ascii="Arial" w:hAnsi="Arial" w:cs="Arial" w:eastAsia="Arial" w:hint="default"/>
          <w:sz w:val="4"/>
          <w:szCs w:val="4"/>
        </w:rPr>
      </w:pPr>
      <w:r>
        <w:rPr>
          <w:rFonts w:ascii="Arial"/>
          <w:position w:val="0"/>
          <w:sz w:val="4"/>
        </w:rPr>
        <w:pict>
          <v:group style="width:115.9pt;height:2.2pt;mso-position-horizontal-relative:char;mso-position-vertical-relative:line" coordorigin="0,0" coordsize="2318,44">
            <v:group style="position:absolute;left:7;top:36;width:2303;height:2" coordorigin="7,36" coordsize="2303,2">
              <v:shape style="position:absolute;left:7;top:36;width:2303;height:2" coordorigin="7,36" coordsize="2303,0" path="m7,36l2310,36e" filled="false" stroked="true" strokeweight=".72pt" strokecolor="#000000">
                <v:path arrowok="t"/>
              </v:shape>
            </v:group>
            <v:group style="position:absolute;left:7;top:7;width:2303;height:2" coordorigin="7,7" coordsize="2303,2">
              <v:shape style="position:absolute;left:7;top:7;width:2303;height:2" coordorigin="7,7" coordsize="2303,0" path="m7,7l2310,7e" filled="false" stroked="true" strokeweight=".72pt" strokecolor="#000000">
                <v:path arrowok="t"/>
              </v:shape>
            </v:group>
          </v:group>
        </w:pict>
      </w:r>
      <w:r>
        <w:rPr>
          <w:rFonts w:ascii="Arial"/>
          <w:position w:val="0"/>
          <w:sz w:val="4"/>
        </w:rPr>
      </w:r>
      <w:r>
        <w:rPr>
          <w:rFonts w:ascii="Times New Roman"/>
          <w:spacing w:val="61"/>
          <w:position w:val="0"/>
          <w:sz w:val="4"/>
        </w:rPr>
        <w:t> </w:t>
      </w:r>
      <w:r>
        <w:rPr>
          <w:rFonts w:ascii="Arial"/>
          <w:spacing w:val="61"/>
          <w:position w:val="0"/>
          <w:sz w:val="4"/>
        </w:rPr>
        <w:pict>
          <v:group style="width:117.7pt;height:2.2pt;mso-position-horizontal-relative:char;mso-position-vertical-relative:line" coordorigin="0,0" coordsize="2354,44">
            <v:group style="position:absolute;left:7;top:36;width:2339;height:2" coordorigin="7,36" coordsize="2339,2">
              <v:shape style="position:absolute;left:7;top:36;width:2339;height:2" coordorigin="7,36" coordsize="2339,0" path="m7,36l2346,36e" filled="false" stroked="true" strokeweight=".72pt" strokecolor="#000000">
                <v:path arrowok="t"/>
              </v:shape>
            </v:group>
            <v:group style="position:absolute;left:7;top:7;width:2339;height:2" coordorigin="7,7" coordsize="2339,2">
              <v:shape style="position:absolute;left:7;top:7;width:2339;height:2" coordorigin="7,7" coordsize="2339,0" path="m7,7l2346,7e" filled="false" stroked="true" strokeweight=".72pt" strokecolor="#000000">
                <v:path arrowok="t"/>
              </v:shape>
            </v:group>
          </v:group>
        </w:pict>
      </w:r>
      <w:r>
        <w:rPr>
          <w:rFonts w:ascii="Arial"/>
          <w:spacing w:val="61"/>
          <w:position w:val="0"/>
          <w:sz w:val="4"/>
        </w:rPr>
      </w:r>
    </w:p>
    <w:p>
      <w:pPr>
        <w:spacing w:after="0" w:line="43" w:lineRule="exact"/>
        <w:rPr>
          <w:rFonts w:ascii="Arial" w:hAnsi="Arial" w:cs="Arial" w:eastAsia="Arial" w:hint="default"/>
          <w:sz w:val="4"/>
          <w:szCs w:val="4"/>
        </w:rPr>
        <w:sectPr>
          <w:headerReference w:type="default" r:id="rId108"/>
          <w:pgSz w:w="11900" w:h="16840"/>
          <w:pgMar w:header="1189" w:footer="752" w:top="3040" w:bottom="940" w:left="1280" w:right="780"/>
        </w:sectPr>
      </w:pPr>
    </w:p>
    <w:p>
      <w:pPr>
        <w:spacing w:line="240" w:lineRule="auto" w:before="11"/>
        <w:rPr>
          <w:rFonts w:ascii="Arial" w:hAnsi="Arial" w:cs="Arial" w:eastAsia="Arial" w:hint="default"/>
          <w:sz w:val="18"/>
          <w:szCs w:val="18"/>
        </w:rPr>
      </w:pPr>
    </w:p>
    <w:p>
      <w:pPr>
        <w:pStyle w:val="BodyText"/>
        <w:spacing w:line="240" w:lineRule="auto" w:before="31"/>
        <w:ind w:left="102" w:right="251"/>
        <w:jc w:val="left"/>
      </w:pPr>
      <w:r>
        <w:rPr>
          <w:rFonts w:ascii="Arial" w:hAnsi="Arial" w:cs="Arial" w:eastAsia="Arial" w:hint="default"/>
        </w:rPr>
        <w:t>23</w:t>
      </w:r>
      <w:r>
        <w:rPr/>
        <w:t>、应付股利</w:t>
      </w:r>
      <w:r>
        <w:rPr>
          <w:rFonts w:ascii="Arial" w:hAnsi="Arial" w:cs="Arial" w:eastAsia="Arial" w:hint="default"/>
        </w:rPr>
        <w:t>/</w:t>
      </w:r>
      <w:r>
        <w:rPr/>
        <w:t>利润</w:t>
      </w:r>
    </w:p>
    <w:p>
      <w:pPr>
        <w:spacing w:line="240" w:lineRule="auto" w:before="11"/>
        <w:rPr>
          <w:rFonts w:ascii="宋体" w:hAnsi="宋体" w:cs="宋体" w:eastAsia="宋体" w:hint="default"/>
          <w:sz w:val="17"/>
          <w:szCs w:val="17"/>
        </w:rPr>
      </w:pPr>
    </w:p>
    <w:tbl>
      <w:tblPr>
        <w:tblW w:w="0" w:type="auto"/>
        <w:jc w:val="left"/>
        <w:tblInd w:w="510" w:type="dxa"/>
        <w:tblLayout w:type="fixed"/>
        <w:tblCellMar>
          <w:top w:w="0" w:type="dxa"/>
          <w:left w:w="0" w:type="dxa"/>
          <w:bottom w:w="0" w:type="dxa"/>
          <w:right w:w="0" w:type="dxa"/>
        </w:tblCellMar>
        <w:tblLook w:val="01E0"/>
      </w:tblPr>
      <w:tblGrid>
        <w:gridCol w:w="4314"/>
        <w:gridCol w:w="2318"/>
        <w:gridCol w:w="2389"/>
      </w:tblGrid>
      <w:tr>
        <w:trPr>
          <w:trHeight w:val="360" w:hRule="exact"/>
        </w:trPr>
        <w:tc>
          <w:tcPr>
            <w:tcW w:w="4314" w:type="dxa"/>
            <w:tcBorders>
              <w:top w:val="nil" w:sz="6" w:space="0" w:color="auto"/>
              <w:left w:val="nil" w:sz="6" w:space="0" w:color="auto"/>
              <w:bottom w:val="nil" w:sz="6" w:space="0" w:color="auto"/>
              <w:right w:val="nil" w:sz="6" w:space="0" w:color="auto"/>
            </w:tcBorders>
          </w:tcPr>
          <w:p>
            <w:pPr/>
          </w:p>
        </w:tc>
        <w:tc>
          <w:tcPr>
            <w:tcW w:w="2318"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2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8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29"/>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3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应付联通集团（注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1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22"/>
                <w:szCs w:val="22"/>
              </w:rPr>
            </w:pPr>
            <w:r>
              <w:rPr>
                <w:rFonts w:ascii="Arial"/>
                <w:w w:val="95"/>
                <w:sz w:val="22"/>
              </w:rPr>
              <w:t>8,940,742</w:t>
            </w:r>
            <w:r>
              <w:rPr>
                <w:rFonts w:ascii="Arial"/>
                <w:sz w:val="22"/>
              </w:rPr>
            </w:r>
          </w:p>
        </w:tc>
        <w:tc>
          <w:tcPr>
            <w:tcW w:w="238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7"/>
              <w:jc w:val="right"/>
              <w:rPr>
                <w:rFonts w:ascii="Arial" w:hAnsi="Arial" w:cs="Arial" w:eastAsia="Arial" w:hint="default"/>
                <w:sz w:val="22"/>
                <w:szCs w:val="22"/>
              </w:rPr>
            </w:pPr>
            <w:r>
              <w:rPr>
                <w:rFonts w:ascii="Arial"/>
                <w:w w:val="99"/>
                <w:sz w:val="22"/>
              </w:rPr>
              <w:t>-</w:t>
            </w:r>
            <w:r>
              <w:rPr>
                <w:rFonts w:ascii="Arial"/>
                <w:sz w:val="22"/>
              </w:rPr>
            </w:r>
          </w:p>
        </w:tc>
      </w:tr>
      <w:tr>
        <w:trPr>
          <w:trHeight w:val="266" w:hRule="exact"/>
        </w:trPr>
        <w:tc>
          <w:tcPr>
            <w:tcW w:w="431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应付本公司股东</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2"/>
                <w:szCs w:val="22"/>
              </w:rPr>
            </w:pPr>
            <w:r>
              <w:rPr>
                <w:rFonts w:ascii="Arial"/>
                <w:w w:val="99"/>
                <w:sz w:val="22"/>
              </w:rPr>
              <w:t>-</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7"/>
              <w:jc w:val="right"/>
              <w:rPr>
                <w:rFonts w:ascii="Arial" w:hAnsi="Arial" w:cs="Arial" w:eastAsia="Arial" w:hint="default"/>
                <w:sz w:val="22"/>
                <w:szCs w:val="22"/>
              </w:rPr>
            </w:pPr>
            <w:r>
              <w:rPr>
                <w:rFonts w:ascii="Arial"/>
                <w:w w:val="95"/>
                <w:sz w:val="22"/>
              </w:rPr>
              <w:t>61,049</w:t>
            </w:r>
            <w:r>
              <w:rPr>
                <w:rFonts w:ascii="Arial"/>
                <w:sz w:val="22"/>
              </w:rPr>
            </w:r>
          </w:p>
        </w:tc>
      </w:tr>
    </w:tbl>
    <w:p>
      <w:pPr>
        <w:pStyle w:val="BodyText"/>
        <w:tabs>
          <w:tab w:pos="4824" w:val="left" w:leader="none"/>
          <w:tab w:pos="6960" w:val="left" w:leader="none"/>
          <w:tab w:pos="8351" w:val="left" w:leader="none"/>
          <w:tab w:pos="9531" w:val="left" w:leader="none"/>
        </w:tabs>
        <w:spacing w:line="289" w:lineRule="exact"/>
        <w:ind w:left="545" w:right="0"/>
        <w:jc w:val="left"/>
        <w:rPr>
          <w:rFonts w:ascii="Arial" w:hAnsi="Arial" w:cs="Arial" w:eastAsia="Arial" w:hint="default"/>
        </w:rPr>
      </w:pPr>
      <w:r>
        <w:rPr>
          <w:position w:val="2"/>
        </w:rPr>
        <w:t>应付网通集团</w:t>
      </w:r>
      <w:r>
        <w:rPr>
          <w:spacing w:val="-57"/>
          <w:position w:val="2"/>
        </w:rPr>
        <w:t> </w:t>
      </w:r>
      <w:r>
        <w:rPr>
          <w:rFonts w:ascii="Arial" w:hAnsi="Arial" w:cs="Arial" w:eastAsia="Arial" w:hint="default"/>
          <w:position w:val="2"/>
        </w:rPr>
        <w:t>BVI</w:t>
      </w:r>
      <w:r>
        <w:rPr>
          <w:rFonts w:ascii="Arial" w:hAnsi="Arial" w:cs="Arial" w:eastAsia="Arial" w:hint="default"/>
          <w:spacing w:val="-8"/>
          <w:position w:val="2"/>
        </w:rPr>
        <w:t> </w:t>
      </w:r>
      <w:r>
        <w:rPr>
          <w:position w:val="2"/>
        </w:rPr>
        <w:t>公司（注</w:t>
      </w:r>
      <w:r>
        <w:rPr>
          <w:spacing w:val="-57"/>
          <w:position w:val="2"/>
        </w:rPr>
        <w:t> </w:t>
      </w:r>
      <w:r>
        <w:rPr>
          <w:rFonts w:ascii="Arial" w:hAnsi="Arial" w:cs="Arial" w:eastAsia="Arial" w:hint="default"/>
          <w:position w:val="2"/>
        </w:rPr>
        <w:t>2</w:t>
      </w:r>
      <w:r>
        <w:rPr>
          <w:position w:val="2"/>
        </w:rPr>
        <w:t>）</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24,057,068</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6072" w:val="left" w:leader="none"/>
          <w:tab w:pos="8350" w:val="left" w:leader="none"/>
        </w:tabs>
        <w:spacing w:line="240" w:lineRule="auto" w:before="27"/>
        <w:ind w:left="545" w:right="0"/>
        <w:jc w:val="left"/>
        <w:rPr>
          <w:rFonts w:ascii="Arial" w:hAnsi="Arial" w:cs="Arial" w:eastAsia="Arial" w:hint="default"/>
        </w:rPr>
      </w:pPr>
      <w:r>
        <w:rPr>
          <w:w w:val="95"/>
          <w:position w:val="2"/>
        </w:rPr>
        <w:t>合计</w:t>
        <w:tab/>
      </w:r>
      <w:r>
        <w:rPr>
          <w:rFonts w:ascii="Arial" w:hAnsi="Arial" w:cs="Arial" w:eastAsia="Arial" w:hint="default"/>
          <w:w w:val="95"/>
        </w:rPr>
        <w:t>8,940,742</w:t>
        <w:tab/>
      </w:r>
      <w:r>
        <w:rPr>
          <w:rFonts w:ascii="Arial" w:hAnsi="Arial" w:cs="Arial" w:eastAsia="Arial" w:hint="default"/>
        </w:rPr>
        <w:t>24,118,117</w:t>
      </w:r>
    </w:p>
    <w:p>
      <w:pPr>
        <w:spacing w:line="43" w:lineRule="exact"/>
        <w:ind w:left="4802" w:right="0" w:firstLine="0"/>
        <w:rPr>
          <w:rFonts w:ascii="Arial" w:hAnsi="Arial" w:cs="Arial" w:eastAsia="Arial" w:hint="default"/>
          <w:sz w:val="4"/>
          <w:szCs w:val="4"/>
        </w:rPr>
      </w:pPr>
      <w:r>
        <w:rPr>
          <w:rFonts w:ascii="Arial" w:hAnsi="Arial" w:cs="Arial" w:eastAsia="Arial" w:hint="default"/>
          <w:position w:val="0"/>
          <w:sz w:val="4"/>
          <w:szCs w:val="4"/>
        </w:rPr>
        <w:pict>
          <v:group style="width:236.85pt;height:2.2pt;mso-position-horizontal-relative:char;mso-position-vertical-relative:line" coordorigin="0,0" coordsize="4737,44">
            <v:group style="position:absolute;left:7;top:36;width:2333;height:2" coordorigin="7,36" coordsize="2333,2">
              <v:shape style="position:absolute;left:7;top:36;width:2333;height:2" coordorigin="7,36" coordsize="2333,0" path="m7,36l2340,36e" filled="false" stroked="true" strokeweight=".72pt" strokecolor="#000000">
                <v:path arrowok="t"/>
              </v:shape>
            </v:group>
            <v:group style="position:absolute;left:7;top:7;width:2333;height:2" coordorigin="7,7" coordsize="2333,2">
              <v:shape style="position:absolute;left:7;top:7;width:2333;height:2" coordorigin="7,7" coordsize="2333,0" path="m7,7l2340,7e" filled="false" stroked="true" strokeweight=".72pt" strokecolor="#000000">
                <v:path arrowok="t"/>
              </v:shape>
            </v:group>
            <v:group style="position:absolute;left:2410;top:36;width:2320;height:2" coordorigin="2410,36" coordsize="2320,2">
              <v:shape style="position:absolute;left:2410;top:36;width:2320;height:2" coordorigin="2410,36" coordsize="2320,0" path="m2410,36l4729,36e" filled="false" stroked="true" strokeweight=".71997pt" strokecolor="#000000">
                <v:path arrowok="t"/>
              </v:shape>
            </v:group>
            <v:group style="position:absolute;left:2410;top:7;width:2320;height:2" coordorigin="2410,7" coordsize="2320,2">
              <v:shape style="position:absolute;left:2410;top:7;width:2320;height:2" coordorigin="2410,7" coordsize="2320,0" path="m2410,7l4729,7e" filled="false" stroked="true" strokeweight=".72003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550" w:right="0"/>
        <w:jc w:val="left"/>
      </w:pPr>
      <w:r>
        <w:rPr/>
        <w:t>注</w:t>
      </w:r>
      <w:r>
        <w:rPr>
          <w:spacing w:val="-59"/>
        </w:rPr>
        <w:t> </w:t>
      </w:r>
      <w:r>
        <w:rPr>
          <w:rFonts w:ascii="Arial" w:hAnsi="Arial" w:cs="Arial" w:eastAsia="Arial" w:hint="default"/>
          <w:spacing w:val="-5"/>
        </w:rPr>
        <w:t>1</w:t>
      </w:r>
      <w:r>
        <w:rPr>
          <w:spacing w:val="-5"/>
        </w:rPr>
        <w:t>：如附注一</w:t>
      </w:r>
      <w:r>
        <w:rPr>
          <w:rFonts w:ascii="Arial" w:hAnsi="Arial" w:cs="Arial" w:eastAsia="Arial" w:hint="default"/>
          <w:spacing w:val="-5"/>
        </w:rPr>
        <w:t>(2)</w:t>
      </w:r>
      <w:r>
        <w:rPr>
          <w:spacing w:val="-5"/>
        </w:rPr>
        <w:t>所述，于</w:t>
      </w:r>
      <w:r>
        <w:rPr>
          <w:spacing w:val="-59"/>
        </w:rPr>
        <w:t> </w:t>
      </w:r>
      <w:r>
        <w:rPr>
          <w:rFonts w:ascii="Arial" w:hAnsi="Arial" w:cs="Arial" w:eastAsia="Arial" w:hint="default"/>
        </w:rPr>
        <w:t>2011</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1</w:t>
      </w:r>
      <w:r>
        <w:rPr>
          <w:rFonts w:ascii="Arial" w:hAnsi="Arial" w:cs="Arial" w:eastAsia="Arial" w:hint="default"/>
          <w:spacing w:val="-10"/>
        </w:rPr>
        <w:t> </w:t>
      </w:r>
      <w:r>
        <w:rPr/>
        <w:t>日，宽带在线与联通集团及联通新时讯签订了收购</w:t>
      </w:r>
    </w:p>
    <w:p>
      <w:pPr>
        <w:pStyle w:val="BodyText"/>
        <w:spacing w:line="286" w:lineRule="exact"/>
        <w:ind w:left="1164" w:right="0"/>
        <w:jc w:val="left"/>
      </w:pPr>
      <w:r>
        <w:rPr/>
        <w:t>联通新时讯协议，根据该协议，联通新时讯于</w:t>
      </w:r>
      <w:r>
        <w:rPr>
          <w:spacing w:val="-55"/>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6"/>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日至</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1</w:t>
      </w:r>
      <w:r>
        <w:rPr>
          <w:rFonts w:ascii="Arial" w:hAnsi="Arial" w:cs="Arial" w:eastAsia="Arial" w:hint="default"/>
          <w:spacing w:val="-7"/>
        </w:rPr>
        <w:t> </w:t>
      </w:r>
      <w:r>
        <w:rPr/>
        <w:t>日止</w:t>
      </w:r>
    </w:p>
    <w:p>
      <w:pPr>
        <w:pStyle w:val="BodyText"/>
        <w:spacing w:line="286" w:lineRule="exact"/>
        <w:ind w:left="1164" w:right="0"/>
        <w:jc w:val="left"/>
      </w:pPr>
      <w:r>
        <w:rPr>
          <w:rFonts w:ascii="Arial" w:hAnsi="Arial" w:cs="Arial" w:eastAsia="Arial" w:hint="default"/>
        </w:rPr>
        <w:t>11</w:t>
      </w:r>
      <w:r>
        <w:rPr>
          <w:rFonts w:ascii="Arial" w:hAnsi="Arial" w:cs="Arial" w:eastAsia="Arial" w:hint="default"/>
          <w:spacing w:val="-35"/>
        </w:rPr>
        <w:t> </w:t>
      </w:r>
      <w:r>
        <w:rPr/>
        <w:t>个月期间的净利润归属于联通集团，故联通新时讯将该期间净利润转出确认为应付联</w:t>
      </w:r>
    </w:p>
    <w:p>
      <w:pPr>
        <w:pStyle w:val="BodyText"/>
        <w:spacing w:line="295" w:lineRule="exact"/>
        <w:ind w:left="1164" w:right="251"/>
        <w:jc w:val="left"/>
      </w:pPr>
      <w:r>
        <w:rPr/>
        <w:t>通集团利润。于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日，上述款项尚未支付完毕。</w:t>
      </w:r>
    </w:p>
    <w:p>
      <w:pPr>
        <w:spacing w:line="240" w:lineRule="auto" w:before="12"/>
        <w:rPr>
          <w:rFonts w:ascii="宋体" w:hAnsi="宋体" w:cs="宋体" w:eastAsia="宋体" w:hint="default"/>
          <w:sz w:val="17"/>
          <w:szCs w:val="17"/>
        </w:rPr>
      </w:pPr>
    </w:p>
    <w:p>
      <w:pPr>
        <w:pStyle w:val="BodyText"/>
        <w:spacing w:line="295" w:lineRule="exact"/>
        <w:ind w:left="531" w:right="0"/>
        <w:jc w:val="left"/>
      </w:pPr>
      <w:r>
        <w:rPr/>
        <w:t>注</w:t>
      </w:r>
      <w:r>
        <w:rPr>
          <w:spacing w:val="-45"/>
        </w:rPr>
        <w:t> </w:t>
      </w:r>
      <w:r>
        <w:rPr>
          <w:rFonts w:ascii="Arial" w:hAnsi="Arial" w:cs="Arial" w:eastAsia="Arial" w:hint="default"/>
        </w:rPr>
        <w:t>2</w:t>
      </w:r>
      <w:r>
        <w:rPr/>
        <w:t>：于</w:t>
      </w:r>
      <w:r>
        <w:rPr>
          <w:spacing w:val="-45"/>
        </w:rPr>
        <w:t> </w:t>
      </w:r>
      <w:r>
        <w:rPr>
          <w:rFonts w:ascii="Arial" w:hAnsi="Arial" w:cs="Arial" w:eastAsia="Arial" w:hint="default"/>
        </w:rPr>
        <w:t>2010</w:t>
      </w:r>
      <w:r>
        <w:rPr>
          <w:rFonts w:ascii="Arial" w:hAnsi="Arial" w:cs="Arial" w:eastAsia="Arial" w:hint="default"/>
          <w:spacing w:val="4"/>
        </w:rPr>
        <w:t> </w:t>
      </w:r>
      <w:r>
        <w:rPr/>
        <w:t>年</w:t>
      </w:r>
      <w:r>
        <w:rPr>
          <w:spacing w:val="-45"/>
        </w:rPr>
        <w:t> </w:t>
      </w:r>
      <w:r>
        <w:rPr>
          <w:rFonts w:ascii="Arial" w:hAnsi="Arial" w:cs="Arial" w:eastAsia="Arial" w:hint="default"/>
        </w:rPr>
        <w:t>12</w:t>
      </w:r>
      <w:r>
        <w:rPr>
          <w:rFonts w:ascii="Arial" w:hAnsi="Arial" w:cs="Arial" w:eastAsia="Arial" w:hint="default"/>
          <w:spacing w:val="4"/>
        </w:rPr>
        <w:t> </w:t>
      </w:r>
      <w:r>
        <w:rPr/>
        <w:t>月</w:t>
      </w:r>
      <w:r>
        <w:rPr>
          <w:spacing w:val="-44"/>
        </w:rPr>
        <w:t> </w:t>
      </w:r>
      <w:r>
        <w:rPr>
          <w:rFonts w:ascii="Arial" w:hAnsi="Arial" w:cs="Arial" w:eastAsia="Arial" w:hint="default"/>
        </w:rPr>
        <w:t>31</w:t>
      </w:r>
      <w:r>
        <w:rPr>
          <w:rFonts w:ascii="Arial" w:hAnsi="Arial" w:cs="Arial" w:eastAsia="Arial" w:hint="default"/>
          <w:spacing w:val="4"/>
        </w:rPr>
        <w:t> </w:t>
      </w:r>
      <w:r>
        <w:rPr/>
        <w:t>日，此应付股利余额主要是本公司所属子公司联通红筹公司宣派的</w:t>
      </w:r>
    </w:p>
    <w:p>
      <w:pPr>
        <w:pStyle w:val="BodyText"/>
        <w:spacing w:line="295" w:lineRule="exact"/>
        <w:ind w:left="1164" w:right="251"/>
        <w:jc w:val="left"/>
      </w:pPr>
      <w:r>
        <w:rPr>
          <w:rFonts w:ascii="Arial" w:hAnsi="Arial" w:cs="Arial" w:eastAsia="Arial" w:hint="default"/>
        </w:rPr>
        <w:t>2008</w:t>
      </w:r>
      <w:r>
        <w:rPr>
          <w:rFonts w:ascii="Arial" w:hAnsi="Arial" w:cs="Arial" w:eastAsia="Arial" w:hint="default"/>
          <w:spacing w:val="-8"/>
        </w:rPr>
        <w:t> </w:t>
      </w:r>
      <w:r>
        <w:rPr/>
        <w:t>年股利尚未支付完毕的部分。这部分股利于</w:t>
      </w:r>
      <w:r>
        <w:rPr>
          <w:spacing w:val="-57"/>
        </w:rPr>
        <w:t> </w:t>
      </w:r>
      <w:r>
        <w:rPr>
          <w:rFonts w:ascii="Arial" w:hAnsi="Arial" w:cs="Arial" w:eastAsia="Arial" w:hint="default"/>
        </w:rPr>
        <w:t>2011</w:t>
      </w:r>
      <w:r>
        <w:rPr>
          <w:rFonts w:ascii="Arial" w:hAnsi="Arial" w:cs="Arial" w:eastAsia="Arial" w:hint="default"/>
          <w:spacing w:val="-8"/>
        </w:rPr>
        <w:t> </w:t>
      </w:r>
      <w:r>
        <w:rPr/>
        <w:t>年已支付。</w:t>
      </w:r>
    </w:p>
    <w:p>
      <w:pPr>
        <w:spacing w:line="240" w:lineRule="auto" w:before="13"/>
        <w:rPr>
          <w:rFonts w:ascii="宋体" w:hAnsi="宋体" w:cs="宋体" w:eastAsia="宋体" w:hint="default"/>
          <w:sz w:val="17"/>
          <w:szCs w:val="17"/>
        </w:rPr>
      </w:pPr>
    </w:p>
    <w:p>
      <w:pPr>
        <w:pStyle w:val="BodyText"/>
        <w:spacing w:line="240" w:lineRule="auto"/>
        <w:ind w:left="102" w:right="251"/>
        <w:jc w:val="left"/>
      </w:pPr>
      <w:r>
        <w:rPr>
          <w:rFonts w:ascii="Arial" w:hAnsi="Arial" w:cs="Arial" w:eastAsia="Arial" w:hint="default"/>
        </w:rPr>
        <w:t>24</w:t>
      </w:r>
      <w:r>
        <w:rPr/>
        <w:t>、其他应付款</w:t>
      </w:r>
    </w:p>
    <w:p>
      <w:pPr>
        <w:spacing w:line="240" w:lineRule="auto" w:before="12"/>
        <w:rPr>
          <w:rFonts w:ascii="宋体" w:hAnsi="宋体" w:cs="宋体" w:eastAsia="宋体" w:hint="default"/>
          <w:sz w:val="17"/>
          <w:szCs w:val="17"/>
        </w:rPr>
      </w:pPr>
    </w:p>
    <w:p>
      <w:pPr>
        <w:pStyle w:val="BodyText"/>
        <w:spacing w:line="240" w:lineRule="auto"/>
        <w:ind w:left="5658"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r>
        <w:rPr>
          <w:spacing w:val="-21"/>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40" w:lineRule="auto" w:before="0"/>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5085"/>
        <w:gridCol w:w="1962"/>
        <w:gridCol w:w="2003"/>
      </w:tblGrid>
      <w:tr>
        <w:trPr>
          <w:trHeight w:val="591"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押金及暂收款</w:t>
            </w:r>
          </w:p>
        </w:tc>
        <w:tc>
          <w:tcPr>
            <w:tcW w:w="196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70"/>
              <w:jc w:val="right"/>
              <w:rPr>
                <w:rFonts w:ascii="Arial" w:hAnsi="Arial" w:cs="Arial" w:eastAsia="Arial" w:hint="default"/>
                <w:sz w:val="22"/>
                <w:szCs w:val="22"/>
              </w:rPr>
            </w:pPr>
            <w:r>
              <w:rPr>
                <w:rFonts w:ascii="Arial"/>
                <w:spacing w:val="-1"/>
                <w:sz w:val="22"/>
              </w:rPr>
              <w:t>5,104,650,940</w:t>
            </w:r>
          </w:p>
        </w:tc>
        <w:tc>
          <w:tcPr>
            <w:tcW w:w="2003" w:type="dxa"/>
            <w:tcBorders>
              <w:top w:val="single" w:sz="6" w:space="0" w:color="000000"/>
              <w:left w:val="nil" w:sz="6" w:space="0" w:color="auto"/>
              <w:bottom w:val="nil" w:sz="6" w:space="0" w:color="auto"/>
              <w:right w:val="nil" w:sz="6" w:space="0" w:color="auto"/>
            </w:tcBorders>
          </w:tcPr>
          <w:p>
            <w:pPr>
              <w:pStyle w:val="TableParagraph"/>
              <w:spacing w:line="253" w:lineRule="exact"/>
              <w:ind w:left="501" w:right="0" w:firstLine="345"/>
              <w:jc w:val="left"/>
              <w:rPr>
                <w:rFonts w:ascii="宋体" w:hAnsi="宋体" w:cs="宋体" w:eastAsia="宋体" w:hint="default"/>
                <w:sz w:val="22"/>
                <w:szCs w:val="22"/>
              </w:rPr>
            </w:pPr>
            <w:r>
              <w:rPr>
                <w:rFonts w:ascii="宋体" w:hAnsi="宋体" w:cs="宋体" w:eastAsia="宋体" w:hint="default"/>
                <w:sz w:val="22"/>
                <w:szCs w:val="22"/>
              </w:rPr>
              <w:t>（经重列）</w:t>
            </w:r>
          </w:p>
          <w:p>
            <w:pPr>
              <w:pStyle w:val="TableParagraph"/>
              <w:spacing w:line="240" w:lineRule="auto" w:before="62"/>
              <w:ind w:left="501" w:right="0"/>
              <w:jc w:val="left"/>
              <w:rPr>
                <w:rFonts w:ascii="Arial" w:hAnsi="Arial" w:cs="Arial" w:eastAsia="Arial" w:hint="default"/>
                <w:sz w:val="22"/>
                <w:szCs w:val="22"/>
              </w:rPr>
            </w:pPr>
            <w:r>
              <w:rPr>
                <w:rFonts w:ascii="Arial"/>
                <w:sz w:val="22"/>
              </w:rPr>
              <w:t>4,847,470,054</w:t>
            </w:r>
          </w:p>
        </w:tc>
      </w:tr>
      <w:tr>
        <w:trPr>
          <w:trHeight w:val="286"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pacing w:val="-3"/>
                <w:sz w:val="22"/>
                <w:szCs w:val="22"/>
              </w:rPr>
              <w:t>应付联通集团及其非上市附属公司款项（附注七</w:t>
            </w:r>
            <w:r>
              <w:rPr>
                <w:rFonts w:ascii="Arial" w:hAnsi="Arial" w:cs="Arial" w:eastAsia="Arial" w:hint="default"/>
                <w:spacing w:val="-3"/>
                <w:sz w:val="22"/>
                <w:szCs w:val="22"/>
              </w:rPr>
              <w:t>(5)</w:t>
            </w:r>
            <w:r>
              <w:rPr>
                <w:rFonts w:ascii="宋体" w:hAnsi="宋体" w:cs="宋体" w:eastAsia="宋体" w:hint="default"/>
                <w:spacing w:val="-3"/>
                <w:sz w:val="22"/>
                <w:szCs w:val="22"/>
              </w:rPr>
              <w:t>）</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9"/>
              <w:jc w:val="right"/>
              <w:rPr>
                <w:rFonts w:ascii="Arial" w:hAnsi="Arial" w:cs="Arial" w:eastAsia="Arial" w:hint="default"/>
                <w:sz w:val="22"/>
                <w:szCs w:val="22"/>
              </w:rPr>
            </w:pPr>
            <w:r>
              <w:rPr>
                <w:rFonts w:ascii="Arial"/>
                <w:w w:val="95"/>
                <w:sz w:val="22"/>
              </w:rPr>
              <w:t>537,311,189</w:t>
            </w:r>
            <w:r>
              <w:rPr>
                <w:rFonts w:ascii="Arial"/>
                <w:sz w:val="22"/>
              </w:rPr>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2"/>
              <w:jc w:val="right"/>
              <w:rPr>
                <w:rFonts w:ascii="Arial" w:hAnsi="Arial" w:cs="Arial" w:eastAsia="Arial" w:hint="default"/>
                <w:sz w:val="22"/>
                <w:szCs w:val="22"/>
              </w:rPr>
            </w:pPr>
            <w:r>
              <w:rPr>
                <w:rFonts w:ascii="Arial"/>
                <w:w w:val="95"/>
                <w:sz w:val="22"/>
              </w:rPr>
              <w:t>336,410,245</w:t>
            </w:r>
            <w:r>
              <w:rPr>
                <w:rFonts w:ascii="Arial"/>
                <w:sz w:val="22"/>
              </w:rPr>
            </w:r>
          </w:p>
        </w:tc>
      </w:tr>
      <w:tr>
        <w:trPr>
          <w:trHeight w:val="286"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应付关联公司借款及利息（附注七</w:t>
            </w:r>
            <w:r>
              <w:rPr>
                <w:rFonts w:ascii="Arial" w:hAnsi="Arial" w:cs="Arial" w:eastAsia="Arial" w:hint="default"/>
                <w:sz w:val="22"/>
                <w:szCs w:val="22"/>
              </w:rPr>
              <w:t>(5)</w:t>
            </w:r>
            <w:r>
              <w:rPr>
                <w:rFonts w:ascii="宋体" w:hAnsi="宋体" w:cs="宋体" w:eastAsia="宋体" w:hint="default"/>
                <w:sz w:val="22"/>
                <w:szCs w:val="22"/>
              </w:rPr>
              <w:t>）</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0"/>
              <w:jc w:val="right"/>
              <w:rPr>
                <w:rFonts w:ascii="Arial" w:hAnsi="Arial" w:cs="Arial" w:eastAsia="Arial" w:hint="default"/>
                <w:sz w:val="22"/>
                <w:szCs w:val="22"/>
              </w:rPr>
            </w:pPr>
            <w:r>
              <w:rPr>
                <w:rFonts w:ascii="Arial"/>
                <w:spacing w:val="-1"/>
                <w:sz w:val="22"/>
              </w:rPr>
              <w:t>2,211,309,299</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3"/>
              <w:jc w:val="right"/>
              <w:rPr>
                <w:rFonts w:ascii="Arial" w:hAnsi="Arial" w:cs="Arial" w:eastAsia="Arial" w:hint="default"/>
                <w:sz w:val="22"/>
                <w:szCs w:val="22"/>
              </w:rPr>
            </w:pPr>
            <w:r>
              <w:rPr>
                <w:rFonts w:ascii="Arial"/>
                <w:spacing w:val="-1"/>
                <w:sz w:val="22"/>
              </w:rPr>
              <w:t>2,070,180,567</w:t>
            </w:r>
          </w:p>
        </w:tc>
      </w:tr>
      <w:tr>
        <w:trPr>
          <w:trHeight w:val="265"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代扣代缴员工社保支出</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9"/>
              <w:jc w:val="right"/>
              <w:rPr>
                <w:rFonts w:ascii="Arial" w:hAnsi="Arial" w:cs="Arial" w:eastAsia="Arial" w:hint="default"/>
                <w:sz w:val="22"/>
                <w:szCs w:val="22"/>
              </w:rPr>
            </w:pPr>
            <w:r>
              <w:rPr>
                <w:rFonts w:ascii="Arial"/>
                <w:w w:val="95"/>
                <w:sz w:val="22"/>
              </w:rPr>
              <w:t>302,045,105</w:t>
            </w:r>
            <w:r>
              <w:rPr>
                <w:rFonts w:ascii="Arial"/>
                <w:sz w:val="22"/>
              </w:rPr>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2"/>
              <w:jc w:val="right"/>
              <w:rPr>
                <w:rFonts w:ascii="Arial" w:hAnsi="Arial" w:cs="Arial" w:eastAsia="Arial" w:hint="default"/>
                <w:sz w:val="22"/>
                <w:szCs w:val="22"/>
              </w:rPr>
            </w:pPr>
            <w:r>
              <w:rPr>
                <w:rFonts w:ascii="Arial"/>
                <w:w w:val="95"/>
                <w:sz w:val="22"/>
              </w:rPr>
              <w:t>287,416,072</w:t>
            </w:r>
            <w:r>
              <w:rPr>
                <w:rFonts w:ascii="Arial"/>
                <w:sz w:val="22"/>
              </w:rPr>
            </w:r>
          </w:p>
        </w:tc>
      </w:tr>
    </w:tbl>
    <w:p>
      <w:pPr>
        <w:pStyle w:val="BodyText"/>
        <w:tabs>
          <w:tab w:pos="5592" w:val="left" w:leader="none"/>
          <w:tab w:pos="6277" w:val="left" w:leader="none"/>
          <w:tab w:pos="8257" w:val="left" w:leader="none"/>
          <w:tab w:pos="9575" w:val="left" w:leader="none"/>
        </w:tabs>
        <w:spacing w:line="290" w:lineRule="exact"/>
        <w:ind w:left="560" w:right="0"/>
        <w:jc w:val="left"/>
        <w:rPr>
          <w:rFonts w:ascii="Arial" w:hAnsi="Arial" w:cs="Arial" w:eastAsia="Arial" w:hint="default"/>
        </w:rPr>
      </w:pPr>
      <w:r>
        <w:rPr>
          <w:w w:val="95"/>
          <w:position w:val="2"/>
        </w:rPr>
        <w:t>其他</w:t>
        <w:tab/>
      </w:r>
      <w:r>
        <w:rPr>
          <w:rFonts w:ascii="Arial" w:hAnsi="Arial" w:cs="Arial" w:eastAsia="Arial" w:hint="default"/>
          <w:w w:val="95"/>
        </w:rPr>
      </w:r>
      <w:r>
        <w:rPr>
          <w:rFonts w:ascii="Arial" w:hAnsi="Arial" w:cs="Arial" w:eastAsia="Arial" w:hint="default"/>
          <w:w w:val="95"/>
          <w:u w:val="single" w:color="000000"/>
        </w:rPr>
        <w:t> </w:t>
        <w:tab/>
        <w:t>452,157,118</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536,900,626</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6093" w:val="left" w:leader="none"/>
          <w:tab w:pos="8073" w:val="left" w:leader="none"/>
        </w:tabs>
        <w:spacing w:line="240" w:lineRule="auto" w:before="27"/>
        <w:ind w:left="560" w:right="0"/>
        <w:jc w:val="left"/>
        <w:rPr>
          <w:rFonts w:ascii="Arial" w:hAnsi="Arial" w:cs="Arial" w:eastAsia="Arial" w:hint="default"/>
        </w:rPr>
      </w:pPr>
      <w:r>
        <w:rPr>
          <w:w w:val="95"/>
          <w:position w:val="2"/>
        </w:rPr>
        <w:t>其他应付款合计</w:t>
        <w:tab/>
      </w:r>
      <w:r>
        <w:rPr>
          <w:rFonts w:ascii="Arial" w:hAnsi="Arial" w:cs="Arial" w:eastAsia="Arial" w:hint="default"/>
          <w:spacing w:val="-1"/>
        </w:rPr>
        <w:t>8,607,473,651</w:t>
        <w:tab/>
        <w:t>8,078,377,564</w:t>
      </w:r>
    </w:p>
    <w:p>
      <w:pPr>
        <w:spacing w:line="43" w:lineRule="exact"/>
        <w:ind w:left="5570" w:right="0" w:firstLine="0"/>
        <w:rPr>
          <w:rFonts w:ascii="Arial" w:hAnsi="Arial" w:cs="Arial" w:eastAsia="Arial" w:hint="default"/>
          <w:sz w:val="4"/>
          <w:szCs w:val="4"/>
        </w:rPr>
      </w:pPr>
      <w:r>
        <w:rPr>
          <w:rFonts w:ascii="Arial" w:hAnsi="Arial" w:cs="Arial" w:eastAsia="Arial" w:hint="default"/>
          <w:position w:val="0"/>
          <w:sz w:val="4"/>
          <w:szCs w:val="4"/>
        </w:rPr>
        <w:pict>
          <v:group style="width:200.6pt;height:2.2pt;mso-position-horizontal-relative:char;mso-position-vertical-relative:line" coordorigin="0,0" coordsize="4012,44">
            <v:group style="position:absolute;left:7;top:36;width:1995;height:2" coordorigin="7,36" coordsize="1995,2">
              <v:shape style="position:absolute;left:7;top:36;width:1995;height:2" coordorigin="7,36" coordsize="1995,0" path="m7,36l2002,36e" filled="false" stroked="true" strokeweight=".72pt" strokecolor="#000000">
                <v:path arrowok="t"/>
              </v:shape>
            </v:group>
            <v:group style="position:absolute;left:7;top:7;width:1995;height:2" coordorigin="7,7" coordsize="1995,2">
              <v:shape style="position:absolute;left:7;top:7;width:1995;height:2" coordorigin="7,7" coordsize="1995,0" path="m7,7l2002,7e" filled="false" stroked="true" strokeweight=".72pt" strokecolor="#000000">
                <v:path arrowok="t"/>
              </v:shape>
            </v:group>
            <v:group style="position:absolute;left:2077;top:36;width:1928;height:2" coordorigin="2077,36" coordsize="1928,2">
              <v:shape style="position:absolute;left:2077;top:36;width:1928;height:2" coordorigin="2077,36" coordsize="1928,0" path="m2077,36l4004,36e" filled="false" stroked="true" strokeweight=".72pt" strokecolor="#000000">
                <v:path arrowok="t"/>
              </v:shape>
            </v:group>
            <v:group style="position:absolute;left:2077;top:7;width:1928;height:2" coordorigin="2077,7" coordsize="1928,2">
              <v:shape style="position:absolute;left:2077;top:7;width:1928;height:2" coordorigin="2077,7" coordsize="1928,0" path="m2077,7l4004,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40" w:lineRule="auto" w:before="31"/>
        <w:ind w:left="102" w:right="251"/>
        <w:jc w:val="left"/>
      </w:pPr>
      <w:r>
        <w:rPr>
          <w:rFonts w:ascii="Arial" w:hAnsi="Arial" w:cs="Arial" w:eastAsia="Arial" w:hint="default"/>
        </w:rPr>
        <w:t>(a)  </w:t>
      </w:r>
      <w:r>
        <w:rPr/>
        <w:t>应付持有本公司 </w:t>
      </w:r>
      <w:r>
        <w:rPr>
          <w:rFonts w:ascii="Arial" w:hAnsi="Arial" w:cs="Arial" w:eastAsia="Arial" w:hint="default"/>
        </w:rPr>
        <w:t>5%</w:t>
      </w:r>
      <w:r>
        <w:rPr/>
        <w:t>（含</w:t>
      </w:r>
      <w:r>
        <w:rPr>
          <w:spacing w:val="-88"/>
        </w:rPr>
        <w:t> </w:t>
      </w:r>
      <w:r>
        <w:rPr>
          <w:rFonts w:ascii="Arial" w:hAnsi="Arial" w:cs="Arial" w:eastAsia="Arial" w:hint="default"/>
        </w:rPr>
        <w:t>5%</w:t>
      </w:r>
      <w:r>
        <w:rPr/>
        <w:t>）以上表决权股份的股东单位的其他应付款：</w:t>
      </w:r>
    </w:p>
    <w:p>
      <w:pPr>
        <w:spacing w:line="240" w:lineRule="auto" w:before="13"/>
        <w:rPr>
          <w:rFonts w:ascii="宋体" w:hAnsi="宋体" w:cs="宋体" w:eastAsia="宋体" w:hint="default"/>
          <w:sz w:val="17"/>
          <w:szCs w:val="17"/>
        </w:rPr>
      </w:pPr>
    </w:p>
    <w:p>
      <w:pPr>
        <w:pStyle w:val="BodyText"/>
        <w:spacing w:line="240" w:lineRule="auto"/>
        <w:ind w:left="5658"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r>
        <w:rPr>
          <w:spacing w:val="-21"/>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5585" w:right="0" w:firstLine="0"/>
        <w:rPr>
          <w:rFonts w:ascii="宋体" w:hAnsi="宋体" w:cs="宋体" w:eastAsia="宋体" w:hint="default"/>
          <w:sz w:val="2"/>
          <w:szCs w:val="2"/>
        </w:rPr>
      </w:pPr>
      <w:r>
        <w:rPr>
          <w:rFonts w:ascii="宋体"/>
          <w:sz w:val="2"/>
        </w:rPr>
        <w:pict>
          <v:group style="width:99.75pt;height:.75pt;mso-position-horizontal-relative:char;mso-position-vertical-relative:line" coordorigin="0,0" coordsize="1995,15">
            <v:group style="position:absolute;left:7;top:7;width:1980;height:2" coordorigin="7,7" coordsize="1980,2">
              <v:shape style="position:absolute;left:7;top:7;width:1980;height:2" coordorigin="7,7" coordsize="1980,0" path="m7,7l1987,7e" filled="false" stroked="true" strokeweight=".72pt" strokecolor="#000000">
                <v:path arrowok="t"/>
              </v:shape>
            </v:group>
          </v:group>
        </w:pict>
      </w:r>
      <w:r>
        <w:rPr>
          <w:rFonts w:ascii="宋体"/>
          <w:sz w:val="2"/>
        </w:rPr>
      </w:r>
      <w:r>
        <w:rPr>
          <w:rFonts w:ascii="Times New Roman"/>
          <w:spacing w:val="67"/>
          <w:sz w:val="2"/>
        </w:rPr>
        <w:t> </w:t>
      </w:r>
      <w:r>
        <w:rPr>
          <w:rFonts w:ascii="宋体"/>
          <w:spacing w:val="67"/>
          <w:sz w:val="2"/>
        </w:rPr>
        <w:pict>
          <v:group style="width:96.45pt;height:.75pt;mso-position-horizontal-relative:char;mso-position-vertical-relative:line" coordorigin="0,0" coordsize="1929,15">
            <v:group style="position:absolute;left:7;top:7;width:1914;height:2" coordorigin="7,7" coordsize="1914,2">
              <v:shape style="position:absolute;left:7;top:7;width:1914;height:2" coordorigin="7,7" coordsize="1914,0" path="m7,7l1921,7e" filled="false" stroked="true" strokeweight=".72pt" strokecolor="#000000">
                <v:path arrowok="t"/>
              </v:shape>
            </v:group>
          </v:group>
        </w:pict>
      </w:r>
      <w:r>
        <w:rPr>
          <w:rFonts w:ascii="宋体"/>
          <w:spacing w:val="67"/>
          <w:sz w:val="2"/>
        </w:rPr>
      </w:r>
    </w:p>
    <w:p>
      <w:pPr>
        <w:spacing w:line="240" w:lineRule="auto" w:before="2"/>
        <w:rPr>
          <w:rFonts w:ascii="宋体" w:hAnsi="宋体" w:cs="宋体" w:eastAsia="宋体" w:hint="default"/>
          <w:sz w:val="15"/>
          <w:szCs w:val="15"/>
        </w:rPr>
      </w:pPr>
    </w:p>
    <w:p>
      <w:pPr>
        <w:pStyle w:val="BodyText"/>
        <w:tabs>
          <w:tab w:pos="6259" w:val="left" w:leader="none"/>
          <w:tab w:pos="8247" w:val="left" w:leader="none"/>
        </w:tabs>
        <w:spacing w:line="240" w:lineRule="auto" w:before="27"/>
        <w:ind w:left="561" w:right="0"/>
        <w:jc w:val="left"/>
        <w:rPr>
          <w:rFonts w:ascii="Arial" w:hAnsi="Arial" w:cs="Arial" w:eastAsia="Arial" w:hint="default"/>
        </w:rPr>
      </w:pPr>
      <w:r>
        <w:rPr>
          <w:w w:val="95"/>
          <w:position w:val="2"/>
        </w:rPr>
        <w:t>联通集团</w:t>
        <w:tab/>
      </w:r>
      <w:r>
        <w:rPr>
          <w:rFonts w:ascii="Arial" w:hAnsi="Arial" w:cs="Arial" w:eastAsia="Arial" w:hint="default"/>
          <w:w w:val="95"/>
        </w:rPr>
        <w:t>256,092,302</w:t>
        <w:tab/>
      </w:r>
      <w:r>
        <w:rPr>
          <w:rFonts w:ascii="Arial" w:hAnsi="Arial" w:cs="Arial" w:eastAsia="Arial" w:hint="default"/>
        </w:rPr>
        <w:t>142,558,334</w:t>
      </w:r>
    </w:p>
    <w:p>
      <w:pPr>
        <w:spacing w:line="43" w:lineRule="exact"/>
        <w:ind w:left="5570" w:right="0" w:firstLine="0"/>
        <w:rPr>
          <w:rFonts w:ascii="Arial" w:hAnsi="Arial" w:cs="Arial" w:eastAsia="Arial" w:hint="default"/>
          <w:sz w:val="4"/>
          <w:szCs w:val="4"/>
        </w:rPr>
      </w:pPr>
      <w:r>
        <w:rPr>
          <w:rFonts w:ascii="Arial" w:hAnsi="Arial" w:cs="Arial" w:eastAsia="Arial" w:hint="default"/>
          <w:position w:val="0"/>
          <w:sz w:val="4"/>
          <w:szCs w:val="4"/>
        </w:rPr>
        <w:pict>
          <v:group style="width:200.65pt;height:2.2pt;mso-position-horizontal-relative:char;mso-position-vertical-relative:line" coordorigin="0,0" coordsize="4013,44">
            <v:group style="position:absolute;left:7;top:36;width:1995;height:2" coordorigin="7,36" coordsize="1995,2">
              <v:shape style="position:absolute;left:7;top:36;width:1995;height:2" coordorigin="7,36" coordsize="1995,0" path="m7,36l2002,36e" filled="false" stroked="true" strokeweight=".72pt" strokecolor="#000000">
                <v:path arrowok="t"/>
              </v:shape>
            </v:group>
            <v:group style="position:absolute;left:7;top:7;width:1995;height:2" coordorigin="7,7" coordsize="1995,2">
              <v:shape style="position:absolute;left:7;top:7;width:1995;height:2" coordorigin="7,7" coordsize="1995,0" path="m7,7l2002,7e" filled="false" stroked="true" strokeweight=".72pt" strokecolor="#000000">
                <v:path arrowok="t"/>
              </v:shape>
            </v:group>
            <v:group style="position:absolute;left:2077;top:36;width:1929;height:2" coordorigin="2077,36" coordsize="1929,2">
              <v:shape style="position:absolute;left:2077;top:36;width:1929;height:2" coordorigin="2077,36" coordsize="1929,0" path="m2077,36l4006,36e" filled="false" stroked="true" strokeweight=".72pt" strokecolor="#000000">
                <v:path arrowok="t"/>
              </v:shape>
            </v:group>
            <v:group style="position:absolute;left:2077;top:7;width:1929;height:2" coordorigin="2077,7" coordsize="1929,2">
              <v:shape style="position:absolute;left:2077;top:7;width:1929;height:2" coordorigin="2077,7" coordsize="1929,0" path="m2077,7l4006,7e" filled="false" stroked="true" strokeweight=".72pt" strokecolor="#000000">
                <v:path arrowok="t"/>
              </v:shape>
            </v:group>
          </v:group>
        </w:pict>
      </w:r>
      <w:r>
        <w:rPr>
          <w:rFonts w:ascii="Arial" w:hAnsi="Arial" w:cs="Arial" w:eastAsia="Arial" w:hint="default"/>
          <w:position w:val="0"/>
          <w:sz w:val="4"/>
          <w:szCs w:val="4"/>
        </w:rPr>
      </w:r>
    </w:p>
    <w:p>
      <w:pPr>
        <w:spacing w:after="0" w:line="43" w:lineRule="exact"/>
        <w:rPr>
          <w:rFonts w:ascii="Arial" w:hAnsi="Arial" w:cs="Arial" w:eastAsia="Arial" w:hint="default"/>
          <w:sz w:val="4"/>
          <w:szCs w:val="4"/>
        </w:rPr>
        <w:sectPr>
          <w:headerReference w:type="default" r:id="rId109"/>
          <w:pgSz w:w="11900" w:h="16840"/>
          <w:pgMar w:header="1189" w:footer="752" w:top="3040" w:bottom="940" w:left="1280" w:right="920"/>
        </w:sectPr>
      </w:pPr>
    </w:p>
    <w:p>
      <w:pPr>
        <w:spacing w:line="240" w:lineRule="auto" w:before="11"/>
        <w:rPr>
          <w:rFonts w:ascii="Arial" w:hAnsi="Arial" w:cs="Arial" w:eastAsia="Arial" w:hint="default"/>
          <w:sz w:val="18"/>
          <w:szCs w:val="18"/>
        </w:rPr>
      </w:pPr>
    </w:p>
    <w:p>
      <w:pPr>
        <w:pStyle w:val="BodyText"/>
        <w:spacing w:line="240" w:lineRule="auto" w:before="31"/>
        <w:ind w:left="142" w:right="97"/>
        <w:jc w:val="left"/>
      </w:pPr>
      <w:r>
        <w:rPr>
          <w:rFonts w:ascii="Arial" w:hAnsi="Arial" w:cs="Arial" w:eastAsia="Arial" w:hint="default"/>
        </w:rPr>
        <w:t>24</w:t>
      </w:r>
      <w:r>
        <w:rPr/>
        <w:t>、其他应付款（续）</w:t>
      </w:r>
    </w:p>
    <w:p>
      <w:pPr>
        <w:spacing w:line="240" w:lineRule="auto" w:before="13"/>
        <w:rPr>
          <w:rFonts w:ascii="宋体" w:hAnsi="宋体" w:cs="宋体" w:eastAsia="宋体" w:hint="default"/>
          <w:sz w:val="17"/>
          <w:szCs w:val="17"/>
        </w:rPr>
      </w:pPr>
    </w:p>
    <w:p>
      <w:pPr>
        <w:pStyle w:val="BodyText"/>
        <w:spacing w:line="240" w:lineRule="auto"/>
        <w:ind w:left="142" w:right="97"/>
        <w:jc w:val="left"/>
      </w:pPr>
      <w:r>
        <w:rPr>
          <w:rFonts w:ascii="Arial" w:hAnsi="Arial" w:cs="Arial" w:eastAsia="Arial" w:hint="default"/>
        </w:rPr>
        <w:t>(b) </w:t>
      </w:r>
      <w:r>
        <w:rPr>
          <w:rFonts w:ascii="Arial" w:hAnsi="Arial" w:cs="Arial" w:eastAsia="Arial" w:hint="default"/>
          <w:spacing w:val="24"/>
        </w:rPr>
        <w:t> </w:t>
      </w:r>
      <w:r>
        <w:rPr/>
        <w:t>应付关联方的其他应付款：</w:t>
      </w:r>
    </w:p>
    <w:p>
      <w:pPr>
        <w:spacing w:line="240" w:lineRule="auto" w:before="13"/>
        <w:rPr>
          <w:rFonts w:ascii="宋体" w:hAnsi="宋体" w:cs="宋体" w:eastAsia="宋体" w:hint="default"/>
          <w:sz w:val="11"/>
          <w:szCs w:val="11"/>
        </w:rPr>
      </w:pPr>
    </w:p>
    <w:p>
      <w:pPr>
        <w:pStyle w:val="BodyText"/>
        <w:spacing w:line="240" w:lineRule="auto" w:before="31"/>
        <w:ind w:left="5698" w:right="97"/>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r>
        <w:rPr>
          <w:spacing w:val="-21"/>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5625" w:right="0" w:firstLine="0"/>
        <w:rPr>
          <w:rFonts w:ascii="宋体" w:hAnsi="宋体" w:cs="宋体" w:eastAsia="宋体" w:hint="default"/>
          <w:sz w:val="2"/>
          <w:szCs w:val="2"/>
        </w:rPr>
      </w:pPr>
      <w:r>
        <w:rPr>
          <w:rFonts w:ascii="宋体"/>
          <w:sz w:val="2"/>
        </w:rPr>
        <w:pict>
          <v:group style="width:99.75pt;height:.75pt;mso-position-horizontal-relative:char;mso-position-vertical-relative:line" coordorigin="0,0" coordsize="1995,15">
            <v:group style="position:absolute;left:7;top:7;width:1980;height:2" coordorigin="7,7" coordsize="1980,2">
              <v:shape style="position:absolute;left:7;top:7;width:1980;height:2" coordorigin="7,7" coordsize="1980,0" path="m7,7l1987,7e" filled="false" stroked="true" strokeweight=".71997pt" strokecolor="#000000">
                <v:path arrowok="t"/>
              </v:shape>
            </v:group>
          </v:group>
        </w:pict>
      </w:r>
      <w:r>
        <w:rPr>
          <w:rFonts w:ascii="宋体"/>
          <w:sz w:val="2"/>
        </w:rPr>
      </w:r>
      <w:r>
        <w:rPr>
          <w:rFonts w:ascii="Times New Roman"/>
          <w:spacing w:val="67"/>
          <w:sz w:val="2"/>
        </w:rPr>
        <w:t> </w:t>
      </w:r>
      <w:r>
        <w:rPr>
          <w:rFonts w:ascii="宋体"/>
          <w:spacing w:val="67"/>
          <w:sz w:val="2"/>
        </w:rPr>
        <w:pict>
          <v:group style="width:96.45pt;height:.75pt;mso-position-horizontal-relative:char;mso-position-vertical-relative:line" coordorigin="0,0" coordsize="1929,15">
            <v:group style="position:absolute;left:7;top:7;width:1914;height:2" coordorigin="7,7" coordsize="1914,2">
              <v:shape style="position:absolute;left:7;top:7;width:1914;height:2" coordorigin="7,7" coordsize="1914,0" path="m7,7l1921,7e" filled="false" stroked="true" strokeweight=".71997pt" strokecolor="#000000">
                <v:path arrowok="t"/>
              </v:shape>
            </v:group>
          </v:group>
        </w:pict>
      </w:r>
      <w:r>
        <w:rPr>
          <w:rFonts w:ascii="宋体"/>
          <w:spacing w:val="67"/>
          <w:sz w:val="2"/>
        </w:rPr>
      </w:r>
    </w:p>
    <w:p>
      <w:pPr>
        <w:spacing w:line="240" w:lineRule="auto" w:before="2"/>
        <w:rPr>
          <w:rFonts w:ascii="宋体" w:hAnsi="宋体" w:cs="宋体" w:eastAsia="宋体" w:hint="default"/>
          <w:sz w:val="15"/>
          <w:szCs w:val="15"/>
        </w:rPr>
      </w:pPr>
    </w:p>
    <w:tbl>
      <w:tblPr>
        <w:tblW w:w="0" w:type="auto"/>
        <w:jc w:val="left"/>
        <w:tblInd w:w="567" w:type="dxa"/>
        <w:tblLayout w:type="fixed"/>
        <w:tblCellMar>
          <w:top w:w="0" w:type="dxa"/>
          <w:left w:w="0" w:type="dxa"/>
          <w:bottom w:w="0" w:type="dxa"/>
          <w:right w:w="0" w:type="dxa"/>
        </w:tblCellMar>
        <w:tblLook w:val="01E0"/>
      </w:tblPr>
      <w:tblGrid>
        <w:gridCol w:w="3650"/>
        <w:gridCol w:w="3414"/>
        <w:gridCol w:w="2021"/>
      </w:tblGrid>
      <w:tr>
        <w:trPr>
          <w:trHeight w:val="366"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9"/>
              <w:jc w:val="right"/>
              <w:rPr>
                <w:rFonts w:ascii="Arial" w:hAnsi="Arial" w:cs="Arial" w:eastAsia="Arial" w:hint="default"/>
                <w:sz w:val="22"/>
                <w:szCs w:val="22"/>
              </w:rPr>
            </w:pPr>
            <w:r>
              <w:rPr>
                <w:rFonts w:ascii="Arial"/>
                <w:w w:val="95"/>
                <w:sz w:val="22"/>
              </w:rPr>
              <w:t>256,092,302</w:t>
            </w:r>
            <w:r>
              <w:rPr>
                <w:rFonts w:ascii="Arial"/>
                <w:sz w:val="22"/>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56" w:right="0"/>
              <w:jc w:val="left"/>
              <w:rPr>
                <w:rFonts w:ascii="Arial" w:hAnsi="Arial" w:cs="Arial" w:eastAsia="Arial" w:hint="default"/>
                <w:sz w:val="22"/>
                <w:szCs w:val="22"/>
              </w:rPr>
            </w:pPr>
            <w:r>
              <w:rPr>
                <w:rFonts w:ascii="Arial"/>
                <w:sz w:val="22"/>
              </w:rPr>
              <w:t>142,558,334</w:t>
            </w:r>
          </w:p>
        </w:tc>
      </w:tr>
      <w:tr>
        <w:trPr>
          <w:trHeight w:val="286"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w w:val="95"/>
                <w:sz w:val="22"/>
              </w:rPr>
              <w:t>54,140,381</w:t>
            </w:r>
            <w:r>
              <w:rPr>
                <w:rFonts w:ascii="Arial"/>
                <w:sz w:val="22"/>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78" w:right="0"/>
              <w:jc w:val="left"/>
              <w:rPr>
                <w:rFonts w:ascii="Arial" w:hAnsi="Arial" w:cs="Arial" w:eastAsia="Arial" w:hint="default"/>
                <w:sz w:val="22"/>
                <w:szCs w:val="22"/>
              </w:rPr>
            </w:pPr>
            <w:r>
              <w:rPr>
                <w:rFonts w:ascii="Arial"/>
                <w:sz w:val="22"/>
              </w:rPr>
              <w:t>62,761,874</w:t>
            </w:r>
          </w:p>
        </w:tc>
      </w:tr>
      <w:tr>
        <w:trPr>
          <w:trHeight w:val="286"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w w:val="95"/>
                <w:sz w:val="22"/>
              </w:rPr>
              <w:t>1,895,994</w:t>
            </w:r>
            <w:r>
              <w:rPr>
                <w:rFonts w:ascii="Arial"/>
                <w:sz w:val="22"/>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0" w:right="0"/>
              <w:jc w:val="left"/>
              <w:rPr>
                <w:rFonts w:ascii="Arial" w:hAnsi="Arial" w:cs="Arial" w:eastAsia="Arial" w:hint="default"/>
                <w:sz w:val="22"/>
                <w:szCs w:val="22"/>
              </w:rPr>
            </w:pPr>
            <w:r>
              <w:rPr>
                <w:rFonts w:ascii="Arial"/>
                <w:sz w:val="22"/>
              </w:rPr>
              <w:t>1,895,994</w:t>
            </w:r>
          </w:p>
        </w:tc>
      </w:tr>
      <w:tr>
        <w:trPr>
          <w:trHeight w:val="285"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Arial" w:hAnsi="Arial" w:cs="Arial" w:eastAsia="Arial" w:hint="default"/>
                <w:sz w:val="22"/>
                <w:szCs w:val="22"/>
              </w:rPr>
            </w:pPr>
            <w:r>
              <w:rPr>
                <w:rFonts w:ascii="宋体" w:hAnsi="宋体" w:cs="宋体" w:eastAsia="宋体" w:hint="default"/>
                <w:sz w:val="22"/>
                <w:szCs w:val="22"/>
              </w:rPr>
              <w:t>网通</w:t>
            </w:r>
            <w:r>
              <w:rPr>
                <w:rFonts w:ascii="宋体" w:hAnsi="宋体" w:cs="宋体" w:eastAsia="宋体" w:hint="default"/>
                <w:spacing w:val="-60"/>
                <w:sz w:val="22"/>
                <w:szCs w:val="22"/>
              </w:rPr>
              <w:t> </w:t>
            </w:r>
            <w:r>
              <w:rPr>
                <w:rFonts w:ascii="Arial" w:hAnsi="Arial" w:cs="Arial" w:eastAsia="Arial" w:hint="default"/>
                <w:sz w:val="22"/>
                <w:szCs w:val="22"/>
              </w:rPr>
              <w:t>BVI</w:t>
            </w:r>
          </w:p>
        </w:tc>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spacing w:val="-1"/>
                <w:sz w:val="22"/>
              </w:rPr>
              <w:t>2,186,895,277</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3" w:right="0"/>
              <w:jc w:val="left"/>
              <w:rPr>
                <w:rFonts w:ascii="Arial" w:hAnsi="Arial" w:cs="Arial" w:eastAsia="Arial" w:hint="default"/>
                <w:sz w:val="22"/>
                <w:szCs w:val="22"/>
              </w:rPr>
            </w:pPr>
            <w:r>
              <w:rPr>
                <w:rFonts w:ascii="Arial"/>
                <w:sz w:val="22"/>
              </w:rPr>
              <w:t>2,070,180,567</w:t>
            </w:r>
          </w:p>
        </w:tc>
      </w:tr>
      <w:tr>
        <w:trPr>
          <w:trHeight w:val="285"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网通集团</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w:t>
            </w:r>
          </w:p>
        </w:tc>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w w:val="95"/>
                <w:sz w:val="22"/>
              </w:rPr>
              <w:t>24,414,022</w:t>
            </w:r>
            <w:r>
              <w:rPr>
                <w:rFonts w:ascii="Arial"/>
                <w:sz w:val="22"/>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right"/>
              <w:rPr>
                <w:rFonts w:ascii="Arial" w:hAnsi="Arial" w:cs="Arial" w:eastAsia="Arial" w:hint="default"/>
                <w:sz w:val="22"/>
                <w:szCs w:val="22"/>
              </w:rPr>
            </w:pPr>
            <w:r>
              <w:rPr>
                <w:rFonts w:ascii="Arial"/>
                <w:w w:val="99"/>
                <w:sz w:val="22"/>
              </w:rPr>
              <w:t>-</w:t>
            </w:r>
            <w:r>
              <w:rPr>
                <w:rFonts w:ascii="Arial"/>
                <w:sz w:val="22"/>
              </w:rPr>
            </w:r>
          </w:p>
        </w:tc>
      </w:tr>
      <w:tr>
        <w:trPr>
          <w:trHeight w:val="366"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3414"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17"/>
              <w:ind w:right="6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225,182,512</w:t>
            </w:r>
            <w:r>
              <w:rPr>
                <w:rFonts w:ascii="Arial"/>
                <w:w w:val="95"/>
                <w:sz w:val="22"/>
              </w:rPr>
            </w:r>
            <w:r>
              <w:rPr>
                <w:rFonts w:ascii="Arial"/>
                <w:sz w:val="22"/>
              </w:rPr>
            </w:r>
          </w:p>
        </w:tc>
        <w:tc>
          <w:tcPr>
            <w:tcW w:w="2021" w:type="dxa"/>
            <w:tcBorders>
              <w:top w:val="nil" w:sz="6" w:space="0" w:color="auto"/>
              <w:left w:val="nil" w:sz="6" w:space="0" w:color="auto"/>
              <w:bottom w:val="nil" w:sz="6" w:space="0" w:color="auto"/>
              <w:right w:val="nil" w:sz="6" w:space="0" w:color="auto"/>
            </w:tcBorders>
          </w:tcPr>
          <w:p>
            <w:pPr>
              <w:pStyle w:val="TableParagraph"/>
              <w:tabs>
                <w:tab w:pos="656" w:val="left" w:leader="none"/>
                <w:tab w:pos="1985" w:val="left" w:leader="none"/>
              </w:tabs>
              <w:spacing w:line="240" w:lineRule="auto" w:before="17"/>
              <w:ind w:left="71"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129,194,043</w:t>
              <w:tab/>
            </w:r>
            <w:r>
              <w:rPr>
                <w:rFonts w:ascii="Arial"/>
                <w:sz w:val="22"/>
              </w:rPr>
            </w:r>
          </w:p>
        </w:tc>
      </w:tr>
    </w:tbl>
    <w:p>
      <w:pPr>
        <w:spacing w:line="240" w:lineRule="auto" w:before="3"/>
        <w:rPr>
          <w:rFonts w:ascii="宋体" w:hAnsi="宋体" w:cs="宋体" w:eastAsia="宋体" w:hint="default"/>
          <w:sz w:val="8"/>
          <w:szCs w:val="8"/>
        </w:rPr>
      </w:pPr>
    </w:p>
    <w:p>
      <w:pPr>
        <w:pStyle w:val="BodyText"/>
        <w:tabs>
          <w:tab w:pos="6152" w:val="left" w:leader="none"/>
          <w:tab w:pos="8104" w:val="left" w:leader="none"/>
        </w:tabs>
        <w:spacing w:line="240" w:lineRule="auto" w:before="27"/>
        <w:ind w:left="601" w:right="97"/>
        <w:jc w:val="left"/>
        <w:rPr>
          <w:rFonts w:ascii="Arial" w:hAnsi="Arial" w:cs="Arial" w:eastAsia="Arial" w:hint="default"/>
        </w:rPr>
      </w:pPr>
      <w:r>
        <w:rPr>
          <w:w w:val="95"/>
          <w:position w:val="2"/>
        </w:rPr>
        <w:t>合计</w:t>
        <w:tab/>
      </w:r>
      <w:r>
        <w:rPr>
          <w:rFonts w:ascii="Arial" w:hAnsi="Arial" w:cs="Arial" w:eastAsia="Arial" w:hint="default"/>
          <w:spacing w:val="-1"/>
        </w:rPr>
        <w:t>2,748,620,488</w:t>
        <w:tab/>
        <w:t>2,406,590,812</w:t>
      </w:r>
    </w:p>
    <w:p>
      <w:pPr>
        <w:spacing w:line="43" w:lineRule="exact"/>
        <w:ind w:left="5610" w:right="0" w:firstLine="0"/>
        <w:rPr>
          <w:rFonts w:ascii="Arial" w:hAnsi="Arial" w:cs="Arial" w:eastAsia="Arial" w:hint="default"/>
          <w:sz w:val="4"/>
          <w:szCs w:val="4"/>
        </w:rPr>
      </w:pPr>
      <w:r>
        <w:rPr>
          <w:rFonts w:ascii="Arial" w:hAnsi="Arial" w:cs="Arial" w:eastAsia="Arial" w:hint="default"/>
          <w:position w:val="0"/>
          <w:sz w:val="4"/>
          <w:szCs w:val="4"/>
        </w:rPr>
        <w:pict>
          <v:group style="width:200.65pt;height:2.2pt;mso-position-horizontal-relative:char;mso-position-vertical-relative:line" coordorigin="0,0" coordsize="4013,44">
            <v:group style="position:absolute;left:7;top:36;width:1995;height:2" coordorigin="7,36" coordsize="1995,2">
              <v:shape style="position:absolute;left:7;top:36;width:1995;height:2" coordorigin="7,36" coordsize="1995,0" path="m7,36l2002,36e" filled="false" stroked="true" strokeweight=".72pt" strokecolor="#000000">
                <v:path arrowok="t"/>
              </v:shape>
            </v:group>
            <v:group style="position:absolute;left:7;top:7;width:1995;height:2" coordorigin="7,7" coordsize="1995,2">
              <v:shape style="position:absolute;left:7;top:7;width:1995;height:2" coordorigin="7,7" coordsize="1995,0" path="m7,7l2002,7e" filled="false" stroked="true" strokeweight=".72pt" strokecolor="#000000">
                <v:path arrowok="t"/>
              </v:shape>
            </v:group>
            <v:group style="position:absolute;left:2077;top:36;width:1929;height:2" coordorigin="2077,36" coordsize="1929,2">
              <v:shape style="position:absolute;left:2077;top:36;width:1929;height:2" coordorigin="2077,36" coordsize="1929,0" path="m2077,36l4006,36e" filled="false" stroked="true" strokeweight=".72pt" strokecolor="#000000">
                <v:path arrowok="t"/>
              </v:shape>
            </v:group>
            <v:group style="position:absolute;left:2077;top:7;width:1929;height:2" coordorigin="2077,7" coordsize="1929,2">
              <v:shape style="position:absolute;left:2077;top:7;width:1929;height:2" coordorigin="2077,7" coordsize="1929,0" path="m2077,7l4006,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142" w:right="97"/>
        <w:jc w:val="left"/>
        <w:rPr>
          <w:rFonts w:ascii="Arial" w:hAnsi="Arial" w:cs="Arial" w:eastAsia="Arial" w:hint="default"/>
        </w:rPr>
      </w:pPr>
      <w:r>
        <w:rPr>
          <w:rFonts w:ascii="Arial" w:hAnsi="Arial" w:cs="Arial" w:eastAsia="Arial" w:hint="default"/>
        </w:rPr>
        <w:t>(c)  </w:t>
      </w:r>
      <w:r>
        <w:rPr>
          <w:rFonts w:ascii="Arial" w:hAnsi="Arial" w:cs="Arial" w:eastAsia="Arial" w:hint="default"/>
          <w:spacing w:val="4"/>
        </w:rPr>
        <w:t> </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日，账龄超过</w:t>
      </w:r>
      <w:r>
        <w:rPr>
          <w:spacing w:val="-56"/>
        </w:rPr>
        <w:t> </w:t>
      </w:r>
      <w:r>
        <w:rPr>
          <w:rFonts w:ascii="Arial" w:hAnsi="Arial" w:cs="Arial" w:eastAsia="Arial" w:hint="default"/>
        </w:rPr>
        <w:t>1</w:t>
      </w:r>
      <w:r>
        <w:rPr>
          <w:rFonts w:ascii="Arial" w:hAnsi="Arial" w:cs="Arial" w:eastAsia="Arial" w:hint="default"/>
          <w:spacing w:val="-6"/>
        </w:rPr>
        <w:t> </w:t>
      </w:r>
      <w:r>
        <w:rPr/>
        <w:t>年的其他应付款约人民币</w:t>
      </w:r>
      <w:r>
        <w:rPr>
          <w:spacing w:val="-56"/>
        </w:rPr>
        <w:t> </w:t>
      </w:r>
      <w:r>
        <w:rPr>
          <w:rFonts w:ascii="Arial" w:hAnsi="Arial" w:cs="Arial" w:eastAsia="Arial" w:hint="default"/>
        </w:rPr>
        <w:t>15.22</w:t>
      </w:r>
      <w:r>
        <w:rPr>
          <w:rFonts w:ascii="Arial" w:hAnsi="Arial" w:cs="Arial" w:eastAsia="Arial" w:hint="default"/>
          <w:spacing w:val="-7"/>
        </w:rPr>
        <w:t> </w:t>
      </w:r>
      <w:r>
        <w:rPr/>
        <w:t>亿元（</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p>
    <w:p>
      <w:pPr>
        <w:pStyle w:val="BodyText"/>
        <w:spacing w:line="286" w:lineRule="exact" w:before="19"/>
        <w:ind w:left="590" w:right="133"/>
        <w:jc w:val="left"/>
      </w:pPr>
      <w:r>
        <w:rPr/>
        <w:t>日：约人民币</w:t>
      </w:r>
      <w:r>
        <w:rPr>
          <w:spacing w:val="-57"/>
        </w:rPr>
        <w:t> </w:t>
      </w:r>
      <w:r>
        <w:rPr>
          <w:rFonts w:ascii="Arial" w:hAnsi="Arial" w:cs="Arial" w:eastAsia="Arial" w:hint="default"/>
        </w:rPr>
        <w:t>16.17</w:t>
      </w:r>
      <w:r>
        <w:rPr>
          <w:rFonts w:ascii="Arial" w:hAnsi="Arial" w:cs="Arial" w:eastAsia="Arial" w:hint="default"/>
          <w:spacing w:val="-8"/>
        </w:rPr>
        <w:t> </w:t>
      </w:r>
      <w:r>
        <w:rPr/>
        <w:t>亿元），主要为本集团收取的押金和保证金，因交易双方仍继续发生业务</w:t>
      </w:r>
      <w:r>
        <w:rPr>
          <w:w w:val="99"/>
        </w:rPr>
        <w:t> </w:t>
      </w:r>
      <w:r>
        <w:rPr/>
        <w:t>往来，故此项账款尚未完全结清。</w:t>
      </w:r>
    </w:p>
    <w:p>
      <w:pPr>
        <w:spacing w:line="240" w:lineRule="auto" w:before="3"/>
        <w:rPr>
          <w:rFonts w:ascii="宋体" w:hAnsi="宋体" w:cs="宋体" w:eastAsia="宋体" w:hint="default"/>
          <w:sz w:val="19"/>
          <w:szCs w:val="19"/>
        </w:rPr>
      </w:pPr>
    </w:p>
    <w:p>
      <w:pPr>
        <w:pStyle w:val="BodyText"/>
        <w:spacing w:line="286" w:lineRule="exact"/>
        <w:ind w:left="590" w:right="140" w:hanging="448"/>
        <w:jc w:val="both"/>
      </w:pPr>
      <w:r>
        <w:rPr>
          <w:rFonts w:ascii="Arial" w:hAnsi="Arial" w:cs="Arial" w:eastAsia="Arial" w:hint="default"/>
        </w:rPr>
        <w:t>(d)</w:t>
      </w:r>
      <w:r>
        <w:rPr>
          <w:rFonts w:ascii="Arial" w:hAnsi="Arial" w:cs="Arial" w:eastAsia="Arial" w:hint="default"/>
          <w:spacing w:val="36"/>
        </w:rPr>
        <w:t> </w:t>
      </w:r>
      <w:r>
        <w:rPr/>
        <w:t>于</w:t>
      </w:r>
      <w:r>
        <w:rPr>
          <w:spacing w:val="-62"/>
        </w:rPr>
        <w:t> </w:t>
      </w:r>
      <w:r>
        <w:rPr>
          <w:rFonts w:ascii="Arial" w:hAnsi="Arial" w:cs="Arial" w:eastAsia="Arial" w:hint="default"/>
        </w:rPr>
        <w:t>2011</w:t>
      </w:r>
      <w:r>
        <w:rPr>
          <w:rFonts w:ascii="Arial" w:hAnsi="Arial" w:cs="Arial" w:eastAsia="Arial" w:hint="default"/>
          <w:spacing w:val="-13"/>
        </w:rPr>
        <w:t> </w:t>
      </w:r>
      <w:r>
        <w:rPr/>
        <w:t>年</w:t>
      </w:r>
      <w:r>
        <w:rPr>
          <w:spacing w:val="-62"/>
        </w:rPr>
        <w:t> </w:t>
      </w:r>
      <w:r>
        <w:rPr>
          <w:rFonts w:ascii="Arial" w:hAnsi="Arial" w:cs="Arial" w:eastAsia="Arial" w:hint="default"/>
        </w:rPr>
        <w:t>12</w:t>
      </w:r>
      <w:r>
        <w:rPr>
          <w:rFonts w:ascii="Arial" w:hAnsi="Arial" w:cs="Arial" w:eastAsia="Arial" w:hint="default"/>
          <w:spacing w:val="-13"/>
        </w:rPr>
        <w:t> </w:t>
      </w:r>
      <w:r>
        <w:rPr/>
        <w:t>月</w:t>
      </w:r>
      <w:r>
        <w:rPr>
          <w:spacing w:val="-62"/>
        </w:rPr>
        <w:t> </w:t>
      </w:r>
      <w:r>
        <w:rPr>
          <w:rFonts w:ascii="Arial" w:hAnsi="Arial" w:cs="Arial" w:eastAsia="Arial" w:hint="default"/>
        </w:rPr>
        <w:t>31</w:t>
      </w:r>
      <w:r>
        <w:rPr>
          <w:rFonts w:ascii="Arial" w:hAnsi="Arial" w:cs="Arial" w:eastAsia="Arial" w:hint="default"/>
          <w:spacing w:val="-13"/>
        </w:rPr>
        <w:t> </w:t>
      </w:r>
      <w:r>
        <w:rPr/>
        <w:t>日，除应付中国网通（</w:t>
      </w:r>
      <w:r>
        <w:rPr>
          <w:rFonts w:ascii="Arial" w:hAnsi="Arial" w:cs="Arial" w:eastAsia="Arial" w:hint="default"/>
        </w:rPr>
        <w:t>BVI</w:t>
      </w:r>
      <w:r>
        <w:rPr/>
        <w:t>）有限公司（“网通</w:t>
      </w:r>
      <w:r>
        <w:rPr>
          <w:spacing w:val="-62"/>
        </w:rPr>
        <w:t> </w:t>
      </w:r>
      <w:r>
        <w:rPr>
          <w:rFonts w:ascii="Arial" w:hAnsi="Arial" w:cs="Arial" w:eastAsia="Arial" w:hint="default"/>
        </w:rPr>
        <w:t>BVI</w:t>
      </w:r>
      <w:r>
        <w:rPr/>
        <w:t>”）以及网通集团</w:t>
      </w:r>
      <w:r>
        <w:rPr>
          <w:spacing w:val="-62"/>
        </w:rPr>
        <w:t> </w:t>
      </w:r>
      <w:r>
        <w:rPr>
          <w:rFonts w:ascii="Arial" w:hAnsi="Arial" w:cs="Arial" w:eastAsia="Arial" w:hint="default"/>
        </w:rPr>
        <w:t>BVI</w:t>
      </w:r>
      <w:r>
        <w:rPr>
          <w:rFonts w:ascii="Arial" w:hAnsi="Arial" w:cs="Arial" w:eastAsia="Arial" w:hint="default"/>
          <w:spacing w:val="-1"/>
          <w:w w:val="99"/>
        </w:rPr>
        <w:t> </w:t>
      </w:r>
      <w:r>
        <w:rPr/>
        <w:t>公司的关联公司借款本金及利息约人民币</w:t>
      </w:r>
      <w:r>
        <w:rPr>
          <w:spacing w:val="-57"/>
        </w:rPr>
        <w:t> </w:t>
      </w:r>
      <w:r>
        <w:rPr>
          <w:rFonts w:ascii="Arial" w:hAnsi="Arial" w:cs="Arial" w:eastAsia="Arial" w:hint="default"/>
        </w:rPr>
        <w:t>22.11</w:t>
      </w:r>
      <w:r>
        <w:rPr>
          <w:rFonts w:ascii="Arial" w:hAnsi="Arial" w:cs="Arial" w:eastAsia="Arial" w:hint="default"/>
          <w:spacing w:val="-8"/>
        </w:rPr>
        <w:t> </w:t>
      </w:r>
      <w:r>
        <w:rPr/>
        <w:t>亿元以港币计价外，本集团其他应付款中以外</w:t>
      </w:r>
      <w:r>
        <w:rPr>
          <w:w w:val="99"/>
        </w:rPr>
        <w:t> </w:t>
      </w:r>
      <w:r>
        <w:rPr/>
        <w:t>币计价的余额并不重大（</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日：除应付网通</w:t>
      </w:r>
      <w:r>
        <w:rPr>
          <w:spacing w:val="-56"/>
        </w:rPr>
        <w:t> </w:t>
      </w:r>
      <w:r>
        <w:rPr>
          <w:rFonts w:ascii="Arial" w:hAnsi="Arial" w:cs="Arial" w:eastAsia="Arial" w:hint="default"/>
        </w:rPr>
        <w:t>BVI</w:t>
      </w:r>
      <w:r>
        <w:rPr>
          <w:rFonts w:ascii="Arial" w:hAnsi="Arial" w:cs="Arial" w:eastAsia="Arial" w:hint="default"/>
          <w:spacing w:val="-8"/>
        </w:rPr>
        <w:t> </w:t>
      </w:r>
      <w:r>
        <w:rPr/>
        <w:t>的关联公司借款本金及利息约</w:t>
      </w:r>
      <w:r>
        <w:rPr>
          <w:w w:val="99"/>
        </w:rPr>
        <w:t> </w:t>
      </w:r>
      <w:r>
        <w:rPr/>
        <w:t>人民币</w:t>
      </w:r>
      <w:r>
        <w:rPr>
          <w:spacing w:val="-57"/>
        </w:rPr>
        <w:t> </w:t>
      </w:r>
      <w:r>
        <w:rPr>
          <w:rFonts w:ascii="Arial" w:hAnsi="Arial" w:cs="Arial" w:eastAsia="Arial" w:hint="default"/>
        </w:rPr>
        <w:t>20.70</w:t>
      </w:r>
      <w:r>
        <w:rPr>
          <w:rFonts w:ascii="Arial" w:hAnsi="Arial" w:cs="Arial" w:eastAsia="Arial" w:hint="default"/>
          <w:spacing w:val="-8"/>
        </w:rPr>
        <w:t> </w:t>
      </w:r>
      <w:r>
        <w:rPr/>
        <w:t>亿元以港币计价外，无重大以外币计价的余额）。</w:t>
      </w:r>
    </w:p>
    <w:p>
      <w:pPr>
        <w:spacing w:line="240" w:lineRule="auto" w:before="8"/>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4714"/>
        <w:gridCol w:w="2322"/>
        <w:gridCol w:w="120"/>
        <w:gridCol w:w="2332"/>
      </w:tblGrid>
      <w:tr>
        <w:trPr>
          <w:trHeight w:val="900" w:hRule="exact"/>
        </w:trPr>
        <w:tc>
          <w:tcPr>
            <w:tcW w:w="471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25</w:t>
            </w:r>
            <w:r>
              <w:rPr>
                <w:rFonts w:ascii="宋体" w:hAnsi="宋体" w:cs="宋体" w:eastAsia="宋体" w:hint="default"/>
                <w:sz w:val="22"/>
                <w:szCs w:val="22"/>
              </w:rPr>
              <w:t>、一年内到期的非流动负债</w:t>
            </w:r>
          </w:p>
        </w:tc>
        <w:tc>
          <w:tcPr>
            <w:tcW w:w="232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20"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9"/>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7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4" w:right="0"/>
              <w:jc w:val="left"/>
              <w:rPr>
                <w:rFonts w:ascii="宋体" w:hAnsi="宋体" w:cs="宋体" w:eastAsia="宋体" w:hint="default"/>
                <w:sz w:val="22"/>
                <w:szCs w:val="22"/>
              </w:rPr>
            </w:pPr>
            <w:r>
              <w:rPr>
                <w:rFonts w:ascii="宋体" w:hAnsi="宋体" w:cs="宋体" w:eastAsia="宋体" w:hint="default"/>
                <w:sz w:val="22"/>
                <w:szCs w:val="22"/>
              </w:rPr>
              <w:t>一年内到期的长期借款（附注五</w:t>
            </w:r>
            <w:r>
              <w:rPr>
                <w:rFonts w:ascii="Arial" w:hAnsi="Arial" w:cs="Arial" w:eastAsia="Arial" w:hint="default"/>
                <w:sz w:val="22"/>
                <w:szCs w:val="22"/>
              </w:rPr>
              <w:t>(26)</w:t>
            </w:r>
            <w:r>
              <w:rPr>
                <w:rFonts w:ascii="宋体" w:hAnsi="宋体" w:cs="宋体" w:eastAsia="宋体" w:hint="default"/>
                <w:sz w:val="22"/>
                <w:szCs w:val="22"/>
              </w:rPr>
              <w:t>）</w:t>
            </w:r>
          </w:p>
        </w:tc>
        <w:tc>
          <w:tcPr>
            <w:tcW w:w="232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9"/>
              <w:jc w:val="right"/>
              <w:rPr>
                <w:rFonts w:ascii="Arial" w:hAnsi="Arial" w:cs="Arial" w:eastAsia="Arial" w:hint="default"/>
                <w:sz w:val="22"/>
                <w:szCs w:val="22"/>
              </w:rPr>
            </w:pPr>
            <w:r>
              <w:rPr>
                <w:rFonts w:ascii="Arial"/>
                <w:w w:val="95"/>
                <w:sz w:val="22"/>
              </w:rPr>
              <w:t>49,768,986</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233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9"/>
              <w:jc w:val="right"/>
              <w:rPr>
                <w:rFonts w:ascii="Arial" w:hAnsi="Arial" w:cs="Arial" w:eastAsia="Arial" w:hint="default"/>
                <w:sz w:val="22"/>
                <w:szCs w:val="22"/>
              </w:rPr>
            </w:pPr>
            <w:r>
              <w:rPr>
                <w:rFonts w:ascii="Arial"/>
                <w:w w:val="95"/>
                <w:sz w:val="22"/>
              </w:rPr>
              <w:t>57,796,109</w:t>
            </w:r>
            <w:r>
              <w:rPr>
                <w:rFonts w:ascii="Arial"/>
                <w:sz w:val="22"/>
              </w:rPr>
            </w:r>
          </w:p>
        </w:tc>
      </w:tr>
      <w:tr>
        <w:trPr>
          <w:trHeight w:val="440" w:hRule="exact"/>
        </w:trPr>
        <w:tc>
          <w:tcPr>
            <w:tcW w:w="4714" w:type="dxa"/>
            <w:tcBorders>
              <w:top w:val="nil" w:sz="6" w:space="0" w:color="auto"/>
              <w:left w:val="nil" w:sz="6" w:space="0" w:color="auto"/>
              <w:bottom w:val="nil" w:sz="6" w:space="0" w:color="auto"/>
              <w:right w:val="nil" w:sz="6" w:space="0" w:color="auto"/>
            </w:tcBorders>
          </w:tcPr>
          <w:p>
            <w:pPr>
              <w:pStyle w:val="TableParagraph"/>
              <w:spacing w:line="255" w:lineRule="exact"/>
              <w:ind w:left="494" w:right="0"/>
              <w:jc w:val="left"/>
              <w:rPr>
                <w:rFonts w:ascii="宋体" w:hAnsi="宋体" w:cs="宋体" w:eastAsia="宋体" w:hint="default"/>
                <w:sz w:val="22"/>
                <w:szCs w:val="22"/>
              </w:rPr>
            </w:pPr>
            <w:r>
              <w:rPr>
                <w:rFonts w:ascii="宋体" w:hAnsi="宋体" w:cs="宋体" w:eastAsia="宋体" w:hint="default"/>
                <w:sz w:val="22"/>
                <w:szCs w:val="22"/>
              </w:rPr>
              <w:t>一年内到期的长期应付款（附注五</w:t>
            </w:r>
            <w:r>
              <w:rPr>
                <w:rFonts w:ascii="Arial" w:hAnsi="Arial" w:cs="Arial" w:eastAsia="Arial" w:hint="default"/>
                <w:sz w:val="22"/>
                <w:szCs w:val="22"/>
              </w:rPr>
              <w:t>(28)</w:t>
            </w:r>
            <w:r>
              <w:rPr>
                <w:rFonts w:ascii="宋体" w:hAnsi="宋体" w:cs="宋体" w:eastAsia="宋体" w:hint="default"/>
                <w:sz w:val="22"/>
                <w:szCs w:val="22"/>
              </w:rPr>
              <w:t>）</w:t>
            </w:r>
          </w:p>
        </w:tc>
        <w:tc>
          <w:tcPr>
            <w:tcW w:w="2322" w:type="dxa"/>
            <w:tcBorders>
              <w:top w:val="nil" w:sz="6" w:space="0" w:color="auto"/>
              <w:left w:val="nil" w:sz="6" w:space="0" w:color="auto"/>
              <w:bottom w:val="nil" w:sz="6" w:space="0" w:color="auto"/>
              <w:right w:val="nil" w:sz="6" w:space="0" w:color="auto"/>
            </w:tcBorders>
          </w:tcPr>
          <w:p>
            <w:pPr>
              <w:pStyle w:val="TableParagraph"/>
              <w:tabs>
                <w:tab w:pos="1114" w:val="left" w:leader="none"/>
                <w:tab w:pos="230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78,150,630</w:t>
            </w:r>
            <w:r>
              <w:rPr>
                <w:rFonts w:ascii="Arial"/>
                <w:sz w:val="22"/>
                <w:u w:val="single" w:color="000000"/>
              </w:rPr>
              <w:tab/>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tabs>
                <w:tab w:pos="912" w:val="left" w:leader="none"/>
                <w:tab w:pos="2282"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126,238,924</w:t>
            </w:r>
            <w:r>
              <w:rPr>
                <w:rFonts w:ascii="Arial"/>
                <w:sz w:val="22"/>
                <w:u w:val="single" w:color="000000"/>
              </w:rPr>
              <w:tab/>
            </w:r>
            <w:r>
              <w:rPr>
                <w:rFonts w:ascii="Arial"/>
                <w:sz w:val="22"/>
              </w:rPr>
            </w:r>
          </w:p>
        </w:tc>
      </w:tr>
      <w:tr>
        <w:trPr>
          <w:trHeight w:val="452" w:hRule="exact"/>
        </w:trPr>
        <w:tc>
          <w:tcPr>
            <w:tcW w:w="471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22" w:type="dxa"/>
            <w:tcBorders>
              <w:top w:val="nil" w:sz="6" w:space="0" w:color="auto"/>
              <w:left w:val="nil" w:sz="6" w:space="0" w:color="auto"/>
              <w:bottom w:val="single" w:sz="17" w:space="0" w:color="000000"/>
              <w:right w:val="nil" w:sz="6" w:space="0" w:color="auto"/>
            </w:tcBorders>
          </w:tcPr>
          <w:p>
            <w:pPr>
              <w:pStyle w:val="TableParagraph"/>
              <w:spacing w:line="240" w:lineRule="auto" w:before="172"/>
              <w:ind w:right="88"/>
              <w:jc w:val="right"/>
              <w:rPr>
                <w:rFonts w:ascii="Arial" w:hAnsi="Arial" w:cs="Arial" w:eastAsia="Arial" w:hint="default"/>
                <w:sz w:val="22"/>
                <w:szCs w:val="22"/>
              </w:rPr>
            </w:pPr>
            <w:r>
              <w:rPr>
                <w:rFonts w:ascii="Arial"/>
                <w:w w:val="95"/>
                <w:sz w:val="22"/>
              </w:rPr>
              <w:t>127,919,616</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single" w:sz="17" w:space="0" w:color="000000"/>
              <w:right w:val="nil" w:sz="6" w:space="0" w:color="auto"/>
            </w:tcBorders>
          </w:tcPr>
          <w:p>
            <w:pPr>
              <w:pStyle w:val="TableParagraph"/>
              <w:spacing w:line="240" w:lineRule="auto" w:before="172"/>
              <w:ind w:right="178"/>
              <w:jc w:val="right"/>
              <w:rPr>
                <w:rFonts w:ascii="Arial" w:hAnsi="Arial" w:cs="Arial" w:eastAsia="Arial" w:hint="default"/>
                <w:sz w:val="22"/>
                <w:szCs w:val="22"/>
              </w:rPr>
            </w:pPr>
            <w:r>
              <w:rPr>
                <w:rFonts w:ascii="Arial"/>
                <w:w w:val="95"/>
                <w:sz w:val="22"/>
              </w:rPr>
              <w:t>184,035,033</w:t>
            </w:r>
            <w:r>
              <w:rPr>
                <w:rFonts w:ascii="Arial"/>
                <w:sz w:val="22"/>
              </w:rPr>
            </w:r>
          </w:p>
        </w:tc>
      </w:tr>
    </w:tbl>
    <w:p>
      <w:pPr>
        <w:spacing w:after="0" w:line="240" w:lineRule="auto"/>
        <w:jc w:val="right"/>
        <w:rPr>
          <w:rFonts w:ascii="Arial" w:hAnsi="Arial" w:cs="Arial" w:eastAsia="Arial" w:hint="default"/>
          <w:sz w:val="22"/>
          <w:szCs w:val="22"/>
        </w:rPr>
        <w:sectPr>
          <w:headerReference w:type="default" r:id="rId110"/>
          <w:pgSz w:w="11900" w:h="16840"/>
          <w:pgMar w:header="1189" w:footer="752" w:top="3040" w:bottom="940" w:left="1240" w:right="900"/>
        </w:sectPr>
      </w:pPr>
    </w:p>
    <w:p>
      <w:pPr>
        <w:spacing w:line="240" w:lineRule="auto" w:before="9"/>
        <w:rPr>
          <w:rFonts w:ascii="宋体" w:hAnsi="宋体" w:cs="宋体" w:eastAsia="宋体" w:hint="default"/>
          <w:sz w:val="16"/>
          <w:szCs w:val="16"/>
        </w:rPr>
      </w:pPr>
    </w:p>
    <w:p>
      <w:pPr>
        <w:pStyle w:val="BodyText"/>
        <w:spacing w:line="240" w:lineRule="auto" w:before="31"/>
        <w:ind w:left="142" w:right="0"/>
        <w:jc w:val="left"/>
      </w:pPr>
      <w:r>
        <w:rPr>
          <w:rFonts w:ascii="Arial" w:hAnsi="Arial" w:cs="Arial" w:eastAsia="Arial" w:hint="default"/>
        </w:rPr>
        <w:t>25</w:t>
      </w:r>
      <w:r>
        <w:rPr/>
        <w:t>、一年内到期的非流动负债（续）</w:t>
      </w:r>
    </w:p>
    <w:p>
      <w:pPr>
        <w:spacing w:line="240" w:lineRule="auto" w:before="7"/>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394"/>
        <w:gridCol w:w="4316"/>
        <w:gridCol w:w="2324"/>
        <w:gridCol w:w="119"/>
        <w:gridCol w:w="2334"/>
      </w:tblGrid>
      <w:tr>
        <w:trPr>
          <w:trHeight w:val="898" w:hRule="exact"/>
        </w:trPr>
        <w:tc>
          <w:tcPr>
            <w:tcW w:w="39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Arial" w:hAnsi="Arial" w:cs="Arial" w:eastAsia="Arial" w:hint="default"/>
                <w:sz w:val="22"/>
                <w:szCs w:val="22"/>
              </w:rPr>
            </w:pPr>
            <w:r>
              <w:rPr>
                <w:rFonts w:ascii="Arial"/>
                <w:sz w:val="22"/>
              </w:rPr>
              <w:t>(a)</w:t>
            </w:r>
          </w:p>
        </w:tc>
        <w:tc>
          <w:tcPr>
            <w:tcW w:w="431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0" w:right="0"/>
              <w:jc w:val="left"/>
              <w:rPr>
                <w:rFonts w:ascii="宋体" w:hAnsi="宋体" w:cs="宋体" w:eastAsia="宋体" w:hint="default"/>
                <w:sz w:val="22"/>
                <w:szCs w:val="22"/>
              </w:rPr>
            </w:pPr>
            <w:r>
              <w:rPr>
                <w:rFonts w:ascii="宋体" w:hAnsi="宋体" w:cs="宋体" w:eastAsia="宋体" w:hint="default"/>
                <w:sz w:val="22"/>
                <w:szCs w:val="22"/>
              </w:rPr>
              <w:t>一年内到期的长期借款</w:t>
            </w:r>
          </w:p>
        </w:tc>
        <w:tc>
          <w:tcPr>
            <w:tcW w:w="232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19"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394" w:type="dxa"/>
            <w:tcBorders>
              <w:top w:val="nil" w:sz="6" w:space="0" w:color="auto"/>
              <w:left w:val="nil" w:sz="6" w:space="0" w:color="auto"/>
              <w:bottom w:val="nil" w:sz="6" w:space="0" w:color="auto"/>
              <w:right w:val="nil" w:sz="6" w:space="0" w:color="auto"/>
            </w:tcBorders>
          </w:tcPr>
          <w:p>
            <w:pPr/>
          </w:p>
        </w:tc>
        <w:tc>
          <w:tcPr>
            <w:tcW w:w="4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32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1"/>
              <w:jc w:val="right"/>
              <w:rPr>
                <w:rFonts w:ascii="Arial" w:hAnsi="Arial" w:cs="Arial" w:eastAsia="Arial" w:hint="default"/>
                <w:sz w:val="22"/>
                <w:szCs w:val="22"/>
              </w:rPr>
            </w:pPr>
            <w:r>
              <w:rPr>
                <w:rFonts w:ascii="Arial"/>
                <w:w w:val="95"/>
                <w:sz w:val="22"/>
              </w:rPr>
              <w:t>7,350,102</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33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1"/>
              <w:jc w:val="right"/>
              <w:rPr>
                <w:rFonts w:ascii="Arial" w:hAnsi="Arial" w:cs="Arial" w:eastAsia="Arial" w:hint="default"/>
                <w:sz w:val="22"/>
                <w:szCs w:val="22"/>
              </w:rPr>
            </w:pPr>
            <w:r>
              <w:rPr>
                <w:rFonts w:ascii="Arial"/>
                <w:w w:val="95"/>
                <w:sz w:val="22"/>
              </w:rPr>
              <w:t>12,932,537</w:t>
            </w:r>
            <w:r>
              <w:rPr>
                <w:rFonts w:ascii="Arial"/>
                <w:sz w:val="22"/>
              </w:rPr>
            </w:r>
          </w:p>
        </w:tc>
      </w:tr>
      <w:tr>
        <w:trPr>
          <w:trHeight w:val="419" w:hRule="exact"/>
        </w:trPr>
        <w:tc>
          <w:tcPr>
            <w:tcW w:w="394" w:type="dxa"/>
            <w:tcBorders>
              <w:top w:val="nil" w:sz="6" w:space="0" w:color="auto"/>
              <w:left w:val="nil" w:sz="6" w:space="0" w:color="auto"/>
              <w:bottom w:val="nil" w:sz="6" w:space="0" w:color="auto"/>
              <w:right w:val="nil" w:sz="6" w:space="0" w:color="auto"/>
            </w:tcBorders>
          </w:tcPr>
          <w:p>
            <w:pPr/>
          </w:p>
        </w:tc>
        <w:tc>
          <w:tcPr>
            <w:tcW w:w="4316" w:type="dxa"/>
            <w:tcBorders>
              <w:top w:val="nil" w:sz="6" w:space="0" w:color="auto"/>
              <w:left w:val="nil" w:sz="6" w:space="0" w:color="auto"/>
              <w:bottom w:val="nil" w:sz="6" w:space="0" w:color="auto"/>
              <w:right w:val="nil" w:sz="6" w:space="0" w:color="auto"/>
            </w:tcBorders>
          </w:tcPr>
          <w:p>
            <w:pPr>
              <w:pStyle w:val="TableParagraph"/>
              <w:spacing w:line="239" w:lineRule="exact"/>
              <w:ind w:left="1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324" w:type="dxa"/>
            <w:tcBorders>
              <w:top w:val="nil" w:sz="6" w:space="0" w:color="auto"/>
              <w:left w:val="nil" w:sz="6" w:space="0" w:color="auto"/>
              <w:bottom w:val="nil" w:sz="6" w:space="0" w:color="auto"/>
              <w:right w:val="nil" w:sz="6" w:space="0" w:color="auto"/>
            </w:tcBorders>
          </w:tcPr>
          <w:p>
            <w:pPr>
              <w:pStyle w:val="TableParagraph"/>
              <w:tabs>
                <w:tab w:pos="1114" w:val="left" w:leader="none"/>
                <w:tab w:pos="230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42,418,884</w:t>
            </w:r>
            <w:r>
              <w:rPr>
                <w:rFonts w:ascii="Arial"/>
                <w:sz w:val="22"/>
                <w:u w:val="single" w:color="000000"/>
              </w:rPr>
              <w:tab/>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tabs>
                <w:tab w:pos="1035" w:val="left" w:leader="none"/>
                <w:tab w:pos="2284"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44,863,572</w:t>
            </w:r>
            <w:r>
              <w:rPr>
                <w:rFonts w:ascii="Arial"/>
                <w:sz w:val="22"/>
                <w:u w:val="single" w:color="000000"/>
              </w:rPr>
              <w:tab/>
            </w:r>
            <w:r>
              <w:rPr>
                <w:rFonts w:ascii="Arial"/>
                <w:sz w:val="22"/>
              </w:rPr>
            </w:r>
          </w:p>
        </w:tc>
      </w:tr>
      <w:tr>
        <w:trPr>
          <w:trHeight w:val="431" w:hRule="exact"/>
        </w:trPr>
        <w:tc>
          <w:tcPr>
            <w:tcW w:w="394" w:type="dxa"/>
            <w:tcBorders>
              <w:top w:val="nil" w:sz="6" w:space="0" w:color="auto"/>
              <w:left w:val="nil" w:sz="6" w:space="0" w:color="auto"/>
              <w:bottom w:val="nil" w:sz="6" w:space="0" w:color="auto"/>
              <w:right w:val="nil" w:sz="6" w:space="0" w:color="auto"/>
            </w:tcBorders>
          </w:tcPr>
          <w:p>
            <w:pPr/>
          </w:p>
        </w:tc>
        <w:tc>
          <w:tcPr>
            <w:tcW w:w="431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2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1"/>
              <w:jc w:val="right"/>
              <w:rPr>
                <w:rFonts w:ascii="Arial" w:hAnsi="Arial" w:cs="Arial" w:eastAsia="Arial" w:hint="default"/>
                <w:sz w:val="22"/>
                <w:szCs w:val="22"/>
              </w:rPr>
            </w:pPr>
            <w:r>
              <w:rPr>
                <w:rFonts w:ascii="Arial"/>
                <w:w w:val="95"/>
                <w:sz w:val="22"/>
              </w:rPr>
              <w:t>49,768,986</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81"/>
              <w:jc w:val="right"/>
              <w:rPr>
                <w:rFonts w:ascii="Arial" w:hAnsi="Arial" w:cs="Arial" w:eastAsia="Arial" w:hint="default"/>
                <w:sz w:val="22"/>
                <w:szCs w:val="22"/>
              </w:rPr>
            </w:pPr>
            <w:r>
              <w:rPr>
                <w:rFonts w:ascii="Arial"/>
                <w:w w:val="95"/>
                <w:sz w:val="22"/>
              </w:rPr>
              <w:t>57,796,109</w:t>
            </w:r>
            <w:r>
              <w:rPr>
                <w:rFonts w:ascii="Arial"/>
                <w:sz w:val="22"/>
              </w:rPr>
            </w:r>
          </w:p>
        </w:tc>
      </w:tr>
    </w:tbl>
    <w:p>
      <w:pPr>
        <w:spacing w:line="240" w:lineRule="auto" w:before="7"/>
        <w:rPr>
          <w:rFonts w:ascii="宋体" w:hAnsi="宋体" w:cs="宋体" w:eastAsia="宋体" w:hint="default"/>
          <w:sz w:val="12"/>
          <w:szCs w:val="12"/>
        </w:rPr>
      </w:pPr>
    </w:p>
    <w:p>
      <w:pPr>
        <w:pStyle w:val="BodyText"/>
        <w:spacing w:line="240" w:lineRule="auto" w:before="31"/>
        <w:ind w:left="548"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日，本集团无已到期但尚未偿还的长期借款（</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日：无）。</w:t>
      </w:r>
    </w:p>
    <w:p>
      <w:pPr>
        <w:spacing w:line="240" w:lineRule="auto" w:before="12"/>
        <w:rPr>
          <w:rFonts w:ascii="宋体" w:hAnsi="宋体" w:cs="宋体" w:eastAsia="宋体" w:hint="default"/>
          <w:sz w:val="17"/>
          <w:szCs w:val="17"/>
        </w:rPr>
      </w:pPr>
    </w:p>
    <w:p>
      <w:pPr>
        <w:pStyle w:val="BodyText"/>
        <w:spacing w:line="240" w:lineRule="auto"/>
        <w:ind w:left="548"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日，金额前五名的一年内到期的长期借款：</w:t>
      </w:r>
    </w:p>
    <w:p>
      <w:pPr>
        <w:spacing w:line="240" w:lineRule="auto" w:before="0"/>
        <w:rPr>
          <w:rFonts w:ascii="宋体" w:hAnsi="宋体" w:cs="宋体" w:eastAsia="宋体" w:hint="default"/>
          <w:sz w:val="15"/>
          <w:szCs w:val="15"/>
        </w:rPr>
      </w:pPr>
    </w:p>
    <w:p>
      <w:pPr>
        <w:spacing w:line="234" w:lineRule="exact" w:before="44"/>
        <w:ind w:left="3238" w:right="0" w:firstLine="0"/>
        <w:jc w:val="left"/>
        <w:rPr>
          <w:rFonts w:ascii="宋体" w:hAnsi="宋体" w:cs="宋体" w:eastAsia="宋体" w:hint="default"/>
          <w:sz w:val="18"/>
          <w:szCs w:val="18"/>
        </w:rPr>
      </w:pPr>
      <w:r>
        <w:rPr>
          <w:rFonts w:ascii="宋体" w:hAnsi="宋体" w:cs="宋体" w:eastAsia="宋体" w:hint="default"/>
          <w:sz w:val="18"/>
          <w:szCs w:val="18"/>
        </w:rPr>
        <w:t>借款终止日</w:t>
      </w:r>
    </w:p>
    <w:p>
      <w:pPr>
        <w:tabs>
          <w:tab w:pos="5682" w:val="left" w:leader="none"/>
          <w:tab w:pos="7793" w:val="left" w:leader="none"/>
        </w:tabs>
        <w:spacing w:line="247" w:lineRule="exact" w:before="0"/>
        <w:ind w:left="2246" w:right="0" w:firstLine="0"/>
        <w:jc w:val="left"/>
        <w:rPr>
          <w:rFonts w:ascii="宋体" w:hAnsi="宋体" w:cs="宋体" w:eastAsia="宋体" w:hint="default"/>
          <w:sz w:val="18"/>
          <w:szCs w:val="18"/>
        </w:rPr>
      </w:pPr>
      <w:r>
        <w:rPr>
          <w:rFonts w:ascii="宋体" w:hAnsi="宋体" w:cs="宋体" w:eastAsia="宋体" w:hint="default"/>
          <w:sz w:val="18"/>
          <w:szCs w:val="18"/>
        </w:rPr>
        <w:t>借款起始日</w:t>
      </w:r>
      <w:r>
        <w:rPr>
          <w:rFonts w:ascii="Arial" w:hAnsi="Arial" w:cs="Arial" w:eastAsia="Arial" w:hint="default"/>
          <w:sz w:val="18"/>
          <w:szCs w:val="18"/>
        </w:rPr>
        <w:t>(1 </w:t>
      </w:r>
      <w:r>
        <w:rPr>
          <w:rFonts w:ascii="宋体" w:hAnsi="宋体" w:cs="宋体" w:eastAsia="宋体" w:hint="default"/>
          <w:sz w:val="18"/>
          <w:szCs w:val="18"/>
        </w:rPr>
        <w:t>年内部分</w:t>
      </w:r>
      <w:r>
        <w:rPr>
          <w:rFonts w:ascii="Arial" w:hAnsi="Arial" w:cs="Arial" w:eastAsia="Arial" w:hint="default"/>
          <w:sz w:val="18"/>
          <w:szCs w:val="18"/>
        </w:rPr>
        <w:t>)   </w:t>
      </w:r>
      <w:r>
        <w:rPr>
          <w:rFonts w:ascii="宋体" w:hAnsi="宋体" w:cs="宋体" w:eastAsia="宋体" w:hint="default"/>
          <w:sz w:val="18"/>
          <w:szCs w:val="18"/>
        </w:rPr>
        <w:t>币种 </w:t>
      </w:r>
      <w:r>
        <w:rPr>
          <w:rFonts w:ascii="宋体" w:hAnsi="宋体" w:cs="宋体" w:eastAsia="宋体" w:hint="default"/>
          <w:spacing w:val="3"/>
          <w:sz w:val="18"/>
          <w:szCs w:val="18"/>
        </w:rPr>
        <w:t> </w:t>
      </w:r>
      <w:r>
        <w:rPr>
          <w:rFonts w:ascii="宋体" w:hAnsi="宋体" w:cs="宋体" w:eastAsia="宋体" w:hint="default"/>
          <w:sz w:val="18"/>
          <w:szCs w:val="18"/>
        </w:rPr>
        <w:t>利率</w:t>
        <w:tab/>
      </w: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bl>
      <w:tblPr>
        <w:tblW w:w="0" w:type="auto"/>
        <w:jc w:val="left"/>
        <w:tblInd w:w="107" w:type="dxa"/>
        <w:tblLayout w:type="fixed"/>
        <w:tblCellMar>
          <w:top w:w="0" w:type="dxa"/>
          <w:left w:w="0" w:type="dxa"/>
          <w:bottom w:w="0" w:type="dxa"/>
          <w:right w:w="0" w:type="dxa"/>
        </w:tblCellMar>
        <w:tblLook w:val="01E0"/>
      </w:tblPr>
      <w:tblGrid>
        <w:gridCol w:w="367"/>
        <w:gridCol w:w="2683"/>
        <w:gridCol w:w="1047"/>
        <w:gridCol w:w="518"/>
        <w:gridCol w:w="661"/>
        <w:gridCol w:w="1041"/>
        <w:gridCol w:w="1135"/>
        <w:gridCol w:w="953"/>
        <w:gridCol w:w="1044"/>
      </w:tblGrid>
      <w:tr>
        <w:trPr>
          <w:trHeight w:val="248" w:hRule="exact"/>
        </w:trPr>
        <w:tc>
          <w:tcPr>
            <w:tcW w:w="5275" w:type="dxa"/>
            <w:gridSpan w:val="5"/>
            <w:tcBorders>
              <w:top w:val="nil" w:sz="6" w:space="0" w:color="auto"/>
              <w:left w:val="nil" w:sz="6" w:space="0" w:color="auto"/>
              <w:bottom w:val="nil" w:sz="6" w:space="0" w:color="auto"/>
              <w:right w:val="nil" w:sz="6" w:space="0" w:color="auto"/>
            </w:tcBorders>
          </w:tcPr>
          <w:p>
            <w:pPr/>
          </w:p>
        </w:tc>
        <w:tc>
          <w:tcPr>
            <w:tcW w:w="1041"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150"/>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135"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61"/>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953"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60"/>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044"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680" w:hRule="exact"/>
        </w:trPr>
        <w:tc>
          <w:tcPr>
            <w:tcW w:w="367"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exact"/>
              <w:ind w:left="66" w:right="0"/>
              <w:jc w:val="left"/>
              <w:rPr>
                <w:rFonts w:ascii="Arial" w:hAnsi="Arial" w:cs="Arial" w:eastAsia="Arial" w:hint="default"/>
                <w:sz w:val="18"/>
                <w:szCs w:val="18"/>
              </w:rPr>
            </w:pPr>
            <w:r>
              <w:rPr>
                <w:rFonts w:ascii="宋体" w:hAnsi="宋体" w:cs="宋体" w:eastAsia="宋体" w:hint="default"/>
                <w:position w:val="1"/>
                <w:sz w:val="18"/>
                <w:szCs w:val="18"/>
              </w:rPr>
              <w:t>中国银行北京市分行</w:t>
            </w:r>
            <w:r>
              <w:rPr>
                <w:rFonts w:ascii="宋体" w:hAnsi="宋体" w:cs="宋体" w:eastAsia="宋体" w:hint="default"/>
                <w:spacing w:val="-74"/>
                <w:position w:val="1"/>
                <w:sz w:val="18"/>
                <w:szCs w:val="18"/>
              </w:rPr>
              <w:t> </w:t>
            </w:r>
            <w:r>
              <w:rPr>
                <w:rFonts w:ascii="Arial" w:hAnsi="Arial" w:cs="Arial" w:eastAsia="Arial" w:hint="default"/>
                <w:sz w:val="18"/>
                <w:szCs w:val="18"/>
              </w:rPr>
              <w:t>1988-08-04</w:t>
            </w:r>
          </w:p>
          <w:p>
            <w:pPr>
              <w:pStyle w:val="TableParagraph"/>
              <w:spacing w:line="221" w:lineRule="exact"/>
              <w:ind w:left="66" w:right="0"/>
              <w:jc w:val="left"/>
              <w:rPr>
                <w:rFonts w:ascii="宋体" w:hAnsi="宋体" w:cs="宋体" w:eastAsia="宋体" w:hint="default"/>
                <w:sz w:val="18"/>
                <w:szCs w:val="18"/>
              </w:rPr>
            </w:pPr>
            <w:r>
              <w:rPr>
                <w:rFonts w:ascii="宋体" w:hAnsi="宋体" w:cs="宋体" w:eastAsia="宋体" w:hint="default"/>
                <w:sz w:val="18"/>
                <w:szCs w:val="18"/>
              </w:rPr>
              <w:t>中国建设银行黑龙江</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center"/>
              <w:rPr>
                <w:rFonts w:ascii="Arial" w:hAnsi="Arial" w:cs="Arial" w:eastAsia="Arial" w:hint="default"/>
                <w:sz w:val="18"/>
                <w:szCs w:val="18"/>
              </w:rPr>
            </w:pPr>
            <w:r>
              <w:rPr>
                <w:rFonts w:ascii="Arial"/>
                <w:sz w:val="18"/>
              </w:rPr>
              <w:t>2012-03-31</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6"/>
              <w:jc w:val="right"/>
              <w:rPr>
                <w:rFonts w:ascii="Arial" w:hAnsi="Arial" w:cs="Arial" w:eastAsia="Arial" w:hint="default"/>
                <w:sz w:val="18"/>
                <w:szCs w:val="18"/>
              </w:rPr>
            </w:pPr>
            <w:r>
              <w:rPr>
                <w:rFonts w:ascii="Arial"/>
                <w:spacing w:val="-1"/>
                <w:w w:val="95"/>
                <w:sz w:val="18"/>
              </w:rPr>
              <w:t>2.50%</w:t>
            </w:r>
            <w:r>
              <w:rPr>
                <w:rFonts w:ascii="Arial"/>
                <w:sz w:val="18"/>
              </w:rPr>
            </w:r>
          </w:p>
        </w:tc>
        <w:tc>
          <w:tcPr>
            <w:tcW w:w="1041"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0"/>
              <w:jc w:val="right"/>
              <w:rPr>
                <w:rFonts w:ascii="Arial" w:hAnsi="Arial" w:cs="Arial" w:eastAsia="Arial" w:hint="default"/>
                <w:sz w:val="18"/>
                <w:szCs w:val="18"/>
              </w:rPr>
            </w:pPr>
            <w:r>
              <w:rPr>
                <w:rFonts w:ascii="Arial"/>
                <w:spacing w:val="-1"/>
                <w:sz w:val="18"/>
              </w:rPr>
              <w:t>2,171,245</w:t>
            </w:r>
          </w:p>
        </w:tc>
        <w:tc>
          <w:tcPr>
            <w:tcW w:w="113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81"/>
              <w:jc w:val="right"/>
              <w:rPr>
                <w:rFonts w:ascii="Arial" w:hAnsi="Arial" w:cs="Arial" w:eastAsia="Arial" w:hint="default"/>
                <w:sz w:val="18"/>
                <w:szCs w:val="18"/>
              </w:rPr>
            </w:pPr>
            <w:r>
              <w:rPr>
                <w:rFonts w:ascii="Arial"/>
                <w:spacing w:val="-1"/>
                <w:sz w:val="18"/>
              </w:rPr>
              <w:t>17,722,789</w:t>
            </w:r>
          </w:p>
        </w:tc>
        <w:tc>
          <w:tcPr>
            <w:tcW w:w="95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87"/>
              <w:jc w:val="right"/>
              <w:rPr>
                <w:rFonts w:ascii="Arial" w:hAnsi="Arial" w:cs="Arial" w:eastAsia="Arial" w:hint="default"/>
                <w:sz w:val="18"/>
                <w:szCs w:val="18"/>
              </w:rPr>
            </w:pPr>
            <w:r>
              <w:rPr>
                <w:rFonts w:ascii="Arial"/>
                <w:spacing w:val="-1"/>
                <w:sz w:val="18"/>
              </w:rPr>
              <w:t>2,171,245</w:t>
            </w:r>
          </w:p>
        </w:tc>
        <w:tc>
          <w:tcPr>
            <w:tcW w:w="104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center"/>
              <w:rPr>
                <w:rFonts w:ascii="Arial" w:hAnsi="Arial" w:cs="Arial" w:eastAsia="Arial" w:hint="default"/>
                <w:sz w:val="18"/>
                <w:szCs w:val="18"/>
              </w:rPr>
            </w:pPr>
            <w:r>
              <w:rPr>
                <w:rFonts w:ascii="Arial"/>
                <w:sz w:val="18"/>
              </w:rPr>
              <w:t>19,121,071</w:t>
            </w:r>
          </w:p>
        </w:tc>
      </w:tr>
      <w:tr>
        <w:trPr>
          <w:trHeight w:val="244" w:hRule="exact"/>
        </w:trPr>
        <w:tc>
          <w:tcPr>
            <w:tcW w:w="367"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tabs>
                <w:tab w:pos="2628" w:val="right" w:leader="none"/>
              </w:tabs>
              <w:spacing w:line="233" w:lineRule="exact"/>
              <w:ind w:left="248" w:right="0"/>
              <w:jc w:val="left"/>
              <w:rPr>
                <w:rFonts w:ascii="Arial" w:hAnsi="Arial" w:cs="Arial" w:eastAsia="Arial" w:hint="default"/>
                <w:sz w:val="18"/>
                <w:szCs w:val="18"/>
              </w:rPr>
            </w:pPr>
            <w:r>
              <w:rPr>
                <w:rFonts w:ascii="宋体" w:hAnsi="宋体" w:cs="宋体" w:eastAsia="宋体" w:hint="default"/>
                <w:position w:val="1"/>
                <w:sz w:val="18"/>
                <w:szCs w:val="18"/>
              </w:rPr>
              <w:t>省分行</w:t>
            </w:r>
            <w:r>
              <w:rPr>
                <w:rFonts w:ascii="Arial" w:hAnsi="Arial" w:cs="Arial" w:eastAsia="Arial" w:hint="default"/>
                <w:sz w:val="18"/>
                <w:szCs w:val="18"/>
              </w:rPr>
              <w:tab/>
              <w:t>1991-12-31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8"/>
              <w:jc w:val="center"/>
              <w:rPr>
                <w:rFonts w:ascii="Arial" w:hAnsi="Arial" w:cs="Arial" w:eastAsia="Arial" w:hint="default"/>
                <w:sz w:val="18"/>
                <w:szCs w:val="18"/>
              </w:rPr>
            </w:pPr>
            <w:r>
              <w:rPr>
                <w:rFonts w:ascii="Arial"/>
                <w:sz w:val="18"/>
              </w:rPr>
              <w:t>2012-03-31</w:t>
            </w:r>
          </w:p>
        </w:tc>
        <w:tc>
          <w:tcPr>
            <w:tcW w:w="518" w:type="dxa"/>
            <w:tcBorders>
              <w:top w:val="nil" w:sz="6" w:space="0" w:color="auto"/>
              <w:left w:val="nil" w:sz="6" w:space="0" w:color="auto"/>
              <w:bottom w:val="nil" w:sz="6" w:space="0" w:color="auto"/>
              <w:right w:val="nil" w:sz="6" w:space="0" w:color="auto"/>
            </w:tcBorders>
          </w:tcPr>
          <w:p>
            <w:pPr>
              <w:pStyle w:val="TableParagraph"/>
              <w:spacing w:line="207" w:lineRule="exact"/>
              <w:ind w:left="7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6"/>
              <w:jc w:val="right"/>
              <w:rPr>
                <w:rFonts w:ascii="Arial" w:hAnsi="Arial" w:cs="Arial" w:eastAsia="Arial" w:hint="default"/>
                <w:sz w:val="18"/>
                <w:szCs w:val="18"/>
              </w:rPr>
            </w:pPr>
            <w:r>
              <w:rPr>
                <w:rFonts w:ascii="Arial"/>
                <w:spacing w:val="-1"/>
                <w:w w:val="95"/>
                <w:sz w:val="18"/>
              </w:rPr>
              <w:t>2.00%</w:t>
            </w:r>
            <w:r>
              <w:rPr>
                <w:rFonts w:ascii="Arial"/>
                <w:sz w:val="18"/>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0"/>
              <w:jc w:val="right"/>
              <w:rPr>
                <w:rFonts w:ascii="Arial" w:hAnsi="Arial" w:cs="Arial" w:eastAsia="Arial" w:hint="default"/>
                <w:sz w:val="18"/>
                <w:szCs w:val="18"/>
              </w:rPr>
            </w:pPr>
            <w:r>
              <w:rPr>
                <w:rFonts w:ascii="Arial"/>
                <w:spacing w:val="-1"/>
                <w:sz w:val="18"/>
              </w:rPr>
              <w:t>1,030,552</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0"/>
              <w:jc w:val="right"/>
              <w:rPr>
                <w:rFonts w:ascii="Arial" w:hAnsi="Arial" w:cs="Arial" w:eastAsia="Arial" w:hint="default"/>
                <w:sz w:val="18"/>
                <w:szCs w:val="18"/>
              </w:rPr>
            </w:pPr>
            <w:r>
              <w:rPr>
                <w:rFonts w:ascii="Arial"/>
                <w:spacing w:val="-1"/>
                <w:sz w:val="18"/>
              </w:rPr>
              <w:t>8,411,881</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1,030,552</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2" w:right="0"/>
              <w:jc w:val="center"/>
              <w:rPr>
                <w:rFonts w:ascii="Arial" w:hAnsi="Arial" w:cs="Arial" w:eastAsia="Arial" w:hint="default"/>
                <w:sz w:val="18"/>
                <w:szCs w:val="18"/>
              </w:rPr>
            </w:pPr>
            <w:r>
              <w:rPr>
                <w:rFonts w:ascii="Arial"/>
                <w:sz w:val="18"/>
              </w:rPr>
              <w:t>9,075,556</w:t>
            </w:r>
          </w:p>
        </w:tc>
      </w:tr>
      <w:tr>
        <w:trPr>
          <w:trHeight w:val="233" w:hRule="exact"/>
        </w:trPr>
        <w:tc>
          <w:tcPr>
            <w:tcW w:w="367"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tabs>
                <w:tab w:pos="2628" w:val="right" w:leader="none"/>
              </w:tabs>
              <w:spacing w:line="221" w:lineRule="exact"/>
              <w:ind w:left="63" w:right="0"/>
              <w:jc w:val="left"/>
              <w:rPr>
                <w:rFonts w:ascii="Arial" w:hAnsi="Arial" w:cs="Arial" w:eastAsia="Arial" w:hint="default"/>
                <w:sz w:val="18"/>
                <w:szCs w:val="18"/>
              </w:rPr>
            </w:pPr>
            <w:r>
              <w:rPr>
                <w:rFonts w:ascii="宋体" w:hAnsi="宋体" w:cs="宋体" w:eastAsia="宋体" w:hint="default"/>
                <w:position w:val="1"/>
                <w:sz w:val="18"/>
                <w:szCs w:val="18"/>
              </w:rPr>
              <w:t>西班牙（政府）</w:t>
            </w:r>
            <w:r>
              <w:rPr>
                <w:rFonts w:ascii="Arial" w:hAnsi="Arial" w:cs="Arial" w:eastAsia="Arial" w:hint="default"/>
                <w:sz w:val="18"/>
                <w:szCs w:val="18"/>
              </w:rPr>
              <w:tab/>
              <w:t>1993-06-25</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
              <w:jc w:val="center"/>
              <w:rPr>
                <w:rFonts w:ascii="Arial" w:hAnsi="Arial" w:cs="Arial" w:eastAsia="Arial" w:hint="default"/>
                <w:sz w:val="18"/>
                <w:szCs w:val="18"/>
              </w:rPr>
            </w:pPr>
            <w:r>
              <w:rPr>
                <w:rFonts w:ascii="Arial"/>
                <w:sz w:val="18"/>
              </w:rPr>
              <w:t>2012-03-31</w:t>
            </w:r>
          </w:p>
        </w:tc>
        <w:tc>
          <w:tcPr>
            <w:tcW w:w="518"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6"/>
              <w:jc w:val="right"/>
              <w:rPr>
                <w:rFonts w:ascii="Arial" w:hAnsi="Arial" w:cs="Arial" w:eastAsia="Arial" w:hint="default"/>
                <w:sz w:val="18"/>
                <w:szCs w:val="18"/>
              </w:rPr>
            </w:pPr>
            <w:r>
              <w:rPr>
                <w:rFonts w:ascii="Arial"/>
                <w:spacing w:val="-1"/>
                <w:w w:val="95"/>
                <w:sz w:val="18"/>
              </w:rPr>
              <w:t>1.55%</w:t>
            </w:r>
            <w:r>
              <w:rPr>
                <w:rFonts w:ascii="Arial"/>
                <w:sz w:val="18"/>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0"/>
              <w:jc w:val="right"/>
              <w:rPr>
                <w:rFonts w:ascii="Arial" w:hAnsi="Arial" w:cs="Arial" w:eastAsia="Arial" w:hint="default"/>
                <w:sz w:val="18"/>
                <w:szCs w:val="18"/>
              </w:rPr>
            </w:pPr>
            <w:r>
              <w:rPr>
                <w:rFonts w:ascii="Arial"/>
                <w:spacing w:val="-1"/>
                <w:sz w:val="18"/>
              </w:rPr>
              <w:t>595,759</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0"/>
              <w:jc w:val="right"/>
              <w:rPr>
                <w:rFonts w:ascii="Arial" w:hAnsi="Arial" w:cs="Arial" w:eastAsia="Arial" w:hint="default"/>
                <w:sz w:val="18"/>
                <w:szCs w:val="18"/>
              </w:rPr>
            </w:pPr>
            <w:r>
              <w:rPr>
                <w:rFonts w:ascii="Arial"/>
                <w:spacing w:val="-1"/>
                <w:sz w:val="18"/>
              </w:rPr>
              <w:t>3,753,819</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7"/>
              <w:jc w:val="right"/>
              <w:rPr>
                <w:rFonts w:ascii="Arial" w:hAnsi="Arial" w:cs="Arial" w:eastAsia="Arial" w:hint="default"/>
                <w:sz w:val="18"/>
                <w:szCs w:val="18"/>
              </w:rPr>
            </w:pPr>
            <w:r>
              <w:rPr>
                <w:rFonts w:ascii="Arial"/>
                <w:spacing w:val="-1"/>
                <w:sz w:val="18"/>
              </w:rPr>
              <w:t>595,759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1" w:right="0"/>
              <w:jc w:val="center"/>
              <w:rPr>
                <w:rFonts w:ascii="Arial" w:hAnsi="Arial" w:cs="Arial" w:eastAsia="Arial" w:hint="default"/>
                <w:sz w:val="18"/>
                <w:szCs w:val="18"/>
              </w:rPr>
            </w:pPr>
            <w:r>
              <w:rPr>
                <w:rFonts w:ascii="Arial"/>
                <w:sz w:val="18"/>
              </w:rPr>
              <w:t>3,945,534</w:t>
            </w:r>
          </w:p>
        </w:tc>
      </w:tr>
      <w:tr>
        <w:trPr>
          <w:trHeight w:val="233" w:hRule="exact"/>
        </w:trPr>
        <w:tc>
          <w:tcPr>
            <w:tcW w:w="367"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22" w:lineRule="exact"/>
              <w:ind w:left="66" w:right="0"/>
              <w:jc w:val="left"/>
              <w:rPr>
                <w:rFonts w:ascii="Arial" w:hAnsi="Arial" w:cs="Arial" w:eastAsia="Arial" w:hint="default"/>
                <w:sz w:val="18"/>
                <w:szCs w:val="18"/>
              </w:rPr>
            </w:pPr>
            <w:r>
              <w:rPr>
                <w:rFonts w:ascii="宋体" w:hAnsi="宋体" w:cs="宋体" w:eastAsia="宋体" w:hint="default"/>
                <w:position w:val="1"/>
                <w:sz w:val="18"/>
                <w:szCs w:val="18"/>
              </w:rPr>
              <w:t>中国银行河北省分行</w:t>
            </w:r>
            <w:r>
              <w:rPr>
                <w:rFonts w:ascii="宋体" w:hAnsi="宋体" w:cs="宋体" w:eastAsia="宋体" w:hint="default"/>
                <w:spacing w:val="-74"/>
                <w:position w:val="1"/>
                <w:sz w:val="18"/>
                <w:szCs w:val="18"/>
              </w:rPr>
              <w:t> </w:t>
            </w:r>
            <w:r>
              <w:rPr>
                <w:rFonts w:ascii="Arial" w:hAnsi="Arial" w:cs="Arial" w:eastAsia="Arial" w:hint="default"/>
                <w:sz w:val="18"/>
                <w:szCs w:val="18"/>
              </w:rPr>
              <w:t>1993-02-08</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center"/>
              <w:rPr>
                <w:rFonts w:ascii="Arial" w:hAnsi="Arial" w:cs="Arial" w:eastAsia="Arial" w:hint="default"/>
                <w:sz w:val="18"/>
                <w:szCs w:val="18"/>
              </w:rPr>
            </w:pPr>
            <w:r>
              <w:rPr>
                <w:rFonts w:ascii="Arial"/>
                <w:sz w:val="18"/>
              </w:rPr>
              <w:t>2012-04-30</w:t>
            </w:r>
          </w:p>
        </w:tc>
        <w:tc>
          <w:tcPr>
            <w:tcW w:w="518" w:type="dxa"/>
            <w:tcBorders>
              <w:top w:val="nil" w:sz="6" w:space="0" w:color="auto"/>
              <w:left w:val="nil" w:sz="6" w:space="0" w:color="auto"/>
              <w:bottom w:val="nil" w:sz="6" w:space="0" w:color="auto"/>
              <w:right w:val="nil" w:sz="6" w:space="0" w:color="auto"/>
            </w:tcBorders>
          </w:tcPr>
          <w:p>
            <w:pPr>
              <w:pStyle w:val="TableParagraph"/>
              <w:spacing w:line="196" w:lineRule="exact"/>
              <w:ind w:left="7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4"/>
              <w:jc w:val="right"/>
              <w:rPr>
                <w:rFonts w:ascii="Arial" w:hAnsi="Arial" w:cs="Arial" w:eastAsia="Arial" w:hint="default"/>
                <w:sz w:val="18"/>
                <w:szCs w:val="18"/>
              </w:rPr>
            </w:pPr>
            <w:r>
              <w:rPr>
                <w:rFonts w:ascii="Arial"/>
                <w:w w:val="99"/>
                <w:sz w:val="18"/>
              </w:rPr>
              <w:t>-</w:t>
            </w:r>
            <w:r>
              <w:rPr>
                <w:rFonts w:ascii="Arial"/>
                <w:sz w:val="18"/>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0"/>
              <w:jc w:val="right"/>
              <w:rPr>
                <w:rFonts w:ascii="Arial" w:hAnsi="Arial" w:cs="Arial" w:eastAsia="Arial" w:hint="default"/>
                <w:sz w:val="18"/>
                <w:szCs w:val="18"/>
              </w:rPr>
            </w:pPr>
            <w:r>
              <w:rPr>
                <w:rFonts w:ascii="Arial"/>
                <w:spacing w:val="-1"/>
                <w:sz w:val="18"/>
              </w:rPr>
              <w:t>560,089</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18"/>
                <w:szCs w:val="18"/>
              </w:rPr>
            </w:pPr>
            <w:r>
              <w:rPr>
                <w:rFonts w:ascii="Arial"/>
                <w:spacing w:val="-1"/>
                <w:sz w:val="18"/>
              </w:rPr>
              <w:t>3,529,065</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7"/>
              <w:jc w:val="right"/>
              <w:rPr>
                <w:rFonts w:ascii="Arial" w:hAnsi="Arial" w:cs="Arial" w:eastAsia="Arial" w:hint="default"/>
                <w:sz w:val="18"/>
                <w:szCs w:val="18"/>
              </w:rPr>
            </w:pPr>
            <w:r>
              <w:rPr>
                <w:rFonts w:ascii="Arial"/>
                <w:spacing w:val="-1"/>
                <w:sz w:val="18"/>
              </w:rPr>
              <w:t>560,089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2" w:right="0"/>
              <w:jc w:val="center"/>
              <w:rPr>
                <w:rFonts w:ascii="Arial" w:hAnsi="Arial" w:cs="Arial" w:eastAsia="Arial" w:hint="default"/>
                <w:sz w:val="18"/>
                <w:szCs w:val="18"/>
              </w:rPr>
            </w:pPr>
            <w:r>
              <w:rPr>
                <w:rFonts w:ascii="Arial"/>
                <w:sz w:val="18"/>
              </w:rPr>
              <w:t>3,709,301</w:t>
            </w:r>
          </w:p>
        </w:tc>
      </w:tr>
      <w:tr>
        <w:trPr>
          <w:trHeight w:val="363" w:hRule="exact"/>
        </w:trPr>
        <w:tc>
          <w:tcPr>
            <w:tcW w:w="367"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21" w:lineRule="exact"/>
              <w:ind w:left="73" w:right="0"/>
              <w:jc w:val="left"/>
              <w:rPr>
                <w:rFonts w:ascii="Arial" w:hAnsi="Arial" w:cs="Arial" w:eastAsia="Arial" w:hint="default"/>
                <w:sz w:val="18"/>
                <w:szCs w:val="18"/>
              </w:rPr>
            </w:pPr>
            <w:r>
              <w:rPr>
                <w:rFonts w:ascii="宋体" w:hAnsi="宋体" w:cs="宋体" w:eastAsia="宋体" w:hint="default"/>
                <w:position w:val="1"/>
                <w:sz w:val="18"/>
                <w:szCs w:val="18"/>
              </w:rPr>
              <w:t>西班牙国家信贷协会</w:t>
            </w:r>
            <w:r>
              <w:rPr>
                <w:rFonts w:ascii="宋体" w:hAnsi="宋体" w:cs="宋体" w:eastAsia="宋体" w:hint="default"/>
                <w:spacing w:val="-82"/>
                <w:position w:val="1"/>
                <w:sz w:val="18"/>
                <w:szCs w:val="18"/>
              </w:rPr>
              <w:t> </w:t>
            </w:r>
            <w:r>
              <w:rPr>
                <w:rFonts w:ascii="Arial" w:hAnsi="Arial" w:cs="Arial" w:eastAsia="Arial" w:hint="default"/>
                <w:sz w:val="18"/>
                <w:szCs w:val="18"/>
              </w:rPr>
              <w:t>1991-05-27</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
              <w:jc w:val="center"/>
              <w:rPr>
                <w:rFonts w:ascii="Arial" w:hAnsi="Arial" w:cs="Arial" w:eastAsia="Arial" w:hint="default"/>
                <w:sz w:val="18"/>
                <w:szCs w:val="18"/>
              </w:rPr>
            </w:pPr>
            <w:r>
              <w:rPr>
                <w:rFonts w:ascii="Arial"/>
                <w:sz w:val="18"/>
              </w:rPr>
              <w:t>2012-05-23</w:t>
            </w:r>
          </w:p>
        </w:tc>
        <w:tc>
          <w:tcPr>
            <w:tcW w:w="518"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6"/>
              <w:jc w:val="right"/>
              <w:rPr>
                <w:rFonts w:ascii="Arial" w:hAnsi="Arial" w:cs="Arial" w:eastAsia="Arial" w:hint="default"/>
                <w:sz w:val="18"/>
                <w:szCs w:val="18"/>
              </w:rPr>
            </w:pPr>
            <w:r>
              <w:rPr>
                <w:rFonts w:ascii="Arial"/>
                <w:spacing w:val="-1"/>
                <w:w w:val="95"/>
                <w:sz w:val="18"/>
              </w:rPr>
              <w:t>1.50%</w:t>
            </w:r>
            <w:r>
              <w:rPr>
                <w:rFonts w:ascii="Arial"/>
                <w:sz w:val="18"/>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0"/>
              <w:jc w:val="right"/>
              <w:rPr>
                <w:rFonts w:ascii="Arial" w:hAnsi="Arial" w:cs="Arial" w:eastAsia="Arial" w:hint="default"/>
                <w:sz w:val="18"/>
                <w:szCs w:val="18"/>
              </w:rPr>
            </w:pPr>
            <w:r>
              <w:rPr>
                <w:rFonts w:ascii="Arial"/>
                <w:spacing w:val="-1"/>
                <w:sz w:val="18"/>
              </w:rPr>
              <w:t>476,215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3,000,584</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7"/>
              <w:jc w:val="right"/>
              <w:rPr>
                <w:rFonts w:ascii="Arial" w:hAnsi="Arial" w:cs="Arial" w:eastAsia="Arial" w:hint="default"/>
                <w:sz w:val="18"/>
                <w:szCs w:val="18"/>
              </w:rPr>
            </w:pPr>
            <w:r>
              <w:rPr>
                <w:rFonts w:ascii="Arial"/>
                <w:spacing w:val="-1"/>
                <w:sz w:val="18"/>
              </w:rPr>
              <w:t>494,632</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1" w:right="0"/>
              <w:jc w:val="center"/>
              <w:rPr>
                <w:rFonts w:ascii="Arial" w:hAnsi="Arial" w:cs="Arial" w:eastAsia="Arial" w:hint="default"/>
                <w:sz w:val="18"/>
                <w:szCs w:val="18"/>
              </w:rPr>
            </w:pPr>
            <w:r>
              <w:rPr>
                <w:rFonts w:ascii="Arial"/>
                <w:sz w:val="18"/>
              </w:rPr>
              <w:t>3,275,801</w:t>
            </w:r>
          </w:p>
        </w:tc>
      </w:tr>
      <w:tr>
        <w:trPr>
          <w:trHeight w:val="476" w:hRule="exact"/>
        </w:trPr>
        <w:tc>
          <w:tcPr>
            <w:tcW w:w="36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5" w:right="0"/>
              <w:jc w:val="left"/>
              <w:rPr>
                <w:rFonts w:ascii="Arial" w:hAnsi="Arial" w:cs="Arial" w:eastAsia="Arial" w:hint="default"/>
                <w:sz w:val="22"/>
                <w:szCs w:val="22"/>
              </w:rPr>
            </w:pPr>
            <w:r>
              <w:rPr>
                <w:rFonts w:ascii="Arial"/>
                <w:sz w:val="22"/>
              </w:rPr>
              <w:t>(b)</w:t>
            </w:r>
          </w:p>
        </w:tc>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5" w:right="0"/>
              <w:jc w:val="left"/>
              <w:rPr>
                <w:rFonts w:ascii="宋体" w:hAnsi="宋体" w:cs="宋体" w:eastAsia="宋体" w:hint="default"/>
                <w:sz w:val="22"/>
                <w:szCs w:val="22"/>
              </w:rPr>
            </w:pPr>
            <w:r>
              <w:rPr>
                <w:rFonts w:ascii="宋体" w:hAnsi="宋体" w:cs="宋体" w:eastAsia="宋体" w:hint="default"/>
                <w:sz w:val="22"/>
                <w:szCs w:val="22"/>
              </w:rPr>
              <w:t>一年内到期的长期应付款</w:t>
            </w:r>
          </w:p>
        </w:tc>
        <w:tc>
          <w:tcPr>
            <w:tcW w:w="1047" w:type="dxa"/>
            <w:tcBorders>
              <w:top w:val="nil" w:sz="6" w:space="0" w:color="auto"/>
              <w:left w:val="nil" w:sz="6" w:space="0" w:color="auto"/>
              <w:bottom w:val="nil" w:sz="6" w:space="0" w:color="auto"/>
              <w:right w:val="nil" w:sz="6" w:space="0" w:color="auto"/>
            </w:tcBorders>
          </w:tcPr>
          <w:p>
            <w:pPr/>
          </w:p>
        </w:tc>
        <w:tc>
          <w:tcPr>
            <w:tcW w:w="518"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9"/>
          <w:szCs w:val="9"/>
        </w:rPr>
      </w:pPr>
    </w:p>
    <w:p>
      <w:pPr>
        <w:pStyle w:val="BodyText"/>
        <w:spacing w:line="240" w:lineRule="auto" w:before="31"/>
        <w:ind w:left="548" w:right="0"/>
        <w:jc w:val="left"/>
      </w:pPr>
      <w:r>
        <w:rPr/>
        <w:t>参见附注五</w:t>
      </w:r>
      <w:r>
        <w:rPr>
          <w:rFonts w:ascii="Arial" w:hAnsi="Arial" w:cs="Arial" w:eastAsia="Arial" w:hint="default"/>
        </w:rPr>
        <w:t>(28)</w:t>
      </w:r>
      <w:r>
        <w:rPr/>
        <w:t>及附注十二。</w:t>
      </w:r>
    </w:p>
    <w:p>
      <w:pPr>
        <w:spacing w:line="240" w:lineRule="auto" w:before="13"/>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26</w:t>
      </w:r>
      <w:r>
        <w:rPr/>
        <w:t>、长期借款</w:t>
      </w:r>
    </w:p>
    <w:p>
      <w:pPr>
        <w:spacing w:line="240" w:lineRule="auto" w:before="7"/>
        <w:rPr>
          <w:rFonts w:ascii="宋体" w:hAnsi="宋体" w:cs="宋体" w:eastAsia="宋体" w:hint="default"/>
          <w:sz w:val="15"/>
          <w:szCs w:val="15"/>
        </w:rPr>
      </w:pPr>
    </w:p>
    <w:p>
      <w:pPr>
        <w:pStyle w:val="BodyText"/>
        <w:tabs>
          <w:tab w:pos="7589" w:val="left" w:leader="none"/>
        </w:tabs>
        <w:spacing w:line="240" w:lineRule="auto" w:before="31"/>
        <w:ind w:left="4929"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tabs>
          <w:tab w:pos="7186" w:val="left" w:leader="none"/>
        </w:tabs>
        <w:spacing w:line="20" w:lineRule="exact"/>
        <w:ind w:left="4505" w:right="0" w:firstLine="0"/>
        <w:rPr>
          <w:rFonts w:ascii="宋体" w:hAnsi="宋体" w:cs="宋体" w:eastAsia="宋体" w:hint="default"/>
          <w:sz w:val="2"/>
          <w:szCs w:val="2"/>
        </w:rPr>
      </w:pPr>
      <w:r>
        <w:rPr>
          <w:rFonts w:ascii="宋体"/>
          <w:sz w:val="2"/>
        </w:rPr>
        <w:pict>
          <v:group style="width:120.1pt;height:.75pt;mso-position-horizontal-relative:char;mso-position-vertical-relative:line" coordorigin="0,0" coordsize="2402,15">
            <v:group style="position:absolute;left:7;top:7;width:2387;height:2" coordorigin="7,7" coordsize="2387,2">
              <v:shape style="position:absolute;left:7;top:7;width:2387;height:2" coordorigin="7,7" coordsize="2387,0" path="m7,7l2394,7e" filled="false" stroked="true" strokeweight=".72pt" strokecolor="#000000">
                <v:path arrowok="t"/>
              </v:shape>
            </v:group>
          </v:group>
        </w:pict>
      </w:r>
      <w:r>
        <w:rPr>
          <w:rFonts w:ascii="宋体"/>
          <w:sz w:val="2"/>
        </w:rPr>
      </w:r>
      <w:r>
        <w:rPr>
          <w:rFonts w:ascii="宋体"/>
          <w:sz w:val="2"/>
        </w:rPr>
        <w:tab/>
      </w:r>
      <w:r>
        <w:rPr>
          <w:rFonts w:ascii="宋体"/>
          <w:sz w:val="2"/>
        </w:rPr>
        <w:pict>
          <v:group style="width:119.05pt;height:.75pt;mso-position-horizontal-relative:char;mso-position-vertical-relative:line" coordorigin="0,0" coordsize="2381,15">
            <v:group style="position:absolute;left:7;top:7;width:2367;height:2" coordorigin="7,7" coordsize="2367,2">
              <v:shape style="position:absolute;left:7;top:7;width:2367;height:2" coordorigin="7,7" coordsize="2367,0" path="m7,7l2374,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5"/>
          <w:szCs w:val="15"/>
        </w:rPr>
      </w:pPr>
    </w:p>
    <w:p>
      <w:pPr>
        <w:pStyle w:val="BodyText"/>
        <w:tabs>
          <w:tab w:pos="5541" w:val="left" w:leader="none"/>
          <w:tab w:pos="8243" w:val="left" w:leader="none"/>
        </w:tabs>
        <w:spacing w:line="304" w:lineRule="exact" w:before="27"/>
        <w:ind w:left="605" w:right="0"/>
        <w:jc w:val="left"/>
        <w:rPr>
          <w:rFonts w:ascii="Arial" w:hAnsi="Arial" w:cs="Arial" w:eastAsia="Arial" w:hint="default"/>
        </w:rPr>
      </w:pPr>
      <w:r>
        <w:rPr>
          <w:w w:val="95"/>
          <w:position w:val="2"/>
        </w:rPr>
        <w:t>保证借款（注）</w:t>
        <w:tab/>
      </w:r>
      <w:r>
        <w:rPr>
          <w:rFonts w:ascii="Arial" w:hAnsi="Arial" w:cs="Arial" w:eastAsia="Arial" w:hint="default"/>
          <w:w w:val="95"/>
        </w:rPr>
        <w:t>108,104,508</w:t>
        <w:tab/>
      </w:r>
      <w:r>
        <w:rPr>
          <w:rFonts w:ascii="Arial" w:hAnsi="Arial" w:cs="Arial" w:eastAsia="Arial" w:hint="default"/>
        </w:rPr>
        <w:t>115,287,107</w:t>
      </w:r>
    </w:p>
    <w:p>
      <w:pPr>
        <w:pStyle w:val="BodyText"/>
        <w:tabs>
          <w:tab w:pos="4512" w:val="left" w:leader="none"/>
          <w:tab w:pos="5357" w:val="left" w:leader="none"/>
          <w:tab w:pos="7193" w:val="left" w:leader="none"/>
          <w:tab w:pos="8059" w:val="left" w:leader="none"/>
          <w:tab w:pos="9559" w:val="left" w:leader="none"/>
        </w:tabs>
        <w:spacing w:line="304" w:lineRule="exact"/>
        <w:ind w:left="605" w:right="0"/>
        <w:jc w:val="left"/>
        <w:rPr>
          <w:rFonts w:ascii="Arial" w:hAnsi="Arial" w:cs="Arial" w:eastAsia="Arial" w:hint="default"/>
        </w:rPr>
      </w:pPr>
      <w:r>
        <w:rPr>
          <w:w w:val="95"/>
          <w:position w:val="2"/>
        </w:rPr>
        <w:t>信用借款</w:t>
        <w:tab/>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spacing w:val="-1"/>
          <w:u w:val="single" w:color="000000"/>
        </w:rPr>
        <w:t>1,275,574,966</w:t>
      </w:r>
      <w:r>
        <w:rPr>
          <w:rFonts w:ascii="Arial" w:hAnsi="Arial" w:cs="Arial" w:eastAsia="Arial" w:hint="default"/>
          <w:spacing w:val="-1"/>
        </w:rPr>
        <w:tab/>
      </w:r>
      <w:r>
        <w:rPr>
          <w:rFonts w:ascii="Arial" w:hAnsi="Arial" w:cs="Arial" w:eastAsia="Arial" w:hint="default"/>
          <w:spacing w:val="-1"/>
          <w:u w:val="single" w:color="000000"/>
        </w:rPr>
        <w:t> </w:t>
        <w:tab/>
        <w:t>1,346,952,683</w:t>
        <w:tab/>
      </w:r>
      <w:r>
        <w:rPr>
          <w:rFonts w:ascii="Arial" w:hAnsi="Arial" w:cs="Arial" w:eastAsia="Arial" w:hint="default"/>
          <w:spacing w:val="-1"/>
        </w:rPr>
      </w:r>
    </w:p>
    <w:p>
      <w:pPr>
        <w:spacing w:line="240" w:lineRule="auto" w:before="7"/>
        <w:rPr>
          <w:rFonts w:ascii="Arial" w:hAnsi="Arial" w:cs="Arial" w:eastAsia="Arial" w:hint="default"/>
          <w:sz w:val="17"/>
          <w:szCs w:val="17"/>
        </w:rPr>
      </w:pPr>
    </w:p>
    <w:p>
      <w:pPr>
        <w:pStyle w:val="BodyText"/>
        <w:tabs>
          <w:tab w:pos="5379" w:val="left" w:leader="none"/>
          <w:tab w:pos="8059" w:val="left" w:leader="none"/>
        </w:tabs>
        <w:spacing w:line="240" w:lineRule="auto" w:before="27"/>
        <w:ind w:left="605" w:right="0"/>
        <w:jc w:val="left"/>
        <w:rPr>
          <w:rFonts w:ascii="Arial" w:hAnsi="Arial" w:cs="Arial" w:eastAsia="Arial" w:hint="default"/>
        </w:rPr>
      </w:pPr>
      <w:r>
        <w:rPr>
          <w:w w:val="95"/>
          <w:position w:val="2"/>
        </w:rPr>
        <w:t>合计</w:t>
        <w:tab/>
      </w:r>
      <w:r>
        <w:rPr>
          <w:rFonts w:ascii="Arial" w:hAnsi="Arial" w:cs="Arial" w:eastAsia="Arial" w:hint="default"/>
          <w:spacing w:val="-1"/>
        </w:rPr>
        <w:t>1,383,679,474</w:t>
        <w:tab/>
        <w:t>1,462,239,790</w:t>
      </w:r>
    </w:p>
    <w:p>
      <w:pPr>
        <w:tabs>
          <w:tab w:pos="7172" w:val="left" w:leader="none"/>
        </w:tabs>
        <w:spacing w:line="43" w:lineRule="exact"/>
        <w:ind w:left="4491" w:right="0" w:firstLine="0"/>
        <w:rPr>
          <w:rFonts w:ascii="Arial" w:hAnsi="Arial" w:cs="Arial" w:eastAsia="Arial" w:hint="default"/>
          <w:sz w:val="4"/>
          <w:szCs w:val="4"/>
        </w:rPr>
      </w:pPr>
      <w:r>
        <w:rPr>
          <w:rFonts w:ascii="Arial"/>
          <w:position w:val="0"/>
          <w:sz w:val="4"/>
        </w:rPr>
        <w:pict>
          <v:group style="width:120.8pt;height:2.2pt;mso-position-horizontal-relative:char;mso-position-vertical-relative:line" coordorigin="0,0" coordsize="2416,44">
            <v:group style="position:absolute;left:7;top:36;width:2402;height:2" coordorigin="7,36" coordsize="2402,2">
              <v:shape style="position:absolute;left:7;top:36;width:2402;height:2" coordorigin="7,36" coordsize="2402,0" path="m7,36l2408,36e" filled="false" stroked="true" strokeweight=".72pt" strokecolor="#000000">
                <v:path arrowok="t"/>
              </v:shape>
            </v:group>
            <v:group style="position:absolute;left:7;top:7;width:2402;height:2" coordorigin="7,7" coordsize="2402,2">
              <v:shape style="position:absolute;left:7;top:7;width:2402;height:2" coordorigin="7,7" coordsize="2402,0" path="m7,7l2408,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19.8pt;height:2.2pt;mso-position-horizontal-relative:char;mso-position-vertical-relative:line" coordorigin="0,0" coordsize="2396,44">
            <v:group style="position:absolute;left:7;top:36;width:2381;height:2" coordorigin="7,36" coordsize="2381,2">
              <v:shape style="position:absolute;left:7;top:36;width:2381;height:2" coordorigin="7,36" coordsize="2381,0" path="m7,36l2388,36e" filled="false" stroked="true" strokeweight=".72pt" strokecolor="#000000">
                <v:path arrowok="t"/>
              </v:shape>
            </v:group>
            <v:group style="position:absolute;left:7;top:7;width:2381;height:2" coordorigin="7,7" coordsize="2381,2">
              <v:shape style="position:absolute;left:7;top:7;width:2381;height:2" coordorigin="7,7" coordsize="2381,0" path="m7,7l2388,7e" filled="false" stroked="true" strokeweight=".72pt" strokecolor="#000000">
                <v:path arrowok="t"/>
              </v:shape>
            </v:group>
          </v:group>
        </w:pict>
      </w:r>
      <w:r>
        <w:rPr>
          <w:rFonts w:ascii="Arial"/>
          <w:position w:val="0"/>
          <w:sz w:val="4"/>
        </w:rPr>
      </w:r>
    </w:p>
    <w:p>
      <w:pPr>
        <w:spacing w:after="0" w:line="43" w:lineRule="exact"/>
        <w:rPr>
          <w:rFonts w:ascii="Arial" w:hAnsi="Arial" w:cs="Arial" w:eastAsia="Arial" w:hint="default"/>
          <w:sz w:val="4"/>
          <w:szCs w:val="4"/>
        </w:rPr>
        <w:sectPr>
          <w:headerReference w:type="default" r:id="rId111"/>
          <w:pgSz w:w="11900" w:h="16840"/>
          <w:pgMar w:header="1189" w:footer="752" w:top="3040" w:bottom="940" w:left="1240" w:right="840"/>
        </w:sectPr>
      </w:pPr>
    </w:p>
    <w:p>
      <w:pPr>
        <w:spacing w:line="240" w:lineRule="auto" w:before="1"/>
        <w:rPr>
          <w:rFonts w:ascii="Arial" w:hAnsi="Arial" w:cs="Arial" w:eastAsia="Arial" w:hint="default"/>
          <w:sz w:val="24"/>
          <w:szCs w:val="24"/>
        </w:rPr>
      </w:pPr>
    </w:p>
    <w:tbl>
      <w:tblPr>
        <w:tblW w:w="0" w:type="auto"/>
        <w:jc w:val="left"/>
        <w:tblInd w:w="525" w:type="dxa"/>
        <w:tblLayout w:type="fixed"/>
        <w:tblCellMar>
          <w:top w:w="0" w:type="dxa"/>
          <w:left w:w="0" w:type="dxa"/>
          <w:bottom w:w="0" w:type="dxa"/>
          <w:right w:w="0" w:type="dxa"/>
        </w:tblCellMar>
        <w:tblLook w:val="01E0"/>
      </w:tblPr>
      <w:tblGrid>
        <w:gridCol w:w="2982"/>
        <w:gridCol w:w="962"/>
        <w:gridCol w:w="2393"/>
        <w:gridCol w:w="281"/>
        <w:gridCol w:w="2375"/>
      </w:tblGrid>
      <w:tr>
        <w:trPr>
          <w:trHeight w:val="361" w:hRule="exact"/>
        </w:trPr>
        <w:tc>
          <w:tcPr>
            <w:tcW w:w="2982"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2"/>
              <w:jc w:val="center"/>
              <w:rPr>
                <w:rFonts w:ascii="宋体" w:hAnsi="宋体" w:cs="宋体" w:eastAsia="宋体" w:hint="default"/>
                <w:sz w:val="22"/>
                <w:szCs w:val="22"/>
              </w:rPr>
            </w:pPr>
            <w:r>
              <w:rPr>
                <w:rFonts w:ascii="宋体" w:hAnsi="宋体" w:cs="宋体" w:eastAsia="宋体" w:hint="default"/>
                <w:sz w:val="22"/>
                <w:szCs w:val="22"/>
              </w:rPr>
              <w:t>币种</w:t>
            </w:r>
          </w:p>
        </w:tc>
        <w:tc>
          <w:tcPr>
            <w:tcW w:w="2393"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56"/>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56"/>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687"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保证借款（注）</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9"/>
                <w:szCs w:val="19"/>
              </w:rPr>
            </w:pPr>
          </w:p>
          <w:p>
            <w:pPr>
              <w:pStyle w:val="TableParagraph"/>
              <w:spacing w:line="240" w:lineRule="auto"/>
              <w:ind w:right="62"/>
              <w:jc w:val="center"/>
              <w:rPr>
                <w:rFonts w:ascii="宋体" w:hAnsi="宋体" w:cs="宋体" w:eastAsia="宋体" w:hint="default"/>
                <w:sz w:val="22"/>
                <w:szCs w:val="22"/>
              </w:rPr>
            </w:pPr>
            <w:r>
              <w:rPr>
                <w:rFonts w:ascii="宋体" w:hAnsi="宋体" w:cs="宋体" w:eastAsia="宋体" w:hint="default"/>
                <w:sz w:val="22"/>
                <w:szCs w:val="22"/>
              </w:rPr>
              <w:t>美元</w:t>
            </w:r>
          </w:p>
        </w:tc>
        <w:tc>
          <w:tcPr>
            <w:tcW w:w="2393"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107"/>
              <w:jc w:val="right"/>
              <w:rPr>
                <w:rFonts w:ascii="Arial" w:hAnsi="Arial" w:cs="Arial" w:eastAsia="Arial" w:hint="default"/>
                <w:sz w:val="22"/>
                <w:szCs w:val="22"/>
              </w:rPr>
            </w:pPr>
            <w:r>
              <w:rPr>
                <w:rFonts w:ascii="Arial"/>
                <w:w w:val="95"/>
                <w:sz w:val="22"/>
              </w:rPr>
              <w:t>115,454,610</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89"/>
              <w:jc w:val="right"/>
              <w:rPr>
                <w:rFonts w:ascii="Arial" w:hAnsi="Arial" w:cs="Arial" w:eastAsia="Arial" w:hint="default"/>
                <w:sz w:val="22"/>
                <w:szCs w:val="22"/>
              </w:rPr>
            </w:pPr>
            <w:r>
              <w:rPr>
                <w:rFonts w:ascii="Arial"/>
                <w:w w:val="95"/>
                <w:sz w:val="22"/>
              </w:rPr>
              <w:t>128,219,644</w:t>
            </w:r>
            <w:r>
              <w:rPr>
                <w:rFonts w:ascii="Arial"/>
                <w:sz w:val="22"/>
              </w:rPr>
            </w:r>
          </w:p>
        </w:tc>
      </w:tr>
      <w:tr>
        <w:trPr>
          <w:trHeight w:val="407"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962"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6" w:space="0" w:color="000000"/>
              <w:right w:val="nil" w:sz="6" w:space="0" w:color="auto"/>
            </w:tcBorders>
          </w:tcPr>
          <w:p>
            <w:pPr>
              <w:pStyle w:val="TableParagraph"/>
              <w:spacing w:line="240" w:lineRule="auto" w:before="144"/>
              <w:ind w:right="108"/>
              <w:jc w:val="right"/>
              <w:rPr>
                <w:rFonts w:ascii="Arial" w:hAnsi="Arial" w:cs="Arial" w:eastAsia="Arial" w:hint="default"/>
                <w:sz w:val="22"/>
                <w:szCs w:val="22"/>
              </w:rPr>
            </w:pPr>
            <w:r>
              <w:rPr>
                <w:rFonts w:ascii="Arial"/>
                <w:spacing w:val="-1"/>
                <w:sz w:val="22"/>
              </w:rPr>
              <w:t>1,317,993,850</w:t>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6" w:space="0" w:color="000000"/>
              <w:right w:val="nil" w:sz="6" w:space="0" w:color="auto"/>
            </w:tcBorders>
          </w:tcPr>
          <w:p>
            <w:pPr>
              <w:pStyle w:val="TableParagraph"/>
              <w:spacing w:line="240" w:lineRule="auto" w:before="144"/>
              <w:ind w:right="91"/>
              <w:jc w:val="right"/>
              <w:rPr>
                <w:rFonts w:ascii="Arial" w:hAnsi="Arial" w:cs="Arial" w:eastAsia="Arial" w:hint="default"/>
                <w:sz w:val="22"/>
                <w:szCs w:val="22"/>
              </w:rPr>
            </w:pPr>
            <w:r>
              <w:rPr>
                <w:rFonts w:ascii="Arial"/>
                <w:spacing w:val="-1"/>
                <w:sz w:val="22"/>
              </w:rPr>
              <w:t>1,391,816,255</w:t>
            </w:r>
          </w:p>
        </w:tc>
      </w:tr>
      <w:tr>
        <w:trPr>
          <w:trHeight w:val="305"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2"/>
                <w:szCs w:val="22"/>
              </w:rPr>
            </w:pPr>
            <w:r>
              <w:rPr>
                <w:rFonts w:ascii="宋体" w:hAnsi="宋体" w:cs="宋体" w:eastAsia="宋体" w:hint="default"/>
                <w:sz w:val="22"/>
                <w:szCs w:val="22"/>
              </w:rPr>
              <w:t>其中：</w:t>
            </w:r>
          </w:p>
        </w:tc>
        <w:tc>
          <w:tcPr>
            <w:tcW w:w="962" w:type="dxa"/>
            <w:tcBorders>
              <w:top w:val="nil" w:sz="6" w:space="0" w:color="auto"/>
              <w:left w:val="nil" w:sz="6" w:space="0" w:color="auto"/>
              <w:bottom w:val="nil" w:sz="6" w:space="0" w:color="auto"/>
              <w:right w:val="single" w:sz="6" w:space="0" w:color="000000"/>
            </w:tcBorders>
          </w:tcPr>
          <w:p>
            <w:pPr>
              <w:pStyle w:val="TableParagraph"/>
              <w:spacing w:line="259" w:lineRule="exact"/>
              <w:ind w:right="54"/>
              <w:jc w:val="center"/>
              <w:rPr>
                <w:rFonts w:ascii="宋体" w:hAnsi="宋体" w:cs="宋体" w:eastAsia="宋体" w:hint="default"/>
                <w:sz w:val="22"/>
                <w:szCs w:val="22"/>
              </w:rPr>
            </w:pPr>
            <w:r>
              <w:rPr>
                <w:rFonts w:ascii="宋体" w:hAnsi="宋体" w:cs="宋体" w:eastAsia="宋体" w:hint="default"/>
                <w:sz w:val="22"/>
                <w:szCs w:val="22"/>
              </w:rPr>
              <w:t>人民币</w:t>
            </w:r>
          </w:p>
        </w:tc>
        <w:tc>
          <w:tcPr>
            <w:tcW w:w="23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800,000,000</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0"/>
              <w:ind w:right="82"/>
              <w:jc w:val="right"/>
              <w:rPr>
                <w:rFonts w:ascii="Arial" w:hAnsi="Arial" w:cs="Arial" w:eastAsia="Arial" w:hint="default"/>
                <w:sz w:val="22"/>
                <w:szCs w:val="22"/>
              </w:rPr>
            </w:pPr>
            <w:r>
              <w:rPr>
                <w:rFonts w:ascii="Arial"/>
                <w:w w:val="95"/>
                <w:sz w:val="22"/>
              </w:rPr>
              <w:t>800,000,000</w:t>
            </w:r>
            <w:r>
              <w:rPr>
                <w:rFonts w:ascii="Arial"/>
                <w:sz w:val="22"/>
              </w:rPr>
            </w:r>
          </w:p>
        </w:tc>
      </w:tr>
      <w:tr>
        <w:trPr>
          <w:trHeight w:val="286" w:hRule="exact"/>
        </w:trPr>
        <w:tc>
          <w:tcPr>
            <w:tcW w:w="2982"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single" w:sz="6" w:space="0" w:color="000000"/>
            </w:tcBorders>
          </w:tcPr>
          <w:p>
            <w:pPr>
              <w:pStyle w:val="TableParagraph"/>
              <w:spacing w:line="239" w:lineRule="exact"/>
              <w:ind w:right="55"/>
              <w:jc w:val="center"/>
              <w:rPr>
                <w:rFonts w:ascii="宋体" w:hAnsi="宋体" w:cs="宋体" w:eastAsia="宋体" w:hint="default"/>
                <w:sz w:val="22"/>
                <w:szCs w:val="22"/>
              </w:rPr>
            </w:pPr>
            <w:r>
              <w:rPr>
                <w:rFonts w:ascii="宋体" w:hAnsi="宋体" w:cs="宋体" w:eastAsia="宋体" w:hint="default"/>
                <w:sz w:val="22"/>
                <w:szCs w:val="22"/>
              </w:rPr>
              <w:t>欧元</w:t>
            </w:r>
          </w:p>
        </w:tc>
        <w:tc>
          <w:tcPr>
            <w:tcW w:w="2393"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222,915,244</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265,188,736</w:t>
            </w:r>
            <w:r>
              <w:rPr>
                <w:rFonts w:ascii="Arial"/>
                <w:sz w:val="22"/>
              </w:rPr>
            </w:r>
          </w:p>
        </w:tc>
      </w:tr>
      <w:tr>
        <w:trPr>
          <w:trHeight w:val="279" w:hRule="exact"/>
        </w:trPr>
        <w:tc>
          <w:tcPr>
            <w:tcW w:w="2982"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single" w:sz="6" w:space="0" w:color="000000"/>
            </w:tcBorders>
          </w:tcPr>
          <w:p>
            <w:pPr>
              <w:pStyle w:val="TableParagraph"/>
              <w:spacing w:line="239" w:lineRule="exact"/>
              <w:ind w:right="55"/>
              <w:jc w:val="center"/>
              <w:rPr>
                <w:rFonts w:ascii="宋体" w:hAnsi="宋体" w:cs="宋体" w:eastAsia="宋体" w:hint="default"/>
                <w:sz w:val="22"/>
                <w:szCs w:val="22"/>
              </w:rPr>
            </w:pPr>
            <w:r>
              <w:rPr>
                <w:rFonts w:ascii="宋体" w:hAnsi="宋体" w:cs="宋体" w:eastAsia="宋体" w:hint="default"/>
                <w:sz w:val="22"/>
                <w:szCs w:val="22"/>
              </w:rPr>
              <w:t>美元</w:t>
            </w:r>
          </w:p>
        </w:tc>
        <w:tc>
          <w:tcPr>
            <w:tcW w:w="239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295,078,606</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326,627,519</w:t>
            </w:r>
            <w:r>
              <w:rPr>
                <w:rFonts w:ascii="Arial"/>
                <w:sz w:val="22"/>
              </w:rPr>
            </w:r>
          </w:p>
        </w:tc>
      </w:tr>
      <w:tr>
        <w:trPr>
          <w:trHeight w:val="582"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962" w:type="dxa"/>
            <w:tcBorders>
              <w:top w:val="nil" w:sz="6" w:space="0" w:color="auto"/>
              <w:left w:val="nil" w:sz="6" w:space="0" w:color="auto"/>
              <w:bottom w:val="nil" w:sz="6" w:space="0" w:color="auto"/>
              <w:right w:val="nil" w:sz="6" w:space="0" w:color="auto"/>
            </w:tcBorders>
          </w:tcPr>
          <w:p>
            <w:pPr/>
          </w:p>
        </w:tc>
        <w:tc>
          <w:tcPr>
            <w:tcW w:w="2393"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6"/>
                <w:szCs w:val="26"/>
              </w:rPr>
            </w:pPr>
          </w:p>
          <w:p>
            <w:pPr>
              <w:pStyle w:val="TableParagraph"/>
              <w:tabs>
                <w:tab w:pos="874" w:val="left" w:leader="none"/>
                <w:tab w:pos="2392" w:val="left" w:leader="none"/>
              </w:tabs>
              <w:spacing w:line="240" w:lineRule="auto"/>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1,433,448,460</w:t>
              <w:tab/>
            </w:r>
            <w:r>
              <w:rPr>
                <w:rFonts w:ascii="Arial"/>
                <w:spacing w:val="-1"/>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6"/>
                <w:szCs w:val="26"/>
              </w:rPr>
            </w:pPr>
          </w:p>
          <w:p>
            <w:pPr>
              <w:pStyle w:val="TableParagraph"/>
              <w:tabs>
                <w:tab w:pos="875" w:val="left" w:leader="none"/>
                <w:tab w:pos="2374" w:val="left" w:leader="none"/>
              </w:tabs>
              <w:spacing w:line="240" w:lineRule="auto"/>
              <w:ind w:right="-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1,520,035,899</w:t>
              <w:tab/>
            </w:r>
            <w:r>
              <w:rPr>
                <w:rFonts w:ascii="Arial"/>
                <w:spacing w:val="-1"/>
                <w:sz w:val="22"/>
              </w:rPr>
            </w:r>
          </w:p>
        </w:tc>
      </w:tr>
      <w:tr>
        <w:trPr>
          <w:trHeight w:val="257"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2"/>
                <w:szCs w:val="22"/>
              </w:rPr>
            </w:pPr>
            <w:r>
              <w:rPr>
                <w:rFonts w:ascii="宋体" w:hAnsi="宋体" w:cs="宋体" w:eastAsia="宋体" w:hint="default"/>
                <w:sz w:val="22"/>
                <w:szCs w:val="22"/>
              </w:rPr>
              <w:t>减：</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年内（含</w:t>
            </w:r>
            <w:r>
              <w:rPr>
                <w:rFonts w:ascii="宋体" w:hAnsi="宋体" w:cs="宋体" w:eastAsia="宋体" w:hint="default"/>
                <w:spacing w:val="-57"/>
                <w:sz w:val="22"/>
                <w:szCs w:val="22"/>
              </w:rPr>
              <w:t> </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年）到期的</w:t>
            </w:r>
          </w:p>
        </w:tc>
        <w:tc>
          <w:tcPr>
            <w:tcW w:w="962"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
        </w:tc>
      </w:tr>
      <w:tr>
        <w:trPr>
          <w:trHeight w:val="434"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75" w:lineRule="exact"/>
              <w:ind w:left="476"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962"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
        </w:tc>
      </w:tr>
      <w:tr>
        <w:trPr>
          <w:trHeight w:val="550"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2"/>
              <w:jc w:val="center"/>
              <w:rPr>
                <w:rFonts w:ascii="宋体" w:hAnsi="宋体" w:cs="宋体" w:eastAsia="宋体" w:hint="default"/>
                <w:sz w:val="22"/>
                <w:szCs w:val="22"/>
              </w:rPr>
            </w:pPr>
            <w:r>
              <w:rPr>
                <w:rFonts w:ascii="宋体" w:hAnsi="宋体" w:cs="宋体" w:eastAsia="宋体" w:hint="default"/>
                <w:sz w:val="22"/>
                <w:szCs w:val="22"/>
              </w:rPr>
              <w:t>美元</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6"/>
              <w:jc w:val="right"/>
              <w:rPr>
                <w:rFonts w:ascii="Arial" w:hAnsi="Arial" w:cs="Arial" w:eastAsia="Arial" w:hint="default"/>
                <w:sz w:val="22"/>
                <w:szCs w:val="22"/>
              </w:rPr>
            </w:pPr>
            <w:r>
              <w:rPr>
                <w:rFonts w:ascii="Arial"/>
                <w:w w:val="95"/>
                <w:sz w:val="22"/>
              </w:rPr>
              <w:t>(7,350,102)</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6"/>
              <w:jc w:val="right"/>
              <w:rPr>
                <w:rFonts w:ascii="Arial" w:hAnsi="Arial" w:cs="Arial" w:eastAsia="Arial" w:hint="default"/>
                <w:sz w:val="22"/>
                <w:szCs w:val="22"/>
              </w:rPr>
            </w:pPr>
            <w:r>
              <w:rPr>
                <w:rFonts w:ascii="Arial"/>
                <w:w w:val="95"/>
                <w:sz w:val="22"/>
              </w:rPr>
              <w:t>(12,932,537)</w:t>
            </w:r>
            <w:r>
              <w:rPr>
                <w:rFonts w:ascii="Arial"/>
                <w:sz w:val="22"/>
              </w:rPr>
            </w:r>
          </w:p>
        </w:tc>
      </w:tr>
      <w:tr>
        <w:trPr>
          <w:trHeight w:val="406"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962"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right="56"/>
              <w:jc w:val="right"/>
              <w:rPr>
                <w:rFonts w:ascii="Arial" w:hAnsi="Arial" w:cs="Arial" w:eastAsia="Arial" w:hint="default"/>
                <w:sz w:val="22"/>
                <w:szCs w:val="22"/>
              </w:rPr>
            </w:pPr>
            <w:r>
              <w:rPr>
                <w:rFonts w:ascii="Arial"/>
                <w:w w:val="95"/>
                <w:sz w:val="22"/>
              </w:rPr>
              <w:t>(42,418,884)</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right="56"/>
              <w:jc w:val="right"/>
              <w:rPr>
                <w:rFonts w:ascii="Arial" w:hAnsi="Arial" w:cs="Arial" w:eastAsia="Arial" w:hint="default"/>
                <w:sz w:val="22"/>
                <w:szCs w:val="22"/>
              </w:rPr>
            </w:pPr>
            <w:r>
              <w:rPr>
                <w:rFonts w:ascii="Arial"/>
                <w:w w:val="95"/>
                <w:sz w:val="22"/>
              </w:rPr>
              <w:t>(44,863,572)</w:t>
            </w:r>
            <w:r>
              <w:rPr>
                <w:rFonts w:ascii="Arial"/>
                <w:sz w:val="22"/>
              </w:rPr>
            </w:r>
          </w:p>
        </w:tc>
      </w:tr>
      <w:tr>
        <w:trPr>
          <w:trHeight w:val="289"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2"/>
                <w:szCs w:val="22"/>
              </w:rPr>
            </w:pPr>
            <w:r>
              <w:rPr>
                <w:rFonts w:ascii="宋体" w:hAnsi="宋体" w:cs="宋体" w:eastAsia="宋体" w:hint="default"/>
                <w:sz w:val="22"/>
                <w:szCs w:val="22"/>
              </w:rPr>
              <w:t>其中：</w:t>
            </w:r>
          </w:p>
        </w:tc>
        <w:tc>
          <w:tcPr>
            <w:tcW w:w="962" w:type="dxa"/>
            <w:tcBorders>
              <w:top w:val="nil" w:sz="6" w:space="0" w:color="auto"/>
              <w:left w:val="nil" w:sz="6" w:space="0" w:color="auto"/>
              <w:bottom w:val="nil" w:sz="6" w:space="0" w:color="auto"/>
              <w:right w:val="single" w:sz="6" w:space="0" w:color="000000"/>
            </w:tcBorders>
          </w:tcPr>
          <w:p>
            <w:pPr>
              <w:pStyle w:val="TableParagraph"/>
              <w:spacing w:line="259" w:lineRule="exact"/>
              <w:ind w:right="55"/>
              <w:jc w:val="center"/>
              <w:rPr>
                <w:rFonts w:ascii="宋体" w:hAnsi="宋体" w:cs="宋体" w:eastAsia="宋体" w:hint="default"/>
                <w:sz w:val="22"/>
                <w:szCs w:val="22"/>
              </w:rPr>
            </w:pPr>
            <w:r>
              <w:rPr>
                <w:rFonts w:ascii="宋体" w:hAnsi="宋体" w:cs="宋体" w:eastAsia="宋体" w:hint="default"/>
                <w:sz w:val="22"/>
                <w:szCs w:val="22"/>
              </w:rPr>
              <w:t>欧元</w:t>
            </w:r>
          </w:p>
        </w:tc>
        <w:tc>
          <w:tcPr>
            <w:tcW w:w="23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right="49"/>
              <w:jc w:val="right"/>
              <w:rPr>
                <w:rFonts w:ascii="Arial" w:hAnsi="Arial" w:cs="Arial" w:eastAsia="Arial" w:hint="default"/>
                <w:sz w:val="22"/>
                <w:szCs w:val="22"/>
              </w:rPr>
            </w:pPr>
            <w:r>
              <w:rPr>
                <w:rFonts w:ascii="Arial"/>
                <w:w w:val="95"/>
                <w:sz w:val="22"/>
              </w:rPr>
              <w:t>(26,437,832)</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right="49"/>
              <w:jc w:val="right"/>
              <w:rPr>
                <w:rFonts w:ascii="Arial" w:hAnsi="Arial" w:cs="Arial" w:eastAsia="Arial" w:hint="default"/>
                <w:sz w:val="22"/>
                <w:szCs w:val="22"/>
              </w:rPr>
            </w:pPr>
            <w:r>
              <w:rPr>
                <w:rFonts w:ascii="Arial"/>
                <w:w w:val="95"/>
                <w:sz w:val="22"/>
              </w:rPr>
              <w:t>(28,196,628)</w:t>
            </w:r>
            <w:r>
              <w:rPr>
                <w:rFonts w:ascii="Arial"/>
                <w:sz w:val="22"/>
              </w:rPr>
            </w:r>
          </w:p>
        </w:tc>
      </w:tr>
      <w:tr>
        <w:trPr>
          <w:trHeight w:val="279" w:hRule="exact"/>
        </w:trPr>
        <w:tc>
          <w:tcPr>
            <w:tcW w:w="2982"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single" w:sz="6" w:space="0" w:color="000000"/>
            </w:tcBorders>
          </w:tcPr>
          <w:p>
            <w:pPr>
              <w:pStyle w:val="TableParagraph"/>
              <w:spacing w:line="239" w:lineRule="exact"/>
              <w:ind w:right="55"/>
              <w:jc w:val="center"/>
              <w:rPr>
                <w:rFonts w:ascii="宋体" w:hAnsi="宋体" w:cs="宋体" w:eastAsia="宋体" w:hint="default"/>
                <w:sz w:val="22"/>
                <w:szCs w:val="22"/>
              </w:rPr>
            </w:pPr>
            <w:r>
              <w:rPr>
                <w:rFonts w:ascii="宋体" w:hAnsi="宋体" w:cs="宋体" w:eastAsia="宋体" w:hint="default"/>
                <w:sz w:val="22"/>
                <w:szCs w:val="22"/>
              </w:rPr>
              <w:t>美元</w:t>
            </w:r>
          </w:p>
        </w:tc>
        <w:tc>
          <w:tcPr>
            <w:tcW w:w="239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6"/>
              <w:ind w:right="49"/>
              <w:jc w:val="right"/>
              <w:rPr>
                <w:rFonts w:ascii="Arial" w:hAnsi="Arial" w:cs="Arial" w:eastAsia="Arial" w:hint="default"/>
                <w:sz w:val="22"/>
                <w:szCs w:val="22"/>
              </w:rPr>
            </w:pPr>
            <w:r>
              <w:rPr>
                <w:rFonts w:ascii="Arial"/>
                <w:w w:val="95"/>
                <w:sz w:val="22"/>
              </w:rPr>
              <w:t>(15,981,052)</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6"/>
              <w:ind w:right="49"/>
              <w:jc w:val="right"/>
              <w:rPr>
                <w:rFonts w:ascii="Arial" w:hAnsi="Arial" w:cs="Arial" w:eastAsia="Arial" w:hint="default"/>
                <w:sz w:val="22"/>
                <w:szCs w:val="22"/>
              </w:rPr>
            </w:pPr>
            <w:r>
              <w:rPr>
                <w:rFonts w:ascii="Arial"/>
                <w:w w:val="95"/>
                <w:sz w:val="22"/>
              </w:rPr>
              <w:t>(16,666,944)</w:t>
            </w:r>
            <w:r>
              <w:rPr>
                <w:rFonts w:ascii="Arial"/>
                <w:sz w:val="22"/>
              </w:rPr>
            </w:r>
          </w:p>
        </w:tc>
      </w:tr>
      <w:tr>
        <w:trPr>
          <w:trHeight w:val="717"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962" w:type="dxa"/>
            <w:tcBorders>
              <w:top w:val="nil" w:sz="6" w:space="0" w:color="auto"/>
              <w:left w:val="nil" w:sz="6" w:space="0" w:color="auto"/>
              <w:bottom w:val="nil" w:sz="6" w:space="0" w:color="auto"/>
              <w:right w:val="nil" w:sz="6" w:space="0" w:color="auto"/>
            </w:tcBorders>
          </w:tcPr>
          <w:p>
            <w:pPr/>
          </w:p>
        </w:tc>
        <w:tc>
          <w:tcPr>
            <w:tcW w:w="2393"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6"/>
                <w:szCs w:val="26"/>
              </w:rPr>
            </w:pPr>
          </w:p>
          <w:p>
            <w:pPr>
              <w:pStyle w:val="TableParagraph"/>
              <w:tabs>
                <w:tab w:pos="1085" w:val="left" w:leader="none"/>
              </w:tabs>
              <w:spacing w:line="240" w:lineRule="auto"/>
              <w:ind w:right="56"/>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(49,768,986)</w:t>
            </w:r>
            <w:r>
              <w:rPr>
                <w:rFonts w:ascii="Arial"/>
                <w:w w:val="95"/>
                <w:sz w:val="22"/>
              </w:rPr>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6"/>
                <w:szCs w:val="26"/>
              </w:rPr>
            </w:pPr>
          </w:p>
          <w:p>
            <w:pPr>
              <w:pStyle w:val="TableParagraph"/>
              <w:tabs>
                <w:tab w:pos="1067" w:val="left" w:leader="none"/>
              </w:tabs>
              <w:spacing w:line="240" w:lineRule="auto"/>
              <w:ind w:right="56"/>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(57,796,109)</w:t>
            </w:r>
            <w:r>
              <w:rPr>
                <w:rFonts w:ascii="Arial"/>
                <w:w w:val="95"/>
                <w:sz w:val="22"/>
              </w:rPr>
            </w:r>
            <w:r>
              <w:rPr>
                <w:rFonts w:ascii="Arial"/>
                <w:sz w:val="22"/>
              </w:rPr>
            </w:r>
          </w:p>
        </w:tc>
      </w:tr>
      <w:tr>
        <w:trPr>
          <w:trHeight w:val="438"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年以上到期的长期借款</w:t>
            </w:r>
          </w:p>
        </w:tc>
        <w:tc>
          <w:tcPr>
            <w:tcW w:w="962"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17" w:space="0" w:color="000000"/>
              <w:right w:val="nil" w:sz="6" w:space="0" w:color="auto"/>
            </w:tcBorders>
          </w:tcPr>
          <w:p>
            <w:pPr>
              <w:pStyle w:val="TableParagraph"/>
              <w:spacing w:line="240" w:lineRule="auto" w:before="159"/>
              <w:ind w:right="108"/>
              <w:jc w:val="right"/>
              <w:rPr>
                <w:rFonts w:ascii="Arial" w:hAnsi="Arial" w:cs="Arial" w:eastAsia="Arial" w:hint="default"/>
                <w:sz w:val="22"/>
                <w:szCs w:val="22"/>
              </w:rPr>
            </w:pPr>
            <w:r>
              <w:rPr>
                <w:rFonts w:ascii="Arial"/>
                <w:spacing w:val="-1"/>
                <w:sz w:val="22"/>
              </w:rPr>
              <w:t>1,383,679,474</w:t>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17" w:space="0" w:color="000000"/>
              <w:right w:val="nil" w:sz="6" w:space="0" w:color="auto"/>
            </w:tcBorders>
          </w:tcPr>
          <w:p>
            <w:pPr>
              <w:pStyle w:val="TableParagraph"/>
              <w:spacing w:line="240" w:lineRule="auto" w:before="159"/>
              <w:ind w:right="91"/>
              <w:jc w:val="right"/>
              <w:rPr>
                <w:rFonts w:ascii="Arial" w:hAnsi="Arial" w:cs="Arial" w:eastAsia="Arial" w:hint="default"/>
                <w:sz w:val="22"/>
                <w:szCs w:val="22"/>
              </w:rPr>
            </w:pPr>
            <w:r>
              <w:rPr>
                <w:rFonts w:ascii="Arial"/>
                <w:spacing w:val="-1"/>
                <w:sz w:val="22"/>
              </w:rPr>
              <w:t>1,462,239,790</w:t>
            </w:r>
          </w:p>
        </w:tc>
      </w:tr>
    </w:tbl>
    <w:p>
      <w:pPr>
        <w:spacing w:line="240" w:lineRule="auto" w:before="3"/>
        <w:rPr>
          <w:rFonts w:ascii="Arial" w:hAnsi="Arial" w:cs="Arial" w:eastAsia="Arial" w:hint="default"/>
          <w:sz w:val="14"/>
          <w:szCs w:val="14"/>
        </w:rPr>
      </w:pPr>
    </w:p>
    <w:p>
      <w:pPr>
        <w:pStyle w:val="BodyText"/>
        <w:spacing w:line="295" w:lineRule="exact" w:before="31"/>
        <w:ind w:left="550" w:right="0"/>
        <w:jc w:val="left"/>
        <w:rPr>
          <w:rFonts w:ascii="Arial" w:hAnsi="Arial" w:cs="Arial" w:eastAsia="Arial" w:hint="default"/>
        </w:rPr>
      </w:pPr>
      <w:r>
        <w:rPr>
          <w:spacing w:val="-15"/>
        </w:rPr>
        <w:t>注：于</w:t>
      </w:r>
      <w:r>
        <w:rPr>
          <w:spacing w:val="-61"/>
        </w:rPr>
        <w:t> </w:t>
      </w:r>
      <w:r>
        <w:rPr>
          <w:rFonts w:ascii="Arial" w:hAnsi="Arial" w:cs="Arial" w:eastAsia="Arial" w:hint="default"/>
        </w:rPr>
        <w:t>2011</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w:t>
      </w:r>
      <w:r>
        <w:rPr>
          <w:spacing w:val="-61"/>
        </w:rPr>
        <w:t> </w:t>
      </w:r>
      <w:r>
        <w:rPr>
          <w:rFonts w:ascii="Arial" w:hAnsi="Arial" w:cs="Arial" w:eastAsia="Arial" w:hint="default"/>
        </w:rPr>
        <w:t>31</w:t>
      </w:r>
      <w:r>
        <w:rPr>
          <w:rFonts w:ascii="Arial" w:hAnsi="Arial" w:cs="Arial" w:eastAsia="Arial" w:hint="default"/>
          <w:spacing w:val="-12"/>
        </w:rPr>
        <w:t> </w:t>
      </w:r>
      <w:r>
        <w:rPr/>
        <w:t>日，保证借款包括由第三方提供担保的借款约人民币</w:t>
      </w:r>
      <w:r>
        <w:rPr>
          <w:spacing w:val="-61"/>
        </w:rPr>
        <w:t> </w:t>
      </w:r>
      <w:r>
        <w:rPr>
          <w:rFonts w:ascii="Arial" w:hAnsi="Arial" w:cs="Arial" w:eastAsia="Arial" w:hint="default"/>
        </w:rPr>
        <w:t>1.15</w:t>
      </w:r>
      <w:r>
        <w:rPr>
          <w:rFonts w:ascii="Arial" w:hAnsi="Arial" w:cs="Arial" w:eastAsia="Arial" w:hint="default"/>
          <w:spacing w:val="-12"/>
        </w:rPr>
        <w:t> </w:t>
      </w:r>
      <w:r>
        <w:rPr>
          <w:spacing w:val="-7"/>
        </w:rPr>
        <w:t>亿元（</w:t>
      </w:r>
      <w:r>
        <w:rPr>
          <w:rFonts w:ascii="Arial" w:hAnsi="Arial" w:cs="Arial" w:eastAsia="Arial" w:hint="default"/>
          <w:spacing w:val="-7"/>
        </w:rPr>
        <w:t>2010</w:t>
      </w:r>
    </w:p>
    <w:p>
      <w:pPr>
        <w:pStyle w:val="BodyText"/>
        <w:spacing w:line="424" w:lineRule="auto"/>
        <w:ind w:left="550" w:right="4794" w:firstLine="434"/>
        <w:jc w:val="left"/>
      </w:pP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日：约人民币</w:t>
      </w:r>
      <w:r>
        <w:rPr>
          <w:spacing w:val="-56"/>
        </w:rPr>
        <w:t> </w:t>
      </w:r>
      <w:r>
        <w:rPr>
          <w:rFonts w:ascii="Arial" w:hAnsi="Arial" w:cs="Arial" w:eastAsia="Arial" w:hint="default"/>
        </w:rPr>
        <w:t>1.28</w:t>
      </w:r>
      <w:r>
        <w:rPr>
          <w:rFonts w:ascii="Arial" w:hAnsi="Arial" w:cs="Arial" w:eastAsia="Arial" w:hint="default"/>
          <w:spacing w:val="-7"/>
        </w:rPr>
        <w:t> </w:t>
      </w:r>
      <w:r>
        <w:rPr/>
        <w:t>亿元）。</w:t>
      </w:r>
      <w:r>
        <w:rPr>
          <w:w w:val="99"/>
        </w:rPr>
        <w:t> </w:t>
      </w:r>
      <w:r>
        <w:rPr/>
        <w:t>上述借款的利息按月或按季支付。</w:t>
      </w:r>
    </w:p>
    <w:p>
      <w:pPr>
        <w:spacing w:after="0" w:line="424" w:lineRule="auto"/>
        <w:jc w:val="left"/>
        <w:sectPr>
          <w:headerReference w:type="default" r:id="rId112"/>
          <w:pgSz w:w="11900" w:h="16840"/>
          <w:pgMar w:header="1189" w:footer="752" w:top="3600" w:bottom="940" w:left="1280" w:right="940"/>
        </w:sectPr>
      </w:pPr>
    </w:p>
    <w:p>
      <w:pPr>
        <w:spacing w:line="240" w:lineRule="auto" w:before="12"/>
        <w:rPr>
          <w:rFonts w:ascii="宋体" w:hAnsi="宋体" w:cs="宋体" w:eastAsia="宋体" w:hint="default"/>
          <w:sz w:val="15"/>
          <w:szCs w:val="15"/>
        </w:rPr>
      </w:pPr>
    </w:p>
    <w:p>
      <w:pPr>
        <w:pStyle w:val="BodyText"/>
        <w:spacing w:line="240" w:lineRule="auto" w:before="31"/>
        <w:ind w:left="122" w:right="0"/>
        <w:jc w:val="left"/>
      </w:pPr>
      <w:r>
        <w:rPr>
          <w:rFonts w:ascii="Arial" w:hAnsi="Arial" w:cs="Arial" w:eastAsia="Arial" w:hint="default"/>
        </w:rPr>
        <w:t>(a) </w:t>
      </w:r>
      <w:r>
        <w:rPr>
          <w:rFonts w:ascii="Arial" w:hAnsi="Arial" w:cs="Arial" w:eastAsia="Arial" w:hint="default"/>
          <w:spacing w:val="24"/>
        </w:rPr>
        <w:t> </w:t>
      </w:r>
      <w:r>
        <w:rPr/>
        <w:t>金额前五名的长期借款（含一年内到期部分）</w:t>
      </w:r>
    </w:p>
    <w:p>
      <w:pPr>
        <w:spacing w:line="240" w:lineRule="auto" w:before="0"/>
        <w:rPr>
          <w:rFonts w:ascii="宋体" w:hAnsi="宋体" w:cs="宋体" w:eastAsia="宋体" w:hint="default"/>
          <w:sz w:val="15"/>
          <w:szCs w:val="15"/>
        </w:rPr>
      </w:pPr>
    </w:p>
    <w:tbl>
      <w:tblPr>
        <w:tblW w:w="0" w:type="auto"/>
        <w:jc w:val="left"/>
        <w:tblInd w:w="1751" w:type="dxa"/>
        <w:tblLayout w:type="fixed"/>
        <w:tblCellMar>
          <w:top w:w="0" w:type="dxa"/>
          <w:left w:w="0" w:type="dxa"/>
          <w:bottom w:w="0" w:type="dxa"/>
          <w:right w:w="0" w:type="dxa"/>
        </w:tblCellMar>
        <w:tblLook w:val="01E0"/>
      </w:tblPr>
      <w:tblGrid>
        <w:gridCol w:w="1022"/>
        <w:gridCol w:w="1134"/>
        <w:gridCol w:w="600"/>
        <w:gridCol w:w="655"/>
        <w:gridCol w:w="2377"/>
        <w:gridCol w:w="2088"/>
      </w:tblGrid>
      <w:tr>
        <w:trPr>
          <w:trHeight w:val="315" w:hRule="exact"/>
        </w:trPr>
        <w:tc>
          <w:tcPr>
            <w:tcW w:w="102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3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85"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600"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4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55"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91"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377"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337"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88"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1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1022" w:type="dxa"/>
            <w:tcBorders>
              <w:top w:val="single" w:sz="6" w:space="0" w:color="000000"/>
              <w:left w:val="nil" w:sz="6" w:space="0" w:color="auto"/>
              <w:bottom w:val="nil" w:sz="6" w:space="0" w:color="auto"/>
              <w:right w:val="nil" w:sz="6" w:space="0" w:color="auto"/>
            </w:tcBorders>
          </w:tcPr>
          <w:p>
            <w:pPr/>
          </w:p>
        </w:tc>
        <w:tc>
          <w:tcPr>
            <w:tcW w:w="1134" w:type="dxa"/>
            <w:tcBorders>
              <w:top w:val="single" w:sz="6" w:space="0" w:color="000000"/>
              <w:left w:val="nil" w:sz="6" w:space="0" w:color="auto"/>
              <w:bottom w:val="nil" w:sz="6" w:space="0" w:color="auto"/>
              <w:right w:val="nil" w:sz="6" w:space="0" w:color="auto"/>
            </w:tcBorders>
          </w:tcPr>
          <w:p>
            <w:pPr/>
          </w:p>
        </w:tc>
        <w:tc>
          <w:tcPr>
            <w:tcW w:w="600" w:type="dxa"/>
            <w:tcBorders>
              <w:top w:val="single" w:sz="6" w:space="0" w:color="000000"/>
              <w:left w:val="nil" w:sz="6" w:space="0" w:color="auto"/>
              <w:bottom w:val="nil" w:sz="6" w:space="0" w:color="auto"/>
              <w:right w:val="nil" w:sz="6" w:space="0" w:color="auto"/>
            </w:tcBorders>
          </w:tcPr>
          <w:p>
            <w:pPr/>
          </w:p>
        </w:tc>
        <w:tc>
          <w:tcPr>
            <w:tcW w:w="655" w:type="dxa"/>
            <w:tcBorders>
              <w:top w:val="single" w:sz="6" w:space="0" w:color="000000"/>
              <w:left w:val="nil" w:sz="6" w:space="0" w:color="auto"/>
              <w:bottom w:val="nil" w:sz="6" w:space="0" w:color="auto"/>
              <w:right w:val="nil" w:sz="6" w:space="0" w:color="auto"/>
            </w:tcBorders>
          </w:tcPr>
          <w:p>
            <w:pPr/>
          </w:p>
        </w:tc>
        <w:tc>
          <w:tcPr>
            <w:tcW w:w="2377" w:type="dxa"/>
            <w:tcBorders>
              <w:top w:val="single" w:sz="6" w:space="0" w:color="000000"/>
              <w:left w:val="nil" w:sz="6" w:space="0" w:color="auto"/>
              <w:bottom w:val="single" w:sz="6" w:space="0" w:color="000000"/>
              <w:right w:val="nil" w:sz="6" w:space="0" w:color="auto"/>
            </w:tcBorders>
          </w:tcPr>
          <w:p>
            <w:pPr>
              <w:pStyle w:val="TableParagraph"/>
              <w:tabs>
                <w:tab w:pos="1265" w:val="left" w:leader="none"/>
              </w:tabs>
              <w:spacing w:line="207"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外币金额</w:t>
              <w:tab/>
              <w:t>人民币金额</w:t>
            </w:r>
          </w:p>
        </w:tc>
        <w:tc>
          <w:tcPr>
            <w:tcW w:w="2088" w:type="dxa"/>
            <w:tcBorders>
              <w:top w:val="single" w:sz="6" w:space="0" w:color="000000"/>
              <w:left w:val="nil" w:sz="6" w:space="0" w:color="auto"/>
              <w:bottom w:val="single" w:sz="6" w:space="0" w:color="000000"/>
              <w:right w:val="nil" w:sz="6" w:space="0" w:color="auto"/>
            </w:tcBorders>
          </w:tcPr>
          <w:p>
            <w:pPr>
              <w:pStyle w:val="TableParagraph"/>
              <w:tabs>
                <w:tab w:pos="1151" w:val="left" w:leader="none"/>
              </w:tabs>
              <w:spacing w:line="207" w:lineRule="exact"/>
              <w:ind w:left="211" w:right="0"/>
              <w:jc w:val="left"/>
              <w:rPr>
                <w:rFonts w:ascii="宋体" w:hAnsi="宋体" w:cs="宋体" w:eastAsia="宋体" w:hint="default"/>
                <w:sz w:val="18"/>
                <w:szCs w:val="18"/>
              </w:rPr>
            </w:pPr>
            <w:r>
              <w:rPr>
                <w:rFonts w:ascii="宋体" w:hAnsi="宋体" w:cs="宋体" w:eastAsia="宋体" w:hint="default"/>
                <w:sz w:val="18"/>
                <w:szCs w:val="18"/>
              </w:rPr>
              <w:t>外币金额</w:t>
              <w:tab/>
              <w:t>人民币金额</w:t>
            </w:r>
          </w:p>
        </w:tc>
      </w:tr>
    </w:tbl>
    <w:p>
      <w:pPr>
        <w:spacing w:line="240" w:lineRule="auto" w:before="8"/>
        <w:rPr>
          <w:rFonts w:ascii="宋体" w:hAnsi="宋体" w:cs="宋体" w:eastAsia="宋体" w:hint="default"/>
          <w:sz w:val="9"/>
          <w:szCs w:val="9"/>
        </w:rPr>
      </w:pPr>
    </w:p>
    <w:p>
      <w:pPr>
        <w:spacing w:before="44"/>
        <w:ind w:left="519" w:right="0" w:firstLine="0"/>
        <w:jc w:val="left"/>
        <w:rPr>
          <w:rFonts w:ascii="宋体" w:hAnsi="宋体" w:cs="宋体" w:eastAsia="宋体" w:hint="default"/>
          <w:sz w:val="18"/>
          <w:szCs w:val="18"/>
        </w:rPr>
      </w:pPr>
      <w:r>
        <w:rPr>
          <w:rFonts w:ascii="宋体" w:hAnsi="宋体" w:cs="宋体" w:eastAsia="宋体" w:hint="default"/>
          <w:sz w:val="18"/>
          <w:szCs w:val="18"/>
        </w:rPr>
        <w:t>中国邮政储蓄</w:t>
      </w:r>
    </w:p>
    <w:p>
      <w:pPr>
        <w:tabs>
          <w:tab w:pos="1751" w:val="left" w:leader="none"/>
          <w:tab w:pos="4599" w:val="left" w:leader="none"/>
          <w:tab w:pos="6056" w:val="left" w:leader="none"/>
          <w:tab w:pos="8324" w:val="left" w:leader="none"/>
        </w:tabs>
        <w:spacing w:line="244" w:lineRule="exact" w:before="1"/>
        <w:ind w:left="708" w:right="0" w:firstLine="0"/>
        <w:jc w:val="left"/>
        <w:rPr>
          <w:rFonts w:ascii="Arial" w:hAnsi="Arial" w:cs="Arial" w:eastAsia="Arial" w:hint="default"/>
          <w:sz w:val="18"/>
          <w:szCs w:val="18"/>
        </w:rPr>
      </w:pPr>
      <w:r>
        <w:rPr>
          <w:rFonts w:ascii="宋体" w:hAnsi="宋体" w:cs="宋体" w:eastAsia="宋体" w:hint="default"/>
          <w:position w:val="1"/>
          <w:sz w:val="18"/>
          <w:szCs w:val="18"/>
        </w:rPr>
        <w:t>银行</w:t>
        <w:tab/>
      </w:r>
      <w:r>
        <w:rPr>
          <w:rFonts w:ascii="Arial" w:hAnsi="Arial" w:cs="Arial" w:eastAsia="Arial" w:hint="default"/>
          <w:spacing w:val="-1"/>
          <w:sz w:val="18"/>
          <w:szCs w:val="18"/>
        </w:rPr>
        <w:t>2010-08-30</w:t>
      </w:r>
      <w:r>
        <w:rPr>
          <w:rFonts w:ascii="Arial" w:hAnsi="Arial" w:cs="Arial" w:eastAsia="Arial" w:hint="default"/>
          <w:sz w:val="18"/>
          <w:szCs w:val="18"/>
        </w:rPr>
        <w:t>   </w:t>
      </w:r>
      <w:r>
        <w:rPr>
          <w:rFonts w:ascii="Arial" w:hAnsi="Arial" w:cs="Arial" w:eastAsia="Arial" w:hint="default"/>
          <w:spacing w:val="-1"/>
          <w:sz w:val="18"/>
          <w:szCs w:val="18"/>
        </w:rPr>
        <w:t>2013-08-30</w:t>
      </w:r>
      <w:r>
        <w:rPr>
          <w:rFonts w:ascii="Arial" w:hAnsi="Arial" w:cs="Arial" w:eastAsia="Arial" w:hint="default"/>
          <w:sz w:val="18"/>
          <w:szCs w:val="18"/>
        </w:rPr>
        <w:t> </w:t>
      </w:r>
      <w:r>
        <w:rPr>
          <w:rFonts w:ascii="Arial" w:hAnsi="Arial" w:cs="Arial" w:eastAsia="Arial" w:hint="default"/>
          <w:spacing w:val="13"/>
          <w:sz w:val="18"/>
          <w:szCs w:val="18"/>
        </w:rPr>
        <w:t> </w:t>
      </w:r>
      <w:r>
        <w:rPr>
          <w:rFonts w:ascii="宋体" w:hAnsi="宋体" w:cs="宋体" w:eastAsia="宋体" w:hint="default"/>
          <w:position w:val="1"/>
          <w:sz w:val="18"/>
          <w:szCs w:val="18"/>
        </w:rPr>
        <w:t>人民币</w:t>
        <w:tab/>
      </w:r>
      <w:r>
        <w:rPr>
          <w:rFonts w:ascii="Arial" w:hAnsi="Arial" w:cs="Arial" w:eastAsia="Arial" w:hint="default"/>
          <w:spacing w:val="-1"/>
          <w:sz w:val="18"/>
          <w:szCs w:val="18"/>
        </w:rPr>
        <w:t>5.65%</w:t>
        <w:tab/>
      </w:r>
      <w:r>
        <w:rPr>
          <w:rFonts w:ascii="Arial" w:hAnsi="Arial" w:cs="Arial" w:eastAsia="Arial" w:hint="default"/>
          <w:sz w:val="18"/>
          <w:szCs w:val="18"/>
        </w:rPr>
        <w:t>-  </w:t>
      </w:r>
      <w:r>
        <w:rPr>
          <w:rFonts w:ascii="Arial" w:hAnsi="Arial" w:cs="Arial" w:eastAsia="Arial" w:hint="default"/>
          <w:spacing w:val="22"/>
          <w:sz w:val="18"/>
          <w:szCs w:val="18"/>
        </w:rPr>
        <w:t> </w:t>
      </w:r>
      <w:r>
        <w:rPr>
          <w:rFonts w:ascii="Arial" w:hAnsi="Arial" w:cs="Arial" w:eastAsia="Arial" w:hint="default"/>
          <w:spacing w:val="-1"/>
          <w:sz w:val="18"/>
          <w:szCs w:val="18"/>
        </w:rPr>
        <w:t>800,000,000</w:t>
        <w:tab/>
      </w:r>
      <w:r>
        <w:rPr>
          <w:rFonts w:ascii="Arial" w:hAnsi="Arial" w:cs="Arial" w:eastAsia="Arial" w:hint="default"/>
          <w:sz w:val="18"/>
          <w:szCs w:val="18"/>
        </w:rPr>
        <w:t>-  </w:t>
      </w:r>
      <w:r>
        <w:rPr>
          <w:rFonts w:ascii="Arial" w:hAnsi="Arial" w:cs="Arial" w:eastAsia="Arial" w:hint="default"/>
          <w:spacing w:val="15"/>
          <w:sz w:val="18"/>
          <w:szCs w:val="18"/>
        </w:rPr>
        <w:t> </w:t>
      </w:r>
      <w:r>
        <w:rPr>
          <w:rFonts w:ascii="Arial" w:hAnsi="Arial" w:cs="Arial" w:eastAsia="Arial" w:hint="default"/>
          <w:spacing w:val="-1"/>
          <w:sz w:val="18"/>
          <w:szCs w:val="18"/>
        </w:rPr>
        <w:t>800,000,000</w:t>
      </w:r>
    </w:p>
    <w:p>
      <w:pPr>
        <w:spacing w:line="221" w:lineRule="exact" w:before="0"/>
        <w:ind w:left="519" w:right="0" w:firstLine="0"/>
        <w:jc w:val="left"/>
        <w:rPr>
          <w:rFonts w:ascii="宋体" w:hAnsi="宋体" w:cs="宋体" w:eastAsia="宋体" w:hint="default"/>
          <w:sz w:val="18"/>
          <w:szCs w:val="18"/>
        </w:rPr>
      </w:pPr>
      <w:r>
        <w:rPr>
          <w:rFonts w:ascii="宋体" w:hAnsi="宋体" w:cs="宋体" w:eastAsia="宋体" w:hint="default"/>
          <w:sz w:val="18"/>
          <w:szCs w:val="18"/>
        </w:rPr>
        <w:t>中国银行北京</w:t>
      </w:r>
    </w:p>
    <w:p>
      <w:pPr>
        <w:tabs>
          <w:tab w:pos="1751" w:val="left" w:leader="none"/>
          <w:tab w:pos="4019" w:val="left" w:leader="none"/>
          <w:tab w:pos="4599" w:val="left" w:leader="none"/>
          <w:tab w:pos="7511" w:val="left" w:leader="none"/>
        </w:tabs>
        <w:spacing w:line="244" w:lineRule="exact" w:before="1"/>
        <w:ind w:left="708" w:right="0" w:firstLine="0"/>
        <w:jc w:val="left"/>
        <w:rPr>
          <w:rFonts w:ascii="Arial" w:hAnsi="Arial" w:cs="Arial" w:eastAsia="Arial" w:hint="default"/>
          <w:sz w:val="18"/>
          <w:szCs w:val="18"/>
        </w:rPr>
      </w:pPr>
      <w:r>
        <w:rPr>
          <w:rFonts w:ascii="宋体" w:hAnsi="宋体" w:cs="宋体" w:eastAsia="宋体" w:hint="default"/>
          <w:position w:val="1"/>
          <w:sz w:val="18"/>
          <w:szCs w:val="18"/>
        </w:rPr>
        <w:t>市分行</w:t>
        <w:tab/>
      </w:r>
      <w:r>
        <w:rPr>
          <w:rFonts w:ascii="Arial" w:hAnsi="Arial" w:cs="Arial" w:eastAsia="Arial" w:hint="default"/>
          <w:sz w:val="18"/>
          <w:szCs w:val="18"/>
        </w:rPr>
        <w:t>1988-08-04 </w:t>
      </w:r>
      <w:r>
        <w:rPr>
          <w:rFonts w:ascii="Arial" w:hAnsi="Arial" w:cs="Arial" w:eastAsia="Arial" w:hint="default"/>
          <w:spacing w:val="20"/>
          <w:sz w:val="18"/>
          <w:szCs w:val="18"/>
        </w:rPr>
        <w:t> </w:t>
      </w:r>
      <w:r>
        <w:rPr>
          <w:rFonts w:ascii="Arial" w:hAnsi="Arial" w:cs="Arial" w:eastAsia="Arial" w:hint="default"/>
          <w:sz w:val="18"/>
          <w:szCs w:val="18"/>
        </w:rPr>
        <w:t>2018-08-19</w:t>
        <w:tab/>
      </w:r>
      <w:r>
        <w:rPr>
          <w:rFonts w:ascii="宋体" w:hAnsi="宋体" w:cs="宋体" w:eastAsia="宋体" w:hint="default"/>
          <w:position w:val="1"/>
          <w:sz w:val="18"/>
          <w:szCs w:val="18"/>
        </w:rPr>
        <w:t>欧元</w:t>
        <w:tab/>
      </w:r>
      <w:r>
        <w:rPr>
          <w:rFonts w:ascii="Arial" w:hAnsi="Arial" w:cs="Arial" w:eastAsia="Arial" w:hint="default"/>
          <w:sz w:val="18"/>
          <w:szCs w:val="18"/>
        </w:rPr>
        <w:t>2.50%   15,365,802 </w:t>
      </w:r>
      <w:r>
        <w:rPr>
          <w:rFonts w:ascii="Arial" w:hAnsi="Arial" w:cs="Arial" w:eastAsia="Arial" w:hint="default"/>
          <w:spacing w:val="6"/>
          <w:sz w:val="18"/>
          <w:szCs w:val="18"/>
        </w:rPr>
        <w:t> </w:t>
      </w:r>
      <w:r>
        <w:rPr>
          <w:rFonts w:ascii="Arial" w:hAnsi="Arial" w:cs="Arial" w:eastAsia="Arial" w:hint="default"/>
          <w:sz w:val="18"/>
          <w:szCs w:val="18"/>
        </w:rPr>
        <w:t>125,423,356</w:t>
        <w:tab/>
        <w:t>17,193,877 </w:t>
      </w:r>
      <w:r>
        <w:rPr>
          <w:rFonts w:ascii="Arial" w:hAnsi="Arial" w:cs="Arial" w:eastAsia="Arial" w:hint="default"/>
          <w:spacing w:val="19"/>
          <w:sz w:val="18"/>
          <w:szCs w:val="18"/>
        </w:rPr>
        <w:t> </w:t>
      </w:r>
      <w:r>
        <w:rPr>
          <w:rFonts w:ascii="Arial" w:hAnsi="Arial" w:cs="Arial" w:eastAsia="Arial" w:hint="default"/>
          <w:sz w:val="18"/>
          <w:szCs w:val="18"/>
        </w:rPr>
        <w:t>151,417,875</w:t>
      </w:r>
    </w:p>
    <w:p>
      <w:pPr>
        <w:spacing w:line="221" w:lineRule="exact" w:before="0"/>
        <w:ind w:left="519" w:right="0" w:firstLine="0"/>
        <w:jc w:val="left"/>
        <w:rPr>
          <w:rFonts w:ascii="宋体" w:hAnsi="宋体" w:cs="宋体" w:eastAsia="宋体" w:hint="default"/>
          <w:sz w:val="18"/>
          <w:szCs w:val="18"/>
        </w:rPr>
      </w:pPr>
      <w:r>
        <w:rPr>
          <w:rFonts w:ascii="宋体" w:hAnsi="宋体" w:cs="宋体" w:eastAsia="宋体" w:hint="default"/>
          <w:sz w:val="18"/>
          <w:szCs w:val="18"/>
        </w:rPr>
        <w:t>中国建设银行</w:t>
      </w:r>
    </w:p>
    <w:p>
      <w:pPr>
        <w:tabs>
          <w:tab w:pos="4019" w:val="left" w:leader="none"/>
          <w:tab w:pos="4599" w:val="left" w:leader="none"/>
          <w:tab w:pos="5347" w:val="left" w:leader="none"/>
          <w:tab w:pos="6385" w:val="left" w:leader="none"/>
          <w:tab w:pos="7511" w:val="left" w:leader="none"/>
        </w:tabs>
        <w:spacing w:line="244" w:lineRule="exact" w:before="1"/>
        <w:ind w:left="680" w:right="0" w:firstLine="0"/>
        <w:jc w:val="left"/>
        <w:rPr>
          <w:rFonts w:ascii="Arial" w:hAnsi="Arial" w:cs="Arial" w:eastAsia="Arial" w:hint="default"/>
          <w:sz w:val="18"/>
          <w:szCs w:val="18"/>
        </w:rPr>
      </w:pPr>
      <w:r>
        <w:rPr>
          <w:rFonts w:ascii="宋体" w:hAnsi="宋体" w:cs="宋体" w:eastAsia="宋体" w:hint="default"/>
          <w:spacing w:val="-1"/>
          <w:position w:val="1"/>
          <w:sz w:val="18"/>
          <w:szCs w:val="18"/>
        </w:rPr>
        <w:t>黑龙江省分行</w:t>
      </w:r>
      <w:r>
        <w:rPr>
          <w:rFonts w:ascii="Arial" w:hAnsi="Arial" w:cs="Arial" w:eastAsia="Arial" w:hint="default"/>
          <w:spacing w:val="-1"/>
          <w:sz w:val="18"/>
          <w:szCs w:val="18"/>
        </w:rPr>
        <w:t>1991-12-31</w:t>
      </w:r>
      <w:r>
        <w:rPr>
          <w:rFonts w:ascii="Arial" w:hAnsi="Arial" w:cs="Arial" w:eastAsia="Arial" w:hint="default"/>
          <w:sz w:val="18"/>
          <w:szCs w:val="18"/>
        </w:rPr>
        <w:t> </w:t>
      </w:r>
      <w:r>
        <w:rPr>
          <w:rFonts w:ascii="Arial" w:hAnsi="Arial" w:cs="Arial" w:eastAsia="Arial" w:hint="default"/>
          <w:spacing w:val="37"/>
          <w:sz w:val="18"/>
          <w:szCs w:val="18"/>
        </w:rPr>
        <w:t> </w:t>
      </w:r>
      <w:r>
        <w:rPr>
          <w:rFonts w:ascii="Arial" w:hAnsi="Arial" w:cs="Arial" w:eastAsia="Arial" w:hint="default"/>
          <w:spacing w:val="-1"/>
          <w:sz w:val="18"/>
          <w:szCs w:val="18"/>
        </w:rPr>
        <w:t>2025-06-30</w:t>
        <w:tab/>
      </w:r>
      <w:r>
        <w:rPr>
          <w:rFonts w:ascii="宋体" w:hAnsi="宋体" w:cs="宋体" w:eastAsia="宋体" w:hint="default"/>
          <w:position w:val="1"/>
          <w:sz w:val="18"/>
          <w:szCs w:val="18"/>
        </w:rPr>
        <w:t>欧元</w:t>
        <w:tab/>
      </w:r>
      <w:r>
        <w:rPr>
          <w:rFonts w:ascii="Arial" w:hAnsi="Arial" w:cs="Arial" w:eastAsia="Arial" w:hint="default"/>
          <w:spacing w:val="-1"/>
          <w:sz w:val="18"/>
          <w:szCs w:val="18"/>
        </w:rPr>
        <w:t>2.00%</w:t>
        <w:tab/>
        <w:t>9,118,305</w:t>
        <w:tab/>
        <w:t>74,428,167</w:t>
        <w:tab/>
        <w:t>10,065,119</w:t>
      </w:r>
      <w:r>
        <w:rPr>
          <w:rFonts w:ascii="Arial" w:hAnsi="Arial" w:cs="Arial" w:eastAsia="Arial" w:hint="default"/>
          <w:sz w:val="18"/>
          <w:szCs w:val="18"/>
        </w:rPr>
        <w:t>  </w:t>
      </w:r>
      <w:r>
        <w:rPr>
          <w:rFonts w:ascii="Arial" w:hAnsi="Arial" w:cs="Arial" w:eastAsia="Arial" w:hint="default"/>
          <w:spacing w:val="42"/>
          <w:sz w:val="18"/>
          <w:szCs w:val="18"/>
        </w:rPr>
        <w:t> </w:t>
      </w:r>
      <w:r>
        <w:rPr>
          <w:rFonts w:ascii="Arial" w:hAnsi="Arial" w:cs="Arial" w:eastAsia="Arial" w:hint="default"/>
          <w:spacing w:val="-1"/>
          <w:sz w:val="18"/>
          <w:szCs w:val="18"/>
        </w:rPr>
        <w:t>88,638,469</w:t>
      </w:r>
    </w:p>
    <w:p>
      <w:pPr>
        <w:spacing w:line="221" w:lineRule="exact" w:before="0"/>
        <w:ind w:left="519" w:right="0" w:firstLine="0"/>
        <w:jc w:val="left"/>
        <w:rPr>
          <w:rFonts w:ascii="宋体" w:hAnsi="宋体" w:cs="宋体" w:eastAsia="宋体" w:hint="default"/>
          <w:sz w:val="18"/>
          <w:szCs w:val="18"/>
        </w:rPr>
      </w:pPr>
      <w:r>
        <w:rPr>
          <w:rFonts w:ascii="宋体" w:hAnsi="宋体" w:cs="宋体" w:eastAsia="宋体" w:hint="default"/>
          <w:sz w:val="18"/>
          <w:szCs w:val="18"/>
        </w:rPr>
        <w:t>中国银行河北</w:t>
      </w:r>
    </w:p>
    <w:p>
      <w:pPr>
        <w:tabs>
          <w:tab w:pos="1751" w:val="left" w:leader="none"/>
          <w:tab w:pos="4019" w:val="left" w:leader="none"/>
          <w:tab w:pos="5049" w:val="left" w:leader="none"/>
          <w:tab w:pos="6385" w:val="left" w:leader="none"/>
          <w:tab w:pos="7511" w:val="left" w:leader="none"/>
        </w:tabs>
        <w:spacing w:line="244" w:lineRule="exact" w:before="1"/>
        <w:ind w:left="708" w:right="0" w:firstLine="0"/>
        <w:jc w:val="left"/>
        <w:rPr>
          <w:rFonts w:ascii="Arial" w:hAnsi="Arial" w:cs="Arial" w:eastAsia="Arial" w:hint="default"/>
          <w:sz w:val="18"/>
          <w:szCs w:val="18"/>
        </w:rPr>
      </w:pPr>
      <w:r>
        <w:rPr>
          <w:rFonts w:ascii="宋体" w:hAnsi="宋体" w:cs="宋体" w:eastAsia="宋体" w:hint="default"/>
          <w:position w:val="1"/>
          <w:sz w:val="18"/>
          <w:szCs w:val="18"/>
        </w:rPr>
        <w:t>省分行</w:t>
        <w:tab/>
      </w:r>
      <w:r>
        <w:rPr>
          <w:rFonts w:ascii="Arial" w:hAnsi="Arial" w:cs="Arial" w:eastAsia="Arial" w:hint="default"/>
          <w:spacing w:val="-1"/>
          <w:sz w:val="18"/>
          <w:szCs w:val="18"/>
        </w:rPr>
        <w:t>1993-02-08</w:t>
      </w:r>
      <w:r>
        <w:rPr>
          <w:rFonts w:ascii="Arial" w:hAnsi="Arial" w:cs="Arial" w:eastAsia="Arial" w:hint="default"/>
          <w:sz w:val="18"/>
          <w:szCs w:val="18"/>
        </w:rPr>
        <w:t> </w:t>
      </w:r>
      <w:r>
        <w:rPr>
          <w:rFonts w:ascii="Arial" w:hAnsi="Arial" w:cs="Arial" w:eastAsia="Arial" w:hint="default"/>
          <w:spacing w:val="40"/>
          <w:sz w:val="18"/>
          <w:szCs w:val="18"/>
        </w:rPr>
        <w:t> </w:t>
      </w:r>
      <w:r>
        <w:rPr>
          <w:rFonts w:ascii="Arial" w:hAnsi="Arial" w:cs="Arial" w:eastAsia="Arial" w:hint="default"/>
          <w:spacing w:val="-1"/>
          <w:sz w:val="18"/>
          <w:szCs w:val="18"/>
        </w:rPr>
        <w:t>2032-04-30</w:t>
        <w:tab/>
      </w:r>
      <w:r>
        <w:rPr>
          <w:rFonts w:ascii="宋体" w:hAnsi="宋体" w:cs="宋体" w:eastAsia="宋体" w:hint="default"/>
          <w:position w:val="1"/>
          <w:sz w:val="18"/>
          <w:szCs w:val="18"/>
        </w:rPr>
        <w:t>美元</w:t>
        <w:tab/>
      </w:r>
      <w:r>
        <w:rPr>
          <w:rFonts w:ascii="Arial" w:hAnsi="Arial" w:cs="Arial" w:eastAsia="Arial" w:hint="default"/>
          <w:sz w:val="18"/>
          <w:szCs w:val="18"/>
        </w:rPr>
        <w:t>- </w:t>
      </w:r>
      <w:r>
        <w:rPr>
          <w:rFonts w:ascii="Arial" w:hAnsi="Arial" w:cs="Arial" w:eastAsia="Arial" w:hint="default"/>
          <w:spacing w:val="38"/>
          <w:sz w:val="18"/>
          <w:szCs w:val="18"/>
        </w:rPr>
        <w:t> </w:t>
      </w:r>
      <w:r>
        <w:rPr>
          <w:rFonts w:ascii="Arial" w:hAnsi="Arial" w:cs="Arial" w:eastAsia="Arial" w:hint="default"/>
          <w:spacing w:val="-1"/>
          <w:sz w:val="18"/>
          <w:szCs w:val="18"/>
        </w:rPr>
        <w:t>11,479,686</w:t>
        <w:tab/>
        <w:t>72,332,352</w:t>
        <w:tab/>
        <w:t>12,039,670</w:t>
      </w:r>
      <w:r>
        <w:rPr>
          <w:rFonts w:ascii="Arial" w:hAnsi="Arial" w:cs="Arial" w:eastAsia="Arial" w:hint="default"/>
          <w:sz w:val="18"/>
          <w:szCs w:val="18"/>
        </w:rPr>
        <w:t>  </w:t>
      </w:r>
      <w:r>
        <w:rPr>
          <w:rFonts w:ascii="Arial" w:hAnsi="Arial" w:cs="Arial" w:eastAsia="Arial" w:hint="default"/>
          <w:spacing w:val="42"/>
          <w:sz w:val="18"/>
          <w:szCs w:val="18"/>
        </w:rPr>
        <w:t> </w:t>
      </w:r>
      <w:r>
        <w:rPr>
          <w:rFonts w:ascii="Arial" w:hAnsi="Arial" w:cs="Arial" w:eastAsia="Arial" w:hint="default"/>
          <w:spacing w:val="-1"/>
          <w:sz w:val="18"/>
          <w:szCs w:val="18"/>
        </w:rPr>
        <w:t>79,735,125</w:t>
      </w:r>
    </w:p>
    <w:p>
      <w:pPr>
        <w:spacing w:line="221" w:lineRule="exact" w:before="0"/>
        <w:ind w:left="519" w:right="0" w:firstLine="0"/>
        <w:jc w:val="left"/>
        <w:rPr>
          <w:rFonts w:ascii="宋体" w:hAnsi="宋体" w:cs="宋体" w:eastAsia="宋体" w:hint="default"/>
          <w:sz w:val="18"/>
          <w:szCs w:val="18"/>
        </w:rPr>
      </w:pPr>
      <w:r>
        <w:rPr>
          <w:rFonts w:ascii="宋体" w:hAnsi="宋体" w:cs="宋体" w:eastAsia="宋体" w:hint="default"/>
          <w:sz w:val="18"/>
          <w:szCs w:val="18"/>
        </w:rPr>
        <w:t>中国银行河南</w:t>
      </w:r>
    </w:p>
    <w:p>
      <w:pPr>
        <w:tabs>
          <w:tab w:pos="1751" w:val="left" w:leader="none"/>
          <w:tab w:pos="4019" w:val="left" w:leader="none"/>
          <w:tab w:pos="5049" w:val="left" w:leader="none"/>
          <w:tab w:pos="5347" w:val="left" w:leader="none"/>
          <w:tab w:pos="6385" w:val="left" w:leader="none"/>
          <w:tab w:pos="7612" w:val="left" w:leader="none"/>
        </w:tabs>
        <w:spacing w:before="1"/>
        <w:ind w:left="708" w:right="0" w:firstLine="0"/>
        <w:jc w:val="left"/>
        <w:rPr>
          <w:rFonts w:ascii="Arial" w:hAnsi="Arial" w:cs="Arial" w:eastAsia="Arial" w:hint="default"/>
          <w:sz w:val="18"/>
          <w:szCs w:val="18"/>
        </w:rPr>
      </w:pPr>
      <w:r>
        <w:rPr>
          <w:rFonts w:ascii="宋体" w:hAnsi="宋体" w:cs="宋体" w:eastAsia="宋体" w:hint="default"/>
          <w:position w:val="1"/>
          <w:sz w:val="18"/>
          <w:szCs w:val="18"/>
        </w:rPr>
        <w:t>省分行</w:t>
        <w:tab/>
      </w:r>
      <w:r>
        <w:rPr>
          <w:rFonts w:ascii="Arial" w:hAnsi="Arial" w:cs="Arial" w:eastAsia="Arial" w:hint="default"/>
          <w:spacing w:val="-1"/>
          <w:sz w:val="18"/>
          <w:szCs w:val="18"/>
        </w:rPr>
        <w:t>1993-06-08</w:t>
      </w:r>
      <w:r>
        <w:rPr>
          <w:rFonts w:ascii="Arial" w:hAnsi="Arial" w:cs="Arial" w:eastAsia="Arial" w:hint="default"/>
          <w:sz w:val="18"/>
          <w:szCs w:val="18"/>
        </w:rPr>
        <w:t> </w:t>
      </w:r>
      <w:r>
        <w:rPr>
          <w:rFonts w:ascii="Arial" w:hAnsi="Arial" w:cs="Arial" w:eastAsia="Arial" w:hint="default"/>
          <w:spacing w:val="40"/>
          <w:sz w:val="18"/>
          <w:szCs w:val="18"/>
        </w:rPr>
        <w:t> </w:t>
      </w:r>
      <w:r>
        <w:rPr>
          <w:rFonts w:ascii="Arial" w:hAnsi="Arial" w:cs="Arial" w:eastAsia="Arial" w:hint="default"/>
          <w:spacing w:val="-1"/>
          <w:sz w:val="18"/>
          <w:szCs w:val="18"/>
        </w:rPr>
        <w:t>2032-11-13</w:t>
        <w:tab/>
      </w:r>
      <w:r>
        <w:rPr>
          <w:rFonts w:ascii="宋体" w:hAnsi="宋体" w:cs="宋体" w:eastAsia="宋体" w:hint="default"/>
          <w:position w:val="1"/>
          <w:sz w:val="18"/>
          <w:szCs w:val="18"/>
        </w:rPr>
        <w:t>美元</w:t>
        <w:tab/>
      </w:r>
      <w:r>
        <w:rPr>
          <w:rFonts w:ascii="Arial" w:hAnsi="Arial" w:cs="Arial" w:eastAsia="Arial" w:hint="default"/>
          <w:sz w:val="18"/>
          <w:szCs w:val="18"/>
        </w:rPr>
        <w:t>-</w:t>
        <w:tab/>
      </w:r>
      <w:r>
        <w:rPr>
          <w:rFonts w:ascii="Arial" w:hAnsi="Arial" w:cs="Arial" w:eastAsia="Arial" w:hint="default"/>
          <w:spacing w:val="-1"/>
          <w:sz w:val="18"/>
          <w:szCs w:val="18"/>
        </w:rPr>
        <w:t>7,895,924</w:t>
        <w:tab/>
        <w:t>49,751,428</w:t>
        <w:tab/>
        <w:t>8,271,921</w:t>
      </w:r>
      <w:r>
        <w:rPr>
          <w:rFonts w:ascii="Arial" w:hAnsi="Arial" w:cs="Arial" w:eastAsia="Arial" w:hint="default"/>
          <w:sz w:val="18"/>
          <w:szCs w:val="18"/>
        </w:rPr>
        <w:t>  </w:t>
      </w:r>
      <w:r>
        <w:rPr>
          <w:rFonts w:ascii="Arial" w:hAnsi="Arial" w:cs="Arial" w:eastAsia="Arial" w:hint="default"/>
          <w:spacing w:val="41"/>
          <w:sz w:val="18"/>
          <w:szCs w:val="18"/>
        </w:rPr>
        <w:t> </w:t>
      </w:r>
      <w:r>
        <w:rPr>
          <w:rFonts w:ascii="Arial" w:hAnsi="Arial" w:cs="Arial" w:eastAsia="Arial" w:hint="default"/>
          <w:spacing w:val="-1"/>
          <w:sz w:val="18"/>
          <w:szCs w:val="18"/>
        </w:rPr>
        <w:t>54,782,451</w:t>
      </w:r>
    </w:p>
    <w:p>
      <w:pPr>
        <w:pStyle w:val="BodyText"/>
        <w:spacing w:line="240" w:lineRule="auto" w:before="165"/>
        <w:ind w:left="122" w:right="0"/>
        <w:jc w:val="left"/>
      </w:pPr>
      <w:r>
        <w:rPr>
          <w:rFonts w:ascii="Arial" w:hAnsi="Arial" w:cs="Arial" w:eastAsia="Arial" w:hint="default"/>
        </w:rPr>
        <w:t>(b) </w:t>
      </w:r>
      <w:r>
        <w:rPr>
          <w:rFonts w:ascii="Arial" w:hAnsi="Arial" w:cs="Arial" w:eastAsia="Arial" w:hint="default"/>
          <w:spacing w:val="24"/>
        </w:rPr>
        <w:t> </w:t>
      </w:r>
      <w:r>
        <w:rPr/>
        <w:t>长期借款到期日分析如下：</w:t>
      </w:r>
    </w:p>
    <w:p>
      <w:pPr>
        <w:pStyle w:val="BodyText"/>
        <w:tabs>
          <w:tab w:pos="7639" w:val="left" w:leader="none"/>
        </w:tabs>
        <w:spacing w:line="240" w:lineRule="auto" w:before="182"/>
        <w:ind w:left="5150"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720" w:right="0" w:firstLine="0"/>
        <w:rPr>
          <w:rFonts w:ascii="宋体" w:hAnsi="宋体" w:cs="宋体" w:eastAsia="宋体" w:hint="default"/>
          <w:sz w:val="2"/>
          <w:szCs w:val="2"/>
        </w:rPr>
      </w:pPr>
      <w:r>
        <w:rPr>
          <w:rFonts w:ascii="宋体"/>
          <w:sz w:val="2"/>
        </w:rPr>
        <w:pict>
          <v:group style="width:120.45pt;height:.75pt;mso-position-horizontal-relative:char;mso-position-vertical-relative:line" coordorigin="0,0" coordsize="2409,15">
            <v:group style="position:absolute;left:7;top:7;width:2394;height:2" coordorigin="7,7" coordsize="2394,2">
              <v:shape style="position:absolute;left:7;top:7;width:2394;height:2" coordorigin="7,7" coordsize="2394,0" path="m7,7l2401,7e" filled="false" stroked="true" strokeweight=".72pt" strokecolor="#000000">
                <v:path arrowok="t"/>
              </v:shape>
            </v:group>
          </v:group>
        </w:pict>
      </w:r>
      <w:r>
        <w:rPr>
          <w:rFonts w:ascii="宋体"/>
          <w:sz w:val="2"/>
        </w:rPr>
      </w:r>
      <w:r>
        <w:rPr>
          <w:rFonts w:ascii="Times New Roman"/>
          <w:spacing w:val="116"/>
          <w:sz w:val="2"/>
        </w:rPr>
        <w:t> </w:t>
      </w:r>
      <w:r>
        <w:rPr>
          <w:rFonts w:ascii="宋体"/>
          <w:spacing w:val="116"/>
          <w:sz w:val="2"/>
        </w:rPr>
        <w:pict>
          <v:group style="width:118.15pt;height:.75pt;mso-position-horizontal-relative:char;mso-position-vertical-relative:line" coordorigin="0,0" coordsize="2363,15">
            <v:group style="position:absolute;left:7;top:7;width:2349;height:2" coordorigin="7,7" coordsize="2349,2">
              <v:shape style="position:absolute;left:7;top:7;width:2349;height:2" coordorigin="7,7" coordsize="2349,0" path="m7,7l2356,7e" filled="false" stroked="true" strokeweight=".72pt" strokecolor="#000000">
                <v:path arrowok="t"/>
              </v:shape>
            </v:group>
          </v:group>
        </w:pict>
      </w:r>
      <w:r>
        <w:rPr>
          <w:rFonts w:ascii="宋体"/>
          <w:spacing w:val="116"/>
          <w:sz w:val="2"/>
        </w:rPr>
      </w:r>
    </w:p>
    <w:p>
      <w:pPr>
        <w:spacing w:line="240" w:lineRule="auto" w:before="2"/>
        <w:rPr>
          <w:rFonts w:ascii="宋体" w:hAnsi="宋体" w:cs="宋体" w:eastAsia="宋体" w:hint="default"/>
          <w:sz w:val="15"/>
          <w:szCs w:val="15"/>
        </w:rPr>
      </w:pPr>
    </w:p>
    <w:p>
      <w:pPr>
        <w:pStyle w:val="BodyText"/>
        <w:tabs>
          <w:tab w:pos="5749" w:val="left" w:leader="none"/>
          <w:tab w:pos="8374" w:val="left" w:leader="none"/>
        </w:tabs>
        <w:spacing w:line="304" w:lineRule="exact" w:before="27"/>
        <w:ind w:left="540" w:right="0"/>
        <w:jc w:val="left"/>
        <w:rPr>
          <w:rFonts w:ascii="Arial" w:hAnsi="Arial" w:cs="Arial" w:eastAsia="Arial" w:hint="default"/>
        </w:rPr>
      </w:pPr>
      <w:r>
        <w:rPr>
          <w:rFonts w:ascii="Arial" w:hAnsi="Arial" w:cs="Arial" w:eastAsia="Arial" w:hint="default"/>
          <w:position w:val="2"/>
        </w:rPr>
        <w:t>1</w:t>
      </w:r>
      <w:r>
        <w:rPr>
          <w:rFonts w:ascii="Arial" w:hAnsi="Arial" w:cs="Arial" w:eastAsia="Arial" w:hint="default"/>
          <w:spacing w:val="-7"/>
          <w:position w:val="2"/>
        </w:rPr>
        <w:t> </w:t>
      </w:r>
      <w:r>
        <w:rPr>
          <w:position w:val="2"/>
        </w:rPr>
        <w:t>到</w:t>
      </w:r>
      <w:r>
        <w:rPr>
          <w:spacing w:val="-56"/>
          <w:position w:val="2"/>
        </w:rPr>
        <w:t> </w:t>
      </w:r>
      <w:r>
        <w:rPr>
          <w:rFonts w:ascii="Arial" w:hAnsi="Arial" w:cs="Arial" w:eastAsia="Arial" w:hint="default"/>
          <w:position w:val="2"/>
        </w:rPr>
        <w:t>2</w:t>
      </w:r>
      <w:r>
        <w:rPr>
          <w:rFonts w:ascii="Arial" w:hAnsi="Arial" w:cs="Arial" w:eastAsia="Arial" w:hint="default"/>
          <w:spacing w:val="-7"/>
          <w:position w:val="2"/>
        </w:rPr>
        <w:t> </w:t>
      </w:r>
      <w:r>
        <w:rPr>
          <w:position w:val="2"/>
        </w:rPr>
        <w:t>年</w:t>
        <w:tab/>
      </w:r>
      <w:r>
        <w:rPr>
          <w:rFonts w:ascii="Arial" w:hAnsi="Arial" w:cs="Arial" w:eastAsia="Arial" w:hint="default"/>
          <w:w w:val="95"/>
        </w:rPr>
        <w:t>847,535,689</w:t>
        <w:tab/>
      </w:r>
      <w:r>
        <w:rPr>
          <w:rFonts w:ascii="Arial" w:hAnsi="Arial" w:cs="Arial" w:eastAsia="Arial" w:hint="default"/>
        </w:rPr>
        <w:t>49,998,157</w:t>
      </w:r>
    </w:p>
    <w:p>
      <w:pPr>
        <w:pStyle w:val="BodyText"/>
        <w:tabs>
          <w:tab w:pos="5749" w:val="left" w:leader="none"/>
          <w:tab w:pos="8253" w:val="left" w:leader="none"/>
        </w:tabs>
        <w:spacing w:line="285" w:lineRule="exact"/>
        <w:ind w:left="539" w:right="0"/>
        <w:jc w:val="left"/>
        <w:rPr>
          <w:rFonts w:ascii="Arial" w:hAnsi="Arial" w:cs="Arial" w:eastAsia="Arial" w:hint="default"/>
        </w:rPr>
      </w:pPr>
      <w:r>
        <w:rPr>
          <w:rFonts w:ascii="Arial" w:hAnsi="Arial" w:cs="Arial" w:eastAsia="Arial" w:hint="default"/>
          <w:position w:val="2"/>
        </w:rPr>
        <w:t>2</w:t>
      </w:r>
      <w:r>
        <w:rPr>
          <w:rFonts w:ascii="Arial" w:hAnsi="Arial" w:cs="Arial" w:eastAsia="Arial" w:hint="default"/>
          <w:spacing w:val="-7"/>
          <w:position w:val="2"/>
        </w:rPr>
        <w:t> </w:t>
      </w:r>
      <w:r>
        <w:rPr>
          <w:position w:val="2"/>
        </w:rPr>
        <w:t>到</w:t>
      </w:r>
      <w:r>
        <w:rPr>
          <w:spacing w:val="-56"/>
          <w:position w:val="2"/>
        </w:rPr>
        <w:t> </w:t>
      </w:r>
      <w:r>
        <w:rPr>
          <w:rFonts w:ascii="Arial" w:hAnsi="Arial" w:cs="Arial" w:eastAsia="Arial" w:hint="default"/>
          <w:position w:val="2"/>
        </w:rPr>
        <w:t>5</w:t>
      </w:r>
      <w:r>
        <w:rPr>
          <w:rFonts w:ascii="Arial" w:hAnsi="Arial" w:cs="Arial" w:eastAsia="Arial" w:hint="default"/>
          <w:spacing w:val="-7"/>
          <w:position w:val="2"/>
        </w:rPr>
        <w:t> </w:t>
      </w:r>
      <w:r>
        <w:rPr>
          <w:position w:val="2"/>
        </w:rPr>
        <w:t>年</w:t>
        <w:tab/>
      </w:r>
      <w:r>
        <w:rPr>
          <w:rFonts w:ascii="Arial" w:hAnsi="Arial" w:cs="Arial" w:eastAsia="Arial" w:hint="default"/>
          <w:w w:val="95"/>
        </w:rPr>
        <w:t>150,340,884</w:t>
        <w:tab/>
      </w:r>
      <w:r>
        <w:rPr>
          <w:rFonts w:ascii="Arial" w:hAnsi="Arial" w:cs="Arial" w:eastAsia="Arial" w:hint="default"/>
        </w:rPr>
        <w:t>949,994,470</w:t>
      </w:r>
    </w:p>
    <w:p>
      <w:pPr>
        <w:pStyle w:val="BodyText"/>
        <w:tabs>
          <w:tab w:pos="4727" w:val="left" w:leader="none"/>
          <w:tab w:pos="5749" w:val="left" w:leader="none"/>
          <w:tab w:pos="8253" w:val="left" w:leader="none"/>
          <w:tab w:pos="9609" w:val="left" w:leader="none"/>
        </w:tabs>
        <w:spacing w:line="305" w:lineRule="exact"/>
        <w:ind w:left="539" w:right="0"/>
        <w:jc w:val="left"/>
        <w:rPr>
          <w:rFonts w:ascii="Arial" w:hAnsi="Arial" w:cs="Arial" w:eastAsia="Arial" w:hint="default"/>
        </w:rPr>
      </w:pPr>
      <w:r>
        <w:rPr>
          <w:rFonts w:ascii="Arial" w:hAnsi="Arial" w:cs="Arial" w:eastAsia="Arial" w:hint="default"/>
          <w:position w:val="2"/>
        </w:rPr>
        <w:t>5</w:t>
      </w:r>
      <w:r>
        <w:rPr>
          <w:rFonts w:ascii="Arial" w:hAnsi="Arial" w:cs="Arial" w:eastAsia="Arial" w:hint="default"/>
          <w:spacing w:val="-8"/>
          <w:position w:val="2"/>
        </w:rPr>
        <w:t> </w:t>
      </w:r>
      <w:r>
        <w:rPr>
          <w:position w:val="2"/>
        </w:rPr>
        <w:t>年以上</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385,802,901</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462,247,163</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565" w:val="left" w:leader="none"/>
          <w:tab w:pos="8069" w:val="left" w:leader="none"/>
        </w:tabs>
        <w:spacing w:line="240" w:lineRule="auto" w:before="27"/>
        <w:ind w:left="540" w:right="0"/>
        <w:jc w:val="left"/>
        <w:rPr>
          <w:rFonts w:ascii="Arial" w:hAnsi="Arial" w:cs="Arial" w:eastAsia="Arial" w:hint="default"/>
        </w:rPr>
      </w:pPr>
      <w:r>
        <w:rPr>
          <w:w w:val="95"/>
          <w:position w:val="2"/>
        </w:rPr>
        <w:t>合计</w:t>
        <w:tab/>
      </w:r>
      <w:r>
        <w:rPr>
          <w:rFonts w:ascii="Arial" w:hAnsi="Arial" w:cs="Arial" w:eastAsia="Arial" w:hint="default"/>
          <w:spacing w:val="-1"/>
        </w:rPr>
        <w:t>1,383,679,474</w:t>
        <w:tab/>
        <w:t>1,462,239,790</w:t>
      </w:r>
    </w:p>
    <w:p>
      <w:pPr>
        <w:spacing w:line="43" w:lineRule="exact"/>
        <w:ind w:left="4706" w:right="0" w:firstLine="0"/>
        <w:rPr>
          <w:rFonts w:ascii="Arial" w:hAnsi="Arial" w:cs="Arial" w:eastAsia="Arial" w:hint="default"/>
          <w:sz w:val="4"/>
          <w:szCs w:val="4"/>
        </w:rPr>
      </w:pPr>
      <w:r>
        <w:rPr>
          <w:rFonts w:ascii="Arial"/>
          <w:position w:val="0"/>
          <w:sz w:val="4"/>
        </w:rPr>
        <w:pict>
          <v:group style="width:121.15pt;height:2.2pt;mso-position-horizontal-relative:char;mso-position-vertical-relative:line" coordorigin="0,0" coordsize="2423,44">
            <v:group style="position:absolute;left:7;top:36;width:2409;height:2" coordorigin="7,36" coordsize="2409,2">
              <v:shape style="position:absolute;left:7;top:36;width:2409;height:2" coordorigin="7,36" coordsize="2409,0" path="m7,36l2416,36e" filled="false" stroked="true" strokeweight=".72pt" strokecolor="#000000">
                <v:path arrowok="t"/>
              </v:shape>
            </v:group>
            <v:group style="position:absolute;left:7;top:7;width:2409;height:2" coordorigin="7,7" coordsize="2409,2">
              <v:shape style="position:absolute;left:7;top:7;width:2409;height:2" coordorigin="7,7" coordsize="2409,0" path="m7,7l2416,7e" filled="false" stroked="true" strokeweight=".72pt" strokecolor="#000000">
                <v:path arrowok="t"/>
              </v:shape>
            </v:group>
          </v:group>
        </w:pict>
      </w:r>
      <w:r>
        <w:rPr>
          <w:rFonts w:ascii="Arial"/>
          <w:position w:val="0"/>
          <w:sz w:val="4"/>
        </w:rPr>
      </w:r>
      <w:r>
        <w:rPr>
          <w:rFonts w:ascii="Times New Roman"/>
          <w:spacing w:val="95"/>
          <w:position w:val="0"/>
          <w:sz w:val="4"/>
        </w:rPr>
        <w:t> </w:t>
      </w:r>
      <w:r>
        <w:rPr>
          <w:rFonts w:ascii="Arial"/>
          <w:spacing w:val="95"/>
          <w:position w:val="0"/>
          <w:sz w:val="4"/>
        </w:rPr>
        <w:pict>
          <v:group style="width:118.9pt;height:2.2pt;mso-position-horizontal-relative:char;mso-position-vertical-relative:line" coordorigin="0,0" coordsize="2378,44">
            <v:group style="position:absolute;left:7;top:36;width:2363;height:2" coordorigin="7,36" coordsize="2363,2">
              <v:shape style="position:absolute;left:7;top:36;width:2363;height:2" coordorigin="7,36" coordsize="2363,0" path="m7,36l2370,36e" filled="false" stroked="true" strokeweight=".72pt" strokecolor="#000000">
                <v:path arrowok="t"/>
              </v:shape>
            </v:group>
            <v:group style="position:absolute;left:7;top:7;width:2363;height:2" coordorigin="7,7" coordsize="2363,2">
              <v:shape style="position:absolute;left:7;top:7;width:2363;height:2" coordorigin="7,7" coordsize="2363,0" path="m7,7l2370,7e" filled="false" stroked="true" strokeweight=".72pt" strokecolor="#000000">
                <v:path arrowok="t"/>
              </v:shape>
            </v:group>
          </v:group>
        </w:pict>
      </w:r>
      <w:r>
        <w:rPr>
          <w:rFonts w:ascii="Arial"/>
          <w:spacing w:val="95"/>
          <w:position w:val="0"/>
          <w:sz w:val="4"/>
        </w:rPr>
      </w:r>
    </w:p>
    <w:p>
      <w:pPr>
        <w:spacing w:line="240" w:lineRule="auto" w:before="10"/>
        <w:rPr>
          <w:rFonts w:ascii="Arial" w:hAnsi="Arial" w:cs="Arial" w:eastAsia="Arial" w:hint="default"/>
          <w:sz w:val="11"/>
          <w:szCs w:val="11"/>
        </w:rPr>
      </w:pPr>
    </w:p>
    <w:p>
      <w:pPr>
        <w:pStyle w:val="BodyText"/>
        <w:spacing w:line="286" w:lineRule="exact" w:before="60"/>
        <w:ind w:left="542" w:right="0" w:hanging="1"/>
        <w:jc w:val="left"/>
      </w:pPr>
      <w:r>
        <w:rPr/>
        <w:t>于</w:t>
      </w:r>
      <w:r>
        <w:rPr>
          <w:spacing w:val="-60"/>
        </w:rPr>
        <w:t> </w:t>
      </w:r>
      <w:r>
        <w:rPr>
          <w:rFonts w:ascii="Arial" w:hAnsi="Arial" w:cs="Arial" w:eastAsia="Arial" w:hint="default"/>
        </w:rPr>
        <w:t>2011</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日，长期借款的年利率范围为</w:t>
      </w:r>
      <w:r>
        <w:rPr>
          <w:spacing w:val="-60"/>
        </w:rPr>
        <w:t> </w:t>
      </w:r>
      <w:r>
        <w:rPr>
          <w:rFonts w:ascii="Arial" w:hAnsi="Arial" w:cs="Arial" w:eastAsia="Arial" w:hint="default"/>
        </w:rPr>
        <w:t>0~5.65%</w:t>
      </w:r>
      <w:r>
        <w:rPr/>
        <w:t>（</w:t>
      </w:r>
      <w:r>
        <w:rPr>
          <w:rFonts w:ascii="Arial" w:hAnsi="Arial" w:cs="Arial" w:eastAsia="Arial" w:hint="default"/>
        </w:rPr>
        <w:t>2010</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w:t>
      </w:r>
      <w:r>
        <w:rPr>
          <w:rFonts w:ascii="Arial" w:hAnsi="Arial" w:cs="Arial" w:eastAsia="Arial" w:hint="default"/>
        </w:rPr>
        <w:t>0~5.00%</w:t>
      </w:r>
      <w:r>
        <w:rPr/>
        <w:t>。</w:t>
      </w:r>
      <w:r>
        <w:rPr>
          <w:w w:val="99"/>
        </w:rPr>
        <w:t> </w:t>
      </w:r>
      <w:r>
        <w:rPr/>
        <w:t>其中，零利率的借款来自经中国银行转贷的外国政府无息借款）。</w:t>
      </w:r>
    </w:p>
    <w:p>
      <w:pPr>
        <w:pStyle w:val="BodyText"/>
        <w:spacing w:line="240" w:lineRule="auto" w:before="170"/>
        <w:ind w:left="542"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日，本集团无已到期但尚未偿还的长期借款（</w:t>
      </w:r>
      <w:r>
        <w:rPr>
          <w:rFonts w:ascii="Arial" w:hAnsi="Arial" w:cs="Arial" w:eastAsia="Arial" w:hint="default"/>
        </w:rPr>
        <w:t>2010</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日：无）。</w:t>
      </w:r>
    </w:p>
    <w:p>
      <w:pPr>
        <w:pStyle w:val="BodyText"/>
        <w:tabs>
          <w:tab w:pos="569" w:val="left" w:leader="none"/>
        </w:tabs>
        <w:spacing w:line="240" w:lineRule="auto" w:before="182"/>
        <w:ind w:left="108" w:right="0"/>
        <w:jc w:val="left"/>
      </w:pPr>
      <w:r>
        <w:rPr>
          <w:rFonts w:ascii="Arial" w:hAnsi="Arial" w:cs="Arial" w:eastAsia="Arial" w:hint="default"/>
          <w:w w:val="95"/>
        </w:rPr>
        <w:t>(c)</w:t>
        <w:tab/>
      </w:r>
      <w:r>
        <w:rPr/>
        <w:t>长期借款非流动部分的公允价值分析如下：</w:t>
      </w:r>
    </w:p>
    <w:p>
      <w:pPr>
        <w:pStyle w:val="BodyText"/>
        <w:tabs>
          <w:tab w:pos="5007" w:val="left" w:leader="none"/>
          <w:tab w:pos="7723" w:val="left" w:leader="none"/>
        </w:tabs>
        <w:spacing w:line="240" w:lineRule="auto" w:before="181"/>
        <w:ind w:left="598" w:right="0"/>
        <w:jc w:val="left"/>
      </w:pPr>
      <w:r>
        <w:rPr>
          <w:w w:val="95"/>
        </w:rPr>
        <w:t>（单位：人民币百万元）</w:t>
        <w:tab/>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20"/>
        </w:rPr>
        <w:t> </w:t>
      </w:r>
      <w:r>
        <w:rPr/>
        <w:t>年</w:t>
      </w:r>
      <w:r>
        <w:rPr>
          <w:spacing w:val="-69"/>
        </w:rPr>
        <w:t> </w:t>
      </w:r>
      <w:r>
        <w:rPr>
          <w:rFonts w:ascii="Arial" w:hAnsi="Arial" w:cs="Arial" w:eastAsia="Arial" w:hint="default"/>
        </w:rPr>
        <w:t>12</w:t>
      </w:r>
      <w:r>
        <w:rPr>
          <w:rFonts w:ascii="Arial" w:hAnsi="Arial" w:cs="Arial" w:eastAsia="Arial" w:hint="default"/>
          <w:spacing w:val="-21"/>
        </w:rPr>
        <w:t> </w:t>
      </w:r>
      <w:r>
        <w:rPr/>
        <w:t>月</w:t>
      </w:r>
      <w:r>
        <w:rPr>
          <w:spacing w:val="-69"/>
        </w:rPr>
        <w:t> </w:t>
      </w:r>
      <w:r>
        <w:rPr>
          <w:rFonts w:ascii="Arial" w:hAnsi="Arial" w:cs="Arial" w:eastAsia="Arial" w:hint="default"/>
        </w:rPr>
        <w:t>31</w:t>
      </w:r>
      <w:r>
        <w:rPr>
          <w:rFonts w:ascii="Arial" w:hAnsi="Arial" w:cs="Arial" w:eastAsia="Arial" w:hint="default"/>
          <w:spacing w:val="-20"/>
        </w:rPr>
        <w:t> </w:t>
      </w:r>
      <w:r>
        <w:rPr/>
        <w:t>日</w:t>
      </w:r>
    </w:p>
    <w:p>
      <w:pPr>
        <w:tabs>
          <w:tab w:pos="7222" w:val="left" w:leader="none"/>
        </w:tabs>
        <w:spacing w:line="20" w:lineRule="exact"/>
        <w:ind w:left="4645" w:right="0" w:firstLine="0"/>
        <w:rPr>
          <w:rFonts w:ascii="宋体" w:hAnsi="宋体" w:cs="宋体" w:eastAsia="宋体" w:hint="default"/>
          <w:sz w:val="2"/>
          <w:szCs w:val="2"/>
        </w:rPr>
      </w:pPr>
      <w:r>
        <w:rPr>
          <w:rFonts w:ascii="宋体"/>
          <w:sz w:val="2"/>
        </w:rPr>
        <w:pict>
          <v:group style="width:117.85pt;height:.75pt;mso-position-horizontal-relative:char;mso-position-vertical-relative:line" coordorigin="0,0" coordsize="2357,15">
            <v:group style="position:absolute;left:7;top:7;width:2343;height:2" coordorigin="7,7" coordsize="2343,2">
              <v:shape style="position:absolute;left:7;top:7;width:2343;height:2" coordorigin="7,7" coordsize="2343,0" path="m7,7l2350,7e" filled="false" stroked="true" strokeweight=".72pt" strokecolor="#000000">
                <v:path arrowok="t"/>
              </v:shape>
            </v:group>
          </v:group>
        </w:pict>
      </w:r>
      <w:r>
        <w:rPr>
          <w:rFonts w:ascii="宋体"/>
          <w:sz w:val="2"/>
        </w:rPr>
      </w:r>
      <w:r>
        <w:rPr>
          <w:rFonts w:ascii="宋体"/>
          <w:sz w:val="2"/>
        </w:rPr>
        <w:tab/>
      </w:r>
      <w:r>
        <w:rPr>
          <w:rFonts w:ascii="宋体"/>
          <w:sz w:val="2"/>
        </w:rPr>
        <w:pict>
          <v:group style="width:120.15pt;height:.75pt;mso-position-horizontal-relative:char;mso-position-vertical-relative:line" coordorigin="0,0" coordsize="2403,15">
            <v:group style="position:absolute;left:7;top:7;width:2388;height:2" coordorigin="7,7" coordsize="2388,2">
              <v:shape style="position:absolute;left:7;top:7;width:2388;height:2" coordorigin="7,7" coordsize="2388,0" path="m7,7l2395,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6"/>
          <w:szCs w:val="16"/>
        </w:rPr>
      </w:pPr>
    </w:p>
    <w:p>
      <w:pPr>
        <w:pStyle w:val="BodyText"/>
        <w:tabs>
          <w:tab w:pos="6231" w:val="left" w:leader="none"/>
          <w:tab w:pos="8842" w:val="left" w:leader="none"/>
        </w:tabs>
        <w:spacing w:line="240" w:lineRule="auto" w:before="27"/>
        <w:ind w:left="633" w:right="0"/>
        <w:jc w:val="left"/>
        <w:rPr>
          <w:rFonts w:ascii="Arial" w:hAnsi="Arial" w:cs="Arial" w:eastAsia="Arial" w:hint="default"/>
        </w:rPr>
      </w:pPr>
      <w:r>
        <w:rPr>
          <w:w w:val="95"/>
          <w:position w:val="2"/>
        </w:rPr>
        <w:t>长期借款非流动部分公允价值</w:t>
        <w:tab/>
      </w:r>
      <w:r>
        <w:rPr>
          <w:rFonts w:ascii="Arial" w:hAnsi="Arial" w:cs="Arial" w:eastAsia="Arial" w:hint="default"/>
          <w:w w:val="95"/>
        </w:rPr>
        <w:t>1,225</w:t>
        <w:tab/>
      </w:r>
      <w:r>
        <w:rPr>
          <w:rFonts w:ascii="Arial" w:hAnsi="Arial" w:cs="Arial" w:eastAsia="Arial" w:hint="default"/>
        </w:rPr>
        <w:t>1,311</w:t>
      </w:r>
    </w:p>
    <w:p>
      <w:pPr>
        <w:tabs>
          <w:tab w:pos="7208" w:val="left" w:leader="none"/>
        </w:tabs>
        <w:spacing w:line="43" w:lineRule="exact"/>
        <w:ind w:left="4630" w:right="0" w:firstLine="0"/>
        <w:rPr>
          <w:rFonts w:ascii="Arial" w:hAnsi="Arial" w:cs="Arial" w:eastAsia="Arial" w:hint="default"/>
          <w:sz w:val="4"/>
          <w:szCs w:val="4"/>
        </w:rPr>
      </w:pPr>
      <w:r>
        <w:rPr>
          <w:rFonts w:ascii="Arial"/>
          <w:position w:val="0"/>
          <w:sz w:val="4"/>
        </w:rPr>
        <w:pict>
          <v:group style="width:118.6pt;height:2.2pt;mso-position-horizontal-relative:char;mso-position-vertical-relative:line" coordorigin="0,0" coordsize="2372,44">
            <v:group style="position:absolute;left:7;top:36;width:2357;height:2" coordorigin="7,36" coordsize="2357,2">
              <v:shape style="position:absolute;left:7;top:36;width:2357;height:2" coordorigin="7,36" coordsize="2357,0" path="m7,36l2364,36e" filled="false" stroked="true" strokeweight=".72pt" strokecolor="#000000">
                <v:path arrowok="t"/>
              </v:shape>
            </v:group>
            <v:group style="position:absolute;left:7;top:7;width:2357;height:2" coordorigin="7,7" coordsize="2357,2">
              <v:shape style="position:absolute;left:7;top:7;width:2357;height:2" coordorigin="7,7" coordsize="2357,0" path="m7,7l2364,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20.85pt;height:2.2pt;mso-position-horizontal-relative:char;mso-position-vertical-relative:line" coordorigin="0,0" coordsize="2417,44">
            <v:group style="position:absolute;left:7;top:36;width:2403;height:2" coordorigin="7,36" coordsize="2403,2">
              <v:shape style="position:absolute;left:7;top:36;width:2403;height:2" coordorigin="7,36" coordsize="2403,0" path="m7,36l2410,36e" filled="false" stroked="true" strokeweight=".72pt" strokecolor="#000000">
                <v:path arrowok="t"/>
              </v:shape>
            </v:group>
            <v:group style="position:absolute;left:7;top:7;width:2403;height:2" coordorigin="7,7" coordsize="2403,2">
              <v:shape style="position:absolute;left:7;top:7;width:2403;height:2" coordorigin="7,7" coordsize="2403,0" path="m7,7l2410,7e" filled="false" stroked="true" strokeweight=".72pt" strokecolor="#000000">
                <v:path arrowok="t"/>
              </v:shape>
            </v:group>
          </v:group>
        </w:pict>
      </w:r>
      <w:r>
        <w:rPr>
          <w:rFonts w:ascii="Arial"/>
          <w:position w:val="0"/>
          <w:sz w:val="4"/>
        </w:rPr>
      </w:r>
    </w:p>
    <w:p>
      <w:pPr>
        <w:spacing w:line="240" w:lineRule="auto" w:before="10"/>
        <w:rPr>
          <w:rFonts w:ascii="Arial" w:hAnsi="Arial" w:cs="Arial" w:eastAsia="Arial" w:hint="default"/>
          <w:sz w:val="11"/>
          <w:szCs w:val="11"/>
        </w:rPr>
      </w:pPr>
    </w:p>
    <w:p>
      <w:pPr>
        <w:pStyle w:val="BodyText"/>
        <w:spacing w:line="294" w:lineRule="exact" w:before="31"/>
        <w:ind w:left="570" w:right="0"/>
        <w:jc w:val="left"/>
        <w:rPr>
          <w:rFonts w:ascii="Arial" w:hAnsi="Arial" w:cs="Arial" w:eastAsia="Arial" w:hint="default"/>
        </w:rPr>
      </w:pPr>
      <w:r>
        <w:rPr/>
        <w:t>于</w:t>
      </w:r>
      <w:r>
        <w:rPr>
          <w:spacing w:val="-34"/>
        </w:rPr>
        <w:t> </w:t>
      </w:r>
      <w:r>
        <w:rPr>
          <w:rFonts w:ascii="Arial" w:hAnsi="Arial" w:cs="Arial" w:eastAsia="Arial" w:hint="default"/>
        </w:rPr>
        <w:t>2011</w:t>
      </w:r>
      <w:r>
        <w:rPr>
          <w:rFonts w:ascii="Arial" w:hAnsi="Arial" w:cs="Arial" w:eastAsia="Arial" w:hint="default"/>
          <w:spacing w:val="15"/>
        </w:rPr>
        <w:t> </w:t>
      </w:r>
      <w:r>
        <w:rPr/>
        <w:t>年</w:t>
      </w:r>
      <w:r>
        <w:rPr>
          <w:spacing w:val="-34"/>
        </w:rPr>
        <w:t> </w:t>
      </w:r>
      <w:r>
        <w:rPr>
          <w:rFonts w:ascii="Arial" w:hAnsi="Arial" w:cs="Arial" w:eastAsia="Arial" w:hint="default"/>
        </w:rPr>
        <w:t>12</w:t>
      </w:r>
      <w:r>
        <w:rPr>
          <w:rFonts w:ascii="Arial" w:hAnsi="Arial" w:cs="Arial" w:eastAsia="Arial" w:hint="default"/>
          <w:spacing w:val="15"/>
        </w:rPr>
        <w:t> </w:t>
      </w:r>
      <w:r>
        <w:rPr/>
        <w:t>月</w:t>
      </w:r>
      <w:r>
        <w:rPr>
          <w:spacing w:val="-34"/>
        </w:rPr>
        <w:t> </w:t>
      </w:r>
      <w:r>
        <w:rPr>
          <w:rFonts w:ascii="Arial" w:hAnsi="Arial" w:cs="Arial" w:eastAsia="Arial" w:hint="default"/>
        </w:rPr>
        <w:t>31</w:t>
      </w:r>
      <w:r>
        <w:rPr>
          <w:rFonts w:ascii="Arial" w:hAnsi="Arial" w:cs="Arial" w:eastAsia="Arial" w:hint="default"/>
          <w:spacing w:val="15"/>
        </w:rPr>
        <w:t> </w:t>
      </w:r>
      <w:r>
        <w:rPr/>
        <w:t>日，上述公允价值以现金流量按市场利率</w:t>
      </w:r>
      <w:r>
        <w:rPr>
          <w:spacing w:val="-35"/>
        </w:rPr>
        <w:t> </w:t>
      </w:r>
      <w:r>
        <w:rPr>
          <w:rFonts w:ascii="Arial" w:hAnsi="Arial" w:cs="Arial" w:eastAsia="Arial" w:hint="default"/>
        </w:rPr>
        <w:t>4.63%</w:t>
      </w:r>
      <w:r>
        <w:rPr/>
        <w:t>至</w:t>
      </w:r>
      <w:r>
        <w:rPr>
          <w:spacing w:val="-34"/>
        </w:rPr>
        <w:t> </w:t>
      </w:r>
      <w:r>
        <w:rPr>
          <w:rFonts w:ascii="Arial" w:hAnsi="Arial" w:cs="Arial" w:eastAsia="Arial" w:hint="default"/>
        </w:rPr>
        <w:t>5.41%</w:t>
      </w:r>
      <w:r>
        <w:rPr/>
        <w:t>来折算（</w:t>
      </w:r>
      <w:r>
        <w:rPr>
          <w:rFonts w:ascii="Arial" w:hAnsi="Arial" w:cs="Arial" w:eastAsia="Arial" w:hint="default"/>
        </w:rPr>
        <w:t>2010</w:t>
      </w:r>
    </w:p>
    <w:p>
      <w:pPr>
        <w:pStyle w:val="BodyText"/>
        <w:spacing w:line="294" w:lineRule="exact"/>
        <w:ind w:left="569" w:right="0"/>
        <w:jc w:val="left"/>
      </w:pP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4.28%</w:t>
      </w:r>
      <w:r>
        <w:rPr/>
        <w:t>至</w:t>
      </w:r>
      <w:r>
        <w:rPr>
          <w:spacing w:val="-57"/>
        </w:rPr>
        <w:t> </w:t>
      </w:r>
      <w:r>
        <w:rPr>
          <w:rFonts w:ascii="Arial" w:hAnsi="Arial" w:cs="Arial" w:eastAsia="Arial" w:hint="default"/>
        </w:rPr>
        <w:t>4.97%</w:t>
      </w:r>
      <w:r>
        <w:rPr/>
        <w:t>）。</w:t>
      </w:r>
    </w:p>
    <w:p>
      <w:pPr>
        <w:spacing w:after="0" w:line="294" w:lineRule="exact"/>
        <w:jc w:val="left"/>
        <w:sectPr>
          <w:pgSz w:w="11900" w:h="16840"/>
          <w:pgMar w:header="1189" w:footer="752" w:top="3600" w:bottom="940" w:left="1260" w:right="820"/>
        </w:sectPr>
      </w:pPr>
    </w:p>
    <w:p>
      <w:pPr>
        <w:spacing w:line="240" w:lineRule="auto" w:before="9"/>
        <w:rPr>
          <w:rFonts w:ascii="宋体" w:hAnsi="宋体" w:cs="宋体" w:eastAsia="宋体" w:hint="default"/>
          <w:sz w:val="16"/>
          <w:szCs w:val="16"/>
        </w:rPr>
      </w:pPr>
    </w:p>
    <w:p>
      <w:pPr>
        <w:pStyle w:val="BodyText"/>
        <w:spacing w:line="240" w:lineRule="auto" w:before="31"/>
        <w:ind w:left="122" w:right="0"/>
        <w:jc w:val="left"/>
      </w:pPr>
      <w:r>
        <w:rPr>
          <w:rFonts w:ascii="Arial" w:hAnsi="Arial" w:cs="Arial" w:eastAsia="Arial" w:hint="default"/>
        </w:rPr>
        <w:t>27</w:t>
      </w:r>
      <w:r>
        <w:rPr/>
        <w:t>、应付债券</w:t>
      </w:r>
    </w:p>
    <w:p>
      <w:pPr>
        <w:spacing w:line="240" w:lineRule="auto" w:before="4"/>
        <w:rPr>
          <w:rFonts w:ascii="宋体" w:hAnsi="宋体" w:cs="宋体" w:eastAsia="宋体" w:hint="default"/>
          <w:sz w:val="15"/>
          <w:szCs w:val="15"/>
        </w:rPr>
      </w:pPr>
    </w:p>
    <w:p>
      <w:pPr>
        <w:tabs>
          <w:tab w:pos="5315" w:val="left" w:leader="none"/>
          <w:tab w:pos="6839" w:val="left" w:leader="none"/>
        </w:tabs>
        <w:spacing w:before="38"/>
        <w:ind w:left="2778" w:right="0"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6"/>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Arial" w:hAnsi="Arial" w:cs="Arial" w:eastAsia="Arial" w:hint="default"/>
          <w:sz w:val="20"/>
          <w:szCs w:val="20"/>
        </w:rPr>
        <w:t>12</w:t>
      </w:r>
      <w:r>
        <w:rPr>
          <w:rFonts w:ascii="Arial" w:hAnsi="Arial" w:cs="Arial" w:eastAsia="Arial" w:hint="default"/>
          <w:spacing w:val="-16"/>
          <w:sz w:val="20"/>
          <w:szCs w:val="20"/>
        </w:rPr>
        <w:t> </w:t>
      </w: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Arial" w:hAnsi="Arial" w:cs="Arial" w:eastAsia="Arial" w:hint="default"/>
          <w:sz w:val="20"/>
          <w:szCs w:val="20"/>
        </w:rPr>
        <w:t>31</w:t>
      </w:r>
      <w:r>
        <w:rPr>
          <w:rFonts w:ascii="Arial" w:hAnsi="Arial" w:cs="Arial" w:eastAsia="Arial" w:hint="default"/>
          <w:spacing w:val="-15"/>
          <w:sz w:val="20"/>
          <w:szCs w:val="20"/>
        </w:rPr>
        <w:t> </w:t>
      </w:r>
      <w:r>
        <w:rPr>
          <w:rFonts w:ascii="宋体" w:hAnsi="宋体" w:cs="宋体" w:eastAsia="宋体" w:hint="default"/>
          <w:sz w:val="20"/>
          <w:szCs w:val="20"/>
        </w:rPr>
        <w:t>日</w:t>
        <w:tab/>
        <w:t>本年增加</w:t>
        <w:tab/>
        <w:t>本年减少</w:t>
      </w:r>
      <w:r>
        <w:rPr>
          <w:rFonts w:ascii="宋体" w:hAnsi="宋体" w:cs="宋体" w:eastAsia="宋体" w:hint="default"/>
          <w:spacing w:val="70"/>
          <w:sz w:val="20"/>
          <w:szCs w:val="20"/>
        </w:rPr>
        <w:t> </w:t>
      </w: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Arial" w:hAnsi="Arial" w:cs="Arial" w:eastAsia="Arial" w:hint="default"/>
          <w:sz w:val="20"/>
          <w:szCs w:val="20"/>
        </w:rPr>
        <w:t>12</w:t>
      </w:r>
      <w:r>
        <w:rPr>
          <w:rFonts w:ascii="Arial" w:hAnsi="Arial" w:cs="Arial" w:eastAsia="Arial"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Arial" w:hAnsi="Arial" w:cs="Arial" w:eastAsia="Arial" w:hint="default"/>
          <w:sz w:val="20"/>
          <w:szCs w:val="20"/>
        </w:rPr>
        <w:t>31</w:t>
      </w:r>
      <w:r>
        <w:rPr>
          <w:rFonts w:ascii="Arial" w:hAnsi="Arial" w:cs="Arial" w:eastAsia="Arial" w:hint="default"/>
          <w:spacing w:val="-9"/>
          <w:sz w:val="20"/>
          <w:szCs w:val="20"/>
        </w:rPr>
        <w:t> </w:t>
      </w:r>
      <w:r>
        <w:rPr>
          <w:rFonts w:ascii="宋体" w:hAnsi="宋体" w:cs="宋体" w:eastAsia="宋体" w:hint="default"/>
          <w:sz w:val="20"/>
          <w:szCs w:val="20"/>
        </w:rPr>
        <w:t>日</w:t>
      </w:r>
    </w:p>
    <w:p>
      <w:pPr>
        <w:spacing w:line="20" w:lineRule="exact"/>
        <w:ind w:left="2725" w:right="0" w:firstLine="0"/>
        <w:rPr>
          <w:rFonts w:ascii="宋体" w:hAnsi="宋体" w:cs="宋体" w:eastAsia="宋体" w:hint="default"/>
          <w:sz w:val="2"/>
          <w:szCs w:val="2"/>
        </w:rPr>
      </w:pPr>
      <w:r>
        <w:rPr>
          <w:rFonts w:ascii="宋体"/>
          <w:sz w:val="2"/>
        </w:rPr>
        <w:pict>
          <v:group style="width:88.5pt;height:.75pt;mso-position-horizontal-relative:char;mso-position-vertical-relative:line" coordorigin="0,0" coordsize="1770,15">
            <v:group style="position:absolute;left:7;top:7;width:1756;height:2" coordorigin="7,7" coordsize="1756,2">
              <v:shape style="position:absolute;left:7;top:7;width:1756;height:2" coordorigin="7,7" coordsize="1756,0" path="m7,7l1763,7e" filled="false" stroked="true" strokeweight=".71997pt" strokecolor="#000000">
                <v:path arrowok="t"/>
              </v:shape>
            </v:group>
          </v:group>
        </w:pict>
      </w:r>
      <w:r>
        <w:rPr>
          <w:rFonts w:ascii="宋体"/>
          <w:sz w:val="2"/>
        </w:rPr>
      </w:r>
      <w:r>
        <w:rPr>
          <w:rFonts w:ascii="Times New Roman"/>
          <w:spacing w:val="87"/>
          <w:sz w:val="2"/>
        </w:rPr>
        <w:t> </w:t>
      </w:r>
      <w:r>
        <w:rPr>
          <w:rFonts w:ascii="宋体"/>
          <w:spacing w:val="87"/>
          <w:sz w:val="2"/>
        </w:rPr>
        <w:pict>
          <v:group style="width:77.5pt;height:.75pt;mso-position-horizontal-relative:char;mso-position-vertical-relative:line" coordorigin="0,0" coordsize="1550,15">
            <v:group style="position:absolute;left:7;top:7;width:1535;height:2" coordorigin="7,7" coordsize="1535,2">
              <v:shape style="position:absolute;left:7;top:7;width:1535;height:2" coordorigin="7,7" coordsize="1535,0" path="m7,7l1542,7e" filled="false" stroked="true" strokeweight=".71997pt" strokecolor="#000000">
                <v:path arrowok="t"/>
              </v:shape>
            </v:group>
          </v:group>
        </w:pict>
      </w:r>
      <w:r>
        <w:rPr>
          <w:rFonts w:ascii="宋体"/>
          <w:spacing w:val="87"/>
          <w:sz w:val="2"/>
        </w:rPr>
      </w:r>
      <w:r>
        <w:rPr>
          <w:rFonts w:ascii="Times New Roman"/>
          <w:spacing w:val="87"/>
          <w:sz w:val="2"/>
        </w:rPr>
        <w:t> </w:t>
      </w:r>
      <w:r>
        <w:rPr>
          <w:rFonts w:ascii="宋体"/>
          <w:spacing w:val="87"/>
          <w:sz w:val="2"/>
        </w:rPr>
        <w:pict>
          <v:group style="width:71.4pt;height:.75pt;mso-position-horizontal-relative:char;mso-position-vertical-relative:line" coordorigin="0,0" coordsize="1428,15">
            <v:group style="position:absolute;left:7;top:7;width:1414;height:2" coordorigin="7,7" coordsize="1414,2">
              <v:shape style="position:absolute;left:7;top:7;width:1414;height:2" coordorigin="7,7" coordsize="1414,0" path="m7,7l1421,7e" filled="false" stroked="true" strokeweight=".71997pt" strokecolor="#000000">
                <v:path arrowok="t"/>
              </v:shape>
            </v:group>
          </v:group>
        </w:pict>
      </w:r>
      <w:r>
        <w:rPr>
          <w:rFonts w:ascii="宋体"/>
          <w:spacing w:val="87"/>
          <w:sz w:val="2"/>
        </w:rPr>
      </w:r>
      <w:r>
        <w:rPr>
          <w:rFonts w:ascii="Times New Roman"/>
          <w:spacing w:val="87"/>
          <w:sz w:val="2"/>
        </w:rPr>
        <w:t> </w:t>
      </w:r>
      <w:r>
        <w:rPr>
          <w:rFonts w:ascii="宋体"/>
          <w:spacing w:val="87"/>
          <w:sz w:val="2"/>
        </w:rPr>
        <w:pict>
          <v:group style="width:90.1pt;height:.75pt;mso-position-horizontal-relative:char;mso-position-vertical-relative:line" coordorigin="0,0" coordsize="1802,15">
            <v:group style="position:absolute;left:7;top:7;width:1787;height:2" coordorigin="7,7" coordsize="1787,2">
              <v:shape style="position:absolute;left:7;top:7;width:1787;height:2" coordorigin="7,7" coordsize="1787,0" path="m7,7l1794,7e" filled="false" stroked="true" strokeweight=".71997pt" strokecolor="#000000">
                <v:path arrowok="t"/>
              </v:shape>
            </v:group>
          </v:group>
        </w:pict>
      </w:r>
      <w:r>
        <w:rPr>
          <w:rFonts w:ascii="宋体"/>
          <w:spacing w:val="87"/>
          <w:sz w:val="2"/>
        </w:rPr>
      </w:r>
    </w:p>
    <w:p>
      <w:pPr>
        <w:spacing w:line="240" w:lineRule="auto" w:before="12"/>
        <w:rPr>
          <w:rFonts w:ascii="宋体" w:hAnsi="宋体" w:cs="宋体" w:eastAsia="宋体" w:hint="default"/>
          <w:sz w:val="12"/>
          <w:szCs w:val="12"/>
        </w:rPr>
      </w:pPr>
    </w:p>
    <w:p>
      <w:pPr>
        <w:tabs>
          <w:tab w:pos="3058" w:val="left" w:leader="none"/>
          <w:tab w:pos="5905" w:val="left" w:leader="none"/>
          <w:tab w:pos="7437" w:val="left" w:leader="none"/>
          <w:tab w:pos="8113" w:val="left" w:leader="none"/>
        </w:tabs>
        <w:spacing w:line="273" w:lineRule="exact" w:before="42"/>
        <w:ind w:left="635" w:right="0" w:firstLine="0"/>
        <w:jc w:val="left"/>
        <w:rPr>
          <w:rFonts w:ascii="Arial" w:hAnsi="Arial" w:cs="Arial" w:eastAsia="Arial" w:hint="default"/>
          <w:sz w:val="20"/>
          <w:szCs w:val="20"/>
        </w:rPr>
      </w:pPr>
      <w:r>
        <w:rPr>
          <w:rFonts w:ascii="Arial" w:hAnsi="Arial" w:cs="Arial" w:eastAsia="Arial" w:hint="default"/>
          <w:spacing w:val="-1"/>
          <w:position w:val="1"/>
          <w:sz w:val="20"/>
          <w:szCs w:val="20"/>
        </w:rPr>
        <w:t>2007</w:t>
      </w:r>
      <w:r>
        <w:rPr>
          <w:rFonts w:ascii="Arial" w:hAnsi="Arial" w:cs="Arial" w:eastAsia="Arial" w:hint="default"/>
          <w:position w:val="1"/>
          <w:sz w:val="20"/>
          <w:szCs w:val="20"/>
        </w:rPr>
        <w:t> </w:t>
      </w:r>
      <w:r>
        <w:rPr>
          <w:rFonts w:ascii="宋体" w:hAnsi="宋体" w:cs="宋体" w:eastAsia="宋体" w:hint="default"/>
          <w:spacing w:val="-1"/>
          <w:position w:val="1"/>
          <w:sz w:val="20"/>
          <w:szCs w:val="20"/>
        </w:rPr>
        <w:t>年公司债券</w:t>
        <w:tab/>
      </w:r>
      <w:r>
        <w:rPr>
          <w:rFonts w:ascii="Arial" w:hAnsi="Arial" w:cs="Arial" w:eastAsia="Arial" w:hint="default"/>
          <w:spacing w:val="-2"/>
          <w:sz w:val="20"/>
          <w:szCs w:val="20"/>
        </w:rPr>
        <w:t>2,000,000,000</w:t>
        <w:tab/>
      </w:r>
      <w:r>
        <w:rPr>
          <w:rFonts w:ascii="Arial" w:hAnsi="Arial" w:cs="Arial" w:eastAsia="Arial" w:hint="default"/>
          <w:sz w:val="20"/>
          <w:szCs w:val="20"/>
        </w:rPr>
        <w:t>-</w:t>
        <w:tab/>
        <w:t>-</w:t>
        <w:tab/>
      </w:r>
      <w:r>
        <w:rPr>
          <w:rFonts w:ascii="Arial" w:hAnsi="Arial" w:cs="Arial" w:eastAsia="Arial" w:hint="default"/>
          <w:spacing w:val="-2"/>
          <w:sz w:val="20"/>
          <w:szCs w:val="20"/>
        </w:rPr>
        <w:t>2,000,000,000</w:t>
      </w:r>
    </w:p>
    <w:p>
      <w:pPr>
        <w:tabs>
          <w:tab w:pos="3058" w:val="left" w:leader="none"/>
          <w:tab w:pos="5905" w:val="left" w:leader="none"/>
          <w:tab w:pos="7437" w:val="left" w:leader="none"/>
          <w:tab w:pos="8113" w:val="left" w:leader="none"/>
        </w:tabs>
        <w:spacing w:line="259" w:lineRule="exact" w:before="0"/>
        <w:ind w:left="635" w:right="0" w:firstLine="0"/>
        <w:jc w:val="left"/>
        <w:rPr>
          <w:rFonts w:ascii="Arial" w:hAnsi="Arial" w:cs="Arial" w:eastAsia="Arial" w:hint="default"/>
          <w:sz w:val="20"/>
          <w:szCs w:val="20"/>
        </w:rPr>
      </w:pPr>
      <w:r>
        <w:rPr>
          <w:rFonts w:ascii="Arial" w:hAnsi="Arial" w:cs="Arial" w:eastAsia="Arial" w:hint="default"/>
          <w:spacing w:val="-1"/>
          <w:position w:val="1"/>
          <w:sz w:val="20"/>
          <w:szCs w:val="20"/>
        </w:rPr>
        <w:t>2008</w:t>
      </w:r>
      <w:r>
        <w:rPr>
          <w:rFonts w:ascii="Arial" w:hAnsi="Arial" w:cs="Arial" w:eastAsia="Arial" w:hint="default"/>
          <w:position w:val="1"/>
          <w:sz w:val="20"/>
          <w:szCs w:val="20"/>
        </w:rPr>
        <w:t> </w:t>
      </w:r>
      <w:r>
        <w:rPr>
          <w:rFonts w:ascii="宋体" w:hAnsi="宋体" w:cs="宋体" w:eastAsia="宋体" w:hint="default"/>
          <w:spacing w:val="-1"/>
          <w:position w:val="1"/>
          <w:sz w:val="20"/>
          <w:szCs w:val="20"/>
        </w:rPr>
        <w:t>年公司债券</w:t>
        <w:tab/>
      </w:r>
      <w:r>
        <w:rPr>
          <w:rFonts w:ascii="Arial" w:hAnsi="Arial" w:cs="Arial" w:eastAsia="Arial" w:hint="default"/>
          <w:spacing w:val="-2"/>
          <w:sz w:val="20"/>
          <w:szCs w:val="20"/>
        </w:rPr>
        <w:t>5,000,000,000</w:t>
        <w:tab/>
      </w:r>
      <w:r>
        <w:rPr>
          <w:rFonts w:ascii="Arial" w:hAnsi="Arial" w:cs="Arial" w:eastAsia="Arial" w:hint="default"/>
          <w:sz w:val="20"/>
          <w:szCs w:val="20"/>
        </w:rPr>
        <w:t>-</w:t>
        <w:tab/>
        <w:t>-</w:t>
        <w:tab/>
      </w:r>
      <w:r>
        <w:rPr>
          <w:rFonts w:ascii="Arial" w:hAnsi="Arial" w:cs="Arial" w:eastAsia="Arial" w:hint="default"/>
          <w:spacing w:val="-2"/>
          <w:sz w:val="20"/>
          <w:szCs w:val="20"/>
        </w:rPr>
        <w:t>5,000,000,000</w:t>
      </w:r>
    </w:p>
    <w:p>
      <w:pPr>
        <w:tabs>
          <w:tab w:pos="3058" w:val="left" w:leader="none"/>
          <w:tab w:pos="5905" w:val="left" w:leader="none"/>
          <w:tab w:pos="7437" w:val="left" w:leader="none"/>
          <w:tab w:pos="8113" w:val="left" w:leader="none"/>
        </w:tabs>
        <w:spacing w:line="259" w:lineRule="exact" w:before="0"/>
        <w:ind w:left="635" w:right="0" w:firstLine="0"/>
        <w:jc w:val="left"/>
        <w:rPr>
          <w:rFonts w:ascii="Arial" w:hAnsi="Arial" w:cs="Arial" w:eastAsia="Arial" w:hint="default"/>
          <w:sz w:val="20"/>
          <w:szCs w:val="20"/>
        </w:rPr>
      </w:pPr>
      <w:r>
        <w:rPr>
          <w:rFonts w:ascii="Arial" w:hAnsi="Arial" w:cs="Arial" w:eastAsia="Arial" w:hint="default"/>
          <w:position w:val="1"/>
          <w:sz w:val="20"/>
          <w:szCs w:val="20"/>
        </w:rPr>
        <w:t>2010</w:t>
      </w:r>
      <w:r>
        <w:rPr>
          <w:rFonts w:ascii="Arial" w:hAnsi="Arial" w:cs="Arial" w:eastAsia="Arial" w:hint="default"/>
          <w:spacing w:val="-14"/>
          <w:position w:val="1"/>
          <w:sz w:val="20"/>
          <w:szCs w:val="20"/>
        </w:rPr>
        <w:t> </w:t>
      </w:r>
      <w:r>
        <w:rPr>
          <w:rFonts w:ascii="宋体" w:hAnsi="宋体" w:cs="宋体" w:eastAsia="宋体" w:hint="default"/>
          <w:spacing w:val="-1"/>
          <w:position w:val="1"/>
          <w:sz w:val="20"/>
          <w:szCs w:val="20"/>
        </w:rPr>
        <w:t>年第一期中期票据</w:t>
        <w:tab/>
      </w:r>
      <w:r>
        <w:rPr>
          <w:rFonts w:ascii="Arial" w:hAnsi="Arial" w:cs="Arial" w:eastAsia="Arial" w:hint="default"/>
          <w:spacing w:val="-2"/>
          <w:sz w:val="20"/>
          <w:szCs w:val="20"/>
        </w:rPr>
        <w:t>3,000,000,000</w:t>
        <w:tab/>
      </w:r>
      <w:r>
        <w:rPr>
          <w:rFonts w:ascii="Arial" w:hAnsi="Arial" w:cs="Arial" w:eastAsia="Arial" w:hint="default"/>
          <w:sz w:val="20"/>
          <w:szCs w:val="20"/>
        </w:rPr>
        <w:t>-</w:t>
        <w:tab/>
        <w:t>-</w:t>
        <w:tab/>
      </w:r>
      <w:r>
        <w:rPr>
          <w:rFonts w:ascii="Arial" w:hAnsi="Arial" w:cs="Arial" w:eastAsia="Arial" w:hint="default"/>
          <w:spacing w:val="-2"/>
          <w:sz w:val="20"/>
          <w:szCs w:val="20"/>
        </w:rPr>
        <w:t>3,000,000,000</w:t>
      </w:r>
    </w:p>
    <w:p>
      <w:pPr>
        <w:tabs>
          <w:tab w:pos="2948" w:val="left" w:leader="none"/>
          <w:tab w:pos="5904" w:val="left" w:leader="none"/>
          <w:tab w:pos="7436" w:val="left" w:leader="none"/>
          <w:tab w:pos="8002" w:val="left" w:leader="none"/>
        </w:tabs>
        <w:spacing w:line="259" w:lineRule="exact" w:before="0"/>
        <w:ind w:left="635" w:right="0" w:firstLine="0"/>
        <w:jc w:val="left"/>
        <w:rPr>
          <w:rFonts w:ascii="Arial" w:hAnsi="Arial" w:cs="Arial" w:eastAsia="Arial" w:hint="default"/>
          <w:sz w:val="20"/>
          <w:szCs w:val="20"/>
        </w:rPr>
      </w:pPr>
      <w:r>
        <w:rPr>
          <w:rFonts w:ascii="Arial" w:hAnsi="Arial" w:cs="Arial" w:eastAsia="Arial" w:hint="default"/>
          <w:position w:val="1"/>
          <w:sz w:val="20"/>
          <w:szCs w:val="20"/>
        </w:rPr>
        <w:t>2010</w:t>
      </w:r>
      <w:r>
        <w:rPr>
          <w:rFonts w:ascii="Arial" w:hAnsi="Arial" w:cs="Arial" w:eastAsia="Arial" w:hint="default"/>
          <w:spacing w:val="-14"/>
          <w:position w:val="1"/>
          <w:sz w:val="20"/>
          <w:szCs w:val="20"/>
        </w:rPr>
        <w:t> </w:t>
      </w:r>
      <w:r>
        <w:rPr>
          <w:rFonts w:ascii="宋体" w:hAnsi="宋体" w:cs="宋体" w:eastAsia="宋体" w:hint="default"/>
          <w:spacing w:val="-1"/>
          <w:position w:val="1"/>
          <w:sz w:val="20"/>
          <w:szCs w:val="20"/>
        </w:rPr>
        <w:t>年第二期中期票据</w:t>
        <w:tab/>
      </w:r>
      <w:r>
        <w:rPr>
          <w:rFonts w:ascii="Arial" w:hAnsi="Arial" w:cs="Arial" w:eastAsia="Arial" w:hint="default"/>
          <w:spacing w:val="-1"/>
          <w:sz w:val="20"/>
          <w:szCs w:val="20"/>
        </w:rPr>
        <w:t>12,000,000,000</w:t>
        <w:tab/>
      </w:r>
      <w:r>
        <w:rPr>
          <w:rFonts w:ascii="Arial" w:hAnsi="Arial" w:cs="Arial" w:eastAsia="Arial" w:hint="default"/>
          <w:sz w:val="20"/>
          <w:szCs w:val="20"/>
        </w:rPr>
        <w:t>-</w:t>
        <w:tab/>
        <w:t>-</w:t>
        <w:tab/>
      </w:r>
      <w:r>
        <w:rPr>
          <w:rFonts w:ascii="Arial" w:hAnsi="Arial" w:cs="Arial" w:eastAsia="Arial" w:hint="default"/>
          <w:spacing w:val="-1"/>
          <w:sz w:val="20"/>
          <w:szCs w:val="20"/>
        </w:rPr>
        <w:t>12,000,000,000</w:t>
      </w:r>
    </w:p>
    <w:p>
      <w:pPr>
        <w:tabs>
          <w:tab w:pos="2732" w:val="left" w:leader="none"/>
          <w:tab w:pos="4860" w:val="left" w:leader="none"/>
          <w:tab w:pos="9551" w:val="left" w:leader="none"/>
        </w:tabs>
        <w:spacing w:line="273" w:lineRule="exact" w:before="0"/>
        <w:ind w:left="636" w:right="0" w:firstLine="0"/>
        <w:jc w:val="left"/>
        <w:rPr>
          <w:rFonts w:ascii="Arial" w:hAnsi="Arial" w:cs="Arial" w:eastAsia="Arial" w:hint="default"/>
          <w:sz w:val="20"/>
          <w:szCs w:val="20"/>
        </w:rPr>
      </w:pPr>
      <w:r>
        <w:rPr>
          <w:rFonts w:ascii="Arial" w:hAnsi="Arial" w:cs="Arial" w:eastAsia="Arial" w:hint="default"/>
          <w:spacing w:val="-1"/>
          <w:position w:val="1"/>
          <w:sz w:val="20"/>
          <w:szCs w:val="20"/>
        </w:rPr>
        <w:t>2010</w:t>
      </w:r>
      <w:r>
        <w:rPr>
          <w:rFonts w:ascii="Arial" w:hAnsi="Arial" w:cs="Arial" w:eastAsia="Arial" w:hint="default"/>
          <w:spacing w:val="2"/>
          <w:position w:val="1"/>
          <w:sz w:val="20"/>
          <w:szCs w:val="20"/>
        </w:rPr>
        <w:t> </w:t>
      </w:r>
      <w:r>
        <w:rPr>
          <w:rFonts w:ascii="宋体" w:hAnsi="宋体" w:cs="宋体" w:eastAsia="宋体" w:hint="default"/>
          <w:spacing w:val="-1"/>
          <w:position w:val="1"/>
          <w:sz w:val="20"/>
          <w:szCs w:val="20"/>
        </w:rPr>
        <w:t>年可转换债券</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11,557,754,642</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213,602,956</w:t>
      </w:r>
      <w:r>
        <w:rPr>
          <w:rFonts w:ascii="Arial" w:hAnsi="Arial" w:cs="Arial" w:eastAsia="Arial" w:hint="default"/>
          <w:sz w:val="20"/>
          <w:szCs w:val="20"/>
          <w:u w:val="single" w:color="000000"/>
        </w:rPr>
        <w:t>      </w:t>
      </w:r>
      <w:r>
        <w:rPr>
          <w:rFonts w:ascii="Arial" w:hAnsi="Arial" w:cs="Arial" w:eastAsia="Arial" w:hint="default"/>
          <w:sz w:val="20"/>
          <w:szCs w:val="20"/>
        </w:rPr>
      </w:r>
      <w:r>
        <w:rPr>
          <w:rFonts w:ascii="Arial" w:hAnsi="Arial" w:cs="Arial" w:eastAsia="Arial" w:hint="default"/>
          <w:sz w:val="20"/>
          <w:szCs w:val="20"/>
          <w:u w:val="single" w:color="000000"/>
        </w:rPr>
        <w:t> </w:t>
      </w:r>
      <w:r>
        <w:rPr>
          <w:rFonts w:ascii="Arial" w:hAnsi="Arial" w:cs="Arial" w:eastAsia="Arial" w:hint="default"/>
          <w:spacing w:val="-1"/>
          <w:sz w:val="20"/>
          <w:szCs w:val="20"/>
          <w:u w:val="single" w:color="000000"/>
        </w:rPr>
        <w:t>(653,251,917)</w:t>
      </w:r>
      <w:r>
        <w:rPr>
          <w:rFonts w:ascii="Arial" w:hAnsi="Arial" w:cs="Arial" w:eastAsia="Arial" w:hint="default"/>
          <w:sz w:val="20"/>
          <w:szCs w:val="20"/>
          <w:u w:val="single" w:color="000000"/>
        </w:rPr>
        <w:t>       </w:t>
      </w:r>
      <w:r>
        <w:rPr>
          <w:rFonts w:ascii="Arial" w:hAnsi="Arial" w:cs="Arial" w:eastAsia="Arial" w:hint="default"/>
          <w:spacing w:val="21"/>
          <w:sz w:val="20"/>
          <w:szCs w:val="20"/>
          <w:u w:val="single" w:color="000000"/>
        </w:rPr>
        <w:t> </w:t>
      </w:r>
      <w:r>
        <w:rPr>
          <w:rFonts w:ascii="Arial" w:hAnsi="Arial" w:cs="Arial" w:eastAsia="Arial" w:hint="default"/>
          <w:spacing w:val="21"/>
          <w:sz w:val="20"/>
          <w:szCs w:val="20"/>
        </w:rPr>
      </w:r>
      <w:r>
        <w:rPr>
          <w:rFonts w:ascii="Arial" w:hAnsi="Arial" w:cs="Arial" w:eastAsia="Arial" w:hint="default"/>
          <w:spacing w:val="21"/>
          <w:sz w:val="20"/>
          <w:szCs w:val="20"/>
          <w:u w:val="single" w:color="000000"/>
        </w:rPr>
        <w:t> </w:t>
      </w:r>
      <w:r>
        <w:rPr>
          <w:rFonts w:ascii="Arial" w:hAnsi="Arial" w:cs="Arial" w:eastAsia="Arial" w:hint="default"/>
          <w:spacing w:val="-1"/>
          <w:sz w:val="20"/>
          <w:szCs w:val="20"/>
          <w:u w:val="single" w:color="000000"/>
        </w:rPr>
        <w:t>11,118,105,681</w:t>
        <w:tab/>
      </w:r>
      <w:r>
        <w:rPr>
          <w:rFonts w:ascii="Arial" w:hAnsi="Arial" w:cs="Arial" w:eastAsia="Arial" w:hint="default"/>
          <w:spacing w:val="-1"/>
          <w:sz w:val="20"/>
          <w:szCs w:val="20"/>
        </w:rPr>
      </w:r>
    </w:p>
    <w:p>
      <w:pPr>
        <w:spacing w:line="240" w:lineRule="auto" w:before="5"/>
        <w:rPr>
          <w:rFonts w:ascii="Arial" w:hAnsi="Arial" w:cs="Arial" w:eastAsia="Arial" w:hint="default"/>
          <w:sz w:val="15"/>
          <w:szCs w:val="15"/>
        </w:rPr>
      </w:pPr>
    </w:p>
    <w:p>
      <w:pPr>
        <w:tabs>
          <w:tab w:pos="2948" w:val="left" w:leader="none"/>
          <w:tab w:pos="4860" w:val="left" w:leader="none"/>
          <w:tab w:pos="6325" w:val="left" w:leader="none"/>
          <w:tab w:pos="8002" w:val="left" w:leader="none"/>
        </w:tabs>
        <w:spacing w:before="42"/>
        <w:ind w:left="635" w:right="0" w:firstLine="0"/>
        <w:jc w:val="left"/>
        <w:rPr>
          <w:rFonts w:ascii="Arial" w:hAnsi="Arial" w:cs="Arial" w:eastAsia="Arial" w:hint="default"/>
          <w:sz w:val="20"/>
          <w:szCs w:val="20"/>
        </w:rPr>
      </w:pPr>
      <w:r>
        <w:rPr>
          <w:rFonts w:ascii="宋体" w:hAnsi="宋体" w:cs="宋体" w:eastAsia="宋体" w:hint="default"/>
          <w:position w:val="1"/>
          <w:sz w:val="20"/>
          <w:szCs w:val="20"/>
        </w:rPr>
        <w:t>合计</w:t>
        <w:tab/>
      </w:r>
      <w:r>
        <w:rPr>
          <w:rFonts w:ascii="Arial" w:hAnsi="Arial" w:cs="Arial" w:eastAsia="Arial" w:hint="default"/>
          <w:spacing w:val="-1"/>
          <w:sz w:val="20"/>
          <w:szCs w:val="20"/>
        </w:rPr>
        <w:t>33,557,754,642</w:t>
        <w:tab/>
        <w:t>213,602,956</w:t>
        <w:tab/>
        <w:t>(653,251,917)</w:t>
        <w:tab/>
        <w:t>33,118,105,681</w:t>
      </w:r>
    </w:p>
    <w:p>
      <w:pPr>
        <w:spacing w:line="43" w:lineRule="exact"/>
        <w:ind w:left="2710" w:right="0" w:firstLine="0"/>
        <w:rPr>
          <w:rFonts w:ascii="Arial" w:hAnsi="Arial" w:cs="Arial" w:eastAsia="Arial" w:hint="default"/>
          <w:sz w:val="4"/>
          <w:szCs w:val="4"/>
        </w:rPr>
      </w:pPr>
      <w:r>
        <w:rPr>
          <w:rFonts w:ascii="Arial"/>
          <w:position w:val="0"/>
          <w:sz w:val="4"/>
        </w:rPr>
        <w:pict>
          <v:group style="width:89.25pt;height:2.2pt;mso-position-horizontal-relative:char;mso-position-vertical-relative:line" coordorigin="0,0" coordsize="1785,44">
            <v:group style="position:absolute;left:7;top:36;width:1770;height:2" coordorigin="7,36" coordsize="1770,2">
              <v:shape style="position:absolute;left:7;top:36;width:1770;height:2" coordorigin="7,36" coordsize="1770,0" path="m7,36l1777,36e" filled="false" stroked="true" strokeweight=".71997pt" strokecolor="#000000">
                <v:path arrowok="t"/>
              </v:shape>
            </v:group>
            <v:group style="position:absolute;left:7;top:7;width:1770;height:2" coordorigin="7,7" coordsize="1770,2">
              <v:shape style="position:absolute;left:7;top:7;width:1770;height:2" coordorigin="7,7" coordsize="1770,0" path="m7,7l1777,7e" filled="false" stroked="true" strokeweight=".71997pt" strokecolor="#000000">
                <v:path arrowok="t"/>
              </v:shape>
            </v:group>
          </v:group>
        </w:pict>
      </w:r>
      <w:r>
        <w:rPr>
          <w:rFonts w:ascii="Arial"/>
          <w:position w:val="0"/>
          <w:sz w:val="4"/>
        </w:rPr>
      </w:r>
      <w:r>
        <w:rPr>
          <w:rFonts w:ascii="Times New Roman"/>
          <w:spacing w:val="64"/>
          <w:position w:val="0"/>
          <w:sz w:val="4"/>
        </w:rPr>
        <w:t> </w:t>
      </w:r>
      <w:r>
        <w:rPr>
          <w:rFonts w:ascii="Arial"/>
          <w:spacing w:val="64"/>
          <w:position w:val="0"/>
          <w:sz w:val="4"/>
        </w:rPr>
        <w:pict>
          <v:group style="width:78.2pt;height:2.2pt;mso-position-horizontal-relative:char;mso-position-vertical-relative:line" coordorigin="0,0" coordsize="1564,44">
            <v:group style="position:absolute;left:7;top:36;width:1550;height:2" coordorigin="7,36" coordsize="1550,2">
              <v:shape style="position:absolute;left:7;top:36;width:1550;height:2" coordorigin="7,36" coordsize="1550,0" path="m7,36l1556,36e" filled="false" stroked="true" strokeweight=".71997pt" strokecolor="#000000">
                <v:path arrowok="t"/>
              </v:shape>
            </v:group>
            <v:group style="position:absolute;left:7;top:7;width:1550;height:2" coordorigin="7,7" coordsize="1550,2">
              <v:shape style="position:absolute;left:7;top:7;width:1550;height:2" coordorigin="7,7" coordsize="1550,0" path="m7,7l1556,7e" filled="false" stroked="true" strokeweight=".71997pt" strokecolor="#000000">
                <v:path arrowok="t"/>
              </v:shape>
            </v:group>
          </v:group>
        </w:pict>
      </w:r>
      <w:r>
        <w:rPr>
          <w:rFonts w:ascii="Arial"/>
          <w:spacing w:val="64"/>
          <w:position w:val="0"/>
          <w:sz w:val="4"/>
        </w:rPr>
      </w:r>
      <w:r>
        <w:rPr>
          <w:rFonts w:ascii="Times New Roman"/>
          <w:spacing w:val="66"/>
          <w:position w:val="0"/>
          <w:sz w:val="4"/>
        </w:rPr>
        <w:t> </w:t>
      </w:r>
      <w:r>
        <w:rPr>
          <w:rFonts w:ascii="Arial"/>
          <w:spacing w:val="66"/>
          <w:position w:val="0"/>
          <w:sz w:val="4"/>
        </w:rPr>
        <w:pict>
          <v:group style="width:72.150pt;height:2.2pt;mso-position-horizontal-relative:char;mso-position-vertical-relative:line" coordorigin="0,0" coordsize="1443,44">
            <v:group style="position:absolute;left:7;top:36;width:1428;height:2" coordorigin="7,36" coordsize="1428,2">
              <v:shape style="position:absolute;left:7;top:36;width:1428;height:2" coordorigin="7,36" coordsize="1428,0" path="m7,36l1435,36e" filled="false" stroked="true" strokeweight=".71997pt" strokecolor="#000000">
                <v:path arrowok="t"/>
              </v:shape>
            </v:group>
            <v:group style="position:absolute;left:7;top:7;width:1428;height:2" coordorigin="7,7" coordsize="1428,2">
              <v:shape style="position:absolute;left:7;top:7;width:1428;height:2" coordorigin="7,7" coordsize="1428,0" path="m7,7l1435,7e" filled="false" stroked="true" strokeweight=".71997pt" strokecolor="#000000">
                <v:path arrowok="t"/>
              </v:shape>
            </v:group>
          </v:group>
        </w:pict>
      </w:r>
      <w:r>
        <w:rPr>
          <w:rFonts w:ascii="Arial"/>
          <w:spacing w:val="66"/>
          <w:position w:val="0"/>
          <w:sz w:val="4"/>
        </w:rPr>
      </w:r>
      <w:r>
        <w:rPr>
          <w:rFonts w:ascii="Times New Roman"/>
          <w:spacing w:val="64"/>
          <w:position w:val="0"/>
          <w:sz w:val="4"/>
        </w:rPr>
        <w:t> </w:t>
      </w:r>
      <w:r>
        <w:rPr>
          <w:rFonts w:ascii="Arial"/>
          <w:spacing w:val="64"/>
          <w:position w:val="0"/>
          <w:sz w:val="4"/>
        </w:rPr>
        <w:pict>
          <v:group style="width:90.8pt;height:2.2pt;mso-position-horizontal-relative:char;mso-position-vertical-relative:line" coordorigin="0,0" coordsize="1816,44">
            <v:group style="position:absolute;left:7;top:36;width:1802;height:2" coordorigin="7,36" coordsize="1802,2">
              <v:shape style="position:absolute;left:7;top:36;width:1802;height:2" coordorigin="7,36" coordsize="1802,0" path="m7,36l1808,36e" filled="false" stroked="true" strokeweight=".71997pt" strokecolor="#000000">
                <v:path arrowok="t"/>
              </v:shape>
            </v:group>
            <v:group style="position:absolute;left:7;top:7;width:1802;height:2" coordorigin="7,7" coordsize="1802,2">
              <v:shape style="position:absolute;left:7;top:7;width:1802;height:2" coordorigin="7,7" coordsize="1802,0" path="m7,7l1808,7e" filled="false" stroked="true" strokeweight=".71997pt" strokecolor="#000000">
                <v:path arrowok="t"/>
              </v:shape>
            </v:group>
          </v:group>
        </w:pict>
      </w:r>
      <w:r>
        <w:rPr>
          <w:rFonts w:ascii="Arial"/>
          <w:spacing w:val="64"/>
          <w:position w:val="0"/>
          <w:sz w:val="4"/>
        </w:rPr>
      </w:r>
    </w:p>
    <w:p>
      <w:pPr>
        <w:spacing w:line="240" w:lineRule="auto" w:before="6"/>
        <w:rPr>
          <w:rFonts w:ascii="Arial" w:hAnsi="Arial" w:cs="Arial" w:eastAsia="Arial" w:hint="default"/>
          <w:sz w:val="16"/>
          <w:szCs w:val="16"/>
        </w:rPr>
      </w:pPr>
    </w:p>
    <w:p>
      <w:pPr>
        <w:pStyle w:val="BodyText"/>
        <w:spacing w:line="240" w:lineRule="auto" w:before="31"/>
        <w:ind w:left="107" w:right="0"/>
        <w:jc w:val="left"/>
      </w:pPr>
      <w:r>
        <w:rPr>
          <w:rFonts w:ascii="Arial" w:hAnsi="Arial" w:cs="Arial" w:eastAsia="Arial" w:hint="default"/>
        </w:rPr>
        <w:t>(a)  </w:t>
      </w:r>
      <w:r>
        <w:rPr>
          <w:rFonts w:ascii="Arial" w:hAnsi="Arial" w:cs="Arial" w:eastAsia="Arial" w:hint="default"/>
          <w:spacing w:val="7"/>
        </w:rPr>
        <w:t> </w:t>
      </w:r>
      <w:r>
        <w:rPr/>
        <w:t>债券有关信息如下：</w:t>
      </w:r>
    </w:p>
    <w:p>
      <w:pPr>
        <w:spacing w:line="240" w:lineRule="auto" w:before="12"/>
        <w:rPr>
          <w:rFonts w:ascii="宋体" w:hAnsi="宋体" w:cs="宋体" w:eastAsia="宋体" w:hint="default"/>
          <w:sz w:val="17"/>
          <w:szCs w:val="17"/>
        </w:rPr>
      </w:pPr>
    </w:p>
    <w:p>
      <w:pPr>
        <w:pStyle w:val="BodyText"/>
        <w:tabs>
          <w:tab w:pos="539" w:val="left" w:leader="none"/>
        </w:tabs>
        <w:spacing w:line="240" w:lineRule="auto"/>
        <w:ind w:left="122" w:right="0"/>
        <w:jc w:val="left"/>
      </w:pPr>
      <w:r>
        <w:rPr>
          <w:rFonts w:ascii="Arial" w:hAnsi="Arial" w:cs="Arial" w:eastAsia="Arial" w:hint="default"/>
          <w:w w:val="95"/>
        </w:rPr>
        <w:t>(i)</w:t>
        <w:tab/>
      </w:r>
      <w:r>
        <w:rPr/>
        <w:t>基本信息</w:t>
      </w:r>
    </w:p>
    <w:p>
      <w:pPr>
        <w:spacing w:line="240" w:lineRule="auto" w:before="12"/>
        <w:rPr>
          <w:rFonts w:ascii="宋体" w:hAnsi="宋体" w:cs="宋体" w:eastAsia="宋体" w:hint="default"/>
          <w:sz w:val="14"/>
          <w:szCs w:val="14"/>
        </w:rPr>
      </w:pPr>
    </w:p>
    <w:p>
      <w:pPr>
        <w:tabs>
          <w:tab w:pos="3952" w:val="left" w:leader="none"/>
          <w:tab w:pos="5128" w:val="left" w:leader="none"/>
          <w:tab w:pos="6077" w:val="left" w:leader="none"/>
          <w:tab w:pos="7046" w:val="left" w:leader="none"/>
          <w:tab w:pos="8486" w:val="left" w:leader="none"/>
        </w:tabs>
        <w:spacing w:before="48"/>
        <w:ind w:left="2790" w:right="0" w:firstLine="0"/>
        <w:jc w:val="left"/>
        <w:rPr>
          <w:rFonts w:ascii="宋体" w:hAnsi="宋体" w:cs="宋体" w:eastAsia="宋体" w:hint="default"/>
          <w:sz w:val="17"/>
          <w:szCs w:val="17"/>
        </w:rPr>
      </w:pPr>
      <w:r>
        <w:rPr>
          <w:rFonts w:ascii="宋体" w:hAnsi="宋体" w:cs="宋体" w:eastAsia="宋体" w:hint="default"/>
          <w:sz w:val="17"/>
          <w:szCs w:val="17"/>
        </w:rPr>
        <w:t>面值</w:t>
        <w:tab/>
        <w:t>发行日期</w:t>
        <w:tab/>
        <w:t>债券期限</w:t>
        <w:tab/>
        <w:t>发行金额</w:t>
        <w:tab/>
        <w:t>年利率</w:t>
        <w:tab/>
        <w:t>备注</w:t>
      </w:r>
    </w:p>
    <w:p>
      <w:pPr>
        <w:spacing w:line="240" w:lineRule="auto" w:before="0"/>
        <w:rPr>
          <w:rFonts w:ascii="宋体" w:hAnsi="宋体" w:cs="宋体" w:eastAsia="宋体" w:hint="default"/>
          <w:sz w:val="2"/>
          <w:szCs w:val="2"/>
        </w:rPr>
      </w:pPr>
    </w:p>
    <w:p>
      <w:pPr>
        <w:spacing w:line="20" w:lineRule="exact"/>
        <w:ind w:left="2446" w:right="0" w:firstLine="0"/>
        <w:rPr>
          <w:rFonts w:ascii="宋体" w:hAnsi="宋体" w:cs="宋体" w:eastAsia="宋体" w:hint="default"/>
          <w:sz w:val="2"/>
          <w:szCs w:val="2"/>
        </w:rPr>
      </w:pPr>
      <w:r>
        <w:rPr>
          <w:rFonts w:ascii="宋体" w:hAnsi="宋体" w:cs="宋体" w:eastAsia="宋体" w:hint="default"/>
          <w:sz w:val="2"/>
          <w:szCs w:val="2"/>
        </w:rPr>
        <w:pict>
          <v:group style="width:358.95pt;height:.75pt;mso-position-horizontal-relative:char;mso-position-vertical-relative:line" coordorigin="0,0" coordsize="7179,15">
            <v:group style="position:absolute;left:7;top:7;width:1026;height:2" coordorigin="7,7" coordsize="1026,2">
              <v:shape style="position:absolute;left:7;top:7;width:1026;height:2" coordorigin="7,7" coordsize="1026,0" path="m7,7l1033,7e" filled="false" stroked="true" strokeweight=".72pt" strokecolor="#000000">
                <v:path arrowok="t"/>
              </v:shape>
            </v:group>
            <v:group style="position:absolute;left:1087;top:7;width:1521;height:2" coordorigin="1087,7" coordsize="1521,2">
              <v:shape style="position:absolute;left:1087;top:7;width:1521;height:2" coordorigin="1087,7" coordsize="1521,0" path="m1087,7l2608,7e" filled="false" stroked="true" strokeweight=".72pt" strokecolor="#000000">
                <v:path arrowok="t"/>
              </v:shape>
            </v:group>
            <v:group style="position:absolute;left:2653;top:7;width:738;height:2" coordorigin="2653,7" coordsize="738,2">
              <v:shape style="position:absolute;left:2653;top:7;width:738;height:2" coordorigin="2653,7" coordsize="738,0" path="m2653,7l3391,7e" filled="false" stroked="true" strokeweight=".72pt" strokecolor="#000000">
                <v:path arrowok="t"/>
              </v:shape>
            </v:group>
            <v:group style="position:absolute;left:3436;top:7;width:1044;height:2" coordorigin="3436,7" coordsize="1044,2">
              <v:shape style="position:absolute;left:3436;top:7;width:1044;height:2" coordorigin="3436,7" coordsize="1044,0" path="m3436,7l4480,7e" filled="false" stroked="true" strokeweight=".72pt" strokecolor="#000000">
                <v:path arrowok="t"/>
              </v:shape>
            </v:group>
            <v:group style="position:absolute;left:4525;top:7;width:630;height:2" coordorigin="4525,7" coordsize="630,2">
              <v:shape style="position:absolute;left:4525;top:7;width:630;height:2" coordorigin="4525,7" coordsize="630,0" path="m4525,7l5155,7e" filled="false" stroked="true" strokeweight=".72pt" strokecolor="#000000">
                <v:path arrowok="t"/>
              </v:shape>
            </v:group>
            <v:group style="position:absolute;left:5218;top:7;width:1954;height:2" coordorigin="5218,7" coordsize="1954,2">
              <v:shape style="position:absolute;left:5218;top:7;width:1954;height:2" coordorigin="5218,7" coordsize="1954,0" path="m5218,7l7171,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113"/>
          <w:pgSz w:w="11900" w:h="16840"/>
          <w:pgMar w:header="1189" w:footer="752" w:top="3040" w:bottom="940" w:left="1260" w:right="800"/>
        </w:sectPr>
      </w:pPr>
    </w:p>
    <w:p>
      <w:pPr>
        <w:spacing w:line="240" w:lineRule="auto" w:before="8"/>
        <w:rPr>
          <w:rFonts w:ascii="宋体" w:hAnsi="宋体" w:cs="宋体" w:eastAsia="宋体" w:hint="default"/>
          <w:sz w:val="20"/>
          <w:szCs w:val="20"/>
        </w:rPr>
      </w:pPr>
    </w:p>
    <w:p>
      <w:pPr>
        <w:tabs>
          <w:tab w:pos="2890" w:val="left" w:leader="none"/>
          <w:tab w:pos="5345" w:val="left" w:leader="none"/>
          <w:tab w:pos="6352" w:val="left" w:leader="none"/>
        </w:tabs>
        <w:spacing w:before="0"/>
        <w:ind w:left="614" w:right="-14" w:firstLine="0"/>
        <w:jc w:val="left"/>
        <w:rPr>
          <w:rFonts w:ascii="Arial" w:hAnsi="Arial" w:cs="Arial" w:eastAsia="Arial" w:hint="default"/>
          <w:sz w:val="17"/>
          <w:szCs w:val="17"/>
        </w:rPr>
      </w:pPr>
      <w:r>
        <w:rPr>
          <w:rFonts w:ascii="Arial" w:hAnsi="Arial" w:cs="Arial" w:eastAsia="Arial" w:hint="default"/>
          <w:position w:val="1"/>
          <w:sz w:val="17"/>
          <w:szCs w:val="17"/>
        </w:rPr>
        <w:t>2007</w:t>
      </w:r>
      <w:r>
        <w:rPr>
          <w:rFonts w:ascii="Arial" w:hAnsi="Arial" w:cs="Arial" w:eastAsia="Arial" w:hint="default"/>
          <w:spacing w:val="-8"/>
          <w:position w:val="1"/>
          <w:sz w:val="17"/>
          <w:szCs w:val="17"/>
        </w:rPr>
        <w:t> </w:t>
      </w:r>
      <w:r>
        <w:rPr>
          <w:rFonts w:ascii="宋体" w:hAnsi="宋体" w:cs="宋体" w:eastAsia="宋体" w:hint="default"/>
          <w:position w:val="1"/>
          <w:sz w:val="17"/>
          <w:szCs w:val="17"/>
        </w:rPr>
        <w:t>年公司债券</w:t>
        <w:tab/>
      </w:r>
      <w:r>
        <w:rPr>
          <w:rFonts w:ascii="Arial" w:hAnsi="Arial" w:cs="Arial" w:eastAsia="Arial" w:hint="default"/>
          <w:position w:val="1"/>
          <w:sz w:val="17"/>
          <w:szCs w:val="17"/>
        </w:rPr>
        <w:t>20</w:t>
      </w:r>
      <w:r>
        <w:rPr>
          <w:rFonts w:ascii="Arial" w:hAnsi="Arial" w:cs="Arial" w:eastAsia="Arial" w:hint="default"/>
          <w:spacing w:val="-6"/>
          <w:position w:val="1"/>
          <w:sz w:val="17"/>
          <w:szCs w:val="17"/>
        </w:rPr>
        <w:t> </w:t>
      </w:r>
      <w:r>
        <w:rPr>
          <w:rFonts w:ascii="宋体" w:hAnsi="宋体" w:cs="宋体" w:eastAsia="宋体" w:hint="default"/>
          <w:position w:val="1"/>
          <w:sz w:val="17"/>
          <w:szCs w:val="17"/>
        </w:rPr>
        <w:t>亿元</w:t>
      </w:r>
      <w:r>
        <w:rPr>
          <w:rFonts w:ascii="宋体" w:hAnsi="宋体" w:cs="宋体" w:eastAsia="宋体" w:hint="default"/>
          <w:spacing w:val="28"/>
          <w:position w:val="1"/>
          <w:sz w:val="17"/>
          <w:szCs w:val="17"/>
        </w:rPr>
        <w:t> </w:t>
      </w:r>
      <w:r>
        <w:rPr>
          <w:rFonts w:ascii="Arial" w:hAnsi="Arial" w:cs="Arial" w:eastAsia="Arial" w:hint="default"/>
          <w:position w:val="1"/>
          <w:sz w:val="17"/>
          <w:szCs w:val="17"/>
        </w:rPr>
        <w:t>2007</w:t>
      </w:r>
      <w:r>
        <w:rPr>
          <w:rFonts w:ascii="Arial" w:hAnsi="Arial" w:cs="Arial" w:eastAsia="Arial" w:hint="default"/>
          <w:spacing w:val="-6"/>
          <w:position w:val="1"/>
          <w:sz w:val="17"/>
          <w:szCs w:val="17"/>
        </w:rPr>
        <w:t> </w:t>
      </w:r>
      <w:r>
        <w:rPr>
          <w:rFonts w:ascii="宋体" w:hAnsi="宋体" w:cs="宋体" w:eastAsia="宋体" w:hint="default"/>
          <w:position w:val="1"/>
          <w:sz w:val="17"/>
          <w:szCs w:val="17"/>
        </w:rPr>
        <w:t>年</w:t>
      </w:r>
      <w:r>
        <w:rPr>
          <w:rFonts w:ascii="宋体" w:hAnsi="宋体" w:cs="宋体" w:eastAsia="宋体" w:hint="default"/>
          <w:spacing w:val="-43"/>
          <w:position w:val="1"/>
          <w:sz w:val="17"/>
          <w:szCs w:val="17"/>
        </w:rPr>
        <w:t> </w:t>
      </w:r>
      <w:r>
        <w:rPr>
          <w:rFonts w:ascii="Arial" w:hAnsi="Arial" w:cs="Arial" w:eastAsia="Arial" w:hint="default"/>
          <w:position w:val="1"/>
          <w:sz w:val="17"/>
          <w:szCs w:val="17"/>
        </w:rPr>
        <w:t>6</w:t>
      </w:r>
      <w:r>
        <w:rPr>
          <w:rFonts w:ascii="Arial" w:hAnsi="Arial" w:cs="Arial" w:eastAsia="Arial" w:hint="default"/>
          <w:spacing w:val="-6"/>
          <w:position w:val="1"/>
          <w:sz w:val="17"/>
          <w:szCs w:val="17"/>
        </w:rPr>
        <w:t> </w:t>
      </w:r>
      <w:r>
        <w:rPr>
          <w:rFonts w:ascii="宋体" w:hAnsi="宋体" w:cs="宋体" w:eastAsia="宋体" w:hint="default"/>
          <w:position w:val="1"/>
          <w:sz w:val="17"/>
          <w:szCs w:val="17"/>
        </w:rPr>
        <w:t>月</w:t>
      </w:r>
      <w:r>
        <w:rPr>
          <w:rFonts w:ascii="宋体" w:hAnsi="宋体" w:cs="宋体" w:eastAsia="宋体" w:hint="default"/>
          <w:spacing w:val="-43"/>
          <w:position w:val="1"/>
          <w:sz w:val="17"/>
          <w:szCs w:val="17"/>
        </w:rPr>
        <w:t> </w:t>
      </w:r>
      <w:r>
        <w:rPr>
          <w:rFonts w:ascii="Arial" w:hAnsi="Arial" w:cs="Arial" w:eastAsia="Arial" w:hint="default"/>
          <w:position w:val="1"/>
          <w:sz w:val="17"/>
          <w:szCs w:val="17"/>
        </w:rPr>
        <w:t>8</w:t>
      </w:r>
      <w:r>
        <w:rPr>
          <w:rFonts w:ascii="Arial" w:hAnsi="Arial" w:cs="Arial" w:eastAsia="Arial" w:hint="default"/>
          <w:spacing w:val="-6"/>
          <w:position w:val="1"/>
          <w:sz w:val="17"/>
          <w:szCs w:val="17"/>
        </w:rPr>
        <w:t> </w:t>
      </w:r>
      <w:r>
        <w:rPr>
          <w:rFonts w:ascii="宋体" w:hAnsi="宋体" w:cs="宋体" w:eastAsia="宋体" w:hint="default"/>
          <w:position w:val="1"/>
          <w:sz w:val="17"/>
          <w:szCs w:val="17"/>
        </w:rPr>
        <w:t>日</w:t>
        <w:tab/>
      </w:r>
      <w:r>
        <w:rPr>
          <w:rFonts w:ascii="Arial" w:hAnsi="Arial" w:cs="Arial" w:eastAsia="Arial" w:hint="default"/>
          <w:position w:val="1"/>
          <w:sz w:val="17"/>
          <w:szCs w:val="17"/>
        </w:rPr>
        <w:t>10</w:t>
      </w:r>
      <w:r>
        <w:rPr>
          <w:rFonts w:ascii="Arial" w:hAnsi="Arial" w:cs="Arial" w:eastAsia="Arial" w:hint="default"/>
          <w:spacing w:val="-6"/>
          <w:position w:val="1"/>
          <w:sz w:val="17"/>
          <w:szCs w:val="17"/>
        </w:rPr>
        <w:t> </w:t>
      </w:r>
      <w:r>
        <w:rPr>
          <w:rFonts w:ascii="宋体" w:hAnsi="宋体" w:cs="宋体" w:eastAsia="宋体" w:hint="default"/>
          <w:position w:val="1"/>
          <w:sz w:val="17"/>
          <w:szCs w:val="17"/>
        </w:rPr>
        <w:t>年</w:t>
        <w:tab/>
      </w:r>
      <w:r>
        <w:rPr>
          <w:rFonts w:ascii="Arial" w:hAnsi="Arial" w:cs="Arial" w:eastAsia="Arial" w:hint="default"/>
          <w:position w:val="1"/>
          <w:sz w:val="17"/>
          <w:szCs w:val="17"/>
        </w:rPr>
        <w:t>20 </w:t>
      </w:r>
      <w:r>
        <w:rPr>
          <w:rFonts w:ascii="宋体" w:hAnsi="宋体" w:cs="宋体" w:eastAsia="宋体" w:hint="default"/>
          <w:position w:val="1"/>
          <w:sz w:val="17"/>
          <w:szCs w:val="17"/>
        </w:rPr>
        <w:t>亿元 </w:t>
      </w:r>
      <w:r>
        <w:rPr>
          <w:rFonts w:ascii="宋体" w:hAnsi="宋体" w:cs="宋体" w:eastAsia="宋体" w:hint="default"/>
          <w:spacing w:val="15"/>
          <w:position w:val="1"/>
          <w:sz w:val="17"/>
          <w:szCs w:val="17"/>
        </w:rPr>
        <w:t> </w:t>
      </w:r>
      <w:r>
        <w:rPr>
          <w:rFonts w:ascii="Arial" w:hAnsi="Arial" w:cs="Arial" w:eastAsia="Arial" w:hint="default"/>
          <w:sz w:val="17"/>
          <w:szCs w:val="17"/>
        </w:rPr>
        <w:t>4.50%</w:t>
      </w:r>
    </w:p>
    <w:p>
      <w:pPr>
        <w:spacing w:before="48"/>
        <w:ind w:left="230" w:right="296" w:hanging="208"/>
        <w:jc w:val="left"/>
        <w:rPr>
          <w:rFonts w:ascii="宋体" w:hAnsi="宋体" w:cs="宋体" w:eastAsia="宋体" w:hint="default"/>
          <w:sz w:val="17"/>
          <w:szCs w:val="17"/>
        </w:rPr>
      </w:pPr>
      <w:r>
        <w:rPr>
          <w:spacing w:val="-1"/>
        </w:rPr>
        <w:br w:type="column"/>
      </w:r>
      <w:r>
        <w:rPr>
          <w:rFonts w:ascii="宋体" w:hAnsi="宋体" w:cs="宋体" w:eastAsia="宋体" w:hint="default"/>
          <w:spacing w:val="-1"/>
          <w:sz w:val="17"/>
          <w:szCs w:val="17"/>
        </w:rPr>
        <w:t>由中国银行股份有限公司</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7"/>
          <w:szCs w:val="17"/>
        </w:rPr>
        <w:t>提供担保</w:t>
      </w:r>
    </w:p>
    <w:p>
      <w:pPr>
        <w:spacing w:after="0"/>
        <w:jc w:val="left"/>
        <w:rPr>
          <w:rFonts w:ascii="宋体" w:hAnsi="宋体" w:cs="宋体" w:eastAsia="宋体" w:hint="default"/>
          <w:sz w:val="17"/>
          <w:szCs w:val="17"/>
        </w:rPr>
        <w:sectPr>
          <w:type w:val="continuous"/>
          <w:pgSz w:w="11900" w:h="16840"/>
          <w:pgMar w:top="1600" w:bottom="280" w:left="1260" w:right="800"/>
          <w:cols w:num="2" w:equalWidth="0">
            <w:col w:w="7603" w:space="40"/>
            <w:col w:w="2197"/>
          </w:cols>
        </w:sectPr>
      </w:pPr>
    </w:p>
    <w:p>
      <w:pPr>
        <w:tabs>
          <w:tab w:pos="2890" w:val="left" w:leader="none"/>
        </w:tabs>
        <w:spacing w:line="209" w:lineRule="exact" w:before="0"/>
        <w:ind w:left="614" w:right="0" w:firstLine="0"/>
        <w:jc w:val="both"/>
        <w:rPr>
          <w:rFonts w:ascii="宋体" w:hAnsi="宋体" w:cs="宋体" w:eastAsia="宋体" w:hint="default"/>
          <w:sz w:val="17"/>
          <w:szCs w:val="17"/>
        </w:rPr>
      </w:pPr>
      <w:r>
        <w:rPr>
          <w:rFonts w:ascii="Arial" w:hAnsi="Arial" w:cs="Arial" w:eastAsia="Arial" w:hint="default"/>
          <w:position w:val="1"/>
          <w:sz w:val="17"/>
          <w:szCs w:val="17"/>
        </w:rPr>
        <w:t>2008</w:t>
      </w:r>
      <w:r>
        <w:rPr>
          <w:rFonts w:ascii="Arial" w:hAnsi="Arial" w:cs="Arial" w:eastAsia="Arial" w:hint="default"/>
          <w:spacing w:val="-8"/>
          <w:position w:val="1"/>
          <w:sz w:val="17"/>
          <w:szCs w:val="17"/>
        </w:rPr>
        <w:t> </w:t>
      </w:r>
      <w:r>
        <w:rPr>
          <w:rFonts w:ascii="宋体" w:hAnsi="宋体" w:cs="宋体" w:eastAsia="宋体" w:hint="default"/>
          <w:position w:val="1"/>
          <w:sz w:val="17"/>
          <w:szCs w:val="17"/>
        </w:rPr>
        <w:t>年公司债券</w:t>
        <w:tab/>
      </w:r>
      <w:r>
        <w:rPr>
          <w:rFonts w:ascii="Arial" w:hAnsi="Arial" w:cs="Arial" w:eastAsia="Arial" w:hint="default"/>
          <w:position w:val="1"/>
          <w:sz w:val="17"/>
          <w:szCs w:val="17"/>
        </w:rPr>
        <w:t>50 </w:t>
      </w:r>
      <w:r>
        <w:rPr>
          <w:rFonts w:ascii="宋体" w:hAnsi="宋体" w:cs="宋体" w:eastAsia="宋体" w:hint="default"/>
          <w:position w:val="1"/>
          <w:sz w:val="17"/>
          <w:szCs w:val="17"/>
        </w:rPr>
        <w:t>亿元 </w:t>
      </w:r>
      <w:r>
        <w:rPr>
          <w:rFonts w:ascii="Arial" w:hAnsi="Arial" w:cs="Arial" w:eastAsia="Arial" w:hint="default"/>
          <w:position w:val="1"/>
          <w:sz w:val="17"/>
          <w:szCs w:val="17"/>
        </w:rPr>
        <w:t>2008 </w:t>
      </w:r>
      <w:r>
        <w:rPr>
          <w:rFonts w:ascii="宋体" w:hAnsi="宋体" w:cs="宋体" w:eastAsia="宋体" w:hint="default"/>
          <w:position w:val="1"/>
          <w:sz w:val="17"/>
          <w:szCs w:val="17"/>
        </w:rPr>
        <w:t>年 </w:t>
      </w:r>
      <w:r>
        <w:rPr>
          <w:rFonts w:ascii="Arial" w:hAnsi="Arial" w:cs="Arial" w:eastAsia="Arial" w:hint="default"/>
          <w:position w:val="1"/>
          <w:sz w:val="17"/>
          <w:szCs w:val="17"/>
        </w:rPr>
        <w:t>9 </w:t>
      </w:r>
      <w:r>
        <w:rPr>
          <w:rFonts w:ascii="宋体" w:hAnsi="宋体" w:cs="宋体" w:eastAsia="宋体" w:hint="default"/>
          <w:position w:val="1"/>
          <w:sz w:val="17"/>
          <w:szCs w:val="17"/>
        </w:rPr>
        <w:t>月 </w:t>
      </w:r>
      <w:r>
        <w:rPr>
          <w:rFonts w:ascii="Arial" w:hAnsi="Arial" w:cs="Arial" w:eastAsia="Arial" w:hint="default"/>
          <w:position w:val="1"/>
          <w:sz w:val="17"/>
          <w:szCs w:val="17"/>
        </w:rPr>
        <w:t>3 </w:t>
      </w:r>
      <w:r>
        <w:rPr>
          <w:rFonts w:ascii="宋体" w:hAnsi="宋体" w:cs="宋体" w:eastAsia="宋体" w:hint="default"/>
          <w:position w:val="1"/>
          <w:sz w:val="17"/>
          <w:szCs w:val="17"/>
        </w:rPr>
        <w:t>日      </w:t>
      </w:r>
      <w:r>
        <w:rPr>
          <w:rFonts w:ascii="Arial" w:hAnsi="Arial" w:cs="Arial" w:eastAsia="Arial" w:hint="default"/>
          <w:position w:val="1"/>
          <w:sz w:val="17"/>
          <w:szCs w:val="17"/>
        </w:rPr>
        <w:t>5 </w:t>
      </w:r>
      <w:r>
        <w:rPr>
          <w:rFonts w:ascii="宋体" w:hAnsi="宋体" w:cs="宋体" w:eastAsia="宋体" w:hint="default"/>
          <w:position w:val="1"/>
          <w:sz w:val="17"/>
          <w:szCs w:val="17"/>
        </w:rPr>
        <w:t>年       </w:t>
      </w:r>
      <w:r>
        <w:rPr>
          <w:rFonts w:ascii="Arial" w:hAnsi="Arial" w:cs="Arial" w:eastAsia="Arial" w:hint="default"/>
          <w:position w:val="1"/>
          <w:sz w:val="17"/>
          <w:szCs w:val="17"/>
        </w:rPr>
        <w:t>50 </w:t>
      </w:r>
      <w:r>
        <w:rPr>
          <w:rFonts w:ascii="宋体" w:hAnsi="宋体" w:cs="宋体" w:eastAsia="宋体" w:hint="default"/>
          <w:position w:val="1"/>
          <w:sz w:val="17"/>
          <w:szCs w:val="17"/>
        </w:rPr>
        <w:t>亿元  </w:t>
      </w:r>
      <w:r>
        <w:rPr>
          <w:rFonts w:ascii="Arial" w:hAnsi="Arial" w:cs="Arial" w:eastAsia="Arial" w:hint="default"/>
          <w:sz w:val="17"/>
          <w:szCs w:val="17"/>
        </w:rPr>
        <w:t>5.29%</w:t>
      </w:r>
      <w:r>
        <w:rPr>
          <w:rFonts w:ascii="Arial" w:hAnsi="Arial" w:cs="Arial" w:eastAsia="Arial" w:hint="default"/>
          <w:spacing w:val="20"/>
          <w:sz w:val="17"/>
          <w:szCs w:val="17"/>
        </w:rPr>
        <w:t> </w:t>
      </w:r>
      <w:r>
        <w:rPr>
          <w:rFonts w:ascii="宋体" w:hAnsi="宋体" w:cs="宋体" w:eastAsia="宋体" w:hint="default"/>
          <w:position w:val="1"/>
          <w:sz w:val="17"/>
          <w:szCs w:val="17"/>
        </w:rPr>
        <w:t>由国家电网公司提供担保</w:t>
      </w:r>
      <w:r>
        <w:rPr>
          <w:rFonts w:ascii="宋体" w:hAnsi="宋体" w:cs="宋体" w:eastAsia="宋体" w:hint="default"/>
          <w:sz w:val="17"/>
          <w:szCs w:val="17"/>
        </w:rPr>
      </w:r>
    </w:p>
    <w:p>
      <w:pPr>
        <w:spacing w:line="221" w:lineRule="exact" w:before="0"/>
        <w:ind w:left="614" w:right="0" w:firstLine="0"/>
        <w:jc w:val="both"/>
        <w:rPr>
          <w:rFonts w:ascii="宋体" w:hAnsi="宋体" w:cs="宋体" w:eastAsia="宋体" w:hint="default"/>
          <w:sz w:val="17"/>
          <w:szCs w:val="17"/>
        </w:rPr>
      </w:pPr>
      <w:r>
        <w:rPr>
          <w:rFonts w:ascii="Arial" w:hAnsi="Arial" w:cs="Arial" w:eastAsia="Arial" w:hint="default"/>
          <w:position w:val="1"/>
          <w:sz w:val="17"/>
          <w:szCs w:val="17"/>
        </w:rPr>
        <w:t>2010 </w:t>
      </w:r>
      <w:r>
        <w:rPr>
          <w:rFonts w:ascii="宋体" w:hAnsi="宋体" w:cs="宋体" w:eastAsia="宋体" w:hint="default"/>
          <w:position w:val="1"/>
          <w:sz w:val="17"/>
          <w:szCs w:val="17"/>
        </w:rPr>
        <w:t>年第一期中期票据      </w:t>
      </w:r>
      <w:r>
        <w:rPr>
          <w:rFonts w:ascii="Arial" w:hAnsi="Arial" w:cs="Arial" w:eastAsia="Arial" w:hint="default"/>
          <w:position w:val="1"/>
          <w:sz w:val="17"/>
          <w:szCs w:val="17"/>
        </w:rPr>
        <w:t>30 </w:t>
      </w:r>
      <w:r>
        <w:rPr>
          <w:rFonts w:ascii="宋体" w:hAnsi="宋体" w:cs="宋体" w:eastAsia="宋体" w:hint="default"/>
          <w:position w:val="1"/>
          <w:sz w:val="17"/>
          <w:szCs w:val="17"/>
        </w:rPr>
        <w:t>亿元 </w:t>
      </w:r>
      <w:r>
        <w:rPr>
          <w:rFonts w:ascii="Arial" w:hAnsi="Arial" w:cs="Arial" w:eastAsia="Arial" w:hint="default"/>
          <w:position w:val="1"/>
          <w:sz w:val="17"/>
          <w:szCs w:val="17"/>
        </w:rPr>
        <w:t>2010 </w:t>
      </w:r>
      <w:r>
        <w:rPr>
          <w:rFonts w:ascii="宋体" w:hAnsi="宋体" w:cs="宋体" w:eastAsia="宋体" w:hint="default"/>
          <w:position w:val="1"/>
          <w:sz w:val="17"/>
          <w:szCs w:val="17"/>
        </w:rPr>
        <w:t>年 </w:t>
      </w:r>
      <w:r>
        <w:rPr>
          <w:rFonts w:ascii="Arial" w:hAnsi="Arial" w:cs="Arial" w:eastAsia="Arial" w:hint="default"/>
          <w:position w:val="1"/>
          <w:sz w:val="17"/>
          <w:szCs w:val="17"/>
        </w:rPr>
        <w:t>4 </w:t>
      </w:r>
      <w:r>
        <w:rPr>
          <w:rFonts w:ascii="宋体" w:hAnsi="宋体" w:cs="宋体" w:eastAsia="宋体" w:hint="default"/>
          <w:position w:val="1"/>
          <w:sz w:val="17"/>
          <w:szCs w:val="17"/>
        </w:rPr>
        <w:t>月 </w:t>
      </w:r>
      <w:r>
        <w:rPr>
          <w:rFonts w:ascii="Arial" w:hAnsi="Arial" w:cs="Arial" w:eastAsia="Arial" w:hint="default"/>
          <w:position w:val="1"/>
          <w:sz w:val="17"/>
          <w:szCs w:val="17"/>
        </w:rPr>
        <w:t>1 </w:t>
      </w:r>
      <w:r>
        <w:rPr>
          <w:rFonts w:ascii="宋体" w:hAnsi="宋体" w:cs="宋体" w:eastAsia="宋体" w:hint="default"/>
          <w:position w:val="1"/>
          <w:sz w:val="17"/>
          <w:szCs w:val="17"/>
        </w:rPr>
        <w:t>日      </w:t>
      </w:r>
      <w:r>
        <w:rPr>
          <w:rFonts w:ascii="Arial" w:hAnsi="Arial" w:cs="Arial" w:eastAsia="Arial" w:hint="default"/>
          <w:position w:val="1"/>
          <w:sz w:val="17"/>
          <w:szCs w:val="17"/>
        </w:rPr>
        <w:t>3 </w:t>
      </w:r>
      <w:r>
        <w:rPr>
          <w:rFonts w:ascii="宋体" w:hAnsi="宋体" w:cs="宋体" w:eastAsia="宋体" w:hint="default"/>
          <w:position w:val="1"/>
          <w:sz w:val="17"/>
          <w:szCs w:val="17"/>
        </w:rPr>
        <w:t>年       </w:t>
      </w:r>
      <w:r>
        <w:rPr>
          <w:rFonts w:ascii="Arial" w:hAnsi="Arial" w:cs="Arial" w:eastAsia="Arial" w:hint="default"/>
          <w:position w:val="1"/>
          <w:sz w:val="17"/>
          <w:szCs w:val="17"/>
        </w:rPr>
        <w:t>30 </w:t>
      </w:r>
      <w:r>
        <w:rPr>
          <w:rFonts w:ascii="宋体" w:hAnsi="宋体" w:cs="宋体" w:eastAsia="宋体" w:hint="default"/>
          <w:position w:val="1"/>
          <w:sz w:val="17"/>
          <w:szCs w:val="17"/>
        </w:rPr>
        <w:t>亿元  </w:t>
      </w:r>
      <w:r>
        <w:rPr>
          <w:rFonts w:ascii="Arial" w:hAnsi="Arial" w:cs="Arial" w:eastAsia="Arial" w:hint="default"/>
          <w:sz w:val="17"/>
          <w:szCs w:val="17"/>
        </w:rPr>
        <w:t>3.73%</w:t>
      </w:r>
      <w:r>
        <w:rPr>
          <w:rFonts w:ascii="Arial" w:hAnsi="Arial" w:cs="Arial" w:eastAsia="Arial" w:hint="default"/>
          <w:spacing w:val="-1"/>
          <w:sz w:val="17"/>
          <w:szCs w:val="17"/>
        </w:rPr>
        <w:t> </w:t>
      </w:r>
      <w:r>
        <w:rPr>
          <w:rFonts w:ascii="宋体" w:hAnsi="宋体" w:cs="宋体" w:eastAsia="宋体" w:hint="default"/>
          <w:position w:val="1"/>
          <w:sz w:val="17"/>
          <w:szCs w:val="17"/>
        </w:rPr>
        <w:t>无担保</w:t>
      </w:r>
      <w:r>
        <w:rPr>
          <w:rFonts w:ascii="宋体" w:hAnsi="宋体" w:cs="宋体" w:eastAsia="宋体" w:hint="default"/>
          <w:sz w:val="17"/>
          <w:szCs w:val="17"/>
        </w:rPr>
      </w:r>
    </w:p>
    <w:p>
      <w:pPr>
        <w:spacing w:line="220" w:lineRule="exact" w:before="0"/>
        <w:ind w:left="614" w:right="0" w:firstLine="0"/>
        <w:jc w:val="both"/>
        <w:rPr>
          <w:rFonts w:ascii="宋体" w:hAnsi="宋体" w:cs="宋体" w:eastAsia="宋体" w:hint="default"/>
          <w:sz w:val="17"/>
          <w:szCs w:val="17"/>
        </w:rPr>
      </w:pPr>
      <w:r>
        <w:rPr>
          <w:rFonts w:ascii="Arial" w:hAnsi="Arial" w:cs="Arial" w:eastAsia="Arial" w:hint="default"/>
          <w:position w:val="1"/>
          <w:sz w:val="17"/>
          <w:szCs w:val="17"/>
        </w:rPr>
        <w:t>2010 </w:t>
      </w:r>
      <w:r>
        <w:rPr>
          <w:rFonts w:ascii="宋体" w:hAnsi="宋体" w:cs="宋体" w:eastAsia="宋体" w:hint="default"/>
          <w:position w:val="1"/>
          <w:sz w:val="17"/>
          <w:szCs w:val="17"/>
        </w:rPr>
        <w:t>年第二期中期票据    </w:t>
      </w:r>
      <w:r>
        <w:rPr>
          <w:rFonts w:ascii="Arial" w:hAnsi="Arial" w:cs="Arial" w:eastAsia="Arial" w:hint="default"/>
          <w:position w:val="1"/>
          <w:sz w:val="17"/>
          <w:szCs w:val="17"/>
        </w:rPr>
        <w:t>120 </w:t>
      </w:r>
      <w:r>
        <w:rPr>
          <w:rFonts w:ascii="宋体" w:hAnsi="宋体" w:cs="宋体" w:eastAsia="宋体" w:hint="default"/>
          <w:position w:val="1"/>
          <w:sz w:val="17"/>
          <w:szCs w:val="17"/>
        </w:rPr>
        <w:t>亿元 </w:t>
      </w:r>
      <w:r>
        <w:rPr>
          <w:rFonts w:ascii="Arial" w:hAnsi="Arial" w:cs="Arial" w:eastAsia="Arial" w:hint="default"/>
          <w:position w:val="1"/>
          <w:sz w:val="17"/>
          <w:szCs w:val="17"/>
        </w:rPr>
        <w:t>2010 </w:t>
      </w:r>
      <w:r>
        <w:rPr>
          <w:rFonts w:ascii="宋体" w:hAnsi="宋体" w:cs="宋体" w:eastAsia="宋体" w:hint="default"/>
          <w:position w:val="1"/>
          <w:sz w:val="17"/>
          <w:szCs w:val="17"/>
        </w:rPr>
        <w:t>年 </w:t>
      </w:r>
      <w:r>
        <w:rPr>
          <w:rFonts w:ascii="Arial" w:hAnsi="Arial" w:cs="Arial" w:eastAsia="Arial" w:hint="default"/>
          <w:position w:val="1"/>
          <w:sz w:val="17"/>
          <w:szCs w:val="17"/>
        </w:rPr>
        <w:t>9 </w:t>
      </w:r>
      <w:r>
        <w:rPr>
          <w:rFonts w:ascii="宋体" w:hAnsi="宋体" w:cs="宋体" w:eastAsia="宋体" w:hint="default"/>
          <w:position w:val="1"/>
          <w:sz w:val="17"/>
          <w:szCs w:val="17"/>
        </w:rPr>
        <w:t>月 </w:t>
      </w:r>
      <w:r>
        <w:rPr>
          <w:rFonts w:ascii="Arial" w:hAnsi="Arial" w:cs="Arial" w:eastAsia="Arial" w:hint="default"/>
          <w:position w:val="1"/>
          <w:sz w:val="17"/>
          <w:szCs w:val="17"/>
        </w:rPr>
        <w:t>17 </w:t>
      </w:r>
      <w:r>
        <w:rPr>
          <w:rFonts w:ascii="宋体" w:hAnsi="宋体" w:cs="宋体" w:eastAsia="宋体" w:hint="default"/>
          <w:position w:val="1"/>
          <w:sz w:val="17"/>
          <w:szCs w:val="17"/>
        </w:rPr>
        <w:t>日     </w:t>
      </w:r>
      <w:r>
        <w:rPr>
          <w:rFonts w:ascii="Arial" w:hAnsi="Arial" w:cs="Arial" w:eastAsia="Arial" w:hint="default"/>
          <w:position w:val="1"/>
          <w:sz w:val="17"/>
          <w:szCs w:val="17"/>
        </w:rPr>
        <w:t>3 </w:t>
      </w:r>
      <w:r>
        <w:rPr>
          <w:rFonts w:ascii="宋体" w:hAnsi="宋体" w:cs="宋体" w:eastAsia="宋体" w:hint="default"/>
          <w:position w:val="1"/>
          <w:sz w:val="17"/>
          <w:szCs w:val="17"/>
        </w:rPr>
        <w:t>年      </w:t>
      </w:r>
      <w:r>
        <w:rPr>
          <w:rFonts w:ascii="Arial" w:hAnsi="Arial" w:cs="Arial" w:eastAsia="Arial" w:hint="default"/>
          <w:position w:val="1"/>
          <w:sz w:val="17"/>
          <w:szCs w:val="17"/>
        </w:rPr>
        <w:t>120 </w:t>
      </w:r>
      <w:r>
        <w:rPr>
          <w:rFonts w:ascii="宋体" w:hAnsi="宋体" w:cs="宋体" w:eastAsia="宋体" w:hint="default"/>
          <w:position w:val="1"/>
          <w:sz w:val="17"/>
          <w:szCs w:val="17"/>
        </w:rPr>
        <w:t>亿元  </w:t>
      </w:r>
      <w:r>
        <w:rPr>
          <w:rFonts w:ascii="Arial" w:hAnsi="Arial" w:cs="Arial" w:eastAsia="Arial" w:hint="default"/>
          <w:sz w:val="17"/>
          <w:szCs w:val="17"/>
        </w:rPr>
        <w:t>3.31% </w:t>
      </w:r>
      <w:r>
        <w:rPr>
          <w:rFonts w:ascii="Arial" w:hAnsi="Arial" w:cs="Arial" w:eastAsia="Arial" w:hint="default"/>
          <w:spacing w:val="9"/>
          <w:sz w:val="17"/>
          <w:szCs w:val="17"/>
        </w:rPr>
        <w:t> </w:t>
      </w:r>
      <w:r>
        <w:rPr>
          <w:rFonts w:ascii="宋体" w:hAnsi="宋体" w:cs="宋体" w:eastAsia="宋体" w:hint="default"/>
          <w:position w:val="1"/>
          <w:sz w:val="17"/>
          <w:szCs w:val="17"/>
        </w:rPr>
        <w:t>无担保</w:t>
      </w:r>
      <w:r>
        <w:rPr>
          <w:rFonts w:ascii="宋体" w:hAnsi="宋体" w:cs="宋体" w:eastAsia="宋体" w:hint="default"/>
          <w:sz w:val="17"/>
          <w:szCs w:val="17"/>
        </w:rPr>
      </w:r>
    </w:p>
    <w:p>
      <w:pPr>
        <w:spacing w:line="232" w:lineRule="exact" w:before="0"/>
        <w:ind w:left="614" w:right="0" w:firstLine="0"/>
        <w:jc w:val="both"/>
        <w:rPr>
          <w:rFonts w:ascii="宋体" w:hAnsi="宋体" w:cs="宋体" w:eastAsia="宋体" w:hint="default"/>
          <w:sz w:val="17"/>
          <w:szCs w:val="17"/>
        </w:rPr>
      </w:pPr>
      <w:r>
        <w:rPr>
          <w:rFonts w:ascii="Arial" w:hAnsi="Arial" w:cs="Arial" w:eastAsia="Arial" w:hint="default"/>
          <w:position w:val="1"/>
          <w:sz w:val="17"/>
          <w:szCs w:val="17"/>
        </w:rPr>
        <w:t>2010 </w:t>
      </w:r>
      <w:r>
        <w:rPr>
          <w:rFonts w:ascii="宋体" w:hAnsi="宋体" w:cs="宋体" w:eastAsia="宋体" w:hint="default"/>
          <w:position w:val="1"/>
          <w:sz w:val="17"/>
          <w:szCs w:val="17"/>
        </w:rPr>
        <w:t>年可转换债券     </w:t>
      </w:r>
      <w:r>
        <w:rPr>
          <w:rFonts w:ascii="Arial" w:hAnsi="Arial" w:cs="Arial" w:eastAsia="Arial" w:hint="default"/>
          <w:position w:val="1"/>
          <w:sz w:val="17"/>
          <w:szCs w:val="17"/>
        </w:rPr>
        <w:t>18.39 </w:t>
      </w:r>
      <w:r>
        <w:rPr>
          <w:rFonts w:ascii="宋体" w:hAnsi="宋体" w:cs="宋体" w:eastAsia="宋体" w:hint="default"/>
          <w:position w:val="1"/>
          <w:sz w:val="17"/>
          <w:szCs w:val="17"/>
        </w:rPr>
        <w:t>亿美元 </w:t>
      </w:r>
      <w:r>
        <w:rPr>
          <w:rFonts w:ascii="Arial" w:hAnsi="Arial" w:cs="Arial" w:eastAsia="Arial" w:hint="default"/>
          <w:position w:val="1"/>
          <w:sz w:val="17"/>
          <w:szCs w:val="17"/>
        </w:rPr>
        <w:t>2010 </w:t>
      </w:r>
      <w:r>
        <w:rPr>
          <w:rFonts w:ascii="宋体" w:hAnsi="宋体" w:cs="宋体" w:eastAsia="宋体" w:hint="default"/>
          <w:position w:val="1"/>
          <w:sz w:val="17"/>
          <w:szCs w:val="17"/>
        </w:rPr>
        <w:t>年 </w:t>
      </w:r>
      <w:r>
        <w:rPr>
          <w:rFonts w:ascii="Arial" w:hAnsi="Arial" w:cs="Arial" w:eastAsia="Arial" w:hint="default"/>
          <w:position w:val="1"/>
          <w:sz w:val="17"/>
          <w:szCs w:val="17"/>
        </w:rPr>
        <w:t>10 </w:t>
      </w:r>
      <w:r>
        <w:rPr>
          <w:rFonts w:ascii="宋体" w:hAnsi="宋体" w:cs="宋体" w:eastAsia="宋体" w:hint="default"/>
          <w:position w:val="1"/>
          <w:sz w:val="17"/>
          <w:szCs w:val="17"/>
        </w:rPr>
        <w:t>月 </w:t>
      </w:r>
      <w:r>
        <w:rPr>
          <w:rFonts w:ascii="Arial" w:hAnsi="Arial" w:cs="Arial" w:eastAsia="Arial" w:hint="default"/>
          <w:position w:val="1"/>
          <w:sz w:val="17"/>
          <w:szCs w:val="17"/>
        </w:rPr>
        <w:t>18 </w:t>
      </w:r>
      <w:r>
        <w:rPr>
          <w:rFonts w:ascii="宋体" w:hAnsi="宋体" w:cs="宋体" w:eastAsia="宋体" w:hint="default"/>
          <w:position w:val="1"/>
          <w:sz w:val="17"/>
          <w:szCs w:val="17"/>
        </w:rPr>
        <w:t>日    </w:t>
      </w:r>
      <w:r>
        <w:rPr>
          <w:rFonts w:ascii="Arial" w:hAnsi="Arial" w:cs="Arial" w:eastAsia="Arial" w:hint="default"/>
          <w:position w:val="1"/>
          <w:sz w:val="17"/>
          <w:szCs w:val="17"/>
        </w:rPr>
        <w:t>5 </w:t>
      </w:r>
      <w:r>
        <w:rPr>
          <w:rFonts w:ascii="宋体" w:hAnsi="宋体" w:cs="宋体" w:eastAsia="宋体" w:hint="default"/>
          <w:position w:val="1"/>
          <w:sz w:val="17"/>
          <w:szCs w:val="17"/>
        </w:rPr>
        <w:t>年  </w:t>
      </w:r>
      <w:r>
        <w:rPr>
          <w:rFonts w:ascii="Arial" w:hAnsi="Arial" w:cs="Arial" w:eastAsia="Arial" w:hint="default"/>
          <w:position w:val="1"/>
          <w:sz w:val="17"/>
          <w:szCs w:val="17"/>
        </w:rPr>
        <w:t>18.39 </w:t>
      </w:r>
      <w:r>
        <w:rPr>
          <w:rFonts w:ascii="宋体" w:hAnsi="宋体" w:cs="宋体" w:eastAsia="宋体" w:hint="default"/>
          <w:position w:val="1"/>
          <w:sz w:val="17"/>
          <w:szCs w:val="17"/>
        </w:rPr>
        <w:t>亿美元  </w:t>
      </w:r>
      <w:r>
        <w:rPr>
          <w:rFonts w:ascii="Arial" w:hAnsi="Arial" w:cs="Arial" w:eastAsia="Arial" w:hint="default"/>
          <w:sz w:val="17"/>
          <w:szCs w:val="17"/>
        </w:rPr>
        <w:t>0.75%</w:t>
      </w:r>
      <w:r>
        <w:rPr>
          <w:rFonts w:ascii="Arial" w:hAnsi="Arial" w:cs="Arial" w:eastAsia="Arial" w:hint="default"/>
          <w:spacing w:val="12"/>
          <w:sz w:val="17"/>
          <w:szCs w:val="17"/>
        </w:rPr>
        <w:t> </w:t>
      </w:r>
      <w:r>
        <w:rPr>
          <w:rFonts w:ascii="宋体" w:hAnsi="宋体" w:cs="宋体" w:eastAsia="宋体" w:hint="default"/>
          <w:position w:val="1"/>
          <w:sz w:val="17"/>
          <w:szCs w:val="17"/>
        </w:rPr>
        <w:t>由联通红筹公司提供担保</w:t>
      </w:r>
      <w:r>
        <w:rPr>
          <w:rFonts w:ascii="宋体" w:hAnsi="宋体" w:cs="宋体" w:eastAsia="宋体" w:hint="default"/>
          <w:sz w:val="17"/>
          <w:szCs w:val="17"/>
        </w:rPr>
      </w:r>
    </w:p>
    <w:p>
      <w:pPr>
        <w:spacing w:line="240" w:lineRule="auto" w:before="12"/>
        <w:rPr>
          <w:rFonts w:ascii="宋体" w:hAnsi="宋体" w:cs="宋体" w:eastAsia="宋体" w:hint="default"/>
          <w:sz w:val="18"/>
          <w:szCs w:val="18"/>
        </w:rPr>
      </w:pPr>
    </w:p>
    <w:p>
      <w:pPr>
        <w:pStyle w:val="BodyText"/>
        <w:spacing w:line="286" w:lineRule="exact"/>
        <w:ind w:left="1022" w:right="225" w:hanging="453"/>
        <w:jc w:val="left"/>
      </w:pPr>
      <w:r>
        <w:rPr/>
        <w:t>注：除亿迅公司发行的 </w:t>
      </w:r>
      <w:r>
        <w:rPr>
          <w:rFonts w:ascii="Arial" w:hAnsi="Arial" w:cs="Arial" w:eastAsia="Arial" w:hint="default"/>
        </w:rPr>
        <w:t>2010</w:t>
      </w:r>
      <w:r>
        <w:rPr>
          <w:rFonts w:ascii="Arial" w:hAnsi="Arial" w:cs="Arial" w:eastAsia="Arial" w:hint="default"/>
          <w:spacing w:val="5"/>
        </w:rPr>
        <w:t> </w:t>
      </w:r>
      <w:r>
        <w:rPr/>
        <w:t>年可转换债券外，以上公司债券及中期票据均为本公司所属联通</w:t>
      </w:r>
      <w:r>
        <w:rPr>
          <w:w w:val="99"/>
        </w:rPr>
        <w:t> </w:t>
      </w:r>
      <w:r>
        <w:rPr/>
        <w:t>运营公司发行，且均为单利按年计息，每年付息一次。</w:t>
      </w:r>
    </w:p>
    <w:p>
      <w:pPr>
        <w:spacing w:line="240" w:lineRule="auto" w:before="1"/>
        <w:rPr>
          <w:rFonts w:ascii="宋体" w:hAnsi="宋体" w:cs="宋体" w:eastAsia="宋体" w:hint="default"/>
          <w:sz w:val="17"/>
          <w:szCs w:val="17"/>
        </w:rPr>
      </w:pPr>
    </w:p>
    <w:p>
      <w:pPr>
        <w:pStyle w:val="BodyText"/>
        <w:spacing w:line="240" w:lineRule="auto"/>
        <w:ind w:left="122" w:right="0"/>
        <w:jc w:val="left"/>
      </w:pPr>
      <w:r>
        <w:rPr>
          <w:rFonts w:ascii="Arial" w:hAnsi="Arial" w:cs="Arial" w:eastAsia="Arial" w:hint="default"/>
        </w:rPr>
        <w:t>(ii) </w:t>
      </w:r>
      <w:r>
        <w:rPr>
          <w:rFonts w:ascii="Arial" w:hAnsi="Arial" w:cs="Arial" w:eastAsia="Arial" w:hint="default"/>
          <w:spacing w:val="48"/>
        </w:rPr>
        <w:t> </w:t>
      </w:r>
      <w:r>
        <w:rPr/>
        <w:t>可转换债券相关信息</w:t>
      </w:r>
    </w:p>
    <w:p>
      <w:pPr>
        <w:spacing w:line="240" w:lineRule="auto" w:before="13"/>
        <w:rPr>
          <w:rFonts w:ascii="宋体" w:hAnsi="宋体" w:cs="宋体" w:eastAsia="宋体" w:hint="default"/>
          <w:sz w:val="17"/>
          <w:szCs w:val="17"/>
        </w:rPr>
      </w:pPr>
    </w:p>
    <w:p>
      <w:pPr>
        <w:pStyle w:val="BodyText"/>
        <w:spacing w:line="295" w:lineRule="exact"/>
        <w:ind w:left="554" w:right="0"/>
        <w:jc w:val="both"/>
      </w:pPr>
      <w:r>
        <w:rPr/>
        <w:t>于</w:t>
      </w:r>
      <w:r>
        <w:rPr>
          <w:spacing w:val="-45"/>
        </w:rPr>
        <w:t> </w:t>
      </w:r>
      <w:r>
        <w:rPr>
          <w:rFonts w:ascii="Arial" w:hAnsi="Arial" w:cs="Arial" w:eastAsia="Arial" w:hint="default"/>
        </w:rPr>
        <w:t>2010</w:t>
      </w:r>
      <w:r>
        <w:rPr>
          <w:rFonts w:ascii="Arial" w:hAnsi="Arial" w:cs="Arial" w:eastAsia="Arial" w:hint="default"/>
          <w:spacing w:val="4"/>
        </w:rPr>
        <w:t> </w:t>
      </w:r>
      <w:r>
        <w:rPr/>
        <w:t>年</w:t>
      </w:r>
      <w:r>
        <w:rPr>
          <w:spacing w:val="-45"/>
        </w:rPr>
        <w:t> </w:t>
      </w:r>
      <w:r>
        <w:rPr>
          <w:rFonts w:ascii="Arial" w:hAnsi="Arial" w:cs="Arial" w:eastAsia="Arial" w:hint="default"/>
        </w:rPr>
        <w:t>10</w:t>
      </w:r>
      <w:r>
        <w:rPr>
          <w:rFonts w:ascii="Arial" w:hAnsi="Arial" w:cs="Arial" w:eastAsia="Arial" w:hint="default"/>
          <w:spacing w:val="4"/>
        </w:rPr>
        <w:t> </w:t>
      </w:r>
      <w:r>
        <w:rPr/>
        <w:t>月</w:t>
      </w:r>
      <w:r>
        <w:rPr>
          <w:spacing w:val="-45"/>
        </w:rPr>
        <w:t> </w:t>
      </w:r>
      <w:r>
        <w:rPr>
          <w:rFonts w:ascii="Arial" w:hAnsi="Arial" w:cs="Arial" w:eastAsia="Arial" w:hint="default"/>
        </w:rPr>
        <w:t>18</w:t>
      </w:r>
      <w:r>
        <w:rPr>
          <w:rFonts w:ascii="Arial" w:hAnsi="Arial" w:cs="Arial" w:eastAsia="Arial" w:hint="default"/>
          <w:spacing w:val="4"/>
        </w:rPr>
        <w:t> </w:t>
      </w:r>
      <w:r>
        <w:rPr/>
        <w:t>日，联通红筹公司的全资子公司亿迅公司作为可转换债券的债券发行人，</w:t>
      </w:r>
    </w:p>
    <w:p>
      <w:pPr>
        <w:pStyle w:val="BodyText"/>
        <w:spacing w:line="286" w:lineRule="exact"/>
        <w:ind w:left="554" w:right="0"/>
        <w:jc w:val="both"/>
      </w:pPr>
      <w:r>
        <w:rPr/>
        <w:t>发行总本金额为</w:t>
      </w:r>
      <w:r>
        <w:rPr>
          <w:spacing w:val="-58"/>
        </w:rPr>
        <w:t> </w:t>
      </w:r>
      <w:r>
        <w:rPr>
          <w:rFonts w:ascii="Arial" w:hAnsi="Arial" w:cs="Arial" w:eastAsia="Arial" w:hint="default"/>
        </w:rPr>
        <w:t>18.388</w:t>
      </w:r>
      <w:r>
        <w:rPr>
          <w:rFonts w:ascii="Arial" w:hAnsi="Arial" w:cs="Arial" w:eastAsia="Arial" w:hint="default"/>
          <w:spacing w:val="-9"/>
        </w:rPr>
        <w:t> </w:t>
      </w:r>
      <w:r>
        <w:rPr/>
        <w:t>亿美元（按固定汇率</w:t>
      </w:r>
      <w:r>
        <w:rPr>
          <w:spacing w:val="-58"/>
        </w:rPr>
        <w:t> </w:t>
      </w:r>
      <w:r>
        <w:rPr>
          <w:rFonts w:ascii="Arial" w:hAnsi="Arial" w:cs="Arial" w:eastAsia="Arial" w:hint="default"/>
        </w:rPr>
        <w:t>1</w:t>
      </w:r>
      <w:r>
        <w:rPr>
          <w:rFonts w:ascii="Arial" w:hAnsi="Arial" w:cs="Arial" w:eastAsia="Arial" w:hint="default"/>
          <w:spacing w:val="-8"/>
        </w:rPr>
        <w:t> </w:t>
      </w:r>
      <w:r>
        <w:rPr/>
        <w:t>美元等值港币</w:t>
      </w:r>
      <w:r>
        <w:rPr>
          <w:spacing w:val="-58"/>
        </w:rPr>
        <w:t> </w:t>
      </w:r>
      <w:r>
        <w:rPr>
          <w:rFonts w:ascii="Arial" w:hAnsi="Arial" w:cs="Arial" w:eastAsia="Arial" w:hint="default"/>
        </w:rPr>
        <w:t>7.7576</w:t>
      </w:r>
      <w:r>
        <w:rPr>
          <w:rFonts w:ascii="Arial" w:hAnsi="Arial" w:cs="Arial" w:eastAsia="Arial" w:hint="default"/>
          <w:spacing w:val="-9"/>
        </w:rPr>
        <w:t> </w:t>
      </w:r>
      <w:r>
        <w:rPr/>
        <w:t>元）年利率</w:t>
      </w:r>
      <w:r>
        <w:rPr>
          <w:spacing w:val="-58"/>
        </w:rPr>
        <w:t> </w:t>
      </w:r>
      <w:r>
        <w:rPr>
          <w:rFonts w:ascii="Arial" w:hAnsi="Arial" w:cs="Arial" w:eastAsia="Arial" w:hint="default"/>
        </w:rPr>
        <w:t>0.75%</w:t>
      </w:r>
      <w:r>
        <w:rPr/>
        <w:t>的有担</w:t>
      </w:r>
    </w:p>
    <w:p>
      <w:pPr>
        <w:pStyle w:val="BodyText"/>
        <w:spacing w:line="285" w:lineRule="exact"/>
        <w:ind w:left="554" w:right="0"/>
        <w:jc w:val="both"/>
        <w:rPr>
          <w:rFonts w:ascii="Arial" w:hAnsi="Arial" w:cs="Arial" w:eastAsia="Arial" w:hint="default"/>
        </w:rPr>
      </w:pPr>
      <w:r>
        <w:rPr/>
        <w:t>保可转换债券，该可转换债券于</w:t>
      </w:r>
      <w:r>
        <w:rPr>
          <w:spacing w:val="-55"/>
        </w:rPr>
        <w:t> </w:t>
      </w:r>
      <w:r>
        <w:rPr>
          <w:rFonts w:ascii="Arial" w:hAnsi="Arial" w:cs="Arial" w:eastAsia="Arial" w:hint="default"/>
        </w:rPr>
        <w:t>2015</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月到期并以本金</w:t>
      </w:r>
      <w:r>
        <w:rPr>
          <w:spacing w:val="-55"/>
        </w:rPr>
        <w:t> </w:t>
      </w:r>
      <w:r>
        <w:rPr>
          <w:rFonts w:ascii="Arial" w:hAnsi="Arial" w:cs="Arial" w:eastAsia="Arial" w:hint="default"/>
        </w:rPr>
        <w:t>100%</w:t>
      </w:r>
      <w:r>
        <w:rPr/>
        <w:t>赎回，每年</w:t>
      </w:r>
      <w:r>
        <w:rPr>
          <w:spacing w:val="-55"/>
        </w:rPr>
        <w:t> </w:t>
      </w:r>
      <w:r>
        <w:rPr>
          <w:rFonts w:ascii="Arial" w:hAnsi="Arial" w:cs="Arial" w:eastAsia="Arial" w:hint="default"/>
        </w:rPr>
        <w:t>4</w:t>
      </w:r>
      <w:r>
        <w:rPr>
          <w:rFonts w:ascii="Arial" w:hAnsi="Arial" w:cs="Arial" w:eastAsia="Arial" w:hint="default"/>
          <w:spacing w:val="-5"/>
        </w:rPr>
        <w:t> </w:t>
      </w:r>
      <w:r>
        <w:rPr/>
        <w:t>月</w:t>
      </w:r>
      <w:r>
        <w:rPr>
          <w:spacing w:val="-55"/>
        </w:rPr>
        <w:t> </w:t>
      </w:r>
      <w:r>
        <w:rPr>
          <w:rFonts w:ascii="Arial" w:hAnsi="Arial" w:cs="Arial" w:eastAsia="Arial" w:hint="default"/>
        </w:rPr>
        <w:t>18</w:t>
      </w:r>
      <w:r>
        <w:rPr>
          <w:rFonts w:ascii="Arial" w:hAnsi="Arial" w:cs="Arial" w:eastAsia="Arial" w:hint="default"/>
          <w:spacing w:val="-6"/>
        </w:rPr>
        <w:t> </w:t>
      </w:r>
      <w:r>
        <w:rPr/>
        <w:t>日和</w:t>
      </w:r>
      <w:r>
        <w:rPr>
          <w:spacing w:val="-55"/>
        </w:rPr>
        <w:t> </w:t>
      </w:r>
      <w:r>
        <w:rPr>
          <w:rFonts w:ascii="Arial" w:hAnsi="Arial" w:cs="Arial" w:eastAsia="Arial" w:hint="default"/>
        </w:rPr>
        <w:t>10</w:t>
      </w:r>
    </w:p>
    <w:p>
      <w:pPr>
        <w:pStyle w:val="BodyText"/>
        <w:spacing w:line="285" w:lineRule="exact"/>
        <w:ind w:left="554" w:right="0"/>
        <w:jc w:val="both"/>
      </w:pPr>
      <w:r>
        <w:rPr/>
        <w:t>月 </w:t>
      </w:r>
      <w:r>
        <w:rPr>
          <w:rFonts w:ascii="Arial" w:hAnsi="Arial" w:cs="Arial" w:eastAsia="Arial" w:hint="default"/>
        </w:rPr>
        <w:t>18 </w:t>
      </w:r>
      <w:r>
        <w:rPr>
          <w:rFonts w:ascii="Arial" w:hAnsi="Arial" w:cs="Arial" w:eastAsia="Arial" w:hint="default"/>
          <w:spacing w:val="8"/>
        </w:rPr>
        <w:t> </w:t>
      </w:r>
      <w:r>
        <w:rPr/>
        <w:t>日进行半年派息。本次发行的可转换债券的偿还由联通红筹公司担保，并可以按照每股</w:t>
      </w:r>
    </w:p>
    <w:p>
      <w:pPr>
        <w:pStyle w:val="BodyText"/>
        <w:spacing w:line="286" w:lineRule="exact"/>
        <w:ind w:left="554" w:right="0"/>
        <w:jc w:val="both"/>
        <w:rPr>
          <w:rFonts w:ascii="Arial" w:hAnsi="Arial" w:cs="Arial" w:eastAsia="Arial" w:hint="default"/>
        </w:rPr>
      </w:pPr>
      <w:r>
        <w:rPr>
          <w:rFonts w:ascii="Arial" w:hAnsi="Arial" w:cs="Arial" w:eastAsia="Arial" w:hint="default"/>
        </w:rPr>
        <w:t>15.85 </w:t>
      </w:r>
      <w:r>
        <w:rPr/>
        <w:t>港元的初步转股价格相应转换为联通红筹公司的普通股股票。转股价可根据 </w:t>
      </w:r>
      <w:r>
        <w:rPr>
          <w:rFonts w:ascii="Arial" w:hAnsi="Arial" w:cs="Arial" w:eastAsia="Arial" w:hint="default"/>
        </w:rPr>
        <w:t>2010 </w:t>
      </w:r>
      <w:r>
        <w:rPr/>
        <w:t>年</w:t>
      </w:r>
      <w:r>
        <w:rPr>
          <w:spacing w:val="-40"/>
        </w:rPr>
        <w:t> </w:t>
      </w:r>
      <w:r>
        <w:rPr>
          <w:rFonts w:ascii="Arial" w:hAnsi="Arial" w:cs="Arial" w:eastAsia="Arial" w:hint="default"/>
        </w:rPr>
        <w:t>10</w:t>
      </w:r>
    </w:p>
    <w:p>
      <w:pPr>
        <w:pStyle w:val="BodyText"/>
        <w:spacing w:line="286" w:lineRule="exact"/>
        <w:ind w:left="554" w:right="0"/>
        <w:jc w:val="both"/>
      </w:pPr>
      <w:r>
        <w:rPr/>
        <w:t>月</w:t>
      </w:r>
      <w:r>
        <w:rPr>
          <w:spacing w:val="-55"/>
        </w:rPr>
        <w:t> </w:t>
      </w:r>
      <w:r>
        <w:rPr>
          <w:rFonts w:ascii="Arial" w:hAnsi="Arial" w:cs="Arial" w:eastAsia="Arial" w:hint="default"/>
        </w:rPr>
        <w:t>18</w:t>
      </w:r>
      <w:r>
        <w:rPr>
          <w:rFonts w:ascii="Arial" w:hAnsi="Arial" w:cs="Arial" w:eastAsia="Arial" w:hint="default"/>
          <w:spacing w:val="-6"/>
        </w:rPr>
        <w:t> </w:t>
      </w:r>
      <w:r>
        <w:rPr>
          <w:spacing w:val="-3"/>
        </w:rPr>
        <w:t>日订立的发行协议中规定的若干情况予以调整。债券持有人可于</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11</w:t>
      </w:r>
      <w:r>
        <w:rPr>
          <w:rFonts w:ascii="Arial" w:hAnsi="Arial" w:cs="Arial" w:eastAsia="Arial" w:hint="default"/>
          <w:spacing w:val="-6"/>
        </w:rPr>
        <w:t> </w:t>
      </w:r>
      <w:r>
        <w:rPr/>
        <w:t>月</w:t>
      </w:r>
      <w:r>
        <w:rPr>
          <w:spacing w:val="-55"/>
        </w:rPr>
        <w:t> </w:t>
      </w:r>
      <w:r>
        <w:rPr>
          <w:rFonts w:ascii="Arial" w:hAnsi="Arial" w:cs="Arial" w:eastAsia="Arial" w:hint="default"/>
        </w:rPr>
        <w:t>28</w:t>
      </w:r>
      <w:r>
        <w:rPr>
          <w:rFonts w:ascii="Arial" w:hAnsi="Arial" w:cs="Arial" w:eastAsia="Arial" w:hint="default"/>
          <w:spacing w:val="-6"/>
        </w:rPr>
        <w:t> </w:t>
      </w:r>
      <w:r>
        <w:rPr/>
        <w:t>日或之</w:t>
      </w:r>
    </w:p>
    <w:p>
      <w:pPr>
        <w:pStyle w:val="BodyText"/>
        <w:spacing w:line="285" w:lineRule="exact"/>
        <w:ind w:left="554" w:right="0"/>
        <w:jc w:val="both"/>
      </w:pPr>
      <w:r>
        <w:rPr/>
        <w:t>后任何时候直至</w:t>
      </w:r>
      <w:r>
        <w:rPr>
          <w:spacing w:val="-45"/>
        </w:rPr>
        <w:t> </w:t>
      </w:r>
      <w:r>
        <w:rPr>
          <w:rFonts w:ascii="Arial" w:hAnsi="Arial" w:cs="Arial" w:eastAsia="Arial" w:hint="default"/>
        </w:rPr>
        <w:t>2015</w:t>
      </w:r>
      <w:r>
        <w:rPr>
          <w:rFonts w:ascii="Arial" w:hAnsi="Arial" w:cs="Arial" w:eastAsia="Arial" w:hint="default"/>
          <w:spacing w:val="5"/>
        </w:rPr>
        <w:t> </w:t>
      </w:r>
      <w:r>
        <w:rPr/>
        <w:t>年</w:t>
      </w:r>
      <w:r>
        <w:rPr>
          <w:spacing w:val="-45"/>
        </w:rPr>
        <w:t> </w:t>
      </w:r>
      <w:r>
        <w:rPr>
          <w:rFonts w:ascii="Arial" w:hAnsi="Arial" w:cs="Arial" w:eastAsia="Arial" w:hint="default"/>
        </w:rPr>
        <w:t>10</w:t>
      </w:r>
      <w:r>
        <w:rPr>
          <w:rFonts w:ascii="Arial" w:hAnsi="Arial" w:cs="Arial" w:eastAsia="Arial" w:hint="default"/>
          <w:spacing w:val="4"/>
        </w:rPr>
        <w:t> </w:t>
      </w:r>
      <w:r>
        <w:rPr/>
        <w:t>月</w:t>
      </w:r>
      <w:r>
        <w:rPr>
          <w:spacing w:val="-45"/>
        </w:rPr>
        <w:t> </w:t>
      </w:r>
      <w:r>
        <w:rPr>
          <w:rFonts w:ascii="Arial" w:hAnsi="Arial" w:cs="Arial" w:eastAsia="Arial" w:hint="default"/>
        </w:rPr>
        <w:t>8</w:t>
      </w:r>
      <w:r>
        <w:rPr>
          <w:rFonts w:ascii="Arial" w:hAnsi="Arial" w:cs="Arial" w:eastAsia="Arial" w:hint="default"/>
          <w:spacing w:val="5"/>
        </w:rPr>
        <w:t> </w:t>
      </w:r>
      <w:r>
        <w:rPr/>
        <w:t>日营业时间结束时（或若该等可转换债券已于</w:t>
      </w:r>
      <w:r>
        <w:rPr>
          <w:spacing w:val="-44"/>
        </w:rPr>
        <w:t> </w:t>
      </w:r>
      <w:r>
        <w:rPr>
          <w:rFonts w:ascii="Arial" w:hAnsi="Arial" w:cs="Arial" w:eastAsia="Arial" w:hint="default"/>
        </w:rPr>
        <w:t>2015</w:t>
      </w:r>
      <w:r>
        <w:rPr>
          <w:rFonts w:ascii="Arial" w:hAnsi="Arial" w:cs="Arial" w:eastAsia="Arial" w:hint="default"/>
          <w:spacing w:val="4"/>
        </w:rPr>
        <w:t> </w:t>
      </w:r>
      <w:r>
        <w:rPr/>
        <w:t>年</w:t>
      </w:r>
      <w:r>
        <w:rPr>
          <w:spacing w:val="-45"/>
        </w:rPr>
        <w:t> </w:t>
      </w:r>
      <w:r>
        <w:rPr>
          <w:rFonts w:ascii="Arial" w:hAnsi="Arial" w:cs="Arial" w:eastAsia="Arial" w:hint="default"/>
        </w:rPr>
        <w:t>10</w:t>
      </w:r>
      <w:r>
        <w:rPr>
          <w:rFonts w:ascii="Arial" w:hAnsi="Arial" w:cs="Arial" w:eastAsia="Arial" w:hint="default"/>
          <w:spacing w:val="5"/>
        </w:rPr>
        <w:t> </w:t>
      </w:r>
      <w:r>
        <w:rPr/>
        <w:t>月</w:t>
      </w:r>
    </w:p>
    <w:p>
      <w:pPr>
        <w:pStyle w:val="BodyText"/>
        <w:spacing w:line="285" w:lineRule="exact"/>
        <w:ind w:left="554" w:right="0"/>
        <w:jc w:val="both"/>
      </w:pPr>
      <w:r>
        <w:rPr>
          <w:rFonts w:ascii="Arial" w:hAnsi="Arial" w:cs="Arial" w:eastAsia="Arial" w:hint="default"/>
        </w:rPr>
        <w:t>18</w:t>
      </w:r>
      <w:r>
        <w:rPr>
          <w:rFonts w:ascii="Arial" w:hAnsi="Arial" w:cs="Arial" w:eastAsia="Arial" w:hint="default"/>
          <w:spacing w:val="-20"/>
        </w:rPr>
        <w:t> </w:t>
      </w:r>
      <w:r>
        <w:rPr/>
        <w:t>日前被联通红筹公司要求赎回，则直至不迟于指定赎回日期</w:t>
      </w:r>
      <w:r>
        <w:rPr>
          <w:spacing w:val="-69"/>
        </w:rPr>
        <w:t> </w:t>
      </w:r>
      <w:r>
        <w:rPr>
          <w:rFonts w:ascii="Arial" w:hAnsi="Arial" w:cs="Arial" w:eastAsia="Arial" w:hint="default"/>
        </w:rPr>
        <w:t>7</w:t>
      </w:r>
      <w:r>
        <w:rPr>
          <w:rFonts w:ascii="Arial" w:hAnsi="Arial" w:cs="Arial" w:eastAsia="Arial" w:hint="default"/>
          <w:spacing w:val="-20"/>
        </w:rPr>
        <w:t> </w:t>
      </w:r>
      <w:r>
        <w:rPr/>
        <w:t>日前的营业时间结束时），随</w:t>
      </w:r>
    </w:p>
    <w:p>
      <w:pPr>
        <w:pStyle w:val="BodyText"/>
        <w:spacing w:line="230" w:lineRule="auto" w:before="1"/>
        <w:ind w:left="554" w:right="100"/>
        <w:jc w:val="both"/>
      </w:pPr>
      <w:r>
        <w:rPr/>
        <w:t>时行使转换权。亿迅公司将依据债券持有人的选择，于</w:t>
      </w:r>
      <w:r>
        <w:rPr>
          <w:spacing w:val="-46"/>
        </w:rPr>
        <w:t> </w:t>
      </w:r>
      <w:r>
        <w:rPr>
          <w:rFonts w:ascii="Arial" w:hAnsi="Arial" w:cs="Arial" w:eastAsia="Arial" w:hint="default"/>
        </w:rPr>
        <w:t>2013</w:t>
      </w:r>
      <w:r>
        <w:rPr>
          <w:rFonts w:ascii="Arial" w:hAnsi="Arial" w:cs="Arial" w:eastAsia="Arial" w:hint="default"/>
          <w:spacing w:val="4"/>
        </w:rPr>
        <w:t> </w:t>
      </w:r>
      <w:r>
        <w:rPr/>
        <w:t>年</w:t>
      </w:r>
      <w:r>
        <w:rPr>
          <w:spacing w:val="-45"/>
        </w:rPr>
        <w:t> </w:t>
      </w:r>
      <w:r>
        <w:rPr>
          <w:rFonts w:ascii="Arial" w:hAnsi="Arial" w:cs="Arial" w:eastAsia="Arial" w:hint="default"/>
        </w:rPr>
        <w:t>10</w:t>
      </w:r>
      <w:r>
        <w:rPr>
          <w:rFonts w:ascii="Arial" w:hAnsi="Arial" w:cs="Arial" w:eastAsia="Arial" w:hint="default"/>
          <w:spacing w:val="4"/>
        </w:rPr>
        <w:t> </w:t>
      </w:r>
      <w:r>
        <w:rPr/>
        <w:t>月</w:t>
      </w:r>
      <w:r>
        <w:rPr>
          <w:spacing w:val="-47"/>
        </w:rPr>
        <w:t> </w:t>
      </w:r>
      <w:r>
        <w:rPr>
          <w:rFonts w:ascii="Arial" w:hAnsi="Arial" w:cs="Arial" w:eastAsia="Arial" w:hint="default"/>
        </w:rPr>
        <w:t>18</w:t>
      </w:r>
      <w:r>
        <w:rPr>
          <w:rFonts w:ascii="Arial" w:hAnsi="Arial" w:cs="Arial" w:eastAsia="Arial" w:hint="default"/>
          <w:spacing w:val="4"/>
        </w:rPr>
        <w:t> </w:t>
      </w:r>
      <w:r>
        <w:rPr/>
        <w:t>日按本金额连同截至</w:t>
      </w:r>
      <w:r>
        <w:rPr>
          <w:w w:val="99"/>
        </w:rPr>
        <w:t> </w:t>
      </w:r>
      <w:r>
        <w:rPr/>
        <w:t>指定赎回日期应计而未支付的利息，赎回债券持有人的全部（而非部分）可转换债券。另外，</w:t>
      </w:r>
      <w:r>
        <w:rPr>
          <w:spacing w:val="-70"/>
        </w:rPr>
        <w:t> </w:t>
      </w:r>
      <w:r>
        <w:rPr>
          <w:spacing w:val="-70"/>
        </w:rPr>
      </w:r>
      <w:r>
        <w:rPr/>
        <w:t>于</w:t>
      </w:r>
      <w:r>
        <w:rPr>
          <w:spacing w:val="-50"/>
        </w:rPr>
        <w:t> </w:t>
      </w:r>
      <w:r>
        <w:rPr>
          <w:rFonts w:ascii="Arial" w:hAnsi="Arial" w:cs="Arial" w:eastAsia="Arial" w:hint="default"/>
        </w:rPr>
        <w:t>2013</w:t>
      </w:r>
      <w:r>
        <w:rPr>
          <w:rFonts w:ascii="Arial" w:hAnsi="Arial" w:cs="Arial" w:eastAsia="Arial" w:hint="default"/>
          <w:spacing w:val="-1"/>
        </w:rPr>
        <w:t> </w:t>
      </w:r>
      <w:r>
        <w:rPr/>
        <w:t>年</w:t>
      </w:r>
      <w:r>
        <w:rPr>
          <w:spacing w:val="-49"/>
        </w:rPr>
        <w:t> </w:t>
      </w:r>
      <w:r>
        <w:rPr>
          <w:rFonts w:ascii="Arial" w:hAnsi="Arial" w:cs="Arial" w:eastAsia="Arial" w:hint="default"/>
        </w:rPr>
        <w:t>10</w:t>
      </w:r>
      <w:r>
        <w:rPr>
          <w:rFonts w:ascii="Arial" w:hAnsi="Arial" w:cs="Arial" w:eastAsia="Arial" w:hint="default"/>
          <w:spacing w:val="-1"/>
        </w:rPr>
        <w:t> </w:t>
      </w:r>
      <w:r>
        <w:rPr/>
        <w:t>月</w:t>
      </w:r>
      <w:r>
        <w:rPr>
          <w:spacing w:val="-50"/>
        </w:rPr>
        <w:t> </w:t>
      </w:r>
      <w:r>
        <w:rPr>
          <w:rFonts w:ascii="Arial" w:hAnsi="Arial" w:cs="Arial" w:eastAsia="Arial" w:hint="default"/>
        </w:rPr>
        <w:t>18</w:t>
      </w:r>
      <w:r>
        <w:rPr>
          <w:rFonts w:ascii="Arial" w:hAnsi="Arial" w:cs="Arial" w:eastAsia="Arial" w:hint="default"/>
          <w:spacing w:val="-1"/>
        </w:rPr>
        <w:t> </w:t>
      </w:r>
      <w:r>
        <w:rPr/>
        <w:t>日或该日之后任何时候至</w:t>
      </w:r>
      <w:r>
        <w:rPr>
          <w:spacing w:val="-49"/>
        </w:rPr>
        <w:t> </w:t>
      </w:r>
      <w:r>
        <w:rPr>
          <w:rFonts w:ascii="Arial" w:hAnsi="Arial" w:cs="Arial" w:eastAsia="Arial" w:hint="default"/>
        </w:rPr>
        <w:t>2015</w:t>
      </w:r>
      <w:r>
        <w:rPr>
          <w:rFonts w:ascii="Arial" w:hAnsi="Arial" w:cs="Arial" w:eastAsia="Arial" w:hint="default"/>
          <w:spacing w:val="-1"/>
        </w:rPr>
        <w:t> </w:t>
      </w:r>
      <w:r>
        <w:rPr/>
        <w:t>年</w:t>
      </w:r>
      <w:r>
        <w:rPr>
          <w:spacing w:val="-50"/>
        </w:rPr>
        <w:t> </w:t>
      </w:r>
      <w:r>
        <w:rPr>
          <w:rFonts w:ascii="Arial" w:hAnsi="Arial" w:cs="Arial" w:eastAsia="Arial" w:hint="default"/>
        </w:rPr>
        <w:t>10</w:t>
      </w:r>
      <w:r>
        <w:rPr>
          <w:rFonts w:ascii="Arial" w:hAnsi="Arial" w:cs="Arial" w:eastAsia="Arial" w:hint="default"/>
          <w:spacing w:val="-1"/>
        </w:rPr>
        <w:t> </w:t>
      </w:r>
      <w:r>
        <w:rPr/>
        <w:t>月</w:t>
      </w:r>
      <w:r>
        <w:rPr>
          <w:spacing w:val="-50"/>
        </w:rPr>
        <w:t> </w:t>
      </w:r>
      <w:r>
        <w:rPr>
          <w:rFonts w:ascii="Arial" w:hAnsi="Arial" w:cs="Arial" w:eastAsia="Arial" w:hint="default"/>
        </w:rPr>
        <w:t>18</w:t>
      </w:r>
      <w:r>
        <w:rPr>
          <w:rFonts w:ascii="Arial" w:hAnsi="Arial" w:cs="Arial" w:eastAsia="Arial" w:hint="default"/>
          <w:spacing w:val="-1"/>
        </w:rPr>
        <w:t> </w:t>
      </w:r>
      <w:r>
        <w:rPr/>
        <w:t>日前，亿迅公司可按本金额连</w:t>
      </w:r>
      <w:r>
        <w:rPr>
          <w:w w:val="99"/>
        </w:rPr>
        <w:t> </w:t>
      </w:r>
      <w:r>
        <w:rPr>
          <w:spacing w:val="-2"/>
        </w:rPr>
        <w:t>同截至指定赎回日期应计而未支付的利息，赎回当时发行在外的全部（而非部分）可转换债券。</w:t>
      </w:r>
    </w:p>
    <w:p>
      <w:pPr>
        <w:spacing w:line="240" w:lineRule="auto" w:before="5"/>
        <w:rPr>
          <w:rFonts w:ascii="宋体" w:hAnsi="宋体" w:cs="宋体" w:eastAsia="宋体" w:hint="default"/>
          <w:sz w:val="21"/>
          <w:szCs w:val="21"/>
        </w:rPr>
      </w:pPr>
    </w:p>
    <w:p>
      <w:pPr>
        <w:pStyle w:val="BodyText"/>
        <w:spacing w:line="286" w:lineRule="exact"/>
        <w:ind w:left="554" w:right="199" w:hanging="1"/>
        <w:jc w:val="left"/>
      </w:pPr>
      <w:r>
        <w:rPr/>
        <w:t>于</w:t>
      </w:r>
      <w:r>
        <w:rPr>
          <w:spacing w:val="-68"/>
        </w:rPr>
        <w:t> </w:t>
      </w:r>
      <w:r>
        <w:rPr>
          <w:rFonts w:ascii="Arial" w:hAnsi="Arial" w:cs="Arial" w:eastAsia="Arial" w:hint="default"/>
        </w:rPr>
        <w:t>2011</w:t>
      </w:r>
      <w:r>
        <w:rPr>
          <w:rFonts w:ascii="Arial" w:hAnsi="Arial" w:cs="Arial" w:eastAsia="Arial" w:hint="default"/>
          <w:spacing w:val="-19"/>
        </w:rPr>
        <w:t> </w:t>
      </w:r>
      <w:r>
        <w:rPr/>
        <w:t>年度及</w:t>
      </w:r>
      <w:r>
        <w:rPr>
          <w:spacing w:val="-68"/>
        </w:rPr>
        <w:t> </w:t>
      </w:r>
      <w:r>
        <w:rPr>
          <w:rFonts w:ascii="Arial" w:hAnsi="Arial" w:cs="Arial" w:eastAsia="Arial" w:hint="default"/>
        </w:rPr>
        <w:t>2010</w:t>
      </w:r>
      <w:r>
        <w:rPr>
          <w:rFonts w:ascii="Arial" w:hAnsi="Arial" w:cs="Arial" w:eastAsia="Arial" w:hint="default"/>
          <w:spacing w:val="-19"/>
        </w:rPr>
        <w:t> </w:t>
      </w:r>
      <w:r>
        <w:rPr/>
        <w:t>年度，可转换债券持有人并未将可转换债券转换为联通红筹公司股份，而</w:t>
      </w:r>
      <w:r>
        <w:rPr>
          <w:w w:val="99"/>
        </w:rPr>
        <w:t> </w:t>
      </w:r>
      <w:r>
        <w:rPr/>
        <w:t>亿迅公司也未将可转换债券赎回。</w:t>
      </w:r>
    </w:p>
    <w:p>
      <w:pPr>
        <w:spacing w:after="0" w:line="286" w:lineRule="exact"/>
        <w:jc w:val="left"/>
        <w:sectPr>
          <w:type w:val="continuous"/>
          <w:pgSz w:w="11900" w:h="16840"/>
          <w:pgMar w:top="1600" w:bottom="280" w:left="1260" w:right="800"/>
        </w:sectPr>
      </w:pPr>
    </w:p>
    <w:p>
      <w:pPr>
        <w:spacing w:line="240" w:lineRule="auto" w:before="12"/>
        <w:rPr>
          <w:rFonts w:ascii="宋体" w:hAnsi="宋体" w:cs="宋体" w:eastAsia="宋体" w:hint="default"/>
          <w:sz w:val="15"/>
          <w:szCs w:val="15"/>
        </w:rPr>
      </w:pPr>
    </w:p>
    <w:p>
      <w:pPr>
        <w:pStyle w:val="BodyText"/>
        <w:spacing w:line="240" w:lineRule="auto" w:before="31"/>
        <w:ind w:left="108" w:right="0"/>
        <w:jc w:val="left"/>
      </w:pPr>
      <w:r>
        <w:rPr>
          <w:rFonts w:ascii="Arial" w:hAnsi="Arial" w:cs="Arial" w:eastAsia="Arial" w:hint="default"/>
        </w:rPr>
        <w:t>(a)  </w:t>
      </w:r>
      <w:r>
        <w:rPr>
          <w:rFonts w:ascii="Arial" w:hAnsi="Arial" w:cs="Arial" w:eastAsia="Arial" w:hint="default"/>
          <w:spacing w:val="8"/>
        </w:rPr>
        <w:t> </w:t>
      </w:r>
      <w:r>
        <w:rPr/>
        <w:t>债券有关信息如下（续）：</w:t>
      </w:r>
    </w:p>
    <w:p>
      <w:pPr>
        <w:spacing w:line="240" w:lineRule="auto" w:before="13"/>
        <w:rPr>
          <w:rFonts w:ascii="宋体" w:hAnsi="宋体" w:cs="宋体" w:eastAsia="宋体" w:hint="default"/>
          <w:sz w:val="17"/>
          <w:szCs w:val="17"/>
        </w:rPr>
      </w:pPr>
    </w:p>
    <w:p>
      <w:pPr>
        <w:pStyle w:val="BodyText"/>
        <w:spacing w:line="240" w:lineRule="auto"/>
        <w:ind w:left="122" w:right="0"/>
        <w:jc w:val="left"/>
      </w:pPr>
      <w:r>
        <w:rPr>
          <w:rFonts w:ascii="Arial" w:hAnsi="Arial" w:cs="Arial" w:eastAsia="Arial" w:hint="default"/>
        </w:rPr>
        <w:t>(ii) </w:t>
      </w:r>
      <w:r>
        <w:rPr>
          <w:rFonts w:ascii="Arial" w:hAnsi="Arial" w:cs="Arial" w:eastAsia="Arial" w:hint="default"/>
          <w:spacing w:val="48"/>
        </w:rPr>
        <w:t> </w:t>
      </w:r>
      <w:r>
        <w:rPr/>
        <w:t>可转换债券相关信息（续）</w:t>
      </w:r>
    </w:p>
    <w:p>
      <w:pPr>
        <w:spacing w:line="240" w:lineRule="auto" w:before="0"/>
        <w:rPr>
          <w:rFonts w:ascii="宋体" w:hAnsi="宋体" w:cs="宋体" w:eastAsia="宋体" w:hint="default"/>
          <w:sz w:val="20"/>
          <w:szCs w:val="20"/>
        </w:rPr>
      </w:pPr>
    </w:p>
    <w:p>
      <w:pPr>
        <w:pStyle w:val="BodyText"/>
        <w:spacing w:line="286" w:lineRule="exact"/>
        <w:ind w:left="569" w:right="109"/>
        <w:jc w:val="both"/>
      </w:pPr>
      <w:r>
        <w:rPr/>
        <w:t>可转换债券负债部分的公允价值已于发行可转换债券时确定，以相同期限但没有转换权债券的</w:t>
      </w:r>
      <w:r>
        <w:rPr>
          <w:spacing w:val="-82"/>
        </w:rPr>
        <w:t> </w:t>
      </w:r>
      <w:r>
        <w:rPr>
          <w:spacing w:val="-82"/>
        </w:rPr>
      </w:r>
      <w:r>
        <w:rPr/>
        <w:t>市场利率计算。剩余数额，即面值（扣除发行费用）与负债部分公允价值的差异，计入股东权</w:t>
      </w:r>
      <w:r>
        <w:rPr>
          <w:spacing w:val="-82"/>
        </w:rPr>
        <w:t> </w:t>
      </w:r>
      <w:r>
        <w:rPr>
          <w:spacing w:val="-82"/>
        </w:rPr>
      </w:r>
      <w:r>
        <w:rPr/>
        <w:t>益的资本公积项下。</w:t>
      </w:r>
    </w:p>
    <w:p>
      <w:pPr>
        <w:spacing w:line="240" w:lineRule="auto" w:before="3"/>
        <w:rPr>
          <w:rFonts w:ascii="宋体" w:hAnsi="宋体" w:cs="宋体" w:eastAsia="宋体" w:hint="default"/>
          <w:sz w:val="19"/>
          <w:szCs w:val="19"/>
        </w:rPr>
      </w:pPr>
    </w:p>
    <w:p>
      <w:pPr>
        <w:pStyle w:val="BodyText"/>
        <w:spacing w:line="286" w:lineRule="exact"/>
        <w:ind w:left="570" w:right="139" w:hanging="1"/>
        <w:jc w:val="both"/>
      </w:pPr>
      <w:r>
        <w:rPr/>
        <w:t>于</w:t>
      </w:r>
      <w:r>
        <w:rPr>
          <w:spacing w:val="-62"/>
        </w:rPr>
        <w:t> </w:t>
      </w:r>
      <w:r>
        <w:rPr>
          <w:rFonts w:ascii="Arial" w:hAnsi="Arial" w:cs="Arial" w:eastAsia="Arial" w:hint="default"/>
        </w:rPr>
        <w:t>2010</w:t>
      </w:r>
      <w:r>
        <w:rPr>
          <w:rFonts w:ascii="Arial" w:hAnsi="Arial" w:cs="Arial" w:eastAsia="Arial" w:hint="default"/>
          <w:spacing w:val="-13"/>
        </w:rPr>
        <w:t> </w:t>
      </w:r>
      <w:r>
        <w:rPr/>
        <w:t>年</w:t>
      </w:r>
      <w:r>
        <w:rPr>
          <w:spacing w:val="-62"/>
        </w:rPr>
        <w:t> </w:t>
      </w:r>
      <w:r>
        <w:rPr>
          <w:rFonts w:ascii="Arial" w:hAnsi="Arial" w:cs="Arial" w:eastAsia="Arial" w:hint="default"/>
        </w:rPr>
        <w:t>10</w:t>
      </w:r>
      <w:r>
        <w:rPr>
          <w:rFonts w:ascii="Arial" w:hAnsi="Arial" w:cs="Arial" w:eastAsia="Arial" w:hint="default"/>
          <w:spacing w:val="-13"/>
        </w:rPr>
        <w:t> </w:t>
      </w:r>
      <w:r>
        <w:rPr/>
        <w:t>月</w:t>
      </w:r>
      <w:r>
        <w:rPr>
          <w:spacing w:val="-62"/>
        </w:rPr>
        <w:t> </w:t>
      </w:r>
      <w:r>
        <w:rPr>
          <w:rFonts w:ascii="Arial" w:hAnsi="Arial" w:cs="Arial" w:eastAsia="Arial" w:hint="default"/>
        </w:rPr>
        <w:t>18</w:t>
      </w:r>
      <w:r>
        <w:rPr>
          <w:rFonts w:ascii="Arial" w:hAnsi="Arial" w:cs="Arial" w:eastAsia="Arial" w:hint="default"/>
          <w:spacing w:val="-13"/>
        </w:rPr>
        <w:t> </w:t>
      </w:r>
      <w:r>
        <w:rPr/>
        <w:t>日，可转换债券负债部分的入账价值折合人民币约为</w:t>
      </w:r>
      <w:r>
        <w:rPr>
          <w:spacing w:val="-62"/>
        </w:rPr>
        <w:t> </w:t>
      </w:r>
      <w:r>
        <w:rPr>
          <w:rFonts w:ascii="Arial" w:hAnsi="Arial" w:cs="Arial" w:eastAsia="Arial" w:hint="default"/>
        </w:rPr>
        <w:t>115.68</w:t>
      </w:r>
      <w:r>
        <w:rPr>
          <w:rFonts w:ascii="Arial" w:hAnsi="Arial" w:cs="Arial" w:eastAsia="Arial" w:hint="default"/>
          <w:spacing w:val="-13"/>
        </w:rPr>
        <w:t> </w:t>
      </w:r>
      <w:r>
        <w:rPr>
          <w:spacing w:val="-9"/>
        </w:rPr>
        <w:t>亿元，其金额</w:t>
      </w:r>
      <w:r>
        <w:rPr>
          <w:w w:val="99"/>
        </w:rPr>
        <w:t> </w:t>
      </w:r>
      <w:r>
        <w:rPr/>
        <w:t>以现金流量并考虑发行费用的影响后按实际年利率</w:t>
      </w:r>
      <w:r>
        <w:rPr>
          <w:spacing w:val="-58"/>
        </w:rPr>
        <w:t> </w:t>
      </w:r>
      <w:r>
        <w:rPr>
          <w:rFonts w:ascii="Arial" w:hAnsi="Arial" w:cs="Arial" w:eastAsia="Arial" w:hint="default"/>
        </w:rPr>
        <w:t>1.90%</w:t>
      </w:r>
      <w:r>
        <w:rPr/>
        <w:t>来折现估算。</w:t>
      </w:r>
    </w:p>
    <w:p>
      <w:pPr>
        <w:spacing w:line="240" w:lineRule="auto" w:before="2"/>
        <w:rPr>
          <w:rFonts w:ascii="宋体" w:hAnsi="宋体" w:cs="宋体" w:eastAsia="宋体" w:hint="default"/>
          <w:sz w:val="17"/>
          <w:szCs w:val="17"/>
        </w:rPr>
      </w:pPr>
    </w:p>
    <w:p>
      <w:pPr>
        <w:pStyle w:val="BodyText"/>
        <w:tabs>
          <w:tab w:pos="7935" w:val="left" w:leader="none"/>
        </w:tabs>
        <w:spacing w:line="315" w:lineRule="exact"/>
        <w:ind w:left="590" w:right="0"/>
        <w:jc w:val="both"/>
        <w:rPr>
          <w:rFonts w:ascii="Arial" w:hAnsi="Arial" w:cs="Arial" w:eastAsia="Arial" w:hint="default"/>
        </w:rPr>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18</w:t>
      </w:r>
      <w:r>
        <w:rPr>
          <w:rFonts w:ascii="Arial" w:hAnsi="Arial" w:cs="Arial" w:eastAsia="Arial" w:hint="default"/>
          <w:spacing w:val="-7"/>
        </w:rPr>
        <w:t> </w:t>
      </w:r>
      <w:r>
        <w:rPr/>
        <w:t>日可转换债券发行日的面值</w:t>
        <w:tab/>
      </w:r>
      <w:r>
        <w:rPr>
          <w:rFonts w:ascii="Arial" w:hAnsi="Arial" w:cs="Arial" w:eastAsia="Arial" w:hint="default"/>
          <w:position w:val="-2"/>
        </w:rPr>
        <w:t>12,235,547,828</w:t>
      </w:r>
      <w:r>
        <w:rPr>
          <w:rFonts w:ascii="Arial" w:hAnsi="Arial" w:cs="Arial" w:eastAsia="Arial" w:hint="default"/>
        </w:rPr>
      </w:r>
    </w:p>
    <w:p>
      <w:pPr>
        <w:pStyle w:val="BodyText"/>
        <w:tabs>
          <w:tab w:pos="7340" w:val="left" w:leader="none"/>
          <w:tab w:pos="8289" w:val="left" w:leader="none"/>
        </w:tabs>
        <w:spacing w:line="305" w:lineRule="exact"/>
        <w:ind w:left="590" w:right="0"/>
        <w:jc w:val="both"/>
        <w:rPr>
          <w:rFonts w:ascii="Arial" w:hAnsi="Arial" w:cs="Arial" w:eastAsia="Arial" w:hint="default"/>
        </w:rPr>
      </w:pPr>
      <w:r>
        <w:rPr>
          <w:w w:val="95"/>
          <w:position w:val="2"/>
        </w:rPr>
        <w:t>减：可转换债券直接发行成本</w:t>
        <w:tab/>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(96,046,763)</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rPr>
      </w:r>
    </w:p>
    <w:p>
      <w:pPr>
        <w:spacing w:line="240" w:lineRule="auto" w:before="1"/>
        <w:rPr>
          <w:rFonts w:ascii="Arial" w:hAnsi="Arial" w:cs="Arial" w:eastAsia="Arial" w:hint="default"/>
          <w:sz w:val="3"/>
          <w:szCs w:val="3"/>
        </w:rPr>
      </w:pPr>
    </w:p>
    <w:tbl>
      <w:tblPr>
        <w:tblW w:w="0" w:type="auto"/>
        <w:jc w:val="left"/>
        <w:tblInd w:w="555" w:type="dxa"/>
        <w:tblLayout w:type="fixed"/>
        <w:tblCellMar>
          <w:top w:w="0" w:type="dxa"/>
          <w:left w:w="0" w:type="dxa"/>
          <w:bottom w:w="0" w:type="dxa"/>
          <w:right w:w="0" w:type="dxa"/>
        </w:tblCellMar>
        <w:tblLook w:val="01E0"/>
      </w:tblPr>
      <w:tblGrid>
        <w:gridCol w:w="6771"/>
        <w:gridCol w:w="2309"/>
      </w:tblGrid>
      <w:tr>
        <w:trPr>
          <w:trHeight w:val="289"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6"/>
                <w:sz w:val="22"/>
                <w:szCs w:val="22"/>
              </w:rPr>
              <w:t> </w:t>
            </w: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10</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18</w:t>
            </w:r>
            <w:r>
              <w:rPr>
                <w:rFonts w:ascii="Arial" w:hAnsi="Arial" w:cs="Arial" w:eastAsia="Arial" w:hint="default"/>
                <w:spacing w:val="-7"/>
                <w:sz w:val="22"/>
                <w:szCs w:val="22"/>
              </w:rPr>
              <w:t> </w:t>
            </w:r>
            <w:r>
              <w:rPr>
                <w:rFonts w:ascii="宋体" w:hAnsi="宋体" w:cs="宋体" w:eastAsia="宋体" w:hint="default"/>
                <w:sz w:val="22"/>
                <w:szCs w:val="22"/>
              </w:rPr>
              <w:t>日可转换债券发行日的入账价值</w:t>
            </w:r>
          </w:p>
        </w:tc>
        <w:tc>
          <w:tcPr>
            <w:tcW w:w="2309" w:type="dxa"/>
            <w:tcBorders>
              <w:top w:val="nil" w:sz="6" w:space="0" w:color="auto"/>
              <w:left w:val="nil" w:sz="6" w:space="0" w:color="auto"/>
              <w:bottom w:val="single" w:sz="17" w:space="0" w:color="000000"/>
              <w:right w:val="nil" w:sz="6" w:space="0" w:color="auto"/>
            </w:tcBorders>
          </w:tcPr>
          <w:p>
            <w:pPr>
              <w:pStyle w:val="TableParagraph"/>
              <w:spacing w:line="240" w:lineRule="auto" w:before="13"/>
              <w:ind w:left="609" w:right="0"/>
              <w:jc w:val="left"/>
              <w:rPr>
                <w:rFonts w:ascii="Arial" w:hAnsi="Arial" w:cs="Arial" w:eastAsia="Arial" w:hint="default"/>
                <w:sz w:val="22"/>
                <w:szCs w:val="22"/>
              </w:rPr>
            </w:pPr>
            <w:r>
              <w:rPr>
                <w:rFonts w:ascii="Arial"/>
                <w:sz w:val="22"/>
              </w:rPr>
              <w:t>12,139,501,065</w:t>
            </w:r>
          </w:p>
        </w:tc>
      </w:tr>
      <w:tr>
        <w:trPr>
          <w:trHeight w:val="562"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其中：</w:t>
            </w:r>
          </w:p>
        </w:tc>
        <w:tc>
          <w:tcPr>
            <w:tcW w:w="2309" w:type="dxa"/>
            <w:tcBorders>
              <w:top w:val="single" w:sz="17" w:space="0" w:color="000000"/>
              <w:left w:val="nil" w:sz="6" w:space="0" w:color="auto"/>
              <w:bottom w:val="nil" w:sz="6" w:space="0" w:color="auto"/>
              <w:right w:val="nil" w:sz="6" w:space="0" w:color="auto"/>
            </w:tcBorders>
          </w:tcPr>
          <w:p>
            <w:pPr/>
          </w:p>
        </w:tc>
      </w:tr>
      <w:tr>
        <w:trPr>
          <w:trHeight w:val="298"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初始确认的权益部分的入账价值</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15" w:right="0"/>
              <w:jc w:val="left"/>
              <w:rPr>
                <w:rFonts w:ascii="Arial" w:hAnsi="Arial" w:cs="Arial" w:eastAsia="Arial" w:hint="default"/>
                <w:sz w:val="22"/>
                <w:szCs w:val="22"/>
              </w:rPr>
            </w:pPr>
            <w:r>
              <w:rPr>
                <w:rFonts w:ascii="Arial"/>
                <w:sz w:val="22"/>
              </w:rPr>
              <w:t>571,621,559</w:t>
            </w:r>
          </w:p>
        </w:tc>
      </w:tr>
      <w:tr>
        <w:trPr>
          <w:trHeight w:val="290"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初始确认的负债部分的入账价值</w:t>
            </w:r>
          </w:p>
        </w:tc>
        <w:tc>
          <w:tcPr>
            <w:tcW w:w="2309" w:type="dxa"/>
            <w:tcBorders>
              <w:top w:val="nil" w:sz="6" w:space="0" w:color="auto"/>
              <w:left w:val="nil" w:sz="6" w:space="0" w:color="auto"/>
              <w:bottom w:val="nil" w:sz="6" w:space="0" w:color="auto"/>
              <w:right w:val="nil" w:sz="6" w:space="0" w:color="auto"/>
            </w:tcBorders>
          </w:tcPr>
          <w:p>
            <w:pPr>
              <w:pStyle w:val="TableParagraph"/>
              <w:tabs>
                <w:tab w:pos="595" w:val="left" w:leader="none"/>
                <w:tab w:pos="2259"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11,567,879,506</w:t>
              <w:tab/>
            </w:r>
            <w:r>
              <w:rPr>
                <w:rFonts w:ascii="Arial"/>
                <w:spacing w:val="-1"/>
                <w:sz w:val="22"/>
              </w:rPr>
            </w:r>
          </w:p>
        </w:tc>
      </w:tr>
      <w:tr>
        <w:trPr>
          <w:trHeight w:val="272" w:hRule="exact"/>
        </w:trPr>
        <w:tc>
          <w:tcPr>
            <w:tcW w:w="6771"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17" w:space="0" w:color="000000"/>
              <w:right w:val="nil" w:sz="6" w:space="0" w:color="auto"/>
            </w:tcBorders>
          </w:tcPr>
          <w:p>
            <w:pPr>
              <w:pStyle w:val="TableParagraph"/>
              <w:spacing w:line="249" w:lineRule="exact"/>
              <w:ind w:left="609" w:right="0"/>
              <w:jc w:val="left"/>
              <w:rPr>
                <w:rFonts w:ascii="Arial" w:hAnsi="Arial" w:cs="Arial" w:eastAsia="Arial" w:hint="default"/>
                <w:sz w:val="22"/>
                <w:szCs w:val="22"/>
              </w:rPr>
            </w:pPr>
            <w:r>
              <w:rPr>
                <w:rFonts w:ascii="Arial"/>
                <w:sz w:val="22"/>
              </w:rPr>
              <w:t>12,139,501,065</w:t>
            </w:r>
          </w:p>
        </w:tc>
      </w:tr>
      <w:tr>
        <w:trPr>
          <w:trHeight w:val="561"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负债部分变动</w:t>
            </w:r>
          </w:p>
        </w:tc>
        <w:tc>
          <w:tcPr>
            <w:tcW w:w="2309" w:type="dxa"/>
            <w:tcBorders>
              <w:top w:val="single" w:sz="17" w:space="0" w:color="000000"/>
              <w:left w:val="nil" w:sz="6" w:space="0" w:color="auto"/>
              <w:bottom w:val="nil" w:sz="6" w:space="0" w:color="auto"/>
              <w:right w:val="nil" w:sz="6" w:space="0" w:color="auto"/>
            </w:tcBorders>
          </w:tcPr>
          <w:p>
            <w:pPr/>
          </w:p>
        </w:tc>
      </w:tr>
      <w:tr>
        <w:trPr>
          <w:trHeight w:val="298"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2"/>
                <w:szCs w:val="22"/>
              </w:rPr>
            </w:pPr>
            <w:r>
              <w:rPr>
                <w:rFonts w:ascii="宋体" w:hAnsi="宋体" w:cs="宋体" w:eastAsia="宋体" w:hint="default"/>
                <w:sz w:val="22"/>
                <w:szCs w:val="22"/>
              </w:rPr>
              <w:t>初始确认的负债部分的入账价值</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09" w:right="0"/>
              <w:jc w:val="left"/>
              <w:rPr>
                <w:rFonts w:ascii="Arial" w:hAnsi="Arial" w:cs="Arial" w:eastAsia="Arial" w:hint="default"/>
                <w:sz w:val="22"/>
                <w:szCs w:val="22"/>
              </w:rPr>
            </w:pPr>
            <w:r>
              <w:rPr>
                <w:rFonts w:ascii="Arial"/>
                <w:sz w:val="22"/>
              </w:rPr>
              <w:t>11,567,879,506</w:t>
            </w:r>
          </w:p>
        </w:tc>
      </w:tr>
      <w:tr>
        <w:trPr>
          <w:trHeight w:val="286"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减：负债部分的汇兑收益</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63" w:right="0"/>
              <w:jc w:val="left"/>
              <w:rPr>
                <w:rFonts w:ascii="Arial" w:hAnsi="Arial" w:cs="Arial" w:eastAsia="Arial" w:hint="default"/>
                <w:sz w:val="22"/>
                <w:szCs w:val="22"/>
              </w:rPr>
            </w:pPr>
            <w:r>
              <w:rPr>
                <w:rFonts w:ascii="Arial"/>
                <w:sz w:val="22"/>
              </w:rPr>
              <w:t>(54,577,023)</w:t>
            </w:r>
          </w:p>
        </w:tc>
      </w:tr>
      <w:tr>
        <w:trPr>
          <w:trHeight w:val="419"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加：负债部分的利息费用</w:t>
            </w:r>
          </w:p>
        </w:tc>
        <w:tc>
          <w:tcPr>
            <w:tcW w:w="2309" w:type="dxa"/>
            <w:tcBorders>
              <w:top w:val="nil" w:sz="6" w:space="0" w:color="auto"/>
              <w:left w:val="nil" w:sz="6" w:space="0" w:color="auto"/>
              <w:bottom w:val="nil" w:sz="6" w:space="0" w:color="auto"/>
              <w:right w:val="nil" w:sz="6" w:space="0" w:color="auto"/>
            </w:tcBorders>
          </w:tcPr>
          <w:p>
            <w:pPr>
              <w:pStyle w:val="TableParagraph"/>
              <w:tabs>
                <w:tab w:pos="1022" w:val="left" w:leader="none"/>
                <w:tab w:pos="2259"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44,452,159</w:t>
            </w:r>
            <w:r>
              <w:rPr>
                <w:rFonts w:ascii="Arial"/>
                <w:sz w:val="22"/>
                <w:u w:val="single" w:color="000000"/>
              </w:rPr>
              <w:tab/>
            </w:r>
            <w:r>
              <w:rPr>
                <w:rFonts w:ascii="Arial"/>
                <w:sz w:val="22"/>
              </w:rPr>
            </w:r>
          </w:p>
        </w:tc>
      </w:tr>
      <w:tr>
        <w:trPr>
          <w:trHeight w:val="553"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6"/>
                <w:sz w:val="22"/>
                <w:szCs w:val="22"/>
              </w:rPr>
              <w:t> </w:t>
            </w: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日负债部分的账面价值</w:t>
            </w:r>
          </w:p>
        </w:tc>
        <w:tc>
          <w:tcPr>
            <w:tcW w:w="2309" w:type="dxa"/>
            <w:tcBorders>
              <w:top w:val="nil" w:sz="6" w:space="0" w:color="auto"/>
              <w:left w:val="nil" w:sz="6" w:space="0" w:color="auto"/>
              <w:bottom w:val="nil" w:sz="6" w:space="0" w:color="auto"/>
              <w:right w:val="nil" w:sz="6" w:space="0" w:color="auto"/>
            </w:tcBorders>
          </w:tcPr>
          <w:p>
            <w:pPr>
              <w:pStyle w:val="TableParagraph"/>
              <w:tabs>
                <w:tab w:pos="595" w:val="left" w:leader="none"/>
                <w:tab w:pos="2259" w:val="left" w:leader="none"/>
              </w:tabs>
              <w:spacing w:line="240" w:lineRule="auto" w:before="151"/>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11,557,754,642</w:t>
              <w:tab/>
            </w:r>
            <w:r>
              <w:rPr>
                <w:rFonts w:ascii="Arial"/>
                <w:spacing w:val="-1"/>
                <w:sz w:val="22"/>
              </w:rPr>
            </w:r>
          </w:p>
        </w:tc>
      </w:tr>
      <w:tr>
        <w:trPr>
          <w:trHeight w:val="419"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减：负债部分的汇兑收益</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841" w:right="0"/>
              <w:jc w:val="left"/>
              <w:rPr>
                <w:rFonts w:ascii="Arial" w:hAnsi="Arial" w:cs="Arial" w:eastAsia="Arial" w:hint="default"/>
                <w:sz w:val="22"/>
                <w:szCs w:val="22"/>
              </w:rPr>
            </w:pPr>
            <w:r>
              <w:rPr>
                <w:rFonts w:ascii="Arial"/>
                <w:sz w:val="22"/>
              </w:rPr>
              <w:t>(564,397,883)</w:t>
            </w:r>
          </w:p>
        </w:tc>
      </w:tr>
      <w:tr>
        <w:trPr>
          <w:trHeight w:val="286"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39" w:lineRule="exact"/>
              <w:ind w:left="493" w:right="0"/>
              <w:jc w:val="left"/>
              <w:rPr>
                <w:rFonts w:ascii="宋体" w:hAnsi="宋体" w:cs="宋体" w:eastAsia="宋体" w:hint="default"/>
                <w:sz w:val="22"/>
                <w:szCs w:val="22"/>
              </w:rPr>
            </w:pPr>
            <w:r>
              <w:rPr>
                <w:rFonts w:ascii="宋体" w:hAnsi="宋体" w:cs="宋体" w:eastAsia="宋体" w:hint="default"/>
                <w:sz w:val="22"/>
                <w:szCs w:val="22"/>
              </w:rPr>
              <w:t>本年支付的利息</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63" w:right="0"/>
              <w:jc w:val="left"/>
              <w:rPr>
                <w:rFonts w:ascii="Arial" w:hAnsi="Arial" w:cs="Arial" w:eastAsia="Arial" w:hint="default"/>
                <w:sz w:val="22"/>
                <w:szCs w:val="22"/>
              </w:rPr>
            </w:pPr>
            <w:r>
              <w:rPr>
                <w:rFonts w:ascii="Arial"/>
                <w:sz w:val="22"/>
              </w:rPr>
              <w:t>(88,854,034)</w:t>
            </w:r>
          </w:p>
        </w:tc>
      </w:tr>
      <w:tr>
        <w:trPr>
          <w:trHeight w:val="419"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加：负债部分的利息费用</w:t>
            </w:r>
          </w:p>
        </w:tc>
        <w:tc>
          <w:tcPr>
            <w:tcW w:w="2309" w:type="dxa"/>
            <w:tcBorders>
              <w:top w:val="nil" w:sz="6" w:space="0" w:color="auto"/>
              <w:left w:val="nil" w:sz="6" w:space="0" w:color="auto"/>
              <w:bottom w:val="nil" w:sz="6" w:space="0" w:color="auto"/>
              <w:right w:val="nil" w:sz="6" w:space="0" w:color="auto"/>
            </w:tcBorders>
          </w:tcPr>
          <w:p>
            <w:pPr>
              <w:pStyle w:val="TableParagraph"/>
              <w:tabs>
                <w:tab w:pos="901" w:val="left" w:leader="none"/>
                <w:tab w:pos="2259"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213,602,956</w:t>
            </w:r>
            <w:r>
              <w:rPr>
                <w:rFonts w:ascii="Arial"/>
                <w:sz w:val="22"/>
                <w:u w:val="single" w:color="000000"/>
              </w:rPr>
              <w:tab/>
            </w:r>
            <w:r>
              <w:rPr>
                <w:rFonts w:ascii="Arial"/>
                <w:sz w:val="22"/>
              </w:rPr>
            </w:r>
          </w:p>
        </w:tc>
      </w:tr>
      <w:tr>
        <w:trPr>
          <w:trHeight w:val="430" w:hRule="exact"/>
        </w:trPr>
        <w:tc>
          <w:tcPr>
            <w:tcW w:w="677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6"/>
                <w:sz w:val="22"/>
                <w:szCs w:val="22"/>
              </w:rPr>
              <w:t> </w:t>
            </w: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日负债部分的账面价值</w:t>
            </w:r>
          </w:p>
        </w:tc>
        <w:tc>
          <w:tcPr>
            <w:tcW w:w="230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609" w:right="0"/>
              <w:jc w:val="left"/>
              <w:rPr>
                <w:rFonts w:ascii="Arial" w:hAnsi="Arial" w:cs="Arial" w:eastAsia="Arial" w:hint="default"/>
                <w:sz w:val="22"/>
                <w:szCs w:val="22"/>
              </w:rPr>
            </w:pPr>
            <w:r>
              <w:rPr>
                <w:rFonts w:ascii="Arial"/>
                <w:sz w:val="22"/>
              </w:rPr>
              <w:t>11,118,105,681</w:t>
            </w:r>
          </w:p>
        </w:tc>
      </w:tr>
    </w:tbl>
    <w:p>
      <w:pPr>
        <w:spacing w:after="0" w:line="240" w:lineRule="auto"/>
        <w:jc w:val="left"/>
        <w:rPr>
          <w:rFonts w:ascii="Arial" w:hAnsi="Arial" w:cs="Arial" w:eastAsia="Arial" w:hint="default"/>
          <w:sz w:val="22"/>
          <w:szCs w:val="22"/>
        </w:rPr>
        <w:sectPr>
          <w:headerReference w:type="default" r:id="rId114"/>
          <w:pgSz w:w="11900" w:h="16840"/>
          <w:pgMar w:header="1189" w:footer="752" w:top="3600" w:bottom="940" w:left="1260" w:right="900"/>
        </w:sectPr>
      </w:pPr>
    </w:p>
    <w:p>
      <w:pPr>
        <w:spacing w:line="240" w:lineRule="auto" w:before="1"/>
        <w:rPr>
          <w:rFonts w:ascii="Arial" w:hAnsi="Arial" w:cs="Arial" w:eastAsia="Arial" w:hint="default"/>
          <w:sz w:val="18"/>
          <w:szCs w:val="18"/>
        </w:rPr>
      </w:pPr>
    </w:p>
    <w:p>
      <w:pPr>
        <w:pStyle w:val="BodyText"/>
        <w:spacing w:line="240" w:lineRule="auto" w:before="31"/>
        <w:ind w:left="128" w:right="0"/>
        <w:jc w:val="left"/>
      </w:pPr>
      <w:r>
        <w:rPr>
          <w:rFonts w:ascii="Arial" w:hAnsi="Arial" w:cs="Arial" w:eastAsia="Arial" w:hint="default"/>
        </w:rPr>
        <w:t>(b)  </w:t>
      </w:r>
      <w:r>
        <w:rPr>
          <w:rFonts w:ascii="Arial" w:hAnsi="Arial" w:cs="Arial" w:eastAsia="Arial" w:hint="default"/>
          <w:spacing w:val="8"/>
        </w:rPr>
        <w:t> </w:t>
      </w:r>
      <w:r>
        <w:rPr/>
        <w:t>债券之应计利息分析如下：</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115"/>
          <w:pgSz w:w="11900" w:h="16840"/>
          <w:pgMar w:header="1189" w:footer="752" w:top="3600" w:bottom="940" w:left="1240" w:right="880"/>
        </w:sectPr>
      </w:pPr>
    </w:p>
    <w:p>
      <w:pPr>
        <w:spacing w:line="240" w:lineRule="auto" w:before="11"/>
        <w:rPr>
          <w:rFonts w:ascii="宋体" w:hAnsi="宋体" w:cs="宋体" w:eastAsia="宋体" w:hint="default"/>
          <w:sz w:val="23"/>
          <w:szCs w:val="23"/>
        </w:rPr>
      </w:pPr>
    </w:p>
    <w:p>
      <w:pPr>
        <w:spacing w:before="0"/>
        <w:ind w:left="0" w:right="0" w:firstLine="0"/>
        <w:jc w:val="right"/>
        <w:rPr>
          <w:rFonts w:ascii="宋体" w:hAnsi="宋体" w:cs="宋体" w:eastAsia="宋体" w:hint="default"/>
          <w:sz w:val="20"/>
          <w:szCs w:val="20"/>
        </w:rPr>
      </w:pPr>
      <w:r>
        <w:rPr/>
        <w:pict>
          <v:group style="position:absolute;margin-left:242.699997pt;margin-top:1.239163pt;width:301.2pt;height:.1pt;mso-position-horizontal-relative:page;mso-position-vertical-relative:paragraph;z-index:-817720" coordorigin="4854,25" coordsize="6024,2">
            <v:shape style="position:absolute;left:4854;top:25;width:6024;height:2" coordorigin="4854,25" coordsize="6024,0" path="m4854,25l10878,25e" filled="false" stroked="true" strokeweight=".71997pt" strokecolor="#000000">
              <v:path arrowok="t"/>
            </v:shape>
            <w10:wrap type="none"/>
          </v:group>
        </w:pic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spacing w:before="38"/>
        <w:ind w:left="1071"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应计利息</w:t>
      </w:r>
    </w:p>
    <w:p>
      <w:pPr>
        <w:spacing w:line="240" w:lineRule="auto" w:before="11"/>
        <w:rPr>
          <w:rFonts w:ascii="宋体" w:hAnsi="宋体" w:cs="宋体" w:eastAsia="宋体" w:hint="default"/>
          <w:sz w:val="23"/>
          <w:szCs w:val="23"/>
        </w:rPr>
      </w:pPr>
      <w:r>
        <w:rPr/>
        <w:br w:type="column"/>
      </w:r>
      <w:r>
        <w:rPr>
          <w:rFonts w:ascii="宋体"/>
          <w:sz w:val="23"/>
        </w:rPr>
      </w:r>
    </w:p>
    <w:p>
      <w:pPr>
        <w:spacing w:before="0"/>
        <w:ind w:left="0" w:right="183" w:firstLine="0"/>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spacing w:after="0"/>
        <w:jc w:val="right"/>
        <w:rPr>
          <w:rFonts w:ascii="宋体" w:hAnsi="宋体" w:cs="宋体" w:eastAsia="宋体" w:hint="default"/>
          <w:sz w:val="20"/>
          <w:szCs w:val="20"/>
        </w:rPr>
        <w:sectPr>
          <w:type w:val="continuous"/>
          <w:pgSz w:w="11900" w:h="16840"/>
          <w:pgMar w:top="1600" w:bottom="280" w:left="1240" w:right="880"/>
          <w:cols w:num="3" w:equalWidth="0">
            <w:col w:w="5065" w:space="40"/>
            <w:col w:w="1873" w:space="40"/>
            <w:col w:w="2762"/>
          </w:cols>
        </w:sectPr>
      </w:pPr>
    </w:p>
    <w:p>
      <w:pPr>
        <w:tabs>
          <w:tab w:pos="5379" w:val="left" w:leader="none"/>
          <w:tab w:pos="6820" w:val="left" w:leader="none"/>
          <w:tab w:pos="8598" w:val="left" w:leader="none"/>
        </w:tabs>
        <w:spacing w:line="259" w:lineRule="exact" w:before="0"/>
        <w:ind w:left="4068" w:right="0" w:firstLine="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pacing w:val="-1"/>
          <w:sz w:val="20"/>
          <w:szCs w:val="20"/>
        </w:rPr>
        <w:t>31</w:t>
      </w:r>
      <w:r>
        <w:rPr>
          <w:rFonts w:ascii="Arial" w:hAnsi="Arial" w:cs="Arial" w:eastAsia="Arial" w:hint="default"/>
          <w:spacing w:val="-5"/>
          <w:sz w:val="20"/>
          <w:szCs w:val="20"/>
        </w:rPr>
        <w:t> </w:t>
      </w:r>
      <w:r>
        <w:rPr>
          <w:rFonts w:ascii="宋体" w:hAnsi="宋体" w:cs="宋体" w:eastAsia="宋体" w:hint="default"/>
          <w:sz w:val="20"/>
          <w:szCs w:val="20"/>
        </w:rPr>
        <w:t>日</w:t>
        <w:tab/>
      </w:r>
      <w:r>
        <w:rPr>
          <w:rFonts w:ascii="宋体" w:hAnsi="宋体" w:cs="宋体" w:eastAsia="宋体" w:hint="default"/>
          <w:spacing w:val="-1"/>
          <w:sz w:val="20"/>
          <w:szCs w:val="20"/>
        </w:rPr>
        <w:t>本年应计利息</w:t>
        <w:tab/>
        <w:t>本年已付利息</w:t>
        <w:tab/>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pacing w:val="-1"/>
          <w:sz w:val="20"/>
          <w:szCs w:val="20"/>
        </w:rPr>
        <w:t>31</w:t>
      </w:r>
      <w:r>
        <w:rPr>
          <w:rFonts w:ascii="Arial" w:hAnsi="Arial" w:cs="Arial" w:eastAsia="Arial" w:hint="default"/>
          <w:spacing w:val="-5"/>
          <w:sz w:val="20"/>
          <w:szCs w:val="20"/>
        </w:rPr>
        <w:t> </w:t>
      </w:r>
      <w:r>
        <w:rPr>
          <w:rFonts w:ascii="宋体" w:hAnsi="宋体" w:cs="宋体" w:eastAsia="宋体" w:hint="default"/>
          <w:sz w:val="20"/>
          <w:szCs w:val="20"/>
        </w:rPr>
        <w:t>日</w:t>
      </w:r>
    </w:p>
    <w:p>
      <w:pPr>
        <w:spacing w:line="20" w:lineRule="exact"/>
        <w:ind w:left="3606" w:right="0" w:firstLine="0"/>
        <w:rPr>
          <w:rFonts w:ascii="宋体" w:hAnsi="宋体" w:cs="宋体" w:eastAsia="宋体" w:hint="default"/>
          <w:sz w:val="2"/>
          <w:szCs w:val="2"/>
        </w:rPr>
      </w:pPr>
      <w:r>
        <w:rPr>
          <w:rFonts w:ascii="宋体"/>
          <w:sz w:val="2"/>
        </w:rPr>
        <w:pict>
          <v:group style="width:73.9pt;height:.75pt;mso-position-horizontal-relative:char;mso-position-vertical-relative:line" coordorigin="0,0" coordsize="1478,15">
            <v:group style="position:absolute;left:7;top:7;width:1463;height:2" coordorigin="7,7" coordsize="1463,2">
              <v:shape style="position:absolute;left:7;top:7;width:1463;height:2" coordorigin="7,7" coordsize="1463,0" path="m7,7l1470,7e" filled="false" stroked="true" strokeweight=".72003pt" strokecolor="#000000">
                <v:path arrowok="t"/>
              </v:shape>
            </v:group>
          </v:group>
        </w:pict>
      </w:r>
      <w:r>
        <w:rPr>
          <w:rFonts w:ascii="宋体"/>
          <w:sz w:val="2"/>
        </w:rPr>
      </w:r>
      <w:r>
        <w:rPr>
          <w:rFonts w:ascii="Times New Roman"/>
          <w:spacing w:val="82"/>
          <w:sz w:val="2"/>
        </w:rPr>
        <w:t> </w:t>
      </w:r>
      <w:r>
        <w:rPr>
          <w:rFonts w:ascii="宋体"/>
          <w:spacing w:val="82"/>
          <w:sz w:val="2"/>
        </w:rPr>
        <w:pict>
          <v:group style="width:72.75pt;height:.75pt;mso-position-horizontal-relative:char;mso-position-vertical-relative:line" coordorigin="0,0" coordsize="1455,15">
            <v:group style="position:absolute;left:7;top:7;width:1440;height:2" coordorigin="7,7" coordsize="1440,2">
              <v:shape style="position:absolute;left:7;top:7;width:1440;height:2" coordorigin="7,7" coordsize="1440,0" path="m7,7l1447,7e" filled="false" stroked="true" strokeweight=".72003pt" strokecolor="#000000">
                <v:path arrowok="t"/>
              </v:shape>
            </v:group>
          </v:group>
        </w:pict>
      </w:r>
      <w:r>
        <w:rPr>
          <w:rFonts w:ascii="宋体"/>
          <w:spacing w:val="82"/>
          <w:sz w:val="2"/>
        </w:rPr>
      </w:r>
      <w:r>
        <w:rPr>
          <w:rFonts w:ascii="Times New Roman"/>
          <w:spacing w:val="83"/>
          <w:sz w:val="2"/>
        </w:rPr>
        <w:t> </w:t>
      </w:r>
      <w:r>
        <w:rPr>
          <w:rFonts w:ascii="宋体"/>
          <w:spacing w:val="83"/>
          <w:sz w:val="2"/>
        </w:rPr>
        <w:pict>
          <v:group style="width:67.45pt;height:.75pt;mso-position-horizontal-relative:char;mso-position-vertical-relative:line" coordorigin="0,0" coordsize="1349,15">
            <v:group style="position:absolute;left:7;top:7;width:1335;height:2" coordorigin="7,7" coordsize="1335,2">
              <v:shape style="position:absolute;left:7;top:7;width:1335;height:2" coordorigin="7,7" coordsize="1335,0" path="m7,7l1342,7e" filled="false" stroked="true" strokeweight=".72003pt" strokecolor="#000000">
                <v:path arrowok="t"/>
              </v:shape>
            </v:group>
          </v:group>
        </w:pict>
      </w:r>
      <w:r>
        <w:rPr>
          <w:rFonts w:ascii="宋体"/>
          <w:spacing w:val="83"/>
          <w:sz w:val="2"/>
        </w:rPr>
      </w:r>
      <w:r>
        <w:rPr>
          <w:rFonts w:ascii="Times New Roman"/>
          <w:spacing w:val="83"/>
          <w:sz w:val="2"/>
        </w:rPr>
        <w:t> </w:t>
      </w:r>
      <w:r>
        <w:rPr>
          <w:rFonts w:ascii="宋体"/>
          <w:spacing w:val="83"/>
          <w:sz w:val="2"/>
        </w:rPr>
        <w:pict>
          <v:group style="width:74.25pt;height:.75pt;mso-position-horizontal-relative:char;mso-position-vertical-relative:line" coordorigin="0,0" coordsize="1485,15">
            <v:group style="position:absolute;left:7;top:7;width:1470;height:2" coordorigin="7,7" coordsize="1470,2">
              <v:shape style="position:absolute;left:7;top:7;width:1470;height:2" coordorigin="7,7" coordsize="1470,0" path="m7,7l1477,7e" filled="false" stroked="true" strokeweight=".72003pt" strokecolor="#000000">
                <v:path arrowok="t"/>
              </v:shape>
            </v:group>
          </v:group>
        </w:pict>
      </w:r>
      <w:r>
        <w:rPr>
          <w:rFonts w:ascii="宋体"/>
          <w:spacing w:val="83"/>
          <w:sz w:val="2"/>
        </w:rPr>
      </w:r>
    </w:p>
    <w:p>
      <w:pPr>
        <w:spacing w:line="240" w:lineRule="auto" w:before="0"/>
        <w:rPr>
          <w:rFonts w:ascii="宋体" w:hAnsi="宋体" w:cs="宋体" w:eastAsia="宋体" w:hint="default"/>
          <w:sz w:val="13"/>
          <w:szCs w:val="13"/>
        </w:rPr>
      </w:pPr>
    </w:p>
    <w:tbl>
      <w:tblPr>
        <w:tblW w:w="0" w:type="auto"/>
        <w:jc w:val="left"/>
        <w:tblInd w:w="598" w:type="dxa"/>
        <w:tblLayout w:type="fixed"/>
        <w:tblCellMar>
          <w:top w:w="0" w:type="dxa"/>
          <w:left w:w="0" w:type="dxa"/>
          <w:bottom w:w="0" w:type="dxa"/>
          <w:right w:w="0" w:type="dxa"/>
        </w:tblCellMar>
        <w:tblLook w:val="01E0"/>
      </w:tblPr>
      <w:tblGrid>
        <w:gridCol w:w="3001"/>
        <w:gridCol w:w="1530"/>
        <w:gridCol w:w="1546"/>
        <w:gridCol w:w="1420"/>
        <w:gridCol w:w="1578"/>
      </w:tblGrid>
      <w:tr>
        <w:trPr>
          <w:trHeight w:val="341"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9"/>
                <w:sz w:val="20"/>
                <w:szCs w:val="20"/>
              </w:rPr>
              <w:t> </w:t>
            </w:r>
            <w:r>
              <w:rPr>
                <w:rFonts w:ascii="宋体" w:hAnsi="宋体" w:cs="宋体" w:eastAsia="宋体" w:hint="default"/>
                <w:sz w:val="20"/>
                <w:szCs w:val="20"/>
              </w:rPr>
              <w:t>年公司债券</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13" w:right="0"/>
              <w:jc w:val="left"/>
              <w:rPr>
                <w:rFonts w:ascii="Arial" w:hAnsi="Arial" w:cs="Arial" w:eastAsia="Arial" w:hint="default"/>
                <w:sz w:val="20"/>
                <w:szCs w:val="20"/>
              </w:rPr>
            </w:pPr>
            <w:r>
              <w:rPr>
                <w:rFonts w:ascii="Arial"/>
                <w:sz w:val="20"/>
              </w:rPr>
              <w:t>51,041,096</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23" w:right="0"/>
              <w:jc w:val="left"/>
              <w:rPr>
                <w:rFonts w:ascii="Arial" w:hAnsi="Arial" w:cs="Arial" w:eastAsia="Arial" w:hint="default"/>
                <w:sz w:val="20"/>
                <w:szCs w:val="20"/>
              </w:rPr>
            </w:pPr>
            <w:r>
              <w:rPr>
                <w:rFonts w:ascii="Arial"/>
                <w:sz w:val="20"/>
              </w:rPr>
              <w:t>90,000,000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1"/>
              <w:jc w:val="right"/>
              <w:rPr>
                <w:rFonts w:ascii="Arial" w:hAnsi="Arial" w:cs="Arial" w:eastAsia="Arial" w:hint="default"/>
                <w:sz w:val="20"/>
                <w:szCs w:val="20"/>
              </w:rPr>
            </w:pPr>
            <w:r>
              <w:rPr>
                <w:rFonts w:ascii="Arial"/>
                <w:spacing w:val="-1"/>
                <w:sz w:val="20"/>
              </w:rPr>
              <w:t>(90,000,000)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07" w:right="0"/>
              <w:jc w:val="left"/>
              <w:rPr>
                <w:rFonts w:ascii="Arial" w:hAnsi="Arial" w:cs="Arial" w:eastAsia="Arial" w:hint="default"/>
                <w:sz w:val="20"/>
                <w:szCs w:val="20"/>
              </w:rPr>
            </w:pPr>
            <w:r>
              <w:rPr>
                <w:rFonts w:ascii="Arial"/>
                <w:sz w:val="20"/>
              </w:rPr>
              <w:t>51,041,096</w:t>
            </w:r>
          </w:p>
        </w:tc>
      </w:tr>
      <w:tr>
        <w:trPr>
          <w:trHeight w:val="259"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9"/>
                <w:sz w:val="20"/>
                <w:szCs w:val="20"/>
              </w:rPr>
              <w:t> </w:t>
            </w:r>
            <w:r>
              <w:rPr>
                <w:rFonts w:ascii="宋体" w:hAnsi="宋体" w:cs="宋体" w:eastAsia="宋体" w:hint="default"/>
                <w:sz w:val="20"/>
                <w:szCs w:val="20"/>
              </w:rPr>
              <w:t>年公司债券</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3" w:right="0"/>
              <w:jc w:val="left"/>
              <w:rPr>
                <w:rFonts w:ascii="Arial" w:hAnsi="Arial" w:cs="Arial" w:eastAsia="Arial" w:hint="default"/>
                <w:sz w:val="20"/>
                <w:szCs w:val="20"/>
              </w:rPr>
            </w:pPr>
            <w:r>
              <w:rPr>
                <w:rFonts w:ascii="Arial"/>
                <w:sz w:val="20"/>
              </w:rPr>
              <w:t>86,958,904</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2" w:right="0"/>
              <w:jc w:val="left"/>
              <w:rPr>
                <w:rFonts w:ascii="Arial" w:hAnsi="Arial" w:cs="Arial" w:eastAsia="Arial" w:hint="default"/>
                <w:sz w:val="20"/>
                <w:szCs w:val="20"/>
              </w:rPr>
            </w:pPr>
            <w:r>
              <w:rPr>
                <w:rFonts w:ascii="Arial"/>
                <w:sz w:val="20"/>
              </w:rPr>
              <w:t>264,500,000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20"/>
                <w:szCs w:val="20"/>
              </w:rPr>
            </w:pPr>
            <w:r>
              <w:rPr>
                <w:rFonts w:ascii="Arial"/>
                <w:spacing w:val="-1"/>
                <w:sz w:val="20"/>
              </w:rPr>
              <w:t>(264,500,000)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7" w:right="0"/>
              <w:jc w:val="left"/>
              <w:rPr>
                <w:rFonts w:ascii="Arial" w:hAnsi="Arial" w:cs="Arial" w:eastAsia="Arial" w:hint="default"/>
                <w:sz w:val="20"/>
                <w:szCs w:val="20"/>
              </w:rPr>
            </w:pPr>
            <w:r>
              <w:rPr>
                <w:rFonts w:ascii="Arial"/>
                <w:sz w:val="20"/>
              </w:rPr>
              <w:t>86,958,904</w:t>
            </w:r>
          </w:p>
        </w:tc>
      </w:tr>
      <w:tr>
        <w:trPr>
          <w:trHeight w:val="259"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年第一期中期票据</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3" w:right="0"/>
              <w:jc w:val="left"/>
              <w:rPr>
                <w:rFonts w:ascii="Arial" w:hAnsi="Arial" w:cs="Arial" w:eastAsia="Arial" w:hint="default"/>
                <w:sz w:val="20"/>
                <w:szCs w:val="20"/>
              </w:rPr>
            </w:pPr>
            <w:r>
              <w:rPr>
                <w:rFonts w:ascii="Arial"/>
                <w:sz w:val="20"/>
              </w:rPr>
              <w:t>84,001,644</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2" w:right="0"/>
              <w:jc w:val="left"/>
              <w:rPr>
                <w:rFonts w:ascii="Arial" w:hAnsi="Arial" w:cs="Arial" w:eastAsia="Arial" w:hint="default"/>
                <w:sz w:val="20"/>
                <w:szCs w:val="20"/>
              </w:rPr>
            </w:pPr>
            <w:r>
              <w:rPr>
                <w:rFonts w:ascii="Arial"/>
                <w:sz w:val="20"/>
              </w:rPr>
              <w:t>111,900,000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20"/>
                <w:szCs w:val="20"/>
              </w:rPr>
            </w:pPr>
            <w:r>
              <w:rPr>
                <w:rFonts w:ascii="Arial"/>
                <w:spacing w:val="-1"/>
                <w:sz w:val="20"/>
              </w:rPr>
              <w:t>(111,900,000)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7" w:right="0"/>
              <w:jc w:val="left"/>
              <w:rPr>
                <w:rFonts w:ascii="Arial" w:hAnsi="Arial" w:cs="Arial" w:eastAsia="Arial" w:hint="default"/>
                <w:sz w:val="20"/>
                <w:szCs w:val="20"/>
              </w:rPr>
            </w:pPr>
            <w:r>
              <w:rPr>
                <w:rFonts w:ascii="Arial"/>
                <w:sz w:val="20"/>
              </w:rPr>
              <w:t>84,001,644</w:t>
            </w:r>
          </w:p>
        </w:tc>
      </w:tr>
      <w:tr>
        <w:trPr>
          <w:trHeight w:val="268"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年第二期中期票据</w:t>
            </w:r>
          </w:p>
        </w:tc>
        <w:tc>
          <w:tcPr>
            <w:tcW w:w="1530" w:type="dxa"/>
            <w:tcBorders>
              <w:top w:val="nil" w:sz="6" w:space="0" w:color="auto"/>
              <w:left w:val="nil" w:sz="6" w:space="0" w:color="auto"/>
              <w:bottom w:val="nil" w:sz="6" w:space="0" w:color="auto"/>
              <w:right w:val="nil" w:sz="6" w:space="0" w:color="auto"/>
            </w:tcBorders>
          </w:tcPr>
          <w:p>
            <w:pPr>
              <w:pStyle w:val="TableParagraph"/>
              <w:tabs>
                <w:tab w:pos="1477" w:val="left" w:leader="none"/>
              </w:tabs>
              <w:spacing w:line="240" w:lineRule="auto" w:before="16"/>
              <w:ind w:left="1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0"/>
                <w:sz w:val="20"/>
                <w:u w:val="single" w:color="000000"/>
              </w:rPr>
              <w:t> </w:t>
            </w:r>
            <w:r>
              <w:rPr>
                <w:rFonts w:ascii="Arial"/>
                <w:sz w:val="20"/>
                <w:u w:val="single" w:color="000000"/>
              </w:rPr>
              <w:t>112,086,575</w:t>
              <w:tab/>
            </w:r>
            <w:r>
              <w:rPr>
                <w:rFonts w:ascii="Arial"/>
                <w:sz w:val="20"/>
              </w:rPr>
            </w:r>
          </w:p>
        </w:tc>
        <w:tc>
          <w:tcPr>
            <w:tcW w:w="1546" w:type="dxa"/>
            <w:tcBorders>
              <w:top w:val="nil" w:sz="6" w:space="0" w:color="auto"/>
              <w:left w:val="nil" w:sz="6" w:space="0" w:color="auto"/>
              <w:bottom w:val="nil" w:sz="6" w:space="0" w:color="auto"/>
              <w:right w:val="nil" w:sz="6" w:space="0" w:color="auto"/>
            </w:tcBorders>
          </w:tcPr>
          <w:p>
            <w:pPr>
              <w:pStyle w:val="TableParagraph"/>
              <w:tabs>
                <w:tab w:pos="311" w:val="left" w:leader="none"/>
                <w:tab w:pos="1492" w:val="left" w:leader="none"/>
              </w:tabs>
              <w:spacing w:line="240" w:lineRule="auto" w:before="16"/>
              <w:ind w:left="5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397,200,000</w:t>
              <w:tab/>
            </w:r>
            <w:r>
              <w:rPr>
                <w:rFonts w:ascii="Arial"/>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1"/>
              <w:jc w:val="right"/>
              <w:rPr>
                <w:rFonts w:ascii="Arial" w:hAnsi="Arial" w:cs="Arial" w:eastAsia="Arial" w:hint="default"/>
                <w:sz w:val="20"/>
                <w:szCs w:val="20"/>
              </w:rPr>
            </w:pPr>
            <w:r>
              <w:rPr>
                <w:rFonts w:ascii="Arial"/>
                <w:w w:val="100"/>
                <w:sz w:val="20"/>
              </w:rPr>
            </w:r>
            <w:r>
              <w:rPr>
                <w:rFonts w:ascii="Arial"/>
                <w:spacing w:val="-7"/>
                <w:w w:val="100"/>
                <w:sz w:val="20"/>
                <w:u w:val="single" w:color="000000"/>
              </w:rPr>
              <w:t> </w:t>
            </w:r>
            <w:r>
              <w:rPr>
                <w:rFonts w:ascii="Arial"/>
                <w:spacing w:val="-1"/>
                <w:sz w:val="20"/>
                <w:u w:val="single" w:color="000000"/>
              </w:rPr>
              <w:t>(397,200,000)</w:t>
            </w:r>
            <w:r>
              <w:rPr>
                <w:rFonts w:ascii="Arial"/>
                <w:spacing w:val="-1"/>
                <w:sz w:val="20"/>
              </w:rPr>
            </w:r>
          </w:p>
        </w:tc>
        <w:tc>
          <w:tcPr>
            <w:tcW w:w="1578" w:type="dxa"/>
            <w:tcBorders>
              <w:top w:val="nil" w:sz="6" w:space="0" w:color="auto"/>
              <w:left w:val="nil" w:sz="6" w:space="0" w:color="auto"/>
              <w:bottom w:val="nil" w:sz="6" w:space="0" w:color="auto"/>
              <w:right w:val="nil" w:sz="6" w:space="0" w:color="auto"/>
            </w:tcBorders>
          </w:tcPr>
          <w:p>
            <w:pPr>
              <w:pStyle w:val="TableParagraph"/>
              <w:tabs>
                <w:tab w:pos="1543" w:val="left" w:leader="none"/>
              </w:tabs>
              <w:spacing w:line="240" w:lineRule="auto" w:before="16"/>
              <w:ind w:left="7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112,086,575</w:t>
              <w:tab/>
            </w:r>
            <w:r>
              <w:rPr>
                <w:rFonts w:ascii="Arial"/>
                <w:sz w:val="20"/>
              </w:rPr>
            </w:r>
          </w:p>
        </w:tc>
      </w:tr>
      <w:tr>
        <w:trPr>
          <w:trHeight w:val="278"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宋体" w:hAnsi="宋体" w:cs="宋体" w:eastAsia="宋体" w:hint="default"/>
                <w:sz w:val="20"/>
                <w:szCs w:val="20"/>
              </w:rPr>
              <w:t>合计（附注五</w:t>
            </w:r>
            <w:r>
              <w:rPr>
                <w:rFonts w:ascii="Arial" w:hAnsi="Arial" w:cs="Arial" w:eastAsia="Arial" w:hint="default"/>
                <w:sz w:val="20"/>
                <w:szCs w:val="20"/>
              </w:rPr>
              <w:t>(22)</w:t>
            </w:r>
            <w:r>
              <w:rPr>
                <w:rFonts w:ascii="宋体" w:hAnsi="宋体" w:cs="宋体" w:eastAsia="宋体" w:hint="default"/>
                <w:sz w:val="20"/>
                <w:szCs w:val="20"/>
              </w:rPr>
              <w:t>）</w:t>
            </w:r>
          </w:p>
        </w:tc>
        <w:tc>
          <w:tcPr>
            <w:tcW w:w="1530"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201" w:right="0"/>
              <w:jc w:val="left"/>
              <w:rPr>
                <w:rFonts w:ascii="Arial" w:hAnsi="Arial" w:cs="Arial" w:eastAsia="Arial" w:hint="default"/>
                <w:sz w:val="20"/>
                <w:szCs w:val="20"/>
              </w:rPr>
            </w:pPr>
            <w:r>
              <w:rPr>
                <w:rFonts w:ascii="Arial"/>
                <w:sz w:val="20"/>
              </w:rPr>
              <w:t>334,088,219</w:t>
            </w:r>
          </w:p>
        </w:tc>
        <w:tc>
          <w:tcPr>
            <w:tcW w:w="1546"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311" w:right="0"/>
              <w:jc w:val="left"/>
              <w:rPr>
                <w:rFonts w:ascii="Arial" w:hAnsi="Arial" w:cs="Arial" w:eastAsia="Arial" w:hint="default"/>
                <w:sz w:val="20"/>
                <w:szCs w:val="20"/>
              </w:rPr>
            </w:pPr>
            <w:r>
              <w:rPr>
                <w:rFonts w:ascii="Arial"/>
                <w:sz w:val="20"/>
              </w:rPr>
              <w:t>863,600,000</w:t>
            </w:r>
          </w:p>
        </w:tc>
        <w:tc>
          <w:tcPr>
            <w:tcW w:w="1420"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right="71"/>
              <w:jc w:val="right"/>
              <w:rPr>
                <w:rFonts w:ascii="Arial" w:hAnsi="Arial" w:cs="Arial" w:eastAsia="Arial" w:hint="default"/>
                <w:sz w:val="20"/>
                <w:szCs w:val="20"/>
              </w:rPr>
            </w:pPr>
            <w:r>
              <w:rPr>
                <w:rFonts w:ascii="Arial"/>
                <w:spacing w:val="-1"/>
                <w:sz w:val="20"/>
              </w:rPr>
              <w:t>(863,600,000)</w:t>
            </w:r>
          </w:p>
        </w:tc>
        <w:tc>
          <w:tcPr>
            <w:tcW w:w="1578"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295" w:right="0"/>
              <w:jc w:val="left"/>
              <w:rPr>
                <w:rFonts w:ascii="Arial" w:hAnsi="Arial" w:cs="Arial" w:eastAsia="Arial" w:hint="default"/>
                <w:sz w:val="20"/>
                <w:szCs w:val="20"/>
              </w:rPr>
            </w:pPr>
            <w:r>
              <w:rPr>
                <w:rFonts w:ascii="Arial"/>
                <w:sz w:val="20"/>
              </w:rPr>
              <w:t>334,088,219</w:t>
            </w:r>
          </w:p>
        </w:tc>
      </w:tr>
    </w:tbl>
    <w:p>
      <w:pPr>
        <w:spacing w:line="240" w:lineRule="auto" w:before="7"/>
        <w:rPr>
          <w:rFonts w:ascii="宋体" w:hAnsi="宋体" w:cs="宋体" w:eastAsia="宋体" w:hint="default"/>
          <w:sz w:val="12"/>
          <w:szCs w:val="12"/>
        </w:rPr>
      </w:pPr>
    </w:p>
    <w:p>
      <w:pPr>
        <w:pStyle w:val="BodyText"/>
        <w:spacing w:line="295" w:lineRule="exact" w:before="31"/>
        <w:ind w:left="590" w:right="0"/>
        <w:jc w:val="left"/>
      </w:pPr>
      <w:r>
        <w:rPr/>
        <w:t>于</w:t>
      </w:r>
      <w:r>
        <w:rPr>
          <w:spacing w:val="-53"/>
        </w:rPr>
        <w:t> </w:t>
      </w:r>
      <w:r>
        <w:rPr>
          <w:rFonts w:ascii="Arial" w:hAnsi="Arial" w:cs="Arial" w:eastAsia="Arial" w:hint="default"/>
        </w:rPr>
        <w:t>2011</w:t>
      </w:r>
      <w:r>
        <w:rPr>
          <w:rFonts w:ascii="Arial" w:hAnsi="Arial" w:cs="Arial" w:eastAsia="Arial" w:hint="default"/>
          <w:spacing w:val="-4"/>
        </w:rPr>
        <w:t> </w:t>
      </w:r>
      <w:r>
        <w:rPr/>
        <w:t>年</w:t>
      </w:r>
      <w:r>
        <w:rPr>
          <w:spacing w:val="-53"/>
        </w:rPr>
        <w:t> </w:t>
      </w:r>
      <w:r>
        <w:rPr>
          <w:rFonts w:ascii="Arial" w:hAnsi="Arial" w:cs="Arial" w:eastAsia="Arial" w:hint="default"/>
        </w:rPr>
        <w:t>12</w:t>
      </w:r>
      <w:r>
        <w:rPr>
          <w:rFonts w:ascii="Arial" w:hAnsi="Arial" w:cs="Arial" w:eastAsia="Arial" w:hint="default"/>
          <w:spacing w:val="-4"/>
        </w:rPr>
        <w:t> </w:t>
      </w:r>
      <w:r>
        <w:rPr/>
        <w:t>月</w:t>
      </w:r>
      <w:r>
        <w:rPr>
          <w:spacing w:val="-53"/>
        </w:rPr>
        <w:t> </w:t>
      </w:r>
      <w:r>
        <w:rPr>
          <w:rFonts w:ascii="Arial" w:hAnsi="Arial" w:cs="Arial" w:eastAsia="Arial" w:hint="default"/>
        </w:rPr>
        <w:t>31</w:t>
      </w:r>
      <w:r>
        <w:rPr>
          <w:rFonts w:ascii="Arial" w:hAnsi="Arial" w:cs="Arial" w:eastAsia="Arial" w:hint="default"/>
          <w:spacing w:val="-4"/>
        </w:rPr>
        <w:t> </w:t>
      </w:r>
      <w:r>
        <w:rPr/>
        <w:t>日，亿迅公司发行的可转换债券按票面利率计算的尚未支付的应计利息余</w:t>
      </w:r>
    </w:p>
    <w:p>
      <w:pPr>
        <w:pStyle w:val="BodyText"/>
        <w:spacing w:line="295" w:lineRule="exact"/>
        <w:ind w:left="590" w:right="0"/>
        <w:jc w:val="left"/>
      </w:pPr>
      <w:r>
        <w:rPr/>
        <w:t>额约为人民币</w:t>
      </w:r>
      <w:r>
        <w:rPr>
          <w:spacing w:val="-57"/>
        </w:rPr>
        <w:t> </w:t>
      </w:r>
      <w:r>
        <w:rPr>
          <w:rFonts w:ascii="Arial" w:hAnsi="Arial" w:cs="Arial" w:eastAsia="Arial" w:hint="default"/>
        </w:rPr>
        <w:t>0.18</w:t>
      </w:r>
      <w:r>
        <w:rPr>
          <w:rFonts w:ascii="Arial" w:hAnsi="Arial" w:cs="Arial" w:eastAsia="Arial" w:hint="default"/>
          <w:spacing w:val="-7"/>
        </w:rPr>
        <w:t> </w:t>
      </w:r>
      <w:r>
        <w:rPr/>
        <w:t>亿元（</w:t>
      </w:r>
      <w:r>
        <w:rPr>
          <w:rFonts w:ascii="Arial" w:hAnsi="Arial" w:cs="Arial" w:eastAsia="Arial" w:hint="default"/>
        </w:rPr>
        <w:t>2010</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7"/>
        </w:rPr>
        <w:t> </w:t>
      </w:r>
      <w:r>
        <w:rPr/>
        <w:t>月</w:t>
      </w:r>
      <w:r>
        <w:rPr>
          <w:spacing w:val="-57"/>
        </w:rPr>
        <w:t> </w:t>
      </w:r>
      <w:r>
        <w:rPr>
          <w:rFonts w:ascii="Arial" w:hAnsi="Arial" w:cs="Arial" w:eastAsia="Arial" w:hint="default"/>
        </w:rPr>
        <w:t>31</w:t>
      </w:r>
      <w:r>
        <w:rPr>
          <w:rFonts w:ascii="Arial" w:hAnsi="Arial" w:cs="Arial" w:eastAsia="Arial" w:hint="default"/>
          <w:spacing w:val="-7"/>
        </w:rPr>
        <w:t> </w:t>
      </w:r>
      <w:r>
        <w:rPr/>
        <w:t>日：约人民币</w:t>
      </w:r>
      <w:r>
        <w:rPr>
          <w:spacing w:val="-57"/>
        </w:rPr>
        <w:t> </w:t>
      </w:r>
      <w:r>
        <w:rPr>
          <w:rFonts w:ascii="Arial" w:hAnsi="Arial" w:cs="Arial" w:eastAsia="Arial" w:hint="default"/>
        </w:rPr>
        <w:t>0.19</w:t>
      </w:r>
      <w:r>
        <w:rPr>
          <w:rFonts w:ascii="Arial" w:hAnsi="Arial" w:cs="Arial" w:eastAsia="Arial" w:hint="default"/>
          <w:spacing w:val="-7"/>
        </w:rPr>
        <w:t> </w:t>
      </w:r>
      <w:r>
        <w:rPr/>
        <w:t>亿元）。</w:t>
      </w:r>
    </w:p>
    <w:p>
      <w:pPr>
        <w:spacing w:line="240" w:lineRule="auto" w:before="13"/>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(c) </w:t>
      </w:r>
      <w:r>
        <w:rPr>
          <w:rFonts w:ascii="Arial" w:hAnsi="Arial" w:cs="Arial" w:eastAsia="Arial" w:hint="default"/>
          <w:spacing w:val="36"/>
        </w:rPr>
        <w:t> </w:t>
      </w:r>
      <w:r>
        <w:rPr/>
        <w:t>公司债券及中期票据的公允价值分析如下：</w:t>
      </w:r>
    </w:p>
    <w:p>
      <w:pPr>
        <w:spacing w:line="240" w:lineRule="auto" w:before="12"/>
        <w:rPr>
          <w:rFonts w:ascii="宋体" w:hAnsi="宋体" w:cs="宋体" w:eastAsia="宋体" w:hint="default"/>
          <w:sz w:val="17"/>
          <w:szCs w:val="17"/>
        </w:rPr>
      </w:pPr>
    </w:p>
    <w:p>
      <w:pPr>
        <w:pStyle w:val="BodyText"/>
        <w:tabs>
          <w:tab w:pos="5157" w:val="left" w:leader="none"/>
          <w:tab w:pos="7675" w:val="left" w:leader="none"/>
        </w:tabs>
        <w:spacing w:line="240" w:lineRule="auto"/>
        <w:ind w:left="618" w:right="0"/>
        <w:jc w:val="left"/>
      </w:pPr>
      <w:r>
        <w:rPr>
          <w:w w:val="95"/>
        </w:rPr>
        <w:t>（单位：人民币百万元）</w:t>
        <w:tab/>
      </w:r>
      <w:r>
        <w:rPr>
          <w:rFonts w:ascii="Arial" w:hAnsi="Arial" w:cs="Arial" w:eastAsia="Arial" w:hint="default"/>
        </w:rPr>
        <w:t>2011</w:t>
      </w:r>
      <w:r>
        <w:rPr>
          <w:rFonts w:ascii="Arial" w:hAnsi="Arial" w:cs="Arial" w:eastAsia="Arial" w:hint="default"/>
          <w:spacing w:val="-17"/>
        </w:rPr>
        <w:t> </w:t>
      </w:r>
      <w:r>
        <w:rPr/>
        <w:t>年</w:t>
      </w:r>
      <w:r>
        <w:rPr>
          <w:spacing w:val="-66"/>
        </w:rPr>
        <w:t> </w:t>
      </w:r>
      <w:r>
        <w:rPr>
          <w:rFonts w:ascii="Arial" w:hAnsi="Arial" w:cs="Arial" w:eastAsia="Arial" w:hint="default"/>
        </w:rPr>
        <w:t>12</w:t>
      </w:r>
      <w:r>
        <w:rPr>
          <w:rFonts w:ascii="Arial" w:hAnsi="Arial" w:cs="Arial" w:eastAsia="Arial" w:hint="default"/>
          <w:spacing w:val="-17"/>
        </w:rPr>
        <w:t> </w:t>
      </w:r>
      <w:r>
        <w:rPr/>
        <w:t>月</w:t>
      </w:r>
      <w:r>
        <w:rPr>
          <w:spacing w:val="-66"/>
        </w:rPr>
        <w:t> </w:t>
      </w:r>
      <w:r>
        <w:rPr>
          <w:rFonts w:ascii="Arial" w:hAnsi="Arial" w:cs="Arial" w:eastAsia="Arial" w:hint="default"/>
        </w:rPr>
        <w:t>31</w:t>
      </w:r>
      <w:r>
        <w:rPr>
          <w:rFonts w:ascii="Arial" w:hAnsi="Arial" w:cs="Arial" w:eastAsia="Arial" w:hint="default"/>
          <w:spacing w:val="-17"/>
        </w:rPr>
        <w:t> </w:t>
      </w:r>
      <w:r>
        <w:rPr/>
        <w:t>日</w:t>
        <w:tab/>
      </w:r>
      <w:r>
        <w:rPr>
          <w:rFonts w:ascii="Arial" w:hAnsi="Arial" w:cs="Arial" w:eastAsia="Arial" w:hint="default"/>
        </w:rPr>
        <w:t>2010</w:t>
      </w:r>
      <w:r>
        <w:rPr>
          <w:rFonts w:ascii="Arial" w:hAnsi="Arial" w:cs="Arial" w:eastAsia="Arial" w:hint="default"/>
          <w:spacing w:val="-23"/>
        </w:rPr>
        <w:t> </w:t>
      </w:r>
      <w:r>
        <w:rPr/>
        <w:t>年</w:t>
      </w:r>
      <w:r>
        <w:rPr>
          <w:spacing w:val="-72"/>
        </w:rPr>
        <w:t> </w:t>
      </w:r>
      <w:r>
        <w:rPr>
          <w:rFonts w:ascii="Arial" w:hAnsi="Arial" w:cs="Arial" w:eastAsia="Arial" w:hint="default"/>
        </w:rPr>
        <w:t>12</w:t>
      </w:r>
      <w:r>
        <w:rPr>
          <w:rFonts w:ascii="Arial" w:hAnsi="Arial" w:cs="Arial" w:eastAsia="Arial" w:hint="default"/>
          <w:spacing w:val="-23"/>
        </w:rPr>
        <w:t> </w:t>
      </w:r>
      <w:r>
        <w:rPr/>
        <w:t>月</w:t>
      </w:r>
      <w:r>
        <w:rPr>
          <w:spacing w:val="-72"/>
        </w:rPr>
        <w:t> </w:t>
      </w:r>
      <w:r>
        <w:rPr>
          <w:rFonts w:ascii="Arial" w:hAnsi="Arial" w:cs="Arial" w:eastAsia="Arial" w:hint="default"/>
        </w:rPr>
        <w:t>31</w:t>
      </w:r>
      <w:r>
        <w:rPr>
          <w:rFonts w:ascii="Arial" w:hAnsi="Arial" w:cs="Arial" w:eastAsia="Arial" w:hint="default"/>
          <w:spacing w:val="-23"/>
        </w:rPr>
        <w:t> </w:t>
      </w:r>
      <w:r>
        <w:rPr/>
        <w:t>日</w:t>
      </w:r>
    </w:p>
    <w:p>
      <w:pPr>
        <w:spacing w:line="20" w:lineRule="exact"/>
        <w:ind w:left="4656" w:right="0" w:firstLine="0"/>
        <w:rPr>
          <w:rFonts w:ascii="宋体" w:hAnsi="宋体" w:cs="宋体" w:eastAsia="宋体" w:hint="default"/>
          <w:sz w:val="2"/>
          <w:szCs w:val="2"/>
        </w:rPr>
      </w:pPr>
      <w:r>
        <w:rPr>
          <w:rFonts w:ascii="宋体"/>
          <w:sz w:val="2"/>
        </w:rPr>
        <w:pict>
          <v:group style="width:121.1pt;height:.75pt;mso-position-horizontal-relative:char;mso-position-vertical-relative:line" coordorigin="0,0" coordsize="2422,15">
            <v:group style="position:absolute;left:7;top:7;width:2408;height:2" coordorigin="7,7" coordsize="2408,2">
              <v:shape style="position:absolute;left:7;top:7;width:2408;height:2" coordorigin="7,7" coordsize="2408,0" path="m7,7l2414,7e" filled="false" stroked="true" strokeweight=".72pt" strokecolor="#000000">
                <v:path arrowok="t"/>
              </v:shape>
            </v:group>
          </v:group>
        </w:pict>
      </w:r>
      <w:r>
        <w:rPr>
          <w:rFonts w:ascii="宋体"/>
          <w:sz w:val="2"/>
        </w:rPr>
      </w:r>
      <w:r>
        <w:rPr>
          <w:rFonts w:ascii="Times New Roman"/>
          <w:spacing w:val="90"/>
          <w:sz w:val="2"/>
        </w:rPr>
        <w:t> </w:t>
      </w:r>
      <w:r>
        <w:rPr>
          <w:rFonts w:ascii="宋体"/>
          <w:spacing w:val="90"/>
          <w:sz w:val="2"/>
        </w:rPr>
        <w:pict>
          <v:group style="width:119.55pt;height:.75pt;mso-position-horizontal-relative:char;mso-position-vertical-relative:line" coordorigin="0,0" coordsize="2391,15">
            <v:group style="position:absolute;left:7;top:7;width:2376;height:2" coordorigin="7,7" coordsize="2376,2">
              <v:shape style="position:absolute;left:7;top:7;width:2376;height:2" coordorigin="7,7" coordsize="2376,0" path="m7,7l2383,7e" filled="false" stroked="true" strokeweight=".72pt" strokecolor="#000000">
                <v:path arrowok="t"/>
              </v:shape>
            </v:group>
          </v:group>
        </w:pict>
      </w:r>
      <w:r>
        <w:rPr>
          <w:rFonts w:ascii="宋体"/>
          <w:spacing w:val="90"/>
          <w:sz w:val="2"/>
        </w:rPr>
      </w:r>
    </w:p>
    <w:p>
      <w:pPr>
        <w:spacing w:line="240" w:lineRule="auto" w:before="2"/>
        <w:rPr>
          <w:rFonts w:ascii="宋体" w:hAnsi="宋体" w:cs="宋体" w:eastAsia="宋体" w:hint="default"/>
          <w:sz w:val="16"/>
          <w:szCs w:val="16"/>
        </w:rPr>
      </w:pPr>
    </w:p>
    <w:p>
      <w:pPr>
        <w:pStyle w:val="BodyText"/>
        <w:tabs>
          <w:tab w:pos="6283" w:val="left" w:leader="none"/>
          <w:tab w:pos="8802" w:val="left" w:leader="none"/>
        </w:tabs>
        <w:spacing w:line="240" w:lineRule="auto" w:before="27"/>
        <w:ind w:left="591" w:right="0"/>
        <w:jc w:val="left"/>
        <w:rPr>
          <w:rFonts w:ascii="Arial" w:hAnsi="Arial" w:cs="Arial" w:eastAsia="Arial" w:hint="default"/>
        </w:rPr>
      </w:pPr>
      <w:r>
        <w:rPr>
          <w:w w:val="95"/>
          <w:position w:val="2"/>
        </w:rPr>
        <w:t>公司债券及中期票据的公允价值</w:t>
        <w:tab/>
      </w:r>
      <w:r>
        <w:rPr>
          <w:rFonts w:ascii="Arial" w:hAnsi="Arial" w:cs="Arial" w:eastAsia="Arial" w:hint="default"/>
          <w:w w:val="95"/>
        </w:rPr>
        <w:t>22,005</w:t>
        <w:tab/>
      </w:r>
      <w:r>
        <w:rPr>
          <w:rFonts w:ascii="Arial" w:hAnsi="Arial" w:cs="Arial" w:eastAsia="Arial" w:hint="default"/>
        </w:rPr>
        <w:t>22,086</w:t>
      </w:r>
    </w:p>
    <w:p>
      <w:pPr>
        <w:spacing w:line="43" w:lineRule="exact"/>
        <w:ind w:left="4642" w:right="0" w:firstLine="0"/>
        <w:rPr>
          <w:rFonts w:ascii="Arial" w:hAnsi="Arial" w:cs="Arial" w:eastAsia="Arial" w:hint="default"/>
          <w:sz w:val="4"/>
          <w:szCs w:val="4"/>
        </w:rPr>
      </w:pPr>
      <w:r>
        <w:rPr>
          <w:rFonts w:ascii="Arial"/>
          <w:position w:val="0"/>
          <w:sz w:val="4"/>
        </w:rPr>
        <w:pict>
          <v:group style="width:121.8pt;height:2.2pt;mso-position-horizontal-relative:char;mso-position-vertical-relative:line" coordorigin="0,0" coordsize="2436,44">
            <v:group style="position:absolute;left:7;top:36;width:2422;height:2" coordorigin="7,36" coordsize="2422,2">
              <v:shape style="position:absolute;left:7;top:36;width:2422;height:2" coordorigin="7,36" coordsize="2422,0" path="m7,36l2429,36e" filled="false" stroked="true" strokeweight=".72pt" strokecolor="#000000">
                <v:path arrowok="t"/>
              </v:shape>
            </v:group>
            <v:group style="position:absolute;left:7;top:7;width:2422;height:2" coordorigin="7,7" coordsize="2422,2">
              <v:shape style="position:absolute;left:7;top:7;width:2422;height:2" coordorigin="7,7" coordsize="2422,0" path="m7,7l2429,7e" filled="false" stroked="true" strokeweight=".72pt" strokecolor="#000000">
                <v:path arrowok="t"/>
              </v:shape>
            </v:group>
          </v:group>
        </w:pict>
      </w:r>
      <w:r>
        <w:rPr>
          <w:rFonts w:ascii="Arial"/>
          <w:position w:val="0"/>
          <w:sz w:val="4"/>
        </w:rPr>
      </w:r>
      <w:r>
        <w:rPr>
          <w:rFonts w:ascii="Times New Roman"/>
          <w:spacing w:val="69"/>
          <w:position w:val="0"/>
          <w:sz w:val="4"/>
        </w:rPr>
        <w:t> </w:t>
      </w:r>
      <w:r>
        <w:rPr>
          <w:rFonts w:ascii="Arial"/>
          <w:spacing w:val="69"/>
          <w:position w:val="0"/>
          <w:sz w:val="4"/>
        </w:rPr>
        <w:pict>
          <v:group style="width:120.25pt;height:2.2pt;mso-position-horizontal-relative:char;mso-position-vertical-relative:line" coordorigin="0,0" coordsize="2405,44">
            <v:group style="position:absolute;left:7;top:36;width:2391;height:2" coordorigin="7,36" coordsize="2391,2">
              <v:shape style="position:absolute;left:7;top:36;width:2391;height:2" coordorigin="7,36" coordsize="2391,0" path="m7,36l2398,36e" filled="false" stroked="true" strokeweight=".72pt" strokecolor="#000000">
                <v:path arrowok="t"/>
              </v:shape>
            </v:group>
            <v:group style="position:absolute;left:7;top:7;width:2391;height:2" coordorigin="7,7" coordsize="2391,2">
              <v:shape style="position:absolute;left:7;top:7;width:2391;height:2" coordorigin="7,7" coordsize="2391,0" path="m7,7l2398,7e" filled="false" stroked="true" strokeweight=".72pt" strokecolor="#000000">
                <v:path arrowok="t"/>
              </v:shape>
            </v:group>
          </v:group>
        </w:pict>
      </w:r>
      <w:r>
        <w:rPr>
          <w:rFonts w:ascii="Arial"/>
          <w:spacing w:val="69"/>
          <w:position w:val="0"/>
          <w:sz w:val="4"/>
        </w:rPr>
      </w:r>
    </w:p>
    <w:p>
      <w:pPr>
        <w:spacing w:line="240" w:lineRule="auto" w:before="5"/>
        <w:rPr>
          <w:rFonts w:ascii="Arial" w:hAnsi="Arial" w:cs="Arial" w:eastAsia="Arial" w:hint="default"/>
          <w:sz w:val="16"/>
          <w:szCs w:val="16"/>
        </w:rPr>
      </w:pPr>
    </w:p>
    <w:p>
      <w:pPr>
        <w:pStyle w:val="BodyText"/>
        <w:spacing w:line="294" w:lineRule="exact" w:before="31"/>
        <w:ind w:left="590" w:right="0"/>
        <w:jc w:val="left"/>
        <w:rPr>
          <w:rFonts w:ascii="Arial" w:hAnsi="Arial" w:cs="Arial" w:eastAsia="Arial" w:hint="default"/>
        </w:rPr>
      </w:pPr>
      <w:r>
        <w:rPr/>
        <w:t>于</w:t>
      </w:r>
      <w:r>
        <w:rPr>
          <w:spacing w:val="-38"/>
        </w:rPr>
        <w:t> </w:t>
      </w:r>
      <w:r>
        <w:rPr>
          <w:rFonts w:ascii="Arial" w:hAnsi="Arial" w:cs="Arial" w:eastAsia="Arial" w:hint="default"/>
        </w:rPr>
        <w:t>2011</w:t>
      </w:r>
      <w:r>
        <w:rPr>
          <w:rFonts w:ascii="Arial" w:hAnsi="Arial" w:cs="Arial" w:eastAsia="Arial" w:hint="default"/>
          <w:spacing w:val="11"/>
        </w:rPr>
        <w:t> </w:t>
      </w:r>
      <w:r>
        <w:rPr/>
        <w:t>年</w:t>
      </w:r>
      <w:r>
        <w:rPr>
          <w:spacing w:val="-38"/>
        </w:rPr>
        <w:t> </w:t>
      </w:r>
      <w:r>
        <w:rPr>
          <w:rFonts w:ascii="Arial" w:hAnsi="Arial" w:cs="Arial" w:eastAsia="Arial" w:hint="default"/>
        </w:rPr>
        <w:t>12</w:t>
      </w:r>
      <w:r>
        <w:rPr>
          <w:rFonts w:ascii="Arial" w:hAnsi="Arial" w:cs="Arial" w:eastAsia="Arial" w:hint="default"/>
          <w:spacing w:val="11"/>
        </w:rPr>
        <w:t> </w:t>
      </w:r>
      <w:r>
        <w:rPr/>
        <w:t>月</w:t>
      </w:r>
      <w:r>
        <w:rPr>
          <w:spacing w:val="-38"/>
        </w:rPr>
        <w:t> </w:t>
      </w:r>
      <w:r>
        <w:rPr>
          <w:rFonts w:ascii="Arial" w:hAnsi="Arial" w:cs="Arial" w:eastAsia="Arial" w:hint="default"/>
        </w:rPr>
        <w:t>31</w:t>
      </w:r>
      <w:r>
        <w:rPr>
          <w:rFonts w:ascii="Arial" w:hAnsi="Arial" w:cs="Arial" w:eastAsia="Arial" w:hint="default"/>
          <w:spacing w:val="11"/>
        </w:rPr>
        <w:t> </w:t>
      </w:r>
      <w:r>
        <w:rPr/>
        <w:t>日，上述公允价值以现金流量按市场利率</w:t>
      </w:r>
      <w:r>
        <w:rPr>
          <w:spacing w:val="-38"/>
        </w:rPr>
        <w:t> </w:t>
      </w:r>
      <w:r>
        <w:rPr>
          <w:rFonts w:ascii="Arial" w:hAnsi="Arial" w:cs="Arial" w:eastAsia="Arial" w:hint="default"/>
        </w:rPr>
        <w:t>4.71%</w:t>
      </w:r>
      <w:r>
        <w:rPr/>
        <w:t>至</w:t>
      </w:r>
      <w:r>
        <w:rPr>
          <w:spacing w:val="-38"/>
        </w:rPr>
        <w:t> </w:t>
      </w:r>
      <w:r>
        <w:rPr>
          <w:rFonts w:ascii="Arial" w:hAnsi="Arial" w:cs="Arial" w:eastAsia="Arial" w:hint="default"/>
        </w:rPr>
        <w:t>4.93%</w:t>
      </w:r>
      <w:r>
        <w:rPr/>
        <w:t>来折算（</w:t>
      </w:r>
      <w:r>
        <w:rPr>
          <w:rFonts w:ascii="Arial" w:hAnsi="Arial" w:cs="Arial" w:eastAsia="Arial" w:hint="default"/>
        </w:rPr>
        <w:t>2010</w:t>
      </w:r>
    </w:p>
    <w:p>
      <w:pPr>
        <w:pStyle w:val="BodyText"/>
        <w:spacing w:line="294" w:lineRule="exact"/>
        <w:ind w:left="590" w:right="0"/>
        <w:jc w:val="left"/>
      </w:pP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4.15%</w:t>
      </w:r>
      <w:r>
        <w:rPr/>
        <w:t>至</w:t>
      </w:r>
      <w:r>
        <w:rPr>
          <w:spacing w:val="-57"/>
        </w:rPr>
        <w:t> </w:t>
      </w:r>
      <w:r>
        <w:rPr>
          <w:rFonts w:ascii="Arial" w:hAnsi="Arial" w:cs="Arial" w:eastAsia="Arial" w:hint="default"/>
        </w:rPr>
        <w:t>5.01%</w:t>
      </w:r>
      <w:r>
        <w:rPr/>
        <w:t>）。</w:t>
      </w:r>
    </w:p>
    <w:p>
      <w:pPr>
        <w:spacing w:line="240" w:lineRule="auto" w:before="7"/>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4739"/>
        <w:gridCol w:w="4794"/>
      </w:tblGrid>
      <w:tr>
        <w:trPr>
          <w:trHeight w:val="886"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28</w:t>
            </w:r>
            <w:r>
              <w:rPr>
                <w:rFonts w:ascii="宋体" w:hAnsi="宋体" w:cs="宋体" w:eastAsia="宋体" w:hint="default"/>
                <w:sz w:val="22"/>
                <w:szCs w:val="22"/>
              </w:rPr>
              <w:t>、长期应付款</w:t>
            </w:r>
          </w:p>
        </w:tc>
        <w:tc>
          <w:tcPr>
            <w:tcW w:w="479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0"/>
                <w:szCs w:val="20"/>
              </w:rPr>
            </w:pPr>
          </w:p>
          <w:p>
            <w:pPr>
              <w:pStyle w:val="TableParagraph"/>
              <w:tabs>
                <w:tab w:pos="2775" w:val="left" w:leader="none"/>
              </w:tabs>
              <w:spacing w:line="240" w:lineRule="auto"/>
              <w:ind w:left="339"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tab/>
            </w: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70"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3" w:right="0"/>
              <w:jc w:val="left"/>
              <w:rPr>
                <w:rFonts w:ascii="宋体" w:hAnsi="宋体" w:cs="宋体" w:eastAsia="宋体" w:hint="default"/>
                <w:sz w:val="22"/>
                <w:szCs w:val="22"/>
              </w:rPr>
            </w:pPr>
            <w:r>
              <w:rPr>
                <w:rFonts w:ascii="宋体" w:hAnsi="宋体" w:cs="宋体" w:eastAsia="宋体" w:hint="default"/>
                <w:sz w:val="22"/>
                <w:szCs w:val="22"/>
              </w:rPr>
              <w:t>应付内退员工补偿费（附注五</w:t>
            </w:r>
            <w:r>
              <w:rPr>
                <w:rFonts w:ascii="Arial" w:hAnsi="Arial" w:cs="Arial" w:eastAsia="Arial" w:hint="default"/>
                <w:sz w:val="22"/>
                <w:szCs w:val="22"/>
              </w:rPr>
              <w:t>(20)</w:t>
            </w:r>
            <w:r>
              <w:rPr>
                <w:rFonts w:ascii="宋体" w:hAnsi="宋体" w:cs="宋体" w:eastAsia="宋体" w:hint="default"/>
                <w:sz w:val="22"/>
                <w:szCs w:val="22"/>
              </w:rPr>
              <w:t>）</w:t>
            </w:r>
          </w:p>
        </w:tc>
        <w:tc>
          <w:tcPr>
            <w:tcW w:w="4794" w:type="dxa"/>
            <w:tcBorders>
              <w:top w:val="single" w:sz="6" w:space="0" w:color="000000"/>
              <w:left w:val="nil" w:sz="6" w:space="0" w:color="auto"/>
              <w:bottom w:val="nil" w:sz="6" w:space="0" w:color="auto"/>
              <w:right w:val="nil" w:sz="6" w:space="0" w:color="auto"/>
            </w:tcBorders>
          </w:tcPr>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pict>
                <v:group style="width:118.7pt;height:.75pt;mso-position-horizontal-relative:char;mso-position-vertical-relative:line" coordorigin="0,0" coordsize="2374,15">
                  <v:group style="position:absolute;left:7;top:7;width:2360;height:2" coordorigin="7,7" coordsize="2360,2">
                    <v:shape style="position:absolute;left:7;top:7;width:2360;height:2" coordorigin="7,7" coordsize="2360,0" path="m7,7l2366,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2"/>
                <w:szCs w:val="22"/>
              </w:rPr>
            </w:pPr>
          </w:p>
          <w:p>
            <w:pPr>
              <w:pStyle w:val="TableParagraph"/>
              <w:tabs>
                <w:tab w:pos="3659" w:val="left" w:leader="none"/>
              </w:tabs>
              <w:spacing w:line="240" w:lineRule="auto"/>
              <w:ind w:left="1246" w:right="0"/>
              <w:jc w:val="left"/>
              <w:rPr>
                <w:rFonts w:ascii="Arial" w:hAnsi="Arial" w:cs="Arial" w:eastAsia="Arial" w:hint="default"/>
                <w:sz w:val="22"/>
                <w:szCs w:val="22"/>
              </w:rPr>
            </w:pPr>
            <w:r>
              <w:rPr>
                <w:rFonts w:ascii="Arial"/>
                <w:w w:val="95"/>
                <w:sz w:val="22"/>
              </w:rPr>
              <w:t>8,975,089</w:t>
              <w:tab/>
            </w:r>
            <w:r>
              <w:rPr>
                <w:rFonts w:ascii="Arial"/>
                <w:sz w:val="22"/>
              </w:rPr>
              <w:t>8,253,932</w:t>
            </w:r>
          </w:p>
        </w:tc>
      </w:tr>
      <w:tr>
        <w:trPr>
          <w:trHeight w:val="286"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55" w:lineRule="exact"/>
              <w:ind w:left="483" w:right="0"/>
              <w:jc w:val="left"/>
              <w:rPr>
                <w:rFonts w:ascii="宋体" w:hAnsi="宋体" w:cs="宋体" w:eastAsia="宋体" w:hint="default"/>
                <w:sz w:val="22"/>
                <w:szCs w:val="22"/>
              </w:rPr>
            </w:pPr>
            <w:r>
              <w:rPr>
                <w:rFonts w:ascii="宋体" w:hAnsi="宋体" w:cs="宋体" w:eastAsia="宋体" w:hint="default"/>
                <w:sz w:val="22"/>
                <w:szCs w:val="22"/>
              </w:rPr>
              <w:t>应付离退休后补充福利（附注五</w:t>
            </w:r>
            <w:r>
              <w:rPr>
                <w:rFonts w:ascii="Arial" w:hAnsi="Arial" w:cs="Arial" w:eastAsia="Arial" w:hint="default"/>
                <w:sz w:val="22"/>
                <w:szCs w:val="22"/>
              </w:rPr>
              <w:t>(20)</w:t>
            </w:r>
            <w:r>
              <w:rPr>
                <w:rFonts w:ascii="宋体" w:hAnsi="宋体" w:cs="宋体" w:eastAsia="宋体" w:hint="default"/>
                <w:sz w:val="22"/>
                <w:szCs w:val="22"/>
              </w:rPr>
              <w:t>）</w:t>
            </w:r>
          </w:p>
        </w:tc>
        <w:tc>
          <w:tcPr>
            <w:tcW w:w="4794" w:type="dxa"/>
            <w:tcBorders>
              <w:top w:val="nil" w:sz="6" w:space="0" w:color="auto"/>
              <w:left w:val="nil" w:sz="6" w:space="0" w:color="auto"/>
              <w:bottom w:val="nil" w:sz="6" w:space="0" w:color="auto"/>
              <w:right w:val="nil" w:sz="6" w:space="0" w:color="auto"/>
            </w:tcBorders>
          </w:tcPr>
          <w:p>
            <w:pPr>
              <w:pStyle w:val="TableParagraph"/>
              <w:tabs>
                <w:tab w:pos="3537" w:val="left" w:leader="none"/>
              </w:tabs>
              <w:spacing w:line="240" w:lineRule="auto" w:before="17"/>
              <w:ind w:left="1124" w:right="0"/>
              <w:jc w:val="left"/>
              <w:rPr>
                <w:rFonts w:ascii="Arial" w:hAnsi="Arial" w:cs="Arial" w:eastAsia="Arial" w:hint="default"/>
                <w:sz w:val="22"/>
                <w:szCs w:val="22"/>
              </w:rPr>
            </w:pPr>
            <w:r>
              <w:rPr>
                <w:rFonts w:ascii="Arial"/>
                <w:w w:val="95"/>
                <w:sz w:val="22"/>
              </w:rPr>
              <w:t>82,732,598</w:t>
              <w:tab/>
            </w:r>
            <w:r>
              <w:rPr>
                <w:rFonts w:ascii="Arial"/>
                <w:sz w:val="22"/>
              </w:rPr>
              <w:t>82,157,131</w:t>
            </w:r>
          </w:p>
        </w:tc>
      </w:tr>
      <w:tr>
        <w:trPr>
          <w:trHeight w:val="286"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39" w:lineRule="exact"/>
              <w:ind w:left="483" w:right="0"/>
              <w:jc w:val="left"/>
              <w:rPr>
                <w:rFonts w:ascii="宋体" w:hAnsi="宋体" w:cs="宋体" w:eastAsia="宋体" w:hint="default"/>
                <w:sz w:val="22"/>
                <w:szCs w:val="22"/>
              </w:rPr>
            </w:pPr>
            <w:r>
              <w:rPr>
                <w:rFonts w:ascii="宋体" w:hAnsi="宋体" w:cs="宋体" w:eastAsia="宋体" w:hint="default"/>
                <w:sz w:val="22"/>
                <w:szCs w:val="22"/>
              </w:rPr>
              <w:t>应付融资租赁款（附注十二）</w:t>
            </w:r>
          </w:p>
        </w:tc>
        <w:tc>
          <w:tcPr>
            <w:tcW w:w="4794" w:type="dxa"/>
            <w:tcBorders>
              <w:top w:val="nil" w:sz="6" w:space="0" w:color="auto"/>
              <w:left w:val="nil" w:sz="6" w:space="0" w:color="auto"/>
              <w:bottom w:val="nil" w:sz="6" w:space="0" w:color="auto"/>
              <w:right w:val="nil" w:sz="6" w:space="0" w:color="auto"/>
            </w:tcBorders>
          </w:tcPr>
          <w:p>
            <w:pPr>
              <w:pStyle w:val="TableParagraph"/>
              <w:tabs>
                <w:tab w:pos="3416" w:val="left" w:leader="none"/>
              </w:tabs>
              <w:spacing w:line="240" w:lineRule="auto" w:before="17"/>
              <w:ind w:left="1124" w:right="0"/>
              <w:jc w:val="left"/>
              <w:rPr>
                <w:rFonts w:ascii="Arial" w:hAnsi="Arial" w:cs="Arial" w:eastAsia="Arial" w:hint="default"/>
                <w:sz w:val="22"/>
                <w:szCs w:val="22"/>
              </w:rPr>
            </w:pPr>
            <w:r>
              <w:rPr>
                <w:rFonts w:ascii="Arial"/>
                <w:w w:val="95"/>
                <w:sz w:val="22"/>
              </w:rPr>
              <w:t>78,150,630</w:t>
              <w:tab/>
            </w:r>
            <w:r>
              <w:rPr>
                <w:rFonts w:ascii="Arial"/>
                <w:sz w:val="22"/>
              </w:rPr>
              <w:t>204,525,737</w:t>
            </w:r>
          </w:p>
        </w:tc>
      </w:tr>
      <w:tr>
        <w:trPr>
          <w:trHeight w:val="293"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39" w:lineRule="exact"/>
              <w:ind w:left="48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4794" w:type="dxa"/>
            <w:tcBorders>
              <w:top w:val="nil" w:sz="6" w:space="0" w:color="auto"/>
              <w:left w:val="nil" w:sz="6" w:space="0" w:color="auto"/>
              <w:bottom w:val="nil" w:sz="6" w:space="0" w:color="auto"/>
              <w:right w:val="nil" w:sz="6" w:space="0" w:color="auto"/>
            </w:tcBorders>
          </w:tcPr>
          <w:p>
            <w:pPr>
              <w:pStyle w:val="TableParagraph"/>
              <w:tabs>
                <w:tab w:pos="1246" w:val="left" w:leader="none"/>
                <w:tab w:pos="3659" w:val="left" w:leader="none"/>
                <w:tab w:pos="4759"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2,578,855</w:t>
            </w:r>
            <w:r>
              <w:rPr>
                <w:rFonts w:ascii="Arial"/>
                <w:w w:val="95"/>
                <w:sz w:val="22"/>
              </w:rPr>
            </w:r>
            <w:r>
              <w:rPr>
                <w:rFonts w:ascii="Arial"/>
                <w:w w:val="95"/>
                <w:sz w:val="22"/>
                <w:u w:val="single" w:color="000000"/>
              </w:rPr>
              <w:t> </w:t>
              <w:tab/>
            </w:r>
            <w:r>
              <w:rPr>
                <w:rFonts w:ascii="Arial"/>
                <w:sz w:val="22"/>
                <w:u w:val="single" w:color="000000"/>
              </w:rPr>
              <w:t>1,974,473</w:t>
              <w:tab/>
            </w:r>
            <w:r>
              <w:rPr>
                <w:rFonts w:ascii="Arial"/>
                <w:sz w:val="22"/>
              </w:rPr>
            </w:r>
          </w:p>
        </w:tc>
      </w:tr>
      <w:tr>
        <w:trPr>
          <w:trHeight w:val="427"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47" w:lineRule="exact"/>
              <w:ind w:left="48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4794" w:type="dxa"/>
            <w:tcBorders>
              <w:top w:val="nil" w:sz="6" w:space="0" w:color="auto"/>
              <w:left w:val="nil" w:sz="6" w:space="0" w:color="auto"/>
              <w:bottom w:val="nil" w:sz="6" w:space="0" w:color="auto"/>
              <w:right w:val="nil" w:sz="6" w:space="0" w:color="auto"/>
            </w:tcBorders>
          </w:tcPr>
          <w:p>
            <w:pPr>
              <w:pStyle w:val="TableParagraph"/>
              <w:tabs>
                <w:tab w:pos="1003" w:val="left" w:leader="none"/>
                <w:tab w:pos="3416" w:val="left" w:leader="none"/>
                <w:tab w:pos="4759" w:val="left" w:leader="none"/>
              </w:tabs>
              <w:spacing w:line="240" w:lineRule="auto" w:before="25"/>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172,437,172</w:t>
            </w:r>
            <w:r>
              <w:rPr>
                <w:rFonts w:ascii="Arial"/>
                <w:w w:val="95"/>
                <w:sz w:val="22"/>
              </w:rPr>
            </w:r>
            <w:r>
              <w:rPr>
                <w:rFonts w:ascii="Arial"/>
                <w:w w:val="95"/>
                <w:sz w:val="22"/>
                <w:u w:val="single" w:color="000000"/>
              </w:rPr>
              <w:t> </w:t>
              <w:tab/>
            </w:r>
            <w:r>
              <w:rPr>
                <w:rFonts w:ascii="Arial"/>
                <w:sz w:val="22"/>
                <w:u w:val="single" w:color="000000"/>
              </w:rPr>
              <w:t>296,911,273</w:t>
              <w:tab/>
            </w:r>
            <w:r>
              <w:rPr>
                <w:rFonts w:ascii="Arial"/>
                <w:sz w:val="22"/>
              </w:rPr>
            </w:r>
          </w:p>
        </w:tc>
      </w:tr>
      <w:tr>
        <w:trPr>
          <w:trHeight w:val="419"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83" w:right="0"/>
              <w:jc w:val="left"/>
              <w:rPr>
                <w:rFonts w:ascii="宋体" w:hAnsi="宋体" w:cs="宋体" w:eastAsia="宋体" w:hint="default"/>
                <w:sz w:val="22"/>
                <w:szCs w:val="22"/>
              </w:rPr>
            </w:pPr>
            <w:r>
              <w:rPr>
                <w:rFonts w:ascii="宋体" w:hAnsi="宋体" w:cs="宋体" w:eastAsia="宋体" w:hint="default"/>
                <w:sz w:val="22"/>
                <w:szCs w:val="22"/>
              </w:rPr>
              <w:t>减：应付内退员工补偿费（流动部分）</w:t>
            </w:r>
          </w:p>
        </w:tc>
        <w:tc>
          <w:tcPr>
            <w:tcW w:w="4794" w:type="dxa"/>
            <w:tcBorders>
              <w:top w:val="nil" w:sz="6" w:space="0" w:color="auto"/>
              <w:left w:val="nil" w:sz="6" w:space="0" w:color="auto"/>
              <w:bottom w:val="nil" w:sz="6" w:space="0" w:color="auto"/>
              <w:right w:val="nil" w:sz="6" w:space="0" w:color="auto"/>
            </w:tcBorders>
          </w:tcPr>
          <w:p>
            <w:pPr>
              <w:pStyle w:val="TableParagraph"/>
              <w:tabs>
                <w:tab w:pos="3586" w:val="left" w:leader="none"/>
              </w:tabs>
              <w:spacing w:line="240" w:lineRule="auto" w:before="151"/>
              <w:ind w:left="1173" w:right="0"/>
              <w:jc w:val="left"/>
              <w:rPr>
                <w:rFonts w:ascii="Arial" w:hAnsi="Arial" w:cs="Arial" w:eastAsia="Arial" w:hint="default"/>
                <w:sz w:val="22"/>
                <w:szCs w:val="22"/>
              </w:rPr>
            </w:pPr>
            <w:r>
              <w:rPr>
                <w:rFonts w:ascii="Arial"/>
                <w:w w:val="95"/>
                <w:sz w:val="22"/>
              </w:rPr>
              <w:t>(1,383,595)</w:t>
              <w:tab/>
            </w:r>
            <w:r>
              <w:rPr>
                <w:rFonts w:ascii="Arial"/>
                <w:sz w:val="22"/>
              </w:rPr>
              <w:t>(1,521,953)</w:t>
            </w:r>
          </w:p>
        </w:tc>
      </w:tr>
      <w:tr>
        <w:trPr>
          <w:trHeight w:val="298"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39" w:lineRule="exact"/>
              <w:ind w:left="918" w:right="0"/>
              <w:jc w:val="left"/>
              <w:rPr>
                <w:rFonts w:ascii="宋体" w:hAnsi="宋体" w:cs="宋体" w:eastAsia="宋体" w:hint="default"/>
                <w:sz w:val="22"/>
                <w:szCs w:val="22"/>
              </w:rPr>
            </w:pPr>
            <w:r>
              <w:rPr>
                <w:rFonts w:ascii="宋体" w:hAnsi="宋体" w:cs="宋体" w:eastAsia="宋体" w:hint="default"/>
                <w:sz w:val="22"/>
                <w:szCs w:val="22"/>
              </w:rPr>
              <w:t>应付离退休后补充福利（流动部分）</w:t>
            </w:r>
          </w:p>
        </w:tc>
        <w:tc>
          <w:tcPr>
            <w:tcW w:w="4794" w:type="dxa"/>
            <w:tcBorders>
              <w:top w:val="nil" w:sz="6" w:space="0" w:color="auto"/>
              <w:left w:val="nil" w:sz="6" w:space="0" w:color="auto"/>
              <w:bottom w:val="nil" w:sz="6" w:space="0" w:color="auto"/>
              <w:right w:val="nil" w:sz="6" w:space="0" w:color="auto"/>
            </w:tcBorders>
          </w:tcPr>
          <w:p>
            <w:pPr>
              <w:pStyle w:val="TableParagraph"/>
              <w:tabs>
                <w:tab w:pos="3586" w:val="left" w:leader="none"/>
              </w:tabs>
              <w:spacing w:line="240" w:lineRule="auto" w:before="17"/>
              <w:ind w:left="1173" w:right="0"/>
              <w:jc w:val="left"/>
              <w:rPr>
                <w:rFonts w:ascii="Arial" w:hAnsi="Arial" w:cs="Arial" w:eastAsia="Arial" w:hint="default"/>
                <w:sz w:val="22"/>
                <w:szCs w:val="22"/>
              </w:rPr>
            </w:pPr>
            <w:r>
              <w:rPr>
                <w:rFonts w:ascii="Arial"/>
                <w:w w:val="95"/>
                <w:sz w:val="22"/>
              </w:rPr>
              <w:t>(4,441,950)</w:t>
              <w:tab/>
            </w:r>
            <w:r>
              <w:rPr>
                <w:rFonts w:ascii="Arial"/>
                <w:sz w:val="22"/>
              </w:rPr>
              <w:t>(7,546,701)</w:t>
            </w:r>
          </w:p>
        </w:tc>
      </w:tr>
      <w:tr>
        <w:trPr>
          <w:trHeight w:val="280"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27" w:lineRule="exact"/>
              <w:ind w:left="918" w:right="0"/>
              <w:jc w:val="left"/>
              <w:rPr>
                <w:rFonts w:ascii="宋体" w:hAnsi="宋体" w:cs="宋体" w:eastAsia="宋体" w:hint="default"/>
                <w:sz w:val="22"/>
                <w:szCs w:val="22"/>
              </w:rPr>
            </w:pPr>
            <w:r>
              <w:rPr>
                <w:rFonts w:ascii="宋体" w:hAnsi="宋体" w:cs="宋体" w:eastAsia="宋体" w:hint="default"/>
                <w:sz w:val="22"/>
                <w:szCs w:val="22"/>
              </w:rPr>
              <w:t>应付融资租赁款（流动部分）</w:t>
            </w:r>
          </w:p>
        </w:tc>
        <w:tc>
          <w:tcPr>
            <w:tcW w:w="4794" w:type="dxa"/>
            <w:tcBorders>
              <w:top w:val="nil" w:sz="6" w:space="0" w:color="auto"/>
              <w:left w:val="nil" w:sz="6" w:space="0" w:color="auto"/>
              <w:bottom w:val="nil" w:sz="6" w:space="0" w:color="auto"/>
              <w:right w:val="nil" w:sz="6" w:space="0" w:color="auto"/>
            </w:tcBorders>
          </w:tcPr>
          <w:p>
            <w:pPr>
              <w:pStyle w:val="TableParagraph"/>
              <w:tabs>
                <w:tab w:pos="1051" w:val="left" w:leader="none"/>
                <w:tab w:pos="3341" w:val="left" w:leader="none"/>
              </w:tabs>
              <w:spacing w:line="240" w:lineRule="auto" w:before="4"/>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(78,150,630)</w:t>
            </w:r>
            <w:r>
              <w:rPr>
                <w:rFonts w:ascii="Arial"/>
                <w:w w:val="95"/>
                <w:sz w:val="22"/>
              </w:rPr>
            </w:r>
            <w:r>
              <w:rPr>
                <w:rFonts w:ascii="Arial"/>
                <w:w w:val="95"/>
                <w:sz w:val="22"/>
                <w:u w:val="single" w:color="000000"/>
              </w:rPr>
              <w:t> </w:t>
              <w:tab/>
            </w:r>
            <w:r>
              <w:rPr>
                <w:rFonts w:ascii="Arial"/>
                <w:sz w:val="22"/>
                <w:u w:val="single" w:color="000000"/>
              </w:rPr>
              <w:t>(126,238,924)</w:t>
            </w:r>
            <w:r>
              <w:rPr>
                <w:rFonts w:ascii="Arial"/>
                <w:sz w:val="22"/>
              </w:rPr>
            </w:r>
          </w:p>
        </w:tc>
      </w:tr>
      <w:tr>
        <w:trPr>
          <w:trHeight w:val="427"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47" w:lineRule="exact"/>
              <w:ind w:left="48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4794" w:type="dxa"/>
            <w:tcBorders>
              <w:top w:val="nil" w:sz="6" w:space="0" w:color="auto"/>
              <w:left w:val="nil" w:sz="6" w:space="0" w:color="auto"/>
              <w:bottom w:val="nil" w:sz="6" w:space="0" w:color="auto"/>
              <w:right w:val="nil" w:sz="6" w:space="0" w:color="auto"/>
            </w:tcBorders>
          </w:tcPr>
          <w:p>
            <w:pPr>
              <w:pStyle w:val="TableParagraph"/>
              <w:tabs>
                <w:tab w:pos="1051" w:val="left" w:leader="none"/>
                <w:tab w:pos="3341" w:val="left" w:leader="none"/>
              </w:tabs>
              <w:spacing w:line="240" w:lineRule="auto" w:before="25"/>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(83,976,175)</w:t>
            </w:r>
            <w:r>
              <w:rPr>
                <w:rFonts w:ascii="Arial"/>
                <w:w w:val="95"/>
                <w:sz w:val="22"/>
              </w:rPr>
            </w:r>
            <w:r>
              <w:rPr>
                <w:rFonts w:ascii="Arial"/>
                <w:w w:val="95"/>
                <w:sz w:val="22"/>
                <w:u w:val="single" w:color="000000"/>
              </w:rPr>
              <w:t> </w:t>
              <w:tab/>
            </w:r>
            <w:r>
              <w:rPr>
                <w:rFonts w:ascii="Arial"/>
                <w:sz w:val="22"/>
                <w:u w:val="single" w:color="000000"/>
              </w:rPr>
              <w:t>(135,307,578)</w:t>
            </w:r>
            <w:r>
              <w:rPr>
                <w:rFonts w:ascii="Arial"/>
                <w:sz w:val="22"/>
              </w:rPr>
            </w:r>
          </w:p>
        </w:tc>
      </w:tr>
      <w:tr>
        <w:trPr>
          <w:trHeight w:val="430"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4794" w:type="dxa"/>
            <w:tcBorders>
              <w:top w:val="nil" w:sz="6" w:space="0" w:color="auto"/>
              <w:left w:val="nil" w:sz="6" w:space="0" w:color="auto"/>
              <w:bottom w:val="single" w:sz="17" w:space="0" w:color="000000"/>
              <w:right w:val="nil" w:sz="6" w:space="0" w:color="auto"/>
            </w:tcBorders>
          </w:tcPr>
          <w:p>
            <w:pPr>
              <w:pStyle w:val="TableParagraph"/>
              <w:tabs>
                <w:tab w:pos="3416" w:val="left" w:leader="none"/>
              </w:tabs>
              <w:spacing w:line="240" w:lineRule="auto" w:before="151"/>
              <w:ind w:left="1124" w:right="0"/>
              <w:jc w:val="left"/>
              <w:rPr>
                <w:rFonts w:ascii="Arial" w:hAnsi="Arial" w:cs="Arial" w:eastAsia="Arial" w:hint="default"/>
                <w:sz w:val="22"/>
                <w:szCs w:val="22"/>
              </w:rPr>
            </w:pPr>
            <w:r>
              <w:rPr>
                <w:rFonts w:ascii="Arial"/>
                <w:w w:val="95"/>
                <w:sz w:val="22"/>
              </w:rPr>
              <w:t>88,460,997</w:t>
              <w:tab/>
            </w:r>
            <w:r>
              <w:rPr>
                <w:rFonts w:ascii="Arial"/>
                <w:sz w:val="22"/>
              </w:rPr>
              <w:t>161,603,695</w:t>
            </w:r>
          </w:p>
        </w:tc>
      </w:tr>
    </w:tbl>
    <w:p>
      <w:pPr>
        <w:spacing w:after="0" w:line="240" w:lineRule="auto"/>
        <w:jc w:val="left"/>
        <w:rPr>
          <w:rFonts w:ascii="Arial" w:hAnsi="Arial" w:cs="Arial" w:eastAsia="Arial" w:hint="default"/>
          <w:sz w:val="22"/>
          <w:szCs w:val="22"/>
        </w:rPr>
        <w:sectPr>
          <w:type w:val="continuous"/>
          <w:pgSz w:w="11900" w:h="16840"/>
          <w:pgMar w:top="1600" w:bottom="280" w:left="1240" w:right="880"/>
        </w:sectPr>
      </w:pPr>
    </w:p>
    <w:p>
      <w:pPr>
        <w:spacing w:line="240" w:lineRule="auto" w:before="9"/>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4739"/>
        <w:gridCol w:w="2380"/>
        <w:gridCol w:w="2390"/>
      </w:tblGrid>
      <w:tr>
        <w:trPr>
          <w:trHeight w:val="987"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28</w:t>
            </w:r>
            <w:r>
              <w:rPr>
                <w:rFonts w:ascii="宋体" w:hAnsi="宋体" w:cs="宋体" w:eastAsia="宋体" w:hint="default"/>
                <w:sz w:val="22"/>
                <w:szCs w:val="22"/>
              </w:rPr>
              <w:t>、长期应付款（续）</w:t>
            </w: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(a) </w:t>
            </w:r>
            <w:r>
              <w:rPr>
                <w:rFonts w:ascii="Arial" w:hAnsi="Arial" w:cs="Arial" w:eastAsia="Arial" w:hint="default"/>
                <w:spacing w:val="24"/>
                <w:sz w:val="22"/>
                <w:szCs w:val="22"/>
              </w:rPr>
              <w:t> </w:t>
            </w:r>
            <w:r>
              <w:rPr>
                <w:rFonts w:ascii="宋体" w:hAnsi="宋体" w:cs="宋体" w:eastAsia="宋体" w:hint="default"/>
                <w:sz w:val="22"/>
                <w:szCs w:val="22"/>
              </w:rPr>
              <w:t>长期应付款到期日分析如下：</w:t>
            </w:r>
          </w:p>
        </w:tc>
        <w:tc>
          <w:tcPr>
            <w:tcW w:w="4770" w:type="dxa"/>
            <w:gridSpan w:val="2"/>
            <w:tcBorders>
              <w:top w:val="nil" w:sz="6" w:space="0" w:color="auto"/>
              <w:left w:val="nil" w:sz="6" w:space="0" w:color="auto"/>
              <w:bottom w:val="nil" w:sz="6" w:space="0" w:color="auto"/>
              <w:right w:val="nil" w:sz="6" w:space="0" w:color="auto"/>
            </w:tcBorders>
          </w:tcPr>
          <w:p>
            <w:pPr/>
          </w:p>
        </w:tc>
      </w:tr>
      <w:tr>
        <w:trPr>
          <w:trHeight w:val="392" w:hRule="exact"/>
        </w:trPr>
        <w:tc>
          <w:tcPr>
            <w:tcW w:w="4739"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10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90"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39"/>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66"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8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6"/>
              <w:jc w:val="right"/>
              <w:rPr>
                <w:rFonts w:ascii="Arial" w:hAnsi="Arial" w:cs="Arial" w:eastAsia="Arial" w:hint="default"/>
                <w:sz w:val="22"/>
                <w:szCs w:val="22"/>
              </w:rPr>
            </w:pPr>
            <w:r>
              <w:rPr>
                <w:rFonts w:ascii="Arial"/>
                <w:w w:val="95"/>
                <w:sz w:val="22"/>
              </w:rPr>
              <w:t>5,829,999</w:t>
            </w:r>
            <w:r>
              <w:rPr>
                <w:rFonts w:ascii="Arial"/>
                <w:sz w:val="22"/>
              </w:rPr>
            </w:r>
          </w:p>
        </w:tc>
        <w:tc>
          <w:tcPr>
            <w:tcW w:w="239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4"/>
              <w:jc w:val="right"/>
              <w:rPr>
                <w:rFonts w:ascii="Arial" w:hAnsi="Arial" w:cs="Arial" w:eastAsia="Arial" w:hint="default"/>
                <w:sz w:val="22"/>
                <w:szCs w:val="22"/>
              </w:rPr>
            </w:pPr>
            <w:r>
              <w:rPr>
                <w:rFonts w:ascii="Arial"/>
                <w:w w:val="95"/>
                <w:sz w:val="22"/>
              </w:rPr>
              <w:t>84,124,156</w:t>
            </w:r>
            <w:r>
              <w:rPr>
                <w:rFonts w:ascii="Arial"/>
                <w:sz w:val="22"/>
              </w:rPr>
            </w:r>
          </w:p>
        </w:tc>
      </w:tr>
      <w:tr>
        <w:trPr>
          <w:trHeight w:val="266" w:hRule="exact"/>
        </w:trPr>
        <w:tc>
          <w:tcPr>
            <w:tcW w:w="4739" w:type="dxa"/>
            <w:tcBorders>
              <w:top w:val="nil" w:sz="6" w:space="0" w:color="auto"/>
              <w:left w:val="nil" w:sz="6" w:space="0" w:color="auto"/>
              <w:bottom w:val="nil" w:sz="6" w:space="0" w:color="auto"/>
              <w:right w:val="nil" w:sz="6" w:space="0" w:color="auto"/>
            </w:tcBorders>
          </w:tcPr>
          <w:p>
            <w:pPr>
              <w:pStyle w:val="TableParagraph"/>
              <w:spacing w:line="255" w:lineRule="exact"/>
              <w:ind w:left="466"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6"/>
              <w:jc w:val="right"/>
              <w:rPr>
                <w:rFonts w:ascii="Arial" w:hAnsi="Arial" w:cs="Arial" w:eastAsia="Arial" w:hint="default"/>
                <w:sz w:val="22"/>
                <w:szCs w:val="22"/>
              </w:rPr>
            </w:pPr>
            <w:r>
              <w:rPr>
                <w:rFonts w:ascii="Arial"/>
                <w:w w:val="95"/>
                <w:sz w:val="22"/>
              </w:rPr>
              <w:t>17,490,000</w:t>
            </w:r>
            <w:r>
              <w:rPr>
                <w:rFonts w:ascii="Arial"/>
                <w:sz w:val="22"/>
              </w:rPr>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4"/>
              <w:jc w:val="right"/>
              <w:rPr>
                <w:rFonts w:ascii="Arial" w:hAnsi="Arial" w:cs="Arial" w:eastAsia="Arial" w:hint="default"/>
                <w:sz w:val="22"/>
                <w:szCs w:val="22"/>
              </w:rPr>
            </w:pPr>
            <w:r>
              <w:rPr>
                <w:rFonts w:ascii="Arial"/>
                <w:w w:val="95"/>
                <w:sz w:val="22"/>
              </w:rPr>
              <w:t>17,512,032</w:t>
            </w:r>
            <w:r>
              <w:rPr>
                <w:rFonts w:ascii="Arial"/>
                <w:sz w:val="22"/>
              </w:rPr>
            </w:r>
          </w:p>
        </w:tc>
      </w:tr>
    </w:tbl>
    <w:p>
      <w:pPr>
        <w:pStyle w:val="BodyText"/>
        <w:tabs>
          <w:tab w:pos="4846" w:val="left" w:leader="none"/>
          <w:tab w:pos="5956" w:val="left" w:leader="none"/>
          <w:tab w:pos="8418" w:val="left" w:leader="none"/>
          <w:tab w:pos="9616" w:val="left" w:leader="none"/>
        </w:tabs>
        <w:spacing w:line="291" w:lineRule="exact"/>
        <w:ind w:left="574" w:right="0"/>
        <w:jc w:val="left"/>
        <w:rPr>
          <w:rFonts w:ascii="Arial" w:hAnsi="Arial" w:cs="Arial" w:eastAsia="Arial" w:hint="default"/>
        </w:rPr>
      </w:pPr>
      <w:r>
        <w:rPr>
          <w:rFonts w:ascii="Arial" w:hAnsi="Arial" w:cs="Arial" w:eastAsia="Arial" w:hint="default"/>
          <w:position w:val="2"/>
        </w:rPr>
        <w:t>5</w:t>
      </w:r>
      <w:r>
        <w:rPr>
          <w:rFonts w:ascii="Arial" w:hAnsi="Arial" w:cs="Arial" w:eastAsia="Arial" w:hint="default"/>
          <w:spacing w:val="-8"/>
          <w:position w:val="2"/>
        </w:rPr>
        <w:t> </w:t>
      </w:r>
      <w:r>
        <w:rPr>
          <w:position w:val="2"/>
        </w:rPr>
        <w:t>年以上</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65,140,998</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59,967,507</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956" w:val="left" w:leader="none"/>
          <w:tab w:pos="8297" w:val="left" w:leader="none"/>
        </w:tabs>
        <w:spacing w:line="240" w:lineRule="auto" w:before="27"/>
        <w:ind w:left="574" w:right="0"/>
        <w:jc w:val="left"/>
        <w:rPr>
          <w:rFonts w:ascii="Arial" w:hAnsi="Arial" w:cs="Arial" w:eastAsia="Arial" w:hint="default"/>
        </w:rPr>
      </w:pPr>
      <w:r>
        <w:rPr>
          <w:w w:val="95"/>
          <w:position w:val="2"/>
        </w:rPr>
        <w:t>合计</w:t>
        <w:tab/>
      </w:r>
      <w:r>
        <w:rPr>
          <w:rFonts w:ascii="Arial" w:hAnsi="Arial" w:cs="Arial" w:eastAsia="Arial" w:hint="default"/>
          <w:w w:val="95"/>
        </w:rPr>
        <w:t>88,460,997</w:t>
        <w:tab/>
      </w:r>
      <w:r>
        <w:rPr>
          <w:rFonts w:ascii="Arial" w:hAnsi="Arial" w:cs="Arial" w:eastAsia="Arial" w:hint="default"/>
        </w:rPr>
        <w:t>161,603,695</w:t>
      </w:r>
    </w:p>
    <w:p>
      <w:pPr>
        <w:spacing w:line="43" w:lineRule="exact"/>
        <w:ind w:left="4824" w:right="0" w:firstLine="0"/>
        <w:rPr>
          <w:rFonts w:ascii="Arial" w:hAnsi="Arial" w:cs="Arial" w:eastAsia="Arial" w:hint="default"/>
          <w:sz w:val="4"/>
          <w:szCs w:val="4"/>
        </w:rPr>
      </w:pPr>
      <w:r>
        <w:rPr>
          <w:rFonts w:ascii="Arial" w:hAnsi="Arial" w:cs="Arial" w:eastAsia="Arial" w:hint="default"/>
          <w:position w:val="0"/>
          <w:sz w:val="4"/>
          <w:szCs w:val="4"/>
        </w:rPr>
        <w:pict>
          <v:group style="width:239.95pt;height:2.2pt;mso-position-horizontal-relative:char;mso-position-vertical-relative:line" coordorigin="0,0" coordsize="4799,44">
            <v:group style="position:absolute;left:7;top:36;width:2394;height:2" coordorigin="7,36" coordsize="2394,2">
              <v:shape style="position:absolute;left:7;top:36;width:2394;height:2" coordorigin="7,36" coordsize="2394,0" path="m7,36l2401,36e" filled="false" stroked="true" strokeweight=".71997pt" strokecolor="#000000">
                <v:path arrowok="t"/>
              </v:shape>
            </v:group>
            <v:group style="position:absolute;left:7;top:7;width:2394;height:2" coordorigin="7,7" coordsize="2394,2">
              <v:shape style="position:absolute;left:7;top:7;width:2394;height:2" coordorigin="7,7" coordsize="2394,0" path="m7,7l2401,7e" filled="false" stroked="true" strokeweight=".72003pt" strokecolor="#000000">
                <v:path arrowok="t"/>
              </v:shape>
            </v:group>
            <v:group style="position:absolute;left:2471;top:36;width:2321;height:2" coordorigin="2471,36" coordsize="2321,2">
              <v:shape style="position:absolute;left:2471;top:36;width:2321;height:2" coordorigin="2471,36" coordsize="2321,0" path="m2471,36l4792,36e" filled="false" stroked="true" strokeweight=".71997pt" strokecolor="#000000">
                <v:path arrowok="t"/>
              </v:shape>
            </v:group>
            <v:group style="position:absolute;left:2471;top:7;width:2321;height:2" coordorigin="2471,7" coordsize="2321,2">
              <v:shape style="position:absolute;left:2471;top:7;width:2321;height:2" coordorigin="2471,7" coordsize="2321,0" path="m2471,7l4792,7e" filled="false" stroked="true" strokeweight=".72003pt" strokecolor="#000000">
                <v:path arrowok="t"/>
              </v:shape>
            </v:group>
          </v:group>
        </w:pict>
      </w:r>
      <w:r>
        <w:rPr>
          <w:rFonts w:ascii="Arial" w:hAnsi="Arial" w:cs="Arial" w:eastAsia="Arial" w:hint="default"/>
          <w:position w:val="0"/>
          <w:sz w:val="4"/>
          <w:szCs w:val="4"/>
        </w:rPr>
      </w:r>
    </w:p>
    <w:p>
      <w:pPr>
        <w:spacing w:line="240" w:lineRule="auto" w:before="4"/>
        <w:rPr>
          <w:rFonts w:ascii="Arial" w:hAnsi="Arial" w:cs="Arial" w:eastAsia="Arial" w:hint="default"/>
          <w:sz w:val="15"/>
          <w:szCs w:val="15"/>
        </w:rPr>
      </w:pPr>
    </w:p>
    <w:p>
      <w:pPr>
        <w:pStyle w:val="BodyText"/>
        <w:spacing w:line="240" w:lineRule="auto" w:before="31"/>
        <w:ind w:left="142" w:right="0"/>
        <w:jc w:val="left"/>
      </w:pPr>
      <w:r>
        <w:rPr>
          <w:rFonts w:ascii="Arial" w:hAnsi="Arial" w:cs="Arial" w:eastAsia="Arial" w:hint="default"/>
        </w:rPr>
        <w:t>(b) </w:t>
      </w:r>
      <w:r>
        <w:rPr>
          <w:rFonts w:ascii="Arial" w:hAnsi="Arial" w:cs="Arial" w:eastAsia="Arial" w:hint="default"/>
          <w:spacing w:val="23"/>
        </w:rPr>
        <w:t> </w:t>
      </w:r>
      <w:r>
        <w:rPr/>
        <w:t>应付融资租赁款明细</w:t>
      </w:r>
    </w:p>
    <w:p>
      <w:pPr>
        <w:pStyle w:val="BodyText"/>
        <w:tabs>
          <w:tab w:pos="5665" w:val="left" w:leader="none"/>
        </w:tabs>
        <w:spacing w:line="302" w:lineRule="exact" w:before="188"/>
        <w:ind w:left="1940" w:right="0"/>
        <w:jc w:val="center"/>
      </w:pPr>
      <w:r>
        <w:rPr>
          <w:rFonts w:ascii="Arial" w:hAnsi="Arial" w:cs="Arial" w:eastAsia="Arial" w:hint="default"/>
          <w:w w:val="95"/>
        </w:rPr>
        <w:t>2011</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w:t>
        <w:tab/>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w:t>
      </w:r>
    </w:p>
    <w:p>
      <w:pPr>
        <w:pStyle w:val="BodyText"/>
        <w:tabs>
          <w:tab w:pos="4324" w:val="left" w:leader="none"/>
          <w:tab w:pos="5704" w:val="left" w:leader="none"/>
          <w:tab w:pos="8240" w:val="left" w:leader="none"/>
        </w:tabs>
        <w:spacing w:line="287" w:lineRule="exact"/>
        <w:ind w:left="2111" w:right="0"/>
        <w:jc w:val="center"/>
      </w:pPr>
      <w:r>
        <w:rPr/>
        <w:pict>
          <v:group style="position:absolute;margin-left:174.899994pt;margin-top:1.328091pt;width:171.9pt;height:.1pt;mso-position-horizontal-relative:page;mso-position-vertical-relative:paragraph;z-index:-817456" coordorigin="3498,27" coordsize="3438,2">
            <v:shape style="position:absolute;left:3498;top:27;width:3438;height:2" coordorigin="3498,27" coordsize="3438,0" path="m3498,27l6936,27e" filled="false" stroked="true" strokeweight=".72pt" strokecolor="#000000">
              <v:path arrowok="t"/>
            </v:shape>
            <w10:wrap type="none"/>
          </v:group>
        </w:pict>
      </w:r>
      <w:r>
        <w:rPr/>
        <w:pict>
          <v:group style="position:absolute;margin-left:351.359985pt;margin-top:.968091pt;width:191.55pt;height:.75pt;mso-position-horizontal-relative:page;mso-position-vertical-relative:paragraph;z-index:-817432" coordorigin="7027,19" coordsize="3831,15">
            <v:group style="position:absolute;left:7034;top:27;width:1828;height:2" coordorigin="7034,27" coordsize="1828,2">
              <v:shape style="position:absolute;left:7034;top:27;width:1828;height:2" coordorigin="7034,27" coordsize="1828,0" path="m7034,27l8862,27e" filled="false" stroked="true" strokeweight=".72pt" strokecolor="#000000">
                <v:path arrowok="t"/>
              </v:shape>
            </v:group>
            <v:group style="position:absolute;left:8862;top:27;width:1989;height:2" coordorigin="8862,27" coordsize="1989,2">
              <v:shape style="position:absolute;left:8862;top:27;width:1989;height:2" coordorigin="8862,27" coordsize="1989,0" path="m8862,27l10850,27e" filled="false" stroked="true" strokeweight=".72pt" strokecolor="#000000">
                <v:path arrowok="t"/>
              </v:shape>
            </v:group>
            <w10:wrap type="none"/>
          </v:group>
        </w:pict>
      </w:r>
      <w:r>
        <w:rPr>
          <w:w w:val="95"/>
        </w:rPr>
        <w:t>外币金额（美元）</w:t>
        <w:tab/>
        <w:t>人民币金额</w:t>
        <w:tab/>
      </w:r>
      <w:r>
        <w:rPr>
          <w:spacing w:val="-6"/>
        </w:rPr>
        <w:t>外币金额（美元）</w:t>
        <w:tab/>
      </w:r>
      <w:r>
        <w:rPr/>
        <w:t>人民币金额</w:t>
      </w:r>
    </w:p>
    <w:p>
      <w:pPr>
        <w:spacing w:line="240" w:lineRule="auto" w:before="6"/>
        <w:rPr>
          <w:rFonts w:ascii="宋体" w:hAnsi="宋体" w:cs="宋体" w:eastAsia="宋体" w:hint="default"/>
          <w:sz w:val="2"/>
          <w:szCs w:val="2"/>
        </w:rPr>
      </w:pPr>
    </w:p>
    <w:p>
      <w:pPr>
        <w:spacing w:line="20" w:lineRule="exact"/>
        <w:ind w:left="2250" w:right="0" w:firstLine="0"/>
        <w:rPr>
          <w:rFonts w:ascii="宋体" w:hAnsi="宋体" w:cs="宋体" w:eastAsia="宋体" w:hint="default"/>
          <w:sz w:val="2"/>
          <w:szCs w:val="2"/>
        </w:rPr>
      </w:pPr>
      <w:r>
        <w:rPr>
          <w:rFonts w:ascii="宋体"/>
          <w:sz w:val="2"/>
        </w:rPr>
        <w:pict>
          <v:group style="width:88.45pt;height:.75pt;mso-position-horizontal-relative:char;mso-position-vertical-relative:line" coordorigin="0,0" coordsize="1769,15">
            <v:group style="position:absolute;left:7;top:7;width:1755;height:2" coordorigin="7,7" coordsize="1755,2">
              <v:shape style="position:absolute;left:7;top:7;width:1755;height:2" coordorigin="7,7" coordsize="1755,0" path="m7,7l1762,7e" filled="false" stroked="true" strokeweight=".72pt" strokecolor="#000000">
                <v:path arrowok="t"/>
              </v:shape>
            </v:group>
          </v:group>
        </w:pict>
      </w:r>
      <w:r>
        <w:rPr>
          <w:rFonts w:ascii="宋体"/>
          <w:sz w:val="2"/>
        </w:rPr>
      </w:r>
      <w:r>
        <w:rPr>
          <w:rFonts w:ascii="Times New Roman"/>
          <w:spacing w:val="103"/>
          <w:sz w:val="2"/>
        </w:rPr>
        <w:t> </w:t>
      </w:r>
      <w:r>
        <w:rPr>
          <w:rFonts w:ascii="宋体"/>
          <w:spacing w:val="103"/>
          <w:sz w:val="2"/>
        </w:rPr>
        <w:pict>
          <v:group style="width:78.6pt;height:.75pt;mso-position-horizontal-relative:char;mso-position-vertical-relative:line" coordorigin="0,0" coordsize="1572,15">
            <v:group style="position:absolute;left:7;top:7;width:1558;height:2" coordorigin="7,7" coordsize="1558,2">
              <v:shape style="position:absolute;left:7;top:7;width:1558;height:2" coordorigin="7,7" coordsize="1558,0" path="m7,7l1565,7e" filled="false" stroked="true" strokeweight=".72pt" strokecolor="#000000">
                <v:path arrowok="t"/>
              </v:shape>
            </v:group>
          </v:group>
        </w:pict>
      </w:r>
      <w:r>
        <w:rPr>
          <w:rFonts w:ascii="宋体"/>
          <w:spacing w:val="103"/>
          <w:sz w:val="2"/>
        </w:rPr>
      </w:r>
      <w:r>
        <w:rPr>
          <w:rFonts w:ascii="Times New Roman"/>
          <w:spacing w:val="76"/>
          <w:sz w:val="2"/>
        </w:rPr>
        <w:t> </w:t>
      </w:r>
      <w:r>
        <w:rPr>
          <w:rFonts w:ascii="宋体"/>
          <w:spacing w:val="76"/>
          <w:sz w:val="2"/>
        </w:rPr>
        <w:pict>
          <v:group style="width:92.1pt;height:.75pt;mso-position-horizontal-relative:char;mso-position-vertical-relative:line" coordorigin="0,0" coordsize="1842,15">
            <v:group style="position:absolute;left:7;top:7;width:1828;height:2" coordorigin="7,7" coordsize="1828,2">
              <v:shape style="position:absolute;left:7;top:7;width:1828;height:2" coordorigin="7,7" coordsize="1828,0" path="m7,7l1835,7e" filled="false" stroked="true" strokeweight=".72pt" strokecolor="#000000">
                <v:path arrowok="t"/>
              </v:shape>
            </v:group>
          </v:group>
        </w:pict>
      </w:r>
      <w:r>
        <w:rPr>
          <w:rFonts w:ascii="宋体"/>
          <w:spacing w:val="76"/>
          <w:sz w:val="2"/>
        </w:rPr>
      </w:r>
      <w:r>
        <w:rPr>
          <w:rFonts w:ascii="Times New Roman"/>
          <w:spacing w:val="96"/>
          <w:sz w:val="2"/>
        </w:rPr>
        <w:t> </w:t>
      </w:r>
      <w:r>
        <w:rPr>
          <w:rFonts w:ascii="宋体"/>
          <w:spacing w:val="96"/>
          <w:sz w:val="2"/>
        </w:rPr>
        <w:pict>
          <v:group style="width:94.2pt;height:.75pt;mso-position-horizontal-relative:char;mso-position-vertical-relative:line" coordorigin="0,0" coordsize="1884,15">
            <v:group style="position:absolute;left:7;top:7;width:1870;height:2" coordorigin="7,7" coordsize="1870,2">
              <v:shape style="position:absolute;left:7;top:7;width:1870;height:2" coordorigin="7,7" coordsize="1870,0" path="m7,7l1877,7e" filled="false" stroked="true" strokeweight=".72pt" strokecolor="#000000">
                <v:path arrowok="t"/>
              </v:shape>
            </v:group>
          </v:group>
        </w:pict>
      </w:r>
      <w:r>
        <w:rPr>
          <w:rFonts w:ascii="宋体"/>
          <w:spacing w:val="96"/>
          <w:sz w:val="2"/>
        </w:rPr>
      </w:r>
    </w:p>
    <w:p>
      <w:pPr>
        <w:spacing w:line="240" w:lineRule="auto" w:before="11"/>
        <w:rPr>
          <w:rFonts w:ascii="宋体" w:hAnsi="宋体" w:cs="宋体" w:eastAsia="宋体" w:hint="default"/>
          <w:sz w:val="13"/>
          <w:szCs w:val="13"/>
        </w:rPr>
      </w:pPr>
    </w:p>
    <w:p>
      <w:pPr>
        <w:pStyle w:val="BodyText"/>
        <w:tabs>
          <w:tab w:pos="2812" w:val="left" w:leader="none"/>
          <w:tab w:pos="4522" w:val="left" w:leader="none"/>
          <w:tab w:pos="6358" w:val="left" w:leader="none"/>
          <w:tab w:pos="8295" w:val="left" w:leader="none"/>
        </w:tabs>
        <w:spacing w:line="240" w:lineRule="auto" w:before="27"/>
        <w:ind w:left="592" w:right="0"/>
        <w:jc w:val="left"/>
        <w:rPr>
          <w:rFonts w:ascii="Arial" w:hAnsi="Arial" w:cs="Arial" w:eastAsia="Arial" w:hint="default"/>
        </w:rPr>
      </w:pPr>
      <w:r>
        <w:rPr>
          <w:w w:val="95"/>
          <w:position w:val="2"/>
        </w:rPr>
        <w:t>应付融资租赁款</w:t>
        <w:tab/>
      </w:r>
      <w:r>
        <w:rPr>
          <w:rFonts w:ascii="Arial" w:hAnsi="Arial" w:cs="Arial" w:eastAsia="Arial" w:hint="default"/>
          <w:w w:val="95"/>
        </w:rPr>
        <w:t>12,403,090</w:t>
        <w:tab/>
        <w:t>78,150,630</w:t>
        <w:tab/>
        <w:t>30,882,531</w:t>
        <w:tab/>
      </w:r>
      <w:r>
        <w:rPr>
          <w:rFonts w:ascii="Arial" w:hAnsi="Arial" w:cs="Arial" w:eastAsia="Arial" w:hint="default"/>
        </w:rPr>
        <w:t>204,525,737</w:t>
      </w:r>
    </w:p>
    <w:p>
      <w:pPr>
        <w:spacing w:line="43" w:lineRule="exact"/>
        <w:ind w:left="2236" w:right="0" w:firstLine="0"/>
        <w:rPr>
          <w:rFonts w:ascii="Arial" w:hAnsi="Arial" w:cs="Arial" w:eastAsia="Arial" w:hint="default"/>
          <w:sz w:val="4"/>
          <w:szCs w:val="4"/>
        </w:rPr>
      </w:pPr>
      <w:r>
        <w:rPr>
          <w:rFonts w:ascii="Arial"/>
          <w:position w:val="0"/>
          <w:sz w:val="4"/>
        </w:rPr>
        <w:pict>
          <v:group style="width:89.2pt;height:2.2pt;mso-position-horizontal-relative:char;mso-position-vertical-relative:line" coordorigin="0,0" coordsize="1784,44">
            <v:group style="position:absolute;left:7;top:36;width:1769;height:2" coordorigin="7,36" coordsize="1769,2">
              <v:shape style="position:absolute;left:7;top:36;width:1769;height:2" coordorigin="7,36" coordsize="1769,0" path="m7,36l1776,36e" filled="false" stroked="true" strokeweight=".72pt" strokecolor="#000000">
                <v:path arrowok="t"/>
              </v:shape>
            </v:group>
            <v:group style="position:absolute;left:7;top:7;width:1769;height:2" coordorigin="7,7" coordsize="1769,2">
              <v:shape style="position:absolute;left:7;top:7;width:1769;height:2" coordorigin="7,7" coordsize="1769,0" path="m7,7l1776,7e" filled="false" stroked="true" strokeweight=".72pt" strokecolor="#000000">
                <v:path arrowok="t"/>
              </v:shape>
            </v:group>
          </v:group>
        </w:pict>
      </w:r>
      <w:r>
        <w:rPr>
          <w:rFonts w:ascii="Arial"/>
          <w:position w:val="0"/>
          <w:sz w:val="4"/>
        </w:rPr>
      </w:r>
      <w:r>
        <w:rPr>
          <w:rFonts w:ascii="Times New Roman"/>
          <w:spacing w:val="81"/>
          <w:position w:val="0"/>
          <w:sz w:val="4"/>
        </w:rPr>
        <w:t> </w:t>
      </w:r>
      <w:r>
        <w:rPr>
          <w:rFonts w:ascii="Arial"/>
          <w:spacing w:val="81"/>
          <w:position w:val="0"/>
          <w:sz w:val="4"/>
        </w:rPr>
        <w:pict>
          <v:group style="width:79.350pt;height:2.2pt;mso-position-horizontal-relative:char;mso-position-vertical-relative:line" coordorigin="0,0" coordsize="1587,44">
            <v:group style="position:absolute;left:7;top:36;width:1572;height:2" coordorigin="7,36" coordsize="1572,2">
              <v:shape style="position:absolute;left:7;top:36;width:1572;height:2" coordorigin="7,36" coordsize="1572,0" path="m7,36l1579,36e" filled="false" stroked="true" strokeweight=".72pt" strokecolor="#000000">
                <v:path arrowok="t"/>
              </v:shape>
            </v:group>
            <v:group style="position:absolute;left:7;top:7;width:1572;height:2" coordorigin="7,7" coordsize="1572,2">
              <v:shape style="position:absolute;left:7;top:7;width:1572;height:2" coordorigin="7,7" coordsize="1572,0" path="m7,7l1579,7e" filled="false" stroked="true" strokeweight=".72pt" strokecolor="#000000">
                <v:path arrowok="t"/>
              </v:shape>
            </v:group>
          </v:group>
        </w:pict>
      </w:r>
      <w:r>
        <w:rPr>
          <w:rFonts w:ascii="Arial"/>
          <w:spacing w:val="81"/>
          <w:position w:val="0"/>
          <w:sz w:val="4"/>
        </w:rPr>
      </w:r>
      <w:r>
        <w:rPr>
          <w:rFonts w:ascii="Times New Roman"/>
          <w:spacing w:val="54"/>
          <w:position w:val="0"/>
          <w:sz w:val="4"/>
        </w:rPr>
        <w:t> </w:t>
      </w:r>
      <w:r>
        <w:rPr>
          <w:rFonts w:ascii="Arial"/>
          <w:spacing w:val="54"/>
          <w:position w:val="0"/>
          <w:sz w:val="4"/>
        </w:rPr>
        <w:pict>
          <v:group style="width:92.85pt;height:2.2pt;mso-position-horizontal-relative:char;mso-position-vertical-relative:line" coordorigin="0,0" coordsize="1857,44">
            <v:group style="position:absolute;left:7;top:36;width:1842;height:2" coordorigin="7,36" coordsize="1842,2">
              <v:shape style="position:absolute;left:7;top:36;width:1842;height:2" coordorigin="7,36" coordsize="1842,0" path="m7,36l1849,36e" filled="false" stroked="true" strokeweight=".72pt" strokecolor="#000000">
                <v:path arrowok="t"/>
              </v:shape>
            </v:group>
            <v:group style="position:absolute;left:7;top:7;width:1842;height:2" coordorigin="7,7" coordsize="1842,2">
              <v:shape style="position:absolute;left:7;top:7;width:1842;height:2" coordorigin="7,7" coordsize="1842,0" path="m7,7l1849,7e" filled="false" stroked="true" strokeweight=".72pt" strokecolor="#000000">
                <v:path arrowok="t"/>
              </v:shape>
            </v:group>
          </v:group>
        </w:pict>
      </w:r>
      <w:r>
        <w:rPr>
          <w:rFonts w:ascii="Arial"/>
          <w:spacing w:val="54"/>
          <w:position w:val="0"/>
          <w:sz w:val="4"/>
        </w:rPr>
      </w:r>
      <w:r>
        <w:rPr>
          <w:rFonts w:ascii="Times New Roman"/>
          <w:spacing w:val="74"/>
          <w:position w:val="0"/>
          <w:sz w:val="4"/>
        </w:rPr>
        <w:t> </w:t>
      </w:r>
      <w:r>
        <w:rPr>
          <w:rFonts w:ascii="Arial"/>
          <w:spacing w:val="74"/>
          <w:position w:val="0"/>
          <w:sz w:val="4"/>
        </w:rPr>
        <w:pict>
          <v:group style="width:94.95pt;height:2.2pt;mso-position-horizontal-relative:char;mso-position-vertical-relative:line" coordorigin="0,0" coordsize="1899,44">
            <v:group style="position:absolute;left:7;top:36;width:1884;height:2" coordorigin="7,36" coordsize="1884,2">
              <v:shape style="position:absolute;left:7;top:36;width:1884;height:2" coordorigin="7,36" coordsize="1884,0" path="m7,36l1891,36e" filled="false" stroked="true" strokeweight=".72pt" strokecolor="#000000">
                <v:path arrowok="t"/>
              </v:shape>
            </v:group>
            <v:group style="position:absolute;left:7;top:7;width:1884;height:2" coordorigin="7,7" coordsize="1884,2">
              <v:shape style="position:absolute;left:7;top:7;width:1884;height:2" coordorigin="7,7" coordsize="1884,0" path="m7,7l1891,7e" filled="false" stroked="true" strokeweight=".72pt" strokecolor="#000000">
                <v:path arrowok="t"/>
              </v:shape>
            </v:group>
          </v:group>
        </w:pict>
      </w:r>
      <w:r>
        <w:rPr>
          <w:rFonts w:ascii="Arial"/>
          <w:spacing w:val="74"/>
          <w:position w:val="0"/>
          <w:sz w:val="4"/>
        </w:rPr>
      </w:r>
    </w:p>
    <w:p>
      <w:pPr>
        <w:spacing w:line="240" w:lineRule="auto" w:before="4"/>
        <w:rPr>
          <w:rFonts w:ascii="Arial" w:hAnsi="Arial" w:cs="Arial" w:eastAsia="Arial" w:hint="default"/>
          <w:sz w:val="15"/>
          <w:szCs w:val="15"/>
        </w:rPr>
      </w:pPr>
    </w:p>
    <w:p>
      <w:pPr>
        <w:pStyle w:val="BodyText"/>
        <w:spacing w:line="287" w:lineRule="exact" w:before="31"/>
        <w:ind w:left="562" w:right="0"/>
        <w:jc w:val="left"/>
      </w:pPr>
      <w:r>
        <w:rPr>
          <w:spacing w:val="6"/>
        </w:rPr>
        <w:t>应付融资租赁款为本集团融资租入固定资产的最低租赁付款额扣除未确认融资费用后的余额</w:t>
      </w:r>
    </w:p>
    <w:p>
      <w:pPr>
        <w:pStyle w:val="BodyText"/>
        <w:spacing w:line="287" w:lineRule="exact"/>
        <w:ind w:left="562" w:right="0"/>
        <w:jc w:val="left"/>
      </w:pPr>
      <w:r>
        <w:rPr/>
        <w:t>（附注十二）。</w:t>
      </w:r>
    </w:p>
    <w:p>
      <w:pPr>
        <w:spacing w:line="240" w:lineRule="auto" w:before="2"/>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4902"/>
        <w:gridCol w:w="2230"/>
        <w:gridCol w:w="2366"/>
      </w:tblGrid>
      <w:tr>
        <w:trPr>
          <w:trHeight w:val="853"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29</w:t>
            </w:r>
            <w:r>
              <w:rPr>
                <w:rFonts w:ascii="宋体" w:hAnsi="宋体" w:cs="宋体" w:eastAsia="宋体" w:hint="default"/>
                <w:sz w:val="22"/>
                <w:szCs w:val="22"/>
              </w:rPr>
              <w:t>、递延收益</w:t>
            </w:r>
          </w:p>
        </w:tc>
        <w:tc>
          <w:tcPr>
            <w:tcW w:w="223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6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3" w:right="0"/>
              <w:jc w:val="left"/>
              <w:rPr>
                <w:rFonts w:ascii="宋体" w:hAnsi="宋体" w:cs="宋体" w:eastAsia="宋体" w:hint="default"/>
                <w:sz w:val="22"/>
                <w:szCs w:val="22"/>
              </w:rPr>
            </w:pPr>
            <w:r>
              <w:rPr>
                <w:rFonts w:ascii="宋体" w:hAnsi="宋体" w:cs="宋体" w:eastAsia="宋体" w:hint="default"/>
                <w:sz w:val="22"/>
                <w:szCs w:val="22"/>
              </w:rPr>
              <w:t>递延的装移机收入</w:t>
            </w:r>
          </w:p>
        </w:tc>
        <w:tc>
          <w:tcPr>
            <w:tcW w:w="223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7"/>
              <w:jc w:val="right"/>
              <w:rPr>
                <w:rFonts w:ascii="Arial" w:hAnsi="Arial" w:cs="Arial" w:eastAsia="Arial" w:hint="default"/>
                <w:sz w:val="22"/>
                <w:szCs w:val="22"/>
              </w:rPr>
            </w:pPr>
            <w:r>
              <w:rPr>
                <w:rFonts w:ascii="Arial"/>
                <w:spacing w:val="-1"/>
                <w:sz w:val="22"/>
              </w:rPr>
              <w:t>1,727,555,962</w:t>
            </w:r>
          </w:p>
        </w:tc>
        <w:tc>
          <w:tcPr>
            <w:tcW w:w="236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0"/>
              <w:jc w:val="right"/>
              <w:rPr>
                <w:rFonts w:ascii="Arial" w:hAnsi="Arial" w:cs="Arial" w:eastAsia="Arial" w:hint="default"/>
                <w:sz w:val="22"/>
                <w:szCs w:val="22"/>
              </w:rPr>
            </w:pPr>
            <w:r>
              <w:rPr>
                <w:rFonts w:ascii="Arial"/>
                <w:spacing w:val="-1"/>
                <w:sz w:val="22"/>
              </w:rPr>
              <w:t>2,281,186,392</w:t>
            </w:r>
          </w:p>
        </w:tc>
      </w:tr>
      <w:tr>
        <w:trPr>
          <w:trHeight w:val="286"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39" w:lineRule="exact"/>
              <w:ind w:left="483" w:right="0"/>
              <w:jc w:val="left"/>
              <w:rPr>
                <w:rFonts w:ascii="宋体" w:hAnsi="宋体" w:cs="宋体" w:eastAsia="宋体" w:hint="default"/>
                <w:sz w:val="22"/>
                <w:szCs w:val="22"/>
              </w:rPr>
            </w:pPr>
            <w:r>
              <w:rPr>
                <w:rFonts w:ascii="宋体" w:hAnsi="宋体" w:cs="宋体" w:eastAsia="宋体" w:hint="default"/>
                <w:sz w:val="22"/>
                <w:szCs w:val="22"/>
              </w:rPr>
              <w:t>递延的市话初装费收入</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7"/>
              <w:jc w:val="right"/>
              <w:rPr>
                <w:rFonts w:ascii="Arial" w:hAnsi="Arial" w:cs="Arial" w:eastAsia="Arial" w:hint="default"/>
                <w:sz w:val="22"/>
                <w:szCs w:val="22"/>
              </w:rPr>
            </w:pPr>
            <w:r>
              <w:rPr>
                <w:rFonts w:ascii="Arial"/>
                <w:w w:val="99"/>
                <w:sz w:val="22"/>
              </w:rPr>
              <w:t>-</w:t>
            </w:r>
            <w:r>
              <w:rPr>
                <w:rFonts w:ascii="Arial"/>
                <w:sz w:val="22"/>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w w:val="95"/>
                <w:sz w:val="22"/>
              </w:rPr>
              <w:t>15,336,010</w:t>
            </w:r>
            <w:r>
              <w:rPr>
                <w:rFonts w:ascii="Arial"/>
                <w:sz w:val="22"/>
              </w:rPr>
            </w:r>
          </w:p>
        </w:tc>
      </w:tr>
      <w:tr>
        <w:trPr>
          <w:trHeight w:val="286"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39" w:lineRule="exact"/>
              <w:ind w:left="483" w:right="0"/>
              <w:jc w:val="left"/>
              <w:rPr>
                <w:rFonts w:ascii="宋体" w:hAnsi="宋体" w:cs="宋体" w:eastAsia="宋体" w:hint="default"/>
                <w:sz w:val="22"/>
                <w:szCs w:val="22"/>
              </w:rPr>
            </w:pPr>
            <w:r>
              <w:rPr>
                <w:rFonts w:ascii="宋体" w:hAnsi="宋体" w:cs="宋体" w:eastAsia="宋体" w:hint="default"/>
                <w:sz w:val="22"/>
                <w:szCs w:val="22"/>
              </w:rPr>
              <w:t>递延的一次性不退还收入</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6"/>
              <w:jc w:val="right"/>
              <w:rPr>
                <w:rFonts w:ascii="Arial" w:hAnsi="Arial" w:cs="Arial" w:eastAsia="Arial" w:hint="default"/>
                <w:sz w:val="22"/>
                <w:szCs w:val="22"/>
              </w:rPr>
            </w:pPr>
            <w:r>
              <w:rPr>
                <w:rFonts w:ascii="Arial"/>
                <w:w w:val="95"/>
                <w:sz w:val="22"/>
              </w:rPr>
              <w:t>390,577,053</w:t>
            </w:r>
            <w:r>
              <w:rPr>
                <w:rFonts w:ascii="Arial"/>
                <w:sz w:val="22"/>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w w:val="95"/>
                <w:sz w:val="22"/>
              </w:rPr>
              <w:t>423,168,863</w:t>
            </w:r>
            <w:r>
              <w:rPr>
                <w:rFonts w:ascii="Arial"/>
                <w:sz w:val="22"/>
              </w:rPr>
            </w:r>
          </w:p>
        </w:tc>
      </w:tr>
      <w:tr>
        <w:trPr>
          <w:trHeight w:val="284"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55" w:lineRule="exact"/>
              <w:ind w:left="483" w:right="0"/>
              <w:jc w:val="left"/>
              <w:rPr>
                <w:rFonts w:ascii="宋体" w:hAnsi="宋体" w:cs="宋体" w:eastAsia="宋体" w:hint="default"/>
                <w:sz w:val="22"/>
                <w:szCs w:val="22"/>
              </w:rPr>
            </w:pPr>
            <w:r>
              <w:rPr>
                <w:rFonts w:ascii="宋体" w:hAnsi="宋体" w:cs="宋体" w:eastAsia="宋体" w:hint="default"/>
                <w:sz w:val="22"/>
                <w:szCs w:val="22"/>
              </w:rPr>
              <w:t>递延的与</w:t>
            </w:r>
            <w:r>
              <w:rPr>
                <w:rFonts w:ascii="宋体" w:hAnsi="宋体" w:cs="宋体" w:eastAsia="宋体" w:hint="default"/>
                <w:spacing w:val="-56"/>
                <w:sz w:val="22"/>
                <w:szCs w:val="22"/>
              </w:rPr>
              <w:t> </w:t>
            </w:r>
            <w:r>
              <w:rPr>
                <w:rFonts w:ascii="Arial" w:hAnsi="Arial" w:cs="Arial" w:eastAsia="Arial" w:hint="default"/>
                <w:sz w:val="22"/>
                <w:szCs w:val="22"/>
              </w:rPr>
              <w:t>CDMA</w:t>
            </w:r>
            <w:r>
              <w:rPr>
                <w:rFonts w:ascii="Arial" w:hAnsi="Arial" w:cs="Arial" w:eastAsia="Arial" w:hint="default"/>
                <w:spacing w:val="-7"/>
                <w:sz w:val="22"/>
                <w:szCs w:val="22"/>
              </w:rPr>
              <w:t> </w:t>
            </w:r>
            <w:r>
              <w:rPr>
                <w:rFonts w:ascii="宋体" w:hAnsi="宋体" w:cs="宋体" w:eastAsia="宋体" w:hint="default"/>
                <w:sz w:val="22"/>
                <w:szCs w:val="22"/>
              </w:rPr>
              <w:t>出售相关的服务（注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7"/>
              <w:jc w:val="right"/>
              <w:rPr>
                <w:rFonts w:ascii="Arial" w:hAnsi="Arial" w:cs="Arial" w:eastAsia="Arial" w:hint="default"/>
                <w:sz w:val="22"/>
                <w:szCs w:val="22"/>
              </w:rPr>
            </w:pPr>
            <w:r>
              <w:rPr>
                <w:rFonts w:ascii="Arial"/>
                <w:w w:val="95"/>
                <w:sz w:val="22"/>
              </w:rPr>
              <w:t>95,763,283</w:t>
            </w:r>
            <w:r>
              <w:rPr>
                <w:rFonts w:ascii="Arial"/>
                <w:sz w:val="22"/>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right"/>
              <w:rPr>
                <w:rFonts w:ascii="Arial" w:hAnsi="Arial" w:cs="Arial" w:eastAsia="Arial" w:hint="default"/>
                <w:sz w:val="22"/>
                <w:szCs w:val="22"/>
              </w:rPr>
            </w:pPr>
            <w:r>
              <w:rPr>
                <w:rFonts w:ascii="Arial"/>
                <w:w w:val="95"/>
                <w:sz w:val="22"/>
              </w:rPr>
              <w:t>111,038,059</w:t>
            </w:r>
            <w:r>
              <w:rPr>
                <w:rFonts w:ascii="Arial"/>
                <w:sz w:val="22"/>
              </w:rPr>
            </w:r>
          </w:p>
        </w:tc>
      </w:tr>
      <w:tr>
        <w:trPr>
          <w:trHeight w:val="266"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39" w:lineRule="exact"/>
              <w:ind w:left="483" w:right="0"/>
              <w:jc w:val="left"/>
              <w:rPr>
                <w:rFonts w:ascii="宋体" w:hAnsi="宋体" w:cs="宋体" w:eastAsia="宋体" w:hint="default"/>
                <w:sz w:val="22"/>
                <w:szCs w:val="22"/>
              </w:rPr>
            </w:pPr>
            <w:r>
              <w:rPr>
                <w:rFonts w:ascii="宋体" w:hAnsi="宋体" w:cs="宋体" w:eastAsia="宋体" w:hint="default"/>
                <w:sz w:val="22"/>
                <w:szCs w:val="22"/>
              </w:rPr>
              <w:t>递延的用户积分奖励公允价值</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6"/>
              <w:jc w:val="right"/>
              <w:rPr>
                <w:rFonts w:ascii="Arial" w:hAnsi="Arial" w:cs="Arial" w:eastAsia="Arial" w:hint="default"/>
                <w:sz w:val="22"/>
                <w:szCs w:val="22"/>
              </w:rPr>
            </w:pPr>
            <w:r>
              <w:rPr>
                <w:rFonts w:ascii="Arial"/>
                <w:w w:val="95"/>
                <w:sz w:val="22"/>
              </w:rPr>
              <w:t>319,355,681</w:t>
            </w:r>
            <w:r>
              <w:rPr>
                <w:rFonts w:ascii="Arial"/>
                <w:sz w:val="22"/>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251,965,795</w:t>
            </w:r>
            <w:r>
              <w:rPr>
                <w:rFonts w:ascii="Arial"/>
                <w:sz w:val="22"/>
              </w:rPr>
            </w:r>
          </w:p>
        </w:tc>
      </w:tr>
    </w:tbl>
    <w:p>
      <w:pPr>
        <w:pStyle w:val="BodyText"/>
        <w:tabs>
          <w:tab w:pos="5009" w:val="left" w:leader="none"/>
          <w:tab w:pos="5877" w:val="left" w:leader="none"/>
          <w:tab w:pos="8270" w:val="left" w:leader="none"/>
          <w:tab w:pos="9605" w:val="left" w:leader="none"/>
        </w:tabs>
        <w:spacing w:line="279" w:lineRule="exact"/>
        <w:ind w:left="591" w:right="0"/>
        <w:jc w:val="left"/>
        <w:rPr>
          <w:rFonts w:ascii="Arial" w:hAnsi="Arial" w:cs="Arial" w:eastAsia="Arial" w:hint="default"/>
        </w:rPr>
      </w:pPr>
      <w:r>
        <w:rPr>
          <w:w w:val="95"/>
          <w:position w:val="2"/>
        </w:rPr>
        <w:t>其他</w:t>
        <w:tab/>
      </w:r>
      <w:r>
        <w:rPr>
          <w:rFonts w:ascii="Arial" w:hAnsi="Arial" w:cs="Arial" w:eastAsia="Arial" w:hint="default"/>
          <w:w w:val="95"/>
        </w:rPr>
      </w:r>
      <w:r>
        <w:rPr>
          <w:rFonts w:ascii="Arial" w:hAnsi="Arial" w:cs="Arial" w:eastAsia="Arial" w:hint="default"/>
          <w:w w:val="95"/>
          <w:u w:val="single" w:color="000000"/>
        </w:rPr>
        <w:t> </w:t>
        <w:tab/>
        <w:t>149,730,799</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129,917,392</w:t>
        <w:tab/>
      </w:r>
      <w:r>
        <w:rPr>
          <w:rFonts w:ascii="Arial" w:hAnsi="Arial" w:cs="Arial" w:eastAsia="Arial" w:hint="default"/>
        </w:rPr>
      </w:r>
    </w:p>
    <w:p>
      <w:pPr>
        <w:pStyle w:val="BodyText"/>
        <w:tabs>
          <w:tab w:pos="5693" w:val="left" w:leader="none"/>
          <w:tab w:pos="8087" w:val="left" w:leader="none"/>
        </w:tabs>
        <w:spacing w:line="312" w:lineRule="exact"/>
        <w:ind w:left="591" w:right="0"/>
        <w:jc w:val="left"/>
        <w:rPr>
          <w:rFonts w:ascii="Arial" w:hAnsi="Arial" w:cs="Arial" w:eastAsia="Arial" w:hint="default"/>
        </w:rPr>
      </w:pPr>
      <w:r>
        <w:rPr>
          <w:w w:val="95"/>
          <w:position w:val="2"/>
        </w:rPr>
        <w:t>小计</w:t>
        <w:tab/>
      </w:r>
      <w:r>
        <w:rPr>
          <w:rFonts w:ascii="Arial" w:hAnsi="Arial" w:cs="Arial" w:eastAsia="Arial" w:hint="default"/>
          <w:spacing w:val="-1"/>
        </w:rPr>
        <w:t>2,682,982,778</w:t>
        <w:tab/>
        <w:t>3,212,612,511</w:t>
      </w:r>
    </w:p>
    <w:p>
      <w:pPr>
        <w:spacing w:line="240" w:lineRule="auto" w:before="4"/>
        <w:rPr>
          <w:rFonts w:ascii="Arial" w:hAnsi="Arial" w:cs="Arial" w:eastAsia="Arial" w:hint="default"/>
          <w:sz w:val="16"/>
          <w:szCs w:val="16"/>
        </w:rPr>
      </w:pPr>
    </w:p>
    <w:p>
      <w:pPr>
        <w:pStyle w:val="BodyText"/>
        <w:tabs>
          <w:tab w:pos="5009" w:val="left" w:leader="none"/>
          <w:tab w:pos="5802" w:val="left" w:leader="none"/>
          <w:tab w:pos="8013" w:val="left" w:leader="none"/>
        </w:tabs>
        <w:spacing w:line="240" w:lineRule="auto" w:before="27"/>
        <w:ind w:left="591" w:right="0"/>
        <w:jc w:val="left"/>
        <w:rPr>
          <w:rFonts w:ascii="Arial" w:hAnsi="Arial" w:cs="Arial" w:eastAsia="Arial" w:hint="default"/>
        </w:rPr>
      </w:pPr>
      <w:r>
        <w:rPr>
          <w:position w:val="2"/>
        </w:rPr>
        <w:t>减：上述递延收益的流动部分（注</w:t>
      </w:r>
      <w:r>
        <w:rPr>
          <w:spacing w:val="-57"/>
          <w:position w:val="2"/>
        </w:rPr>
        <w:t> </w:t>
      </w:r>
      <w:r>
        <w:rPr>
          <w:rFonts w:ascii="Arial" w:hAnsi="Arial" w:cs="Arial" w:eastAsia="Arial" w:hint="default"/>
          <w:position w:val="2"/>
        </w:rPr>
        <w:t>2</w:t>
      </w:r>
      <w:r>
        <w:rPr>
          <w:position w:val="2"/>
        </w:rPr>
        <w:t>）</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(881,652,188)</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(1,042,085,610)</w:t>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693" w:val="left" w:leader="none"/>
          <w:tab w:pos="8087" w:val="left" w:leader="none"/>
        </w:tabs>
        <w:spacing w:line="240" w:lineRule="auto" w:before="27"/>
        <w:ind w:left="591" w:right="0"/>
        <w:jc w:val="left"/>
        <w:rPr>
          <w:rFonts w:ascii="Arial" w:hAnsi="Arial" w:cs="Arial" w:eastAsia="Arial" w:hint="default"/>
        </w:rPr>
      </w:pPr>
      <w:r>
        <w:rPr>
          <w:w w:val="95"/>
          <w:position w:val="2"/>
        </w:rPr>
        <w:t>合计</w:t>
        <w:tab/>
      </w:r>
      <w:r>
        <w:rPr>
          <w:rFonts w:ascii="Arial" w:hAnsi="Arial" w:cs="Arial" w:eastAsia="Arial" w:hint="default"/>
          <w:spacing w:val="-1"/>
        </w:rPr>
        <w:t>1,801,330,590</w:t>
        <w:tab/>
        <w:t>2,170,526,901</w:t>
      </w:r>
    </w:p>
    <w:p>
      <w:pPr>
        <w:spacing w:line="43" w:lineRule="exact"/>
        <w:ind w:left="4988" w:right="0" w:firstLine="0"/>
        <w:rPr>
          <w:rFonts w:ascii="Arial" w:hAnsi="Arial" w:cs="Arial" w:eastAsia="Arial" w:hint="default"/>
          <w:sz w:val="4"/>
          <w:szCs w:val="4"/>
        </w:rPr>
      </w:pPr>
      <w:r>
        <w:rPr>
          <w:rFonts w:ascii="Arial" w:hAnsi="Arial" w:cs="Arial" w:eastAsia="Arial" w:hint="default"/>
          <w:position w:val="0"/>
          <w:sz w:val="4"/>
          <w:szCs w:val="4"/>
        </w:rPr>
        <w:pict>
          <v:group style="width:231.25pt;height:2.2pt;mso-position-horizontal-relative:char;mso-position-vertical-relative:line" coordorigin="0,0" coordsize="4625,44">
            <v:group style="position:absolute;left:7;top:36;width:2244;height:2" coordorigin="7,36" coordsize="2244,2">
              <v:shape style="position:absolute;left:7;top:36;width:2244;height:2" coordorigin="7,36" coordsize="2244,0" path="m7,36l2251,36e" filled="false" stroked="true" strokeweight=".72pt" strokecolor="#000000">
                <v:path arrowok="t"/>
              </v:shape>
            </v:group>
            <v:group style="position:absolute;left:7;top:7;width:2244;height:2" coordorigin="7,7" coordsize="2244,2">
              <v:shape style="position:absolute;left:7;top:7;width:2244;height:2" coordorigin="7,7" coordsize="2244,0" path="m7,7l2251,7e" filled="false" stroked="true" strokeweight=".72pt" strokecolor="#000000">
                <v:path arrowok="t"/>
              </v:shape>
            </v:group>
            <v:group style="position:absolute;left:2321;top:36;width:2297;height:2" coordorigin="2321,36" coordsize="2297,2">
              <v:shape style="position:absolute;left:2321;top:36;width:2297;height:2" coordorigin="2321,36" coordsize="2297,0" path="m2321,36l4618,36e" filled="false" stroked="true" strokeweight=".72pt" strokecolor="#000000">
                <v:path arrowok="t"/>
              </v:shape>
            </v:group>
            <v:group style="position:absolute;left:2321;top:7;width:2297;height:2" coordorigin="2321,7" coordsize="2297,2">
              <v:shape style="position:absolute;left:2321;top:7;width:2297;height:2" coordorigin="2321,7" coordsize="2297,0" path="m2321,7l4618,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2"/>
          <w:szCs w:val="12"/>
        </w:rPr>
      </w:pPr>
    </w:p>
    <w:p>
      <w:pPr>
        <w:pStyle w:val="BodyText"/>
        <w:spacing w:line="228" w:lineRule="auto" w:before="44"/>
        <w:ind w:left="1230" w:right="146" w:hanging="641"/>
        <w:jc w:val="both"/>
      </w:pPr>
      <w:r>
        <w:rPr/>
        <w:t>注</w:t>
      </w:r>
      <w:r>
        <w:rPr>
          <w:spacing w:val="-42"/>
        </w:rPr>
        <w:t> </w:t>
      </w:r>
      <w:r>
        <w:rPr>
          <w:rFonts w:ascii="Arial" w:hAnsi="Arial" w:cs="Arial" w:eastAsia="Arial" w:hint="default"/>
        </w:rPr>
        <w:t>1</w:t>
      </w:r>
      <w:r>
        <w:rPr/>
        <w:t>：于</w:t>
      </w:r>
      <w:r>
        <w:rPr>
          <w:spacing w:val="-42"/>
        </w:rPr>
        <w:t> </w:t>
      </w:r>
      <w:r>
        <w:rPr>
          <w:rFonts w:ascii="Arial" w:hAnsi="Arial" w:cs="Arial" w:eastAsia="Arial" w:hint="default"/>
        </w:rPr>
        <w:t>2008</w:t>
      </w:r>
      <w:r>
        <w:rPr>
          <w:rFonts w:ascii="Arial" w:hAnsi="Arial" w:cs="Arial" w:eastAsia="Arial" w:hint="default"/>
          <w:spacing w:val="8"/>
        </w:rPr>
        <w:t> </w:t>
      </w:r>
      <w:r>
        <w:rPr/>
        <w:t>年度，联通红筹公司向中国电信出售</w:t>
      </w:r>
      <w:r>
        <w:rPr>
          <w:spacing w:val="-42"/>
        </w:rPr>
        <w:t> </w:t>
      </w:r>
      <w:r>
        <w:rPr>
          <w:rFonts w:ascii="Arial" w:hAnsi="Arial" w:cs="Arial" w:eastAsia="Arial" w:hint="default"/>
        </w:rPr>
        <w:t>CDMA</w:t>
      </w:r>
      <w:r>
        <w:rPr>
          <w:rFonts w:ascii="Arial" w:hAnsi="Arial" w:cs="Arial" w:eastAsia="Arial" w:hint="default"/>
          <w:spacing w:val="7"/>
        </w:rPr>
        <w:t> </w:t>
      </w:r>
      <w:r>
        <w:rPr/>
        <w:t>业务。根据</w:t>
      </w:r>
      <w:r>
        <w:rPr>
          <w:spacing w:val="-42"/>
        </w:rPr>
        <w:t> </w:t>
      </w:r>
      <w:r>
        <w:rPr>
          <w:rFonts w:ascii="Arial" w:hAnsi="Arial" w:cs="Arial" w:eastAsia="Arial" w:hint="default"/>
        </w:rPr>
        <w:t>CDMA</w:t>
      </w:r>
      <w:r>
        <w:rPr>
          <w:rFonts w:ascii="Arial" w:hAnsi="Arial" w:cs="Arial" w:eastAsia="Arial" w:hint="default"/>
          <w:spacing w:val="8"/>
        </w:rPr>
        <w:t> </w:t>
      </w:r>
      <w:r>
        <w:rPr/>
        <w:t>出售协议，于</w:t>
      </w:r>
      <w:r>
        <w:rPr>
          <w:w w:val="99"/>
        </w:rPr>
        <w:t> </w:t>
      </w:r>
      <w:r>
        <w:rPr/>
        <w:t>过渡期内本集团需向中国电信提供若干支持服务以保证过渡期内 </w:t>
      </w:r>
      <w:r>
        <w:rPr>
          <w:rFonts w:ascii="Arial" w:hAnsi="Arial" w:cs="Arial" w:eastAsia="Arial" w:hint="default"/>
        </w:rPr>
        <w:t>CDMA</w:t>
      </w:r>
      <w:r>
        <w:rPr>
          <w:rFonts w:ascii="Arial" w:hAnsi="Arial" w:cs="Arial" w:eastAsia="Arial" w:hint="default"/>
          <w:spacing w:val="53"/>
        </w:rPr>
        <w:t> </w:t>
      </w:r>
      <w:r>
        <w:rPr/>
        <w:t>业务的正常运</w:t>
      </w:r>
      <w:r>
        <w:rPr>
          <w:spacing w:val="1"/>
          <w:w w:val="99"/>
        </w:rPr>
        <w:t> </w:t>
      </w:r>
      <w:r>
        <w:rPr/>
        <w:t>行，该服务包括使用若干区域的若干通讯设备、物业及信息技术服务。本集团基于相关</w:t>
      </w:r>
      <w:r>
        <w:rPr>
          <w:w w:val="99"/>
        </w:rPr>
        <w:t> </w:t>
      </w:r>
      <w:r>
        <w:rPr>
          <w:spacing w:val="-3"/>
          <w:w w:val="99"/>
        </w:rPr>
        <w:t>设备或物业的成本加利润率估计该项服务的价值。该服务估计价值即一部分</w:t>
      </w:r>
      <w:r>
        <w:rPr>
          <w:spacing w:val="-48"/>
          <w:w w:val="99"/>
        </w:rPr>
        <w:t> </w:t>
      </w:r>
      <w:r>
        <w:rPr>
          <w:rFonts w:ascii="Arial" w:hAnsi="Arial" w:cs="Arial" w:eastAsia="Arial" w:hint="default"/>
          <w:spacing w:val="-1"/>
          <w:w w:val="99"/>
        </w:rPr>
        <w:t>CDMA</w:t>
      </w:r>
      <w:r>
        <w:rPr>
          <w:rFonts w:ascii="Arial" w:hAnsi="Arial" w:cs="Arial" w:eastAsia="Arial" w:hint="default"/>
          <w:spacing w:val="2"/>
          <w:w w:val="99"/>
        </w:rPr>
        <w:t> </w:t>
      </w:r>
      <w:r>
        <w:rPr>
          <w:w w:val="99"/>
        </w:rPr>
        <w:t>业务 </w:t>
      </w:r>
      <w:r>
        <w:rPr/>
        <w:t>处置代价，已经予以递延并在预期服务期限内确认。</w:t>
      </w:r>
    </w:p>
    <w:p>
      <w:pPr>
        <w:spacing w:line="240" w:lineRule="auto" w:before="9"/>
        <w:rPr>
          <w:rFonts w:ascii="宋体" w:hAnsi="宋体" w:cs="宋体" w:eastAsia="宋体" w:hint="default"/>
          <w:sz w:val="15"/>
          <w:szCs w:val="15"/>
        </w:rPr>
      </w:pPr>
    </w:p>
    <w:p>
      <w:pPr>
        <w:pStyle w:val="BodyText"/>
        <w:spacing w:line="240" w:lineRule="auto"/>
        <w:ind w:left="590" w:right="0"/>
        <w:jc w:val="left"/>
      </w:pPr>
      <w:r>
        <w:rPr/>
        <w:t>注</w:t>
      </w:r>
      <w:r>
        <w:rPr>
          <w:spacing w:val="-57"/>
        </w:rPr>
        <w:t> </w:t>
      </w:r>
      <w:r>
        <w:rPr>
          <w:rFonts w:ascii="Arial" w:hAnsi="Arial" w:cs="Arial" w:eastAsia="Arial" w:hint="default"/>
        </w:rPr>
        <w:t>2</w:t>
      </w:r>
      <w:r>
        <w:rPr/>
        <w:t>：上述递延收益的流动部分已转入预收款项。</w:t>
      </w:r>
    </w:p>
    <w:p>
      <w:pPr>
        <w:spacing w:after="0" w:line="240" w:lineRule="auto"/>
        <w:jc w:val="left"/>
        <w:sectPr>
          <w:headerReference w:type="default" r:id="rId116"/>
          <w:pgSz w:w="11900" w:h="16840"/>
          <w:pgMar w:header="1189" w:footer="752" w:top="3040" w:bottom="940" w:left="1240" w:right="920"/>
        </w:sectPr>
      </w:pPr>
    </w:p>
    <w:p>
      <w:pPr>
        <w:spacing w:line="240" w:lineRule="auto" w:before="9"/>
        <w:rPr>
          <w:rFonts w:ascii="宋体" w:hAnsi="宋体" w:cs="宋体" w:eastAsia="宋体" w:hint="default"/>
          <w:sz w:val="16"/>
          <w:szCs w:val="16"/>
        </w:rPr>
      </w:pPr>
    </w:p>
    <w:p>
      <w:pPr>
        <w:pStyle w:val="BodyText"/>
        <w:spacing w:line="240" w:lineRule="auto" w:before="31"/>
        <w:ind w:left="142" w:right="0"/>
        <w:jc w:val="left"/>
      </w:pPr>
      <w:r>
        <w:rPr>
          <w:rFonts w:ascii="Arial" w:hAnsi="Arial" w:cs="Arial" w:eastAsia="Arial" w:hint="default"/>
        </w:rPr>
        <w:t>30</w:t>
      </w:r>
      <w:r>
        <w:rPr/>
        <w:t>、股本</w:t>
      </w:r>
    </w:p>
    <w:p>
      <w:pPr>
        <w:pStyle w:val="BodyText"/>
        <w:spacing w:line="240" w:lineRule="auto" w:before="189"/>
        <w:ind w:left="590" w:right="0"/>
        <w:jc w:val="left"/>
      </w:pPr>
      <w:r>
        <w:rPr>
          <w:rFonts w:ascii="Arial" w:hAnsi="Arial" w:cs="Arial" w:eastAsia="Arial" w:hint="default"/>
        </w:rPr>
        <w:t>2011</w:t>
      </w:r>
      <w:r>
        <w:rPr>
          <w:rFonts w:ascii="Arial" w:hAnsi="Arial" w:cs="Arial" w:eastAsia="Arial" w:hint="default"/>
          <w:spacing w:val="-9"/>
        </w:rPr>
        <w:t> </w:t>
      </w:r>
      <w:r>
        <w:rPr/>
        <w:t>年度，本公司股本变化情况列示如下：</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117"/>
          <w:pgSz w:w="11900" w:h="16840"/>
          <w:pgMar w:header="1189" w:footer="752" w:top="3040" w:bottom="940" w:left="1240" w:right="860"/>
        </w:sectPr>
      </w:pPr>
    </w:p>
    <w:p>
      <w:pPr>
        <w:pStyle w:val="BodyText"/>
        <w:spacing w:line="295" w:lineRule="exact" w:before="31"/>
        <w:ind w:left="4042" w:right="3095"/>
        <w:jc w:val="center"/>
      </w:pPr>
      <w:r>
        <w:rPr>
          <w:rFonts w:ascii="Arial" w:hAnsi="Arial" w:cs="Arial" w:eastAsia="Arial" w:hint="default"/>
        </w:rPr>
        <w:t>2010</w:t>
      </w:r>
      <w:r>
        <w:rPr>
          <w:rFonts w:ascii="Arial" w:hAnsi="Arial" w:cs="Arial" w:eastAsia="Arial" w:hint="default"/>
          <w:spacing w:val="-8"/>
        </w:rPr>
        <w:t> </w:t>
      </w:r>
      <w:r>
        <w:rPr/>
        <w:t>年</w:t>
      </w:r>
    </w:p>
    <w:p>
      <w:pPr>
        <w:pStyle w:val="BodyText"/>
        <w:tabs>
          <w:tab w:pos="5460" w:val="left" w:leader="none"/>
          <w:tab w:pos="7061" w:val="left" w:leader="none"/>
        </w:tabs>
        <w:spacing w:line="295" w:lineRule="exact"/>
        <w:ind w:left="3731" w:right="0"/>
        <w:jc w:val="left"/>
      </w:pP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w w:val="95"/>
        </w:rPr>
        <w:t>本年增加</w:t>
        <w:tab/>
        <w:t>本年减少</w:t>
      </w:r>
      <w:r>
        <w:rPr/>
      </w:r>
    </w:p>
    <w:p>
      <w:pPr>
        <w:pStyle w:val="BodyText"/>
        <w:spacing w:line="295" w:lineRule="exact" w:before="31"/>
        <w:ind w:left="833" w:right="0"/>
        <w:jc w:val="left"/>
      </w:pPr>
      <w:r>
        <w:rPr/>
        <w:br w:type="column"/>
      </w:r>
      <w:r>
        <w:rPr>
          <w:rFonts w:ascii="Arial" w:hAnsi="Arial" w:cs="Arial" w:eastAsia="Arial" w:hint="default"/>
        </w:rPr>
        <w:t>2011</w:t>
      </w:r>
      <w:r>
        <w:rPr>
          <w:rFonts w:ascii="Arial" w:hAnsi="Arial" w:cs="Arial" w:eastAsia="Arial" w:hint="default"/>
          <w:spacing w:val="-8"/>
        </w:rPr>
        <w:t> </w:t>
      </w:r>
      <w:r>
        <w:rPr/>
        <w:t>年</w:t>
      </w:r>
    </w:p>
    <w:p>
      <w:pPr>
        <w:pStyle w:val="BodyText"/>
        <w:spacing w:line="295" w:lineRule="exact"/>
        <w:ind w:left="503" w:right="0"/>
        <w:jc w:val="left"/>
      </w:pP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after="0" w:line="295" w:lineRule="exact"/>
        <w:jc w:val="left"/>
        <w:sectPr>
          <w:type w:val="continuous"/>
          <w:pgSz w:w="11900" w:h="16840"/>
          <w:pgMar w:top="1600" w:bottom="280" w:left="1240" w:right="860"/>
          <w:cols w:num="2" w:equalWidth="0">
            <w:col w:w="7940" w:space="40"/>
            <w:col w:w="1820"/>
          </w:cols>
        </w:sectPr>
      </w:pPr>
    </w:p>
    <w:p>
      <w:pPr>
        <w:spacing w:line="20" w:lineRule="exact"/>
        <w:ind w:left="3213" w:right="0" w:firstLine="0"/>
        <w:rPr>
          <w:rFonts w:ascii="宋体" w:hAnsi="宋体" w:cs="宋体" w:eastAsia="宋体" w:hint="default"/>
          <w:sz w:val="2"/>
          <w:szCs w:val="2"/>
        </w:rPr>
      </w:pPr>
      <w:r>
        <w:rPr>
          <w:rFonts w:ascii="宋体"/>
          <w:sz w:val="2"/>
        </w:rPr>
        <w:pict>
          <v:group style="width:82.5pt;height:.75pt;mso-position-horizontal-relative:char;mso-position-vertical-relative:line" coordorigin="0,0" coordsize="1650,15">
            <v:group style="position:absolute;left:7;top:7;width:1636;height:2" coordorigin="7,7" coordsize="1636,2">
              <v:shape style="position:absolute;left:7;top:7;width:1636;height:2" coordorigin="7,7" coordsize="1636,0" path="m7,7l1643,7e" filled="false" stroked="true" strokeweight=".72003pt" strokecolor="#000000">
                <v:path arrowok="t"/>
              </v:shape>
            </v:group>
          </v:group>
        </w:pict>
      </w:r>
      <w:r>
        <w:rPr>
          <w:rFonts w:ascii="宋体"/>
          <w:sz w:val="2"/>
        </w:rPr>
      </w:r>
      <w:r>
        <w:rPr>
          <w:rFonts w:ascii="Times New Roman"/>
          <w:spacing w:val="57"/>
          <w:sz w:val="2"/>
        </w:rPr>
        <w:t> </w:t>
      </w:r>
      <w:r>
        <w:rPr>
          <w:rFonts w:ascii="宋体"/>
          <w:spacing w:val="57"/>
          <w:sz w:val="2"/>
        </w:rPr>
        <w:pict>
          <v:group style="width:72.4pt;height:.75pt;mso-position-horizontal-relative:char;mso-position-vertical-relative:line" coordorigin="0,0" coordsize="1448,15">
            <v:group style="position:absolute;left:7;top:7;width:1433;height:2" coordorigin="7,7" coordsize="1433,2">
              <v:shape style="position:absolute;left:7;top:7;width:1433;height:2" coordorigin="7,7" coordsize="1433,0" path="m7,7l1440,7e" filled="false" stroked="true" strokeweight=".72003pt" strokecolor="#000000">
                <v:path arrowok="t"/>
              </v:shape>
            </v:group>
          </v:group>
        </w:pict>
      </w:r>
      <w:r>
        <w:rPr>
          <w:rFonts w:ascii="宋体"/>
          <w:spacing w:val="57"/>
          <w:sz w:val="2"/>
        </w:rPr>
      </w:r>
      <w:r>
        <w:rPr>
          <w:rFonts w:ascii="Times New Roman"/>
          <w:spacing w:val="56"/>
          <w:sz w:val="2"/>
        </w:rPr>
        <w:t> </w:t>
      </w:r>
      <w:r>
        <w:rPr>
          <w:rFonts w:ascii="宋体"/>
          <w:spacing w:val="56"/>
          <w:sz w:val="2"/>
        </w:rPr>
        <w:pict>
          <v:group style="width:77pt;height:.75pt;mso-position-horizontal-relative:char;mso-position-vertical-relative:line" coordorigin="0,0" coordsize="1540,15">
            <v:group style="position:absolute;left:7;top:7;width:1526;height:2" coordorigin="7,7" coordsize="1526,2">
              <v:shape style="position:absolute;left:7;top:7;width:1526;height:2" coordorigin="7,7" coordsize="1526,0" path="m7,7l1532,7e" filled="false" stroked="true" strokeweight=".72003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78.7pt;height:.75pt;mso-position-horizontal-relative:char;mso-position-vertical-relative:line" coordorigin="0,0" coordsize="1574,15">
            <v:group style="position:absolute;left:7;top:7;width:1559;height:2" coordorigin="7,7" coordsize="1559,2">
              <v:shape style="position:absolute;left:7;top:7;width:1559;height:2" coordorigin="7,7" coordsize="1559,0" path="m7,7l1566,7e" filled="false" stroked="true" strokeweight=".72003pt" strokecolor="#000000">
                <v:path arrowok="t"/>
              </v:shape>
            </v:group>
          </v:group>
        </w:pict>
      </w:r>
      <w:r>
        <w:rPr>
          <w:rFonts w:ascii="宋体"/>
          <w:spacing w:val="56"/>
          <w:sz w:val="2"/>
        </w:rPr>
      </w:r>
    </w:p>
    <w:p>
      <w:pPr>
        <w:spacing w:line="240" w:lineRule="auto" w:before="2"/>
        <w:rPr>
          <w:rFonts w:ascii="宋体" w:hAnsi="宋体" w:cs="宋体" w:eastAsia="宋体" w:hint="default"/>
          <w:sz w:val="15"/>
          <w:szCs w:val="15"/>
        </w:rPr>
      </w:pPr>
    </w:p>
    <w:p>
      <w:pPr>
        <w:pStyle w:val="BodyText"/>
        <w:tabs>
          <w:tab w:pos="3411" w:val="left" w:leader="none"/>
          <w:tab w:pos="6203" w:val="left" w:leader="none"/>
          <w:tab w:pos="7782" w:val="left" w:leader="none"/>
          <w:tab w:pos="8159" w:val="left" w:leader="none"/>
        </w:tabs>
        <w:spacing w:line="240" w:lineRule="auto" w:before="27"/>
        <w:ind w:left="620" w:right="0"/>
        <w:jc w:val="left"/>
        <w:rPr>
          <w:rFonts w:ascii="Arial" w:hAnsi="Arial" w:cs="Arial" w:eastAsia="Arial" w:hint="default"/>
        </w:rPr>
      </w:pPr>
      <w:r>
        <w:rPr>
          <w:w w:val="95"/>
          <w:position w:val="2"/>
        </w:rPr>
        <w:t>一、已流通公众股份</w:t>
        <w:tab/>
      </w:r>
      <w:r>
        <w:rPr>
          <w:rFonts w:ascii="Arial" w:hAnsi="Arial" w:cs="Arial" w:eastAsia="Arial" w:hint="default"/>
          <w:spacing w:val="-1"/>
        </w:rPr>
        <w:t>8,255,711,233</w:t>
        <w:tab/>
      </w:r>
      <w:r>
        <w:rPr>
          <w:rFonts w:ascii="Arial" w:hAnsi="Arial" w:cs="Arial" w:eastAsia="Arial" w:hint="default"/>
          <w:w w:val="95"/>
        </w:rPr>
        <w:t>-</w:t>
        <w:tab/>
        <w:t>-</w:t>
        <w:tab/>
      </w:r>
      <w:r>
        <w:rPr>
          <w:rFonts w:ascii="Arial" w:hAnsi="Arial" w:cs="Arial" w:eastAsia="Arial" w:hint="default"/>
          <w:spacing w:val="-1"/>
        </w:rPr>
        <w:t>8,255,711,233</w:t>
      </w:r>
    </w:p>
    <w:p>
      <w:pPr>
        <w:spacing w:line="240" w:lineRule="auto" w:before="11"/>
        <w:rPr>
          <w:rFonts w:ascii="Arial" w:hAnsi="Arial" w:cs="Arial" w:eastAsia="Arial" w:hint="default"/>
          <w:sz w:val="18"/>
          <w:szCs w:val="18"/>
        </w:rPr>
      </w:pPr>
    </w:p>
    <w:p>
      <w:pPr>
        <w:pStyle w:val="BodyText"/>
        <w:spacing w:line="285" w:lineRule="exact"/>
        <w:ind w:left="620" w:right="0"/>
        <w:jc w:val="left"/>
      </w:pPr>
      <w:r>
        <w:rPr>
          <w:spacing w:val="-6"/>
        </w:rPr>
        <w:t>二、无限售条件的可流通股</w:t>
      </w:r>
    </w:p>
    <w:p>
      <w:pPr>
        <w:pStyle w:val="BodyText"/>
        <w:tabs>
          <w:tab w:pos="3220" w:val="left" w:leader="none"/>
          <w:tab w:pos="6203" w:val="left" w:leader="none"/>
          <w:tab w:pos="7782" w:val="left" w:leader="none"/>
        </w:tabs>
        <w:spacing w:line="320" w:lineRule="exact"/>
        <w:ind w:left="1232" w:right="0"/>
        <w:jc w:val="left"/>
        <w:rPr>
          <w:rFonts w:ascii="Arial" w:hAnsi="Arial" w:cs="Arial" w:eastAsia="Arial" w:hint="default"/>
        </w:rPr>
      </w:pPr>
      <w:r>
        <w:rPr>
          <w:w w:val="95"/>
          <w:position w:val="2"/>
        </w:rPr>
        <w:t>份发起人之法人股</w:t>
        <w:tab/>
      </w:r>
      <w:r>
        <w:rPr>
          <w:rFonts w:ascii="Arial" w:hAnsi="Arial" w:cs="Arial" w:eastAsia="Arial" w:hint="default"/>
          <w:w w:val="95"/>
        </w:rPr>
      </w:r>
      <w:r>
        <w:rPr>
          <w:rFonts w:ascii="Arial" w:hAnsi="Arial" w:cs="Arial" w:eastAsia="Arial" w:hint="default"/>
          <w:w w:val="95"/>
          <w:u w:val="single" w:color="000000"/>
        </w:rPr>
        <w:t> </w:t>
      </w:r>
      <w:r>
        <w:rPr>
          <w:rFonts w:ascii="Arial" w:hAnsi="Arial" w:cs="Arial" w:eastAsia="Arial" w:hint="default"/>
          <w:spacing w:val="-1"/>
          <w:u w:val="single" w:color="000000"/>
        </w:rPr>
        <w:t>12,940,885,162</w:t>
      </w:r>
      <w:r>
        <w:rPr>
          <w:rFonts w:ascii="Arial" w:hAnsi="Arial" w:cs="Arial" w:eastAsia="Arial" w:hint="default"/>
          <w:spacing w:val="-1"/>
        </w:rPr>
      </w:r>
      <w:r>
        <w:rPr>
          <w:rFonts w:ascii="Arial" w:hAnsi="Arial" w:cs="Arial" w:eastAsia="Arial" w:hint="default"/>
          <w:spacing w:val="-1"/>
          <w:u w:val="single" w:color="000000"/>
        </w:rPr>
        <w:t> </w:t>
        <w:tab/>
      </w:r>
      <w:r>
        <w:rPr>
          <w:rFonts w:ascii="Arial" w:hAnsi="Arial" w:cs="Arial" w:eastAsia="Arial" w:hint="default"/>
          <w:w w:val="95"/>
          <w:u w:val="single" w:color="000000"/>
        </w:rPr>
        <w:t>-</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  </w:t>
      </w:r>
      <w:r>
        <w:rPr>
          <w:rFonts w:ascii="Arial" w:hAnsi="Arial" w:cs="Arial" w:eastAsia="Arial" w:hint="default"/>
          <w:spacing w:val="22"/>
          <w:u w:val="single" w:color="000000"/>
        </w:rPr>
        <w:t> </w:t>
      </w:r>
      <w:r>
        <w:rPr>
          <w:rFonts w:ascii="Arial" w:hAnsi="Arial" w:cs="Arial" w:eastAsia="Arial" w:hint="default"/>
          <w:spacing w:val="22"/>
        </w:rPr>
      </w:r>
      <w:r>
        <w:rPr>
          <w:rFonts w:ascii="Arial" w:hAnsi="Arial" w:cs="Arial" w:eastAsia="Arial" w:hint="default"/>
          <w:spacing w:val="-1"/>
          <w:u w:val="single" w:color="000000"/>
        </w:rPr>
        <w:t>12,940,885,162</w:t>
      </w:r>
      <w:r>
        <w:rPr>
          <w:rFonts w:ascii="Arial" w:hAnsi="Arial" w:cs="Arial" w:eastAsia="Arial" w:hint="default"/>
          <w:spacing w:val="-1"/>
        </w:rPr>
      </w:r>
    </w:p>
    <w:p>
      <w:pPr>
        <w:spacing w:line="240" w:lineRule="auto" w:before="7"/>
        <w:rPr>
          <w:rFonts w:ascii="Arial" w:hAnsi="Arial" w:cs="Arial" w:eastAsia="Arial" w:hint="default"/>
          <w:sz w:val="17"/>
          <w:szCs w:val="17"/>
        </w:rPr>
      </w:pPr>
    </w:p>
    <w:p>
      <w:pPr>
        <w:pStyle w:val="BodyText"/>
        <w:tabs>
          <w:tab w:pos="3288" w:val="left" w:leader="none"/>
          <w:tab w:pos="6203" w:val="left" w:leader="none"/>
          <w:tab w:pos="7782" w:val="left" w:leader="none"/>
        </w:tabs>
        <w:spacing w:line="240" w:lineRule="auto" w:before="27"/>
        <w:ind w:left="620" w:right="0"/>
        <w:jc w:val="left"/>
        <w:rPr>
          <w:rFonts w:ascii="Arial" w:hAnsi="Arial" w:cs="Arial" w:eastAsia="Arial" w:hint="default"/>
        </w:rPr>
      </w:pPr>
      <w:r>
        <w:rPr>
          <w:w w:val="95"/>
          <w:position w:val="2"/>
        </w:rPr>
        <w:t>股本合计</w:t>
        <w:tab/>
      </w:r>
      <w:r>
        <w:rPr>
          <w:rFonts w:ascii="Arial" w:hAnsi="Arial" w:cs="Arial" w:eastAsia="Arial" w:hint="default"/>
          <w:spacing w:val="-1"/>
        </w:rPr>
        <w:t>21,196,596,395</w:t>
        <w:tab/>
      </w:r>
      <w:r>
        <w:rPr>
          <w:rFonts w:ascii="Arial" w:hAnsi="Arial" w:cs="Arial" w:eastAsia="Arial" w:hint="default"/>
          <w:w w:val="95"/>
        </w:rPr>
        <w:t>-</w:t>
        <w:tab/>
      </w:r>
      <w:r>
        <w:rPr>
          <w:rFonts w:ascii="Arial" w:hAnsi="Arial" w:cs="Arial" w:eastAsia="Arial" w:hint="default"/>
        </w:rPr>
        <w:t>-  </w:t>
      </w:r>
      <w:r>
        <w:rPr>
          <w:rFonts w:ascii="Arial" w:hAnsi="Arial" w:cs="Arial" w:eastAsia="Arial" w:hint="default"/>
          <w:spacing w:val="22"/>
        </w:rPr>
        <w:t> </w:t>
      </w:r>
      <w:r>
        <w:rPr>
          <w:rFonts w:ascii="Arial" w:hAnsi="Arial" w:cs="Arial" w:eastAsia="Arial" w:hint="default"/>
          <w:spacing w:val="-1"/>
        </w:rPr>
        <w:t>21,196,596,395</w:t>
      </w:r>
    </w:p>
    <w:p>
      <w:pPr>
        <w:spacing w:line="43" w:lineRule="exact"/>
        <w:ind w:left="3198" w:right="0" w:firstLine="0"/>
        <w:rPr>
          <w:rFonts w:ascii="Arial" w:hAnsi="Arial" w:cs="Arial" w:eastAsia="Arial" w:hint="default"/>
          <w:sz w:val="4"/>
          <w:szCs w:val="4"/>
        </w:rPr>
      </w:pPr>
      <w:r>
        <w:rPr>
          <w:rFonts w:ascii="Arial" w:hAnsi="Arial" w:cs="Arial" w:eastAsia="Arial" w:hint="default"/>
          <w:position w:val="0"/>
          <w:sz w:val="4"/>
          <w:szCs w:val="4"/>
        </w:rPr>
        <w:pict>
          <v:group style="width:320.95pt;height:2.2pt;mso-position-horizontal-relative:char;mso-position-vertical-relative:line" coordorigin="0,0" coordsize="6419,44">
            <v:group style="position:absolute;left:7;top:36;width:1650;height:2" coordorigin="7,36" coordsize="1650,2">
              <v:shape style="position:absolute;left:7;top:36;width:1650;height:2" coordorigin="7,36" coordsize="1650,0" path="m7,36l1657,36e" filled="false" stroked="true" strokeweight=".72003pt" strokecolor="#000000">
                <v:path arrowok="t"/>
              </v:shape>
            </v:group>
            <v:group style="position:absolute;left:7;top:7;width:1650;height:2" coordorigin="7,7" coordsize="1650,2">
              <v:shape style="position:absolute;left:7;top:7;width:1650;height:2" coordorigin="7,7" coordsize="1650,0" path="m7,7l1657,7e" filled="false" stroked="true" strokeweight=".72003pt" strokecolor="#000000">
                <v:path arrowok="t"/>
              </v:shape>
            </v:group>
            <v:group style="position:absolute;left:1722;top:36;width:1448;height:2" coordorigin="1722,36" coordsize="1448,2">
              <v:shape style="position:absolute;left:1722;top:36;width:1448;height:2" coordorigin="1722,36" coordsize="1448,0" path="m1722,36l3169,36e" filled="false" stroked="true" strokeweight=".72003pt" strokecolor="#000000">
                <v:path arrowok="t"/>
              </v:shape>
            </v:group>
            <v:group style="position:absolute;left:1722;top:7;width:1448;height:2" coordorigin="1722,7" coordsize="1448,2">
              <v:shape style="position:absolute;left:1722;top:7;width:1448;height:2" coordorigin="1722,7" coordsize="1448,0" path="m1722,7l3169,7e" filled="false" stroked="true" strokeweight=".72003pt" strokecolor="#000000">
                <v:path arrowok="t"/>
              </v:shape>
            </v:group>
            <v:group style="position:absolute;left:3234;top:36;width:1540;height:2" coordorigin="3234,36" coordsize="1540,2">
              <v:shape style="position:absolute;left:3234;top:36;width:1540;height:2" coordorigin="3234,36" coordsize="1540,0" path="m3234,36l4774,36e" filled="false" stroked="true" strokeweight=".72003pt" strokecolor="#000000">
                <v:path arrowok="t"/>
              </v:shape>
            </v:group>
            <v:group style="position:absolute;left:3234;top:7;width:1540;height:2" coordorigin="3234,7" coordsize="1540,2">
              <v:shape style="position:absolute;left:3234;top:7;width:1540;height:2" coordorigin="3234,7" coordsize="1540,0" path="m3234,7l4774,7e" filled="false" stroked="true" strokeweight=".72003pt" strokecolor="#000000">
                <v:path arrowok="t"/>
              </v:shape>
            </v:group>
            <v:group style="position:absolute;left:4838;top:36;width:1574;height:2" coordorigin="4838,36" coordsize="1574,2">
              <v:shape style="position:absolute;left:4838;top:36;width:1574;height:2" coordorigin="4838,36" coordsize="1574,0" path="m4838,36l6412,36e" filled="false" stroked="true" strokeweight=".72003pt" strokecolor="#000000">
                <v:path arrowok="t"/>
              </v:shape>
            </v:group>
            <v:group style="position:absolute;left:4838;top:7;width:1574;height:2" coordorigin="4838,7" coordsize="1574,2">
              <v:shape style="position:absolute;left:4838;top:7;width:1574;height:2" coordorigin="4838,7" coordsize="1574,0" path="m4838,7l6412,7e" filled="false" stroked="true" strokeweight=".72003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2"/>
          <w:szCs w:val="12"/>
        </w:rPr>
      </w:pPr>
    </w:p>
    <w:p>
      <w:pPr>
        <w:pStyle w:val="BodyText"/>
        <w:spacing w:line="240" w:lineRule="auto" w:before="31"/>
        <w:ind w:left="592" w:right="0"/>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日，本公司股东投入的股本及比例列示如下：</w:t>
      </w:r>
    </w:p>
    <w:p>
      <w:pPr>
        <w:spacing w:line="240" w:lineRule="auto" w:before="13"/>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195"/>
        <w:gridCol w:w="110"/>
        <w:gridCol w:w="2918"/>
        <w:gridCol w:w="110"/>
        <w:gridCol w:w="1507"/>
        <w:gridCol w:w="1735"/>
      </w:tblGrid>
      <w:tr>
        <w:trPr>
          <w:trHeight w:val="361" w:hRule="exact"/>
        </w:trPr>
        <w:tc>
          <w:tcPr>
            <w:tcW w:w="319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1508" w:right="0"/>
              <w:jc w:val="left"/>
              <w:rPr>
                <w:rFonts w:ascii="宋体" w:hAnsi="宋体" w:cs="宋体" w:eastAsia="宋体" w:hint="default"/>
                <w:sz w:val="22"/>
                <w:szCs w:val="22"/>
              </w:rPr>
            </w:pPr>
            <w:r>
              <w:rPr>
                <w:rFonts w:ascii="宋体" w:hAnsi="宋体" w:cs="宋体" w:eastAsia="宋体" w:hint="default"/>
                <w:sz w:val="22"/>
                <w:szCs w:val="22"/>
              </w:rPr>
              <w:t>投资方</w:t>
            </w:r>
          </w:p>
        </w:tc>
        <w:tc>
          <w:tcPr>
            <w:tcW w:w="110"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single" w:sz="6" w:space="0" w:color="000000"/>
              <w:right w:val="nil" w:sz="6" w:space="0" w:color="auto"/>
            </w:tcBorders>
          </w:tcPr>
          <w:p>
            <w:pPr>
              <w:pStyle w:val="TableParagraph"/>
              <w:tabs>
                <w:tab w:pos="1519" w:val="left" w:leader="none"/>
              </w:tabs>
              <w:spacing w:line="240" w:lineRule="auto" w:before="31"/>
              <w:ind w:left="60" w:right="0"/>
              <w:jc w:val="left"/>
              <w:rPr>
                <w:rFonts w:ascii="宋体" w:hAnsi="宋体" w:cs="宋体" w:eastAsia="宋体" w:hint="default"/>
                <w:sz w:val="22"/>
                <w:szCs w:val="22"/>
              </w:rPr>
            </w:pPr>
            <w:r>
              <w:rPr>
                <w:rFonts w:ascii="宋体" w:hAnsi="宋体" w:cs="宋体" w:eastAsia="宋体" w:hint="default"/>
                <w:w w:val="95"/>
                <w:sz w:val="22"/>
                <w:szCs w:val="22"/>
              </w:rPr>
              <w:t>注册地</w:t>
              <w:tab/>
            </w:r>
            <w:r>
              <w:rPr>
                <w:rFonts w:ascii="宋体" w:hAnsi="宋体" w:cs="宋体" w:eastAsia="宋体" w:hint="default"/>
                <w:sz w:val="22"/>
                <w:szCs w:val="22"/>
              </w:rPr>
              <w:t>实缴股本</w:t>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12" w:right="0"/>
              <w:jc w:val="left"/>
              <w:rPr>
                <w:rFonts w:ascii="宋体" w:hAnsi="宋体" w:cs="宋体" w:eastAsia="宋体" w:hint="default"/>
                <w:sz w:val="22"/>
                <w:szCs w:val="22"/>
              </w:rPr>
            </w:pPr>
            <w:r>
              <w:rPr>
                <w:rFonts w:ascii="宋体" w:hAnsi="宋体" w:cs="宋体" w:eastAsia="宋体" w:hint="default"/>
                <w:sz w:val="22"/>
                <w:szCs w:val="22"/>
              </w:rPr>
              <w:t>出资方式</w:t>
            </w:r>
          </w:p>
        </w:tc>
        <w:tc>
          <w:tcPr>
            <w:tcW w:w="173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82" w:right="0"/>
              <w:jc w:val="left"/>
              <w:rPr>
                <w:rFonts w:ascii="Arial" w:hAnsi="Arial" w:cs="Arial" w:eastAsia="Arial" w:hint="default"/>
                <w:sz w:val="22"/>
                <w:szCs w:val="22"/>
              </w:rPr>
            </w:pPr>
            <w:r>
              <w:rPr>
                <w:rFonts w:ascii="宋体" w:hAnsi="宋体" w:cs="宋体" w:eastAsia="宋体" w:hint="default"/>
                <w:sz w:val="22"/>
                <w:szCs w:val="22"/>
              </w:rPr>
              <w:t>权益比例</w:t>
            </w:r>
            <w:r>
              <w:rPr>
                <w:rFonts w:ascii="Arial" w:hAnsi="Arial" w:cs="Arial" w:eastAsia="Arial" w:hint="default"/>
                <w:sz w:val="22"/>
                <w:szCs w:val="22"/>
              </w:rPr>
              <w:t>(%)</w:t>
            </w:r>
          </w:p>
        </w:tc>
      </w:tr>
      <w:tr>
        <w:trPr>
          <w:trHeight w:val="558" w:hRule="exact"/>
        </w:trPr>
        <w:tc>
          <w:tcPr>
            <w:tcW w:w="319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06"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110" w:type="dxa"/>
            <w:tcBorders>
              <w:top w:val="nil" w:sz="6" w:space="0" w:color="auto"/>
              <w:left w:val="nil" w:sz="6" w:space="0" w:color="auto"/>
              <w:bottom w:val="nil" w:sz="6" w:space="0" w:color="auto"/>
              <w:right w:val="nil" w:sz="6" w:space="0" w:color="auto"/>
            </w:tcBorders>
          </w:tcPr>
          <w:p>
            <w:pPr/>
          </w:p>
        </w:tc>
        <w:tc>
          <w:tcPr>
            <w:tcW w:w="2918" w:type="dxa"/>
            <w:tcBorders>
              <w:top w:val="single" w:sz="6" w:space="0" w:color="000000"/>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43.95pt;height:.75pt;mso-position-horizontal-relative:char;mso-position-vertical-relative:line" coordorigin="0,0" coordsize="879,15">
                  <v:group style="position:absolute;left:7;top:7;width:864;height:2" coordorigin="7,7" coordsize="864,2">
                    <v:shape style="position:absolute;left:7;top:7;width:864;height:2" coordorigin="7,7" coordsize="864,0" path="m7,7l871,7e" filled="false" stroked="true" strokeweight=".72pt" strokecolor="#000000">
                      <v:path arrowok="t"/>
                    </v:shape>
                  </v:group>
                </v:group>
              </w:pict>
            </w:r>
            <w:r>
              <w:rPr>
                <w:rFonts w:ascii="宋体" w:hAnsi="宋体" w:cs="宋体" w:eastAsia="宋体" w:hint="default"/>
                <w:sz w:val="2"/>
                <w:szCs w:val="2"/>
              </w:rPr>
            </w:r>
          </w:p>
          <w:p>
            <w:pPr>
              <w:pStyle w:val="TableParagraph"/>
              <w:tabs>
                <w:tab w:pos="1317" w:val="left" w:leader="none"/>
              </w:tabs>
              <w:spacing w:line="240" w:lineRule="auto" w:before="207"/>
              <w:ind w:left="211" w:right="0"/>
              <w:jc w:val="left"/>
              <w:rPr>
                <w:rFonts w:ascii="Arial" w:hAnsi="Arial" w:cs="Arial" w:eastAsia="Arial" w:hint="default"/>
                <w:sz w:val="22"/>
                <w:szCs w:val="22"/>
              </w:rPr>
            </w:pPr>
            <w:r>
              <w:rPr>
                <w:rFonts w:ascii="宋体" w:hAnsi="宋体" w:cs="宋体" w:eastAsia="宋体" w:hint="default"/>
                <w:w w:val="95"/>
                <w:position w:val="2"/>
                <w:sz w:val="22"/>
                <w:szCs w:val="22"/>
              </w:rPr>
              <w:t>北京</w:t>
              <w:tab/>
            </w:r>
            <w:r>
              <w:rPr>
                <w:rFonts w:ascii="Arial" w:hAnsi="Arial" w:cs="Arial" w:eastAsia="Arial" w:hint="default"/>
                <w:sz w:val="22"/>
                <w:szCs w:val="22"/>
              </w:rPr>
              <w:t>12,939,746,152</w:t>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13"/>
              <w:jc w:val="right"/>
              <w:rPr>
                <w:rFonts w:ascii="宋体" w:hAnsi="宋体" w:cs="宋体" w:eastAsia="宋体" w:hint="default"/>
                <w:sz w:val="22"/>
                <w:szCs w:val="22"/>
              </w:rPr>
            </w:pPr>
            <w:r>
              <w:rPr>
                <w:rFonts w:ascii="宋体" w:hAnsi="宋体" w:cs="宋体" w:eastAsia="宋体" w:hint="default"/>
                <w:w w:val="95"/>
                <w:sz w:val="22"/>
                <w:szCs w:val="22"/>
              </w:rPr>
              <w:t>股权及现金</w:t>
            </w:r>
            <w:r>
              <w:rPr>
                <w:rFonts w:ascii="宋体" w:hAnsi="宋体" w:cs="宋体" w:eastAsia="宋体" w:hint="default"/>
                <w:sz w:val="22"/>
                <w:szCs w:val="22"/>
              </w:rPr>
            </w:r>
          </w:p>
        </w:tc>
        <w:tc>
          <w:tcPr>
            <w:tcW w:w="173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9"/>
              <w:jc w:val="right"/>
              <w:rPr>
                <w:rFonts w:ascii="Arial" w:hAnsi="Arial" w:cs="Arial" w:eastAsia="Arial" w:hint="default"/>
                <w:sz w:val="22"/>
                <w:szCs w:val="22"/>
              </w:rPr>
            </w:pPr>
            <w:r>
              <w:rPr>
                <w:rFonts w:ascii="Arial"/>
                <w:w w:val="95"/>
                <w:sz w:val="22"/>
              </w:rPr>
              <w:t>61.0463</w:t>
            </w:r>
            <w:r>
              <w:rPr>
                <w:rFonts w:ascii="Arial"/>
                <w:sz w:val="22"/>
              </w:rPr>
            </w:r>
          </w:p>
        </w:tc>
      </w:tr>
      <w:tr>
        <w:trPr>
          <w:trHeight w:val="28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39" w:lineRule="exact"/>
              <w:ind w:left="506" w:right="0"/>
              <w:jc w:val="left"/>
              <w:rPr>
                <w:rFonts w:ascii="宋体" w:hAnsi="宋体" w:cs="宋体" w:eastAsia="宋体" w:hint="default"/>
                <w:sz w:val="22"/>
                <w:szCs w:val="22"/>
              </w:rPr>
            </w:pPr>
            <w:r>
              <w:rPr>
                <w:rFonts w:ascii="宋体" w:hAnsi="宋体" w:cs="宋体" w:eastAsia="宋体" w:hint="default"/>
                <w:sz w:val="22"/>
                <w:szCs w:val="22"/>
              </w:rPr>
              <w:t>北京联通兴业科贸有限公司</w:t>
            </w:r>
          </w:p>
        </w:tc>
        <w:tc>
          <w:tcPr>
            <w:tcW w:w="110"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Style w:val="TableParagraph"/>
              <w:tabs>
                <w:tab w:pos="2050" w:val="left" w:leader="none"/>
              </w:tabs>
              <w:spacing w:line="271" w:lineRule="exact"/>
              <w:ind w:left="211" w:right="0"/>
              <w:jc w:val="left"/>
              <w:rPr>
                <w:rFonts w:ascii="Arial" w:hAnsi="Arial" w:cs="Arial" w:eastAsia="Arial" w:hint="default"/>
                <w:sz w:val="22"/>
                <w:szCs w:val="22"/>
              </w:rPr>
            </w:pPr>
            <w:r>
              <w:rPr>
                <w:rFonts w:ascii="宋体" w:hAnsi="宋体" w:cs="宋体" w:eastAsia="宋体" w:hint="default"/>
                <w:w w:val="95"/>
                <w:position w:val="2"/>
                <w:sz w:val="22"/>
                <w:szCs w:val="22"/>
              </w:rPr>
              <w:t>北京</w:t>
              <w:tab/>
            </w:r>
            <w:r>
              <w:rPr>
                <w:rFonts w:ascii="Arial" w:hAnsi="Arial" w:cs="Arial" w:eastAsia="Arial" w:hint="default"/>
                <w:sz w:val="22"/>
                <w:szCs w:val="22"/>
              </w:rPr>
              <w:t>569,505</w:t>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39" w:lineRule="exact"/>
              <w:ind w:right="113"/>
              <w:jc w:val="right"/>
              <w:rPr>
                <w:rFonts w:ascii="宋体" w:hAnsi="宋体" w:cs="宋体" w:eastAsia="宋体" w:hint="default"/>
                <w:sz w:val="22"/>
                <w:szCs w:val="22"/>
              </w:rPr>
            </w:pPr>
            <w:r>
              <w:rPr>
                <w:rFonts w:ascii="宋体" w:hAnsi="宋体" w:cs="宋体" w:eastAsia="宋体" w:hint="default"/>
                <w:w w:val="95"/>
                <w:sz w:val="22"/>
                <w:szCs w:val="22"/>
              </w:rPr>
              <w:t>现金</w:t>
            </w:r>
            <w:r>
              <w:rPr>
                <w:rFonts w:ascii="宋体" w:hAnsi="宋体" w:cs="宋体" w:eastAsia="宋体" w:hint="default"/>
                <w:sz w:val="22"/>
                <w:szCs w:val="22"/>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Arial" w:hAnsi="Arial" w:cs="Arial" w:eastAsia="Arial" w:hint="default"/>
                <w:sz w:val="22"/>
                <w:szCs w:val="22"/>
              </w:rPr>
            </w:pPr>
            <w:r>
              <w:rPr>
                <w:rFonts w:ascii="Arial"/>
                <w:w w:val="95"/>
                <w:sz w:val="22"/>
              </w:rPr>
              <w:t>0.0027</w:t>
            </w:r>
            <w:r>
              <w:rPr>
                <w:rFonts w:ascii="Arial"/>
                <w:sz w:val="22"/>
              </w:rPr>
            </w:r>
          </w:p>
        </w:tc>
      </w:tr>
      <w:tr>
        <w:trPr>
          <w:trHeight w:val="28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39" w:lineRule="exact"/>
              <w:ind w:left="506" w:right="0"/>
              <w:jc w:val="left"/>
              <w:rPr>
                <w:rFonts w:ascii="宋体" w:hAnsi="宋体" w:cs="宋体" w:eastAsia="宋体" w:hint="default"/>
                <w:sz w:val="22"/>
                <w:szCs w:val="22"/>
              </w:rPr>
            </w:pPr>
            <w:r>
              <w:rPr>
                <w:rFonts w:ascii="宋体" w:hAnsi="宋体" w:cs="宋体" w:eastAsia="宋体" w:hint="default"/>
                <w:sz w:val="22"/>
                <w:szCs w:val="22"/>
              </w:rPr>
              <w:t>联通进出口有限公司</w:t>
            </w:r>
          </w:p>
        </w:tc>
        <w:tc>
          <w:tcPr>
            <w:tcW w:w="110"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Style w:val="TableParagraph"/>
              <w:tabs>
                <w:tab w:pos="2050" w:val="left" w:leader="none"/>
              </w:tabs>
              <w:spacing w:line="271" w:lineRule="exact"/>
              <w:ind w:left="211" w:right="0"/>
              <w:jc w:val="left"/>
              <w:rPr>
                <w:rFonts w:ascii="Arial" w:hAnsi="Arial" w:cs="Arial" w:eastAsia="Arial" w:hint="default"/>
                <w:sz w:val="22"/>
                <w:szCs w:val="22"/>
              </w:rPr>
            </w:pPr>
            <w:r>
              <w:rPr>
                <w:rFonts w:ascii="宋体" w:hAnsi="宋体" w:cs="宋体" w:eastAsia="宋体" w:hint="default"/>
                <w:w w:val="95"/>
                <w:position w:val="2"/>
                <w:sz w:val="22"/>
                <w:szCs w:val="22"/>
              </w:rPr>
              <w:t>北京</w:t>
              <w:tab/>
            </w:r>
            <w:r>
              <w:rPr>
                <w:rFonts w:ascii="Arial" w:hAnsi="Arial" w:cs="Arial" w:eastAsia="Arial" w:hint="default"/>
                <w:sz w:val="22"/>
                <w:szCs w:val="22"/>
              </w:rPr>
              <w:t>569,505</w:t>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39" w:lineRule="exact"/>
              <w:ind w:right="113"/>
              <w:jc w:val="right"/>
              <w:rPr>
                <w:rFonts w:ascii="宋体" w:hAnsi="宋体" w:cs="宋体" w:eastAsia="宋体" w:hint="default"/>
                <w:sz w:val="22"/>
                <w:szCs w:val="22"/>
              </w:rPr>
            </w:pPr>
            <w:r>
              <w:rPr>
                <w:rFonts w:ascii="宋体" w:hAnsi="宋体" w:cs="宋体" w:eastAsia="宋体" w:hint="default"/>
                <w:w w:val="95"/>
                <w:sz w:val="22"/>
                <w:szCs w:val="22"/>
              </w:rPr>
              <w:t>现金</w:t>
            </w:r>
            <w:r>
              <w:rPr>
                <w:rFonts w:ascii="宋体" w:hAnsi="宋体" w:cs="宋体" w:eastAsia="宋体" w:hint="default"/>
                <w:sz w:val="22"/>
                <w:szCs w:val="22"/>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Arial" w:hAnsi="Arial" w:cs="Arial" w:eastAsia="Arial" w:hint="default"/>
                <w:sz w:val="22"/>
                <w:szCs w:val="22"/>
              </w:rPr>
            </w:pPr>
            <w:r>
              <w:rPr>
                <w:rFonts w:ascii="Arial"/>
                <w:w w:val="95"/>
                <w:sz w:val="22"/>
              </w:rPr>
              <w:t>0.0027</w:t>
            </w:r>
            <w:r>
              <w:rPr>
                <w:rFonts w:ascii="Arial"/>
                <w:sz w:val="22"/>
              </w:rPr>
            </w:r>
          </w:p>
        </w:tc>
      </w:tr>
      <w:tr>
        <w:trPr>
          <w:trHeight w:val="419"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39" w:lineRule="exact"/>
              <w:ind w:left="506" w:right="0"/>
              <w:jc w:val="left"/>
              <w:rPr>
                <w:rFonts w:ascii="宋体" w:hAnsi="宋体" w:cs="宋体" w:eastAsia="宋体" w:hint="default"/>
                <w:sz w:val="22"/>
                <w:szCs w:val="22"/>
              </w:rPr>
            </w:pPr>
            <w:r>
              <w:rPr>
                <w:rFonts w:ascii="宋体" w:hAnsi="宋体" w:cs="宋体" w:eastAsia="宋体" w:hint="default"/>
                <w:sz w:val="22"/>
                <w:szCs w:val="22"/>
              </w:rPr>
              <w:t>普通股－公众股</w:t>
            </w:r>
          </w:p>
        </w:tc>
        <w:tc>
          <w:tcPr>
            <w:tcW w:w="110"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Style w:val="TableParagraph"/>
              <w:tabs>
                <w:tab w:pos="607" w:val="left" w:leader="none"/>
                <w:tab w:pos="1045" w:val="left" w:leader="none"/>
                <w:tab w:pos="2523" w:val="left" w:leader="none"/>
              </w:tabs>
              <w:spacing w:line="240" w:lineRule="auto" w:before="16"/>
              <w:ind w:right="0"/>
              <w:jc w:val="right"/>
              <w:rPr>
                <w:rFonts w:ascii="Arial" w:hAnsi="Arial" w:cs="Arial" w:eastAsia="Arial" w:hint="default"/>
                <w:sz w:val="22"/>
                <w:szCs w:val="22"/>
              </w:rPr>
            </w:pPr>
            <w:r>
              <w:rPr>
                <w:rFonts w:ascii="Arial"/>
                <w:w w:val="95"/>
                <w:sz w:val="22"/>
              </w:rPr>
              <w:t>-</w:t>
              <w:tab/>
            </w:r>
            <w:r>
              <w:rPr>
                <w:rFonts w:ascii="Arial"/>
                <w:w w:val="95"/>
                <w:sz w:val="22"/>
                <w:u w:val="single" w:color="000000"/>
              </w:rPr>
              <w:t> </w:t>
              <w:tab/>
            </w:r>
            <w:r>
              <w:rPr>
                <w:rFonts w:ascii="Arial"/>
                <w:spacing w:val="-1"/>
                <w:sz w:val="22"/>
                <w:u w:val="single" w:color="000000"/>
              </w:rPr>
              <w:t>8,255,711,233</w:t>
              <w:tab/>
            </w:r>
            <w:r>
              <w:rPr>
                <w:rFonts w:ascii="Arial"/>
                <w:spacing w:val="-1"/>
                <w:sz w:val="22"/>
              </w:rPr>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39" w:lineRule="exact"/>
              <w:ind w:right="113"/>
              <w:jc w:val="right"/>
              <w:rPr>
                <w:rFonts w:ascii="宋体" w:hAnsi="宋体" w:cs="宋体" w:eastAsia="宋体" w:hint="default"/>
                <w:sz w:val="22"/>
                <w:szCs w:val="22"/>
              </w:rPr>
            </w:pPr>
            <w:r>
              <w:rPr>
                <w:rFonts w:ascii="宋体" w:hAnsi="宋体" w:cs="宋体" w:eastAsia="宋体" w:hint="default"/>
                <w:w w:val="95"/>
                <w:sz w:val="22"/>
                <w:szCs w:val="22"/>
              </w:rPr>
              <w:t>现金</w:t>
            </w:r>
            <w:r>
              <w:rPr>
                <w:rFonts w:ascii="宋体" w:hAnsi="宋体" w:cs="宋体" w:eastAsia="宋体" w:hint="default"/>
                <w:sz w:val="22"/>
                <w:szCs w:val="22"/>
              </w:rPr>
            </w:r>
          </w:p>
        </w:tc>
        <w:tc>
          <w:tcPr>
            <w:tcW w:w="1735" w:type="dxa"/>
            <w:tcBorders>
              <w:top w:val="nil" w:sz="6" w:space="0" w:color="auto"/>
              <w:left w:val="nil" w:sz="6" w:space="0" w:color="auto"/>
              <w:bottom w:val="nil" w:sz="6" w:space="0" w:color="auto"/>
              <w:right w:val="nil" w:sz="6" w:space="0" w:color="auto"/>
            </w:tcBorders>
          </w:tcPr>
          <w:p>
            <w:pPr>
              <w:pStyle w:val="TableParagraph"/>
              <w:tabs>
                <w:tab w:pos="728" w:val="left" w:leader="none"/>
                <w:tab w:pos="1619" w:val="left" w:leader="none"/>
              </w:tabs>
              <w:spacing w:line="240" w:lineRule="auto" w:before="16"/>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38.9483</w:t>
            </w:r>
            <w:r>
              <w:rPr>
                <w:rFonts w:ascii="Arial"/>
                <w:sz w:val="22"/>
                <w:u w:val="single" w:color="000000"/>
              </w:rPr>
              <w:tab/>
            </w:r>
            <w:r>
              <w:rPr>
                <w:rFonts w:ascii="Arial"/>
                <w:sz w:val="22"/>
              </w:rPr>
            </w:r>
          </w:p>
        </w:tc>
      </w:tr>
      <w:tr>
        <w:trPr>
          <w:trHeight w:val="431"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0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0"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70"/>
              <w:jc w:val="right"/>
              <w:rPr>
                <w:rFonts w:ascii="Arial" w:hAnsi="Arial" w:cs="Arial" w:eastAsia="Arial" w:hint="default"/>
                <w:sz w:val="22"/>
                <w:szCs w:val="22"/>
              </w:rPr>
            </w:pPr>
            <w:r>
              <w:rPr>
                <w:rFonts w:ascii="Arial"/>
                <w:spacing w:val="-1"/>
                <w:sz w:val="22"/>
              </w:rPr>
              <w:t>21,196,596,395</w:t>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29"/>
              <w:jc w:val="right"/>
              <w:rPr>
                <w:rFonts w:ascii="Arial" w:hAnsi="Arial" w:cs="Arial" w:eastAsia="Arial" w:hint="default"/>
                <w:sz w:val="22"/>
                <w:szCs w:val="22"/>
              </w:rPr>
            </w:pPr>
            <w:r>
              <w:rPr>
                <w:rFonts w:ascii="Arial"/>
                <w:w w:val="95"/>
                <w:sz w:val="22"/>
              </w:rPr>
              <w:t>100.0000</w:t>
            </w:r>
            <w:r>
              <w:rPr>
                <w:rFonts w:ascii="Arial"/>
                <w:sz w:val="22"/>
              </w:rPr>
            </w:r>
          </w:p>
        </w:tc>
      </w:tr>
      <w:tr>
        <w:trPr>
          <w:trHeight w:val="590"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35" w:right="0"/>
              <w:jc w:val="left"/>
              <w:rPr>
                <w:rFonts w:ascii="宋体" w:hAnsi="宋体" w:cs="宋体" w:eastAsia="宋体" w:hint="default"/>
                <w:sz w:val="22"/>
                <w:szCs w:val="22"/>
              </w:rPr>
            </w:pPr>
            <w:r>
              <w:rPr>
                <w:rFonts w:ascii="Arial" w:hAnsi="Arial" w:cs="Arial" w:eastAsia="Arial" w:hint="default"/>
                <w:sz w:val="22"/>
                <w:szCs w:val="22"/>
              </w:rPr>
              <w:t>31</w:t>
            </w:r>
            <w:r>
              <w:rPr>
                <w:rFonts w:ascii="宋体" w:hAnsi="宋体" w:cs="宋体" w:eastAsia="宋体" w:hint="default"/>
                <w:sz w:val="22"/>
                <w:szCs w:val="22"/>
              </w:rPr>
              <w:t>、资本公积</w:t>
            </w:r>
          </w:p>
        </w:tc>
        <w:tc>
          <w:tcPr>
            <w:tcW w:w="110" w:type="dxa"/>
            <w:tcBorders>
              <w:top w:val="nil" w:sz="6" w:space="0" w:color="auto"/>
              <w:left w:val="nil" w:sz="6" w:space="0" w:color="auto"/>
              <w:bottom w:val="nil" w:sz="6" w:space="0" w:color="auto"/>
              <w:right w:val="nil" w:sz="6" w:space="0" w:color="auto"/>
            </w:tcBorders>
          </w:tcPr>
          <w:p>
            <w:pPr/>
          </w:p>
        </w:tc>
        <w:tc>
          <w:tcPr>
            <w:tcW w:w="2918" w:type="dxa"/>
            <w:tcBorders>
              <w:top w:val="single" w:sz="17"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735" w:type="dxa"/>
            <w:tcBorders>
              <w:top w:val="single" w:sz="17"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50"/>
        <w:ind w:left="634" w:right="0" w:firstLine="0"/>
        <w:jc w:val="left"/>
        <w:rPr>
          <w:rFonts w:ascii="宋体" w:hAnsi="宋体" w:cs="宋体" w:eastAsia="宋体" w:hint="default"/>
          <w:sz w:val="16"/>
          <w:szCs w:val="16"/>
        </w:rPr>
      </w:pPr>
      <w:r>
        <w:rPr/>
        <w:pict>
          <v:shape style="position:absolute;margin-left:91.970001pt;margin-top:-131.177017pt;width:452.35pt;height:241.6pt;mso-position-horizontal-relative:page;mso-position-vertical-relative:paragraph;z-index:7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28"/>
                    <w:gridCol w:w="1463"/>
                    <w:gridCol w:w="1143"/>
                    <w:gridCol w:w="1220"/>
                    <w:gridCol w:w="1292"/>
                  </w:tblGrid>
                  <w:tr>
                    <w:trPr>
                      <w:trHeight w:val="499" w:hRule="exact"/>
                    </w:trPr>
                    <w:tc>
                      <w:tcPr>
                        <w:tcW w:w="3928"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tabs>
                            <w:tab w:pos="3531" w:val="left" w:leader="none"/>
                          </w:tabs>
                          <w:spacing w:line="240" w:lineRule="auto"/>
                          <w:ind w:left="1550" w:right="0"/>
                          <w:jc w:val="left"/>
                          <w:rPr>
                            <w:rFonts w:ascii="宋体" w:hAnsi="宋体" w:cs="宋体" w:eastAsia="宋体" w:hint="default"/>
                            <w:sz w:val="16"/>
                            <w:szCs w:val="16"/>
                          </w:rPr>
                        </w:pPr>
                        <w:r>
                          <w:rPr>
                            <w:rFonts w:ascii="宋体" w:hAnsi="宋体" w:cs="宋体" w:eastAsia="宋体" w:hint="default"/>
                            <w:w w:val="95"/>
                            <w:sz w:val="16"/>
                            <w:szCs w:val="16"/>
                          </w:rPr>
                          <w:t>项目</w:t>
                          <w:tab/>
                        </w:r>
                        <w:r>
                          <w:rPr>
                            <w:rFonts w:ascii="宋体" w:hAnsi="宋体" w:cs="宋体" w:eastAsia="宋体" w:hint="default"/>
                            <w:sz w:val="16"/>
                            <w:szCs w:val="16"/>
                          </w:rPr>
                          <w:t>注释</w:t>
                        </w:r>
                      </w:p>
                    </w:tc>
                    <w:tc>
                      <w:tcPr>
                        <w:tcW w:w="1463" w:type="dxa"/>
                        <w:tcBorders>
                          <w:top w:val="nil" w:sz="6" w:space="0" w:color="auto"/>
                          <w:left w:val="nil" w:sz="6" w:space="0" w:color="auto"/>
                          <w:bottom w:val="single" w:sz="6" w:space="0" w:color="000000"/>
                          <w:right w:val="nil" w:sz="6" w:space="0" w:color="auto"/>
                        </w:tcBorders>
                      </w:tcPr>
                      <w:p>
                        <w:pPr>
                          <w:pStyle w:val="TableParagraph"/>
                          <w:spacing w:line="214" w:lineRule="exact" w:before="50"/>
                          <w:ind w:left="687"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47"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143"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50"/>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1220"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9"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292" w:type="dxa"/>
                        <w:tcBorders>
                          <w:top w:val="nil" w:sz="6" w:space="0" w:color="auto"/>
                          <w:left w:val="nil" w:sz="6" w:space="0" w:color="auto"/>
                          <w:bottom w:val="single" w:sz="6" w:space="0" w:color="000000"/>
                          <w:right w:val="nil" w:sz="6" w:space="0" w:color="auto"/>
                        </w:tcBorders>
                      </w:tcPr>
                      <w:p>
                        <w:pPr>
                          <w:pStyle w:val="TableParagraph"/>
                          <w:spacing w:line="214" w:lineRule="exact" w:before="50"/>
                          <w:ind w:left="663"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23"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224" w:hRule="exact"/>
                    </w:trPr>
                    <w:tc>
                      <w:tcPr>
                        <w:tcW w:w="3928" w:type="dxa"/>
                        <w:tcBorders>
                          <w:top w:val="single" w:sz="6" w:space="0" w:color="000000"/>
                          <w:left w:val="nil" w:sz="6" w:space="0" w:color="auto"/>
                          <w:bottom w:val="nil" w:sz="6" w:space="0" w:color="auto"/>
                          <w:right w:val="nil" w:sz="6" w:space="0" w:color="auto"/>
                        </w:tcBorders>
                      </w:tcPr>
                      <w:p>
                        <w:pPr/>
                      </w:p>
                    </w:tc>
                    <w:tc>
                      <w:tcPr>
                        <w:tcW w:w="1463" w:type="dxa"/>
                        <w:tcBorders>
                          <w:top w:val="single" w:sz="6" w:space="0" w:color="000000"/>
                          <w:left w:val="nil" w:sz="6" w:space="0" w:color="auto"/>
                          <w:bottom w:val="nil" w:sz="6" w:space="0" w:color="auto"/>
                          <w:right w:val="nil" w:sz="6" w:space="0" w:color="auto"/>
                        </w:tcBorders>
                      </w:tcPr>
                      <w:p>
                        <w:pPr>
                          <w:pStyle w:val="TableParagraph"/>
                          <w:spacing w:line="183" w:lineRule="exact"/>
                          <w:ind w:right="218"/>
                          <w:jc w:val="right"/>
                          <w:rPr>
                            <w:rFonts w:ascii="宋体" w:hAnsi="宋体" w:cs="宋体" w:eastAsia="宋体" w:hint="default"/>
                            <w:sz w:val="16"/>
                            <w:szCs w:val="16"/>
                          </w:rPr>
                        </w:pPr>
                        <w:r>
                          <w:rPr>
                            <w:rFonts w:ascii="宋体" w:hAnsi="宋体" w:cs="宋体" w:eastAsia="宋体" w:hint="default"/>
                            <w:w w:val="95"/>
                            <w:sz w:val="16"/>
                            <w:szCs w:val="16"/>
                          </w:rPr>
                          <w:t>（经重列）</w:t>
                        </w:r>
                        <w:r>
                          <w:rPr>
                            <w:rFonts w:ascii="宋体" w:hAnsi="宋体" w:cs="宋体" w:eastAsia="宋体" w:hint="default"/>
                            <w:sz w:val="16"/>
                            <w:szCs w:val="16"/>
                          </w:rPr>
                        </w:r>
                      </w:p>
                    </w:tc>
                    <w:tc>
                      <w:tcPr>
                        <w:tcW w:w="1143" w:type="dxa"/>
                        <w:tcBorders>
                          <w:top w:val="single" w:sz="6" w:space="0" w:color="000000"/>
                          <w:left w:val="nil" w:sz="6" w:space="0" w:color="auto"/>
                          <w:bottom w:val="nil" w:sz="6" w:space="0" w:color="auto"/>
                          <w:right w:val="nil" w:sz="6" w:space="0" w:color="auto"/>
                        </w:tcBorders>
                      </w:tcPr>
                      <w:p>
                        <w:pPr/>
                      </w:p>
                    </w:tc>
                    <w:tc>
                      <w:tcPr>
                        <w:tcW w:w="1220" w:type="dxa"/>
                        <w:tcBorders>
                          <w:top w:val="single" w:sz="6" w:space="0" w:color="000000"/>
                          <w:left w:val="nil" w:sz="6" w:space="0" w:color="auto"/>
                          <w:bottom w:val="nil" w:sz="6" w:space="0" w:color="auto"/>
                          <w:right w:val="nil" w:sz="6" w:space="0" w:color="auto"/>
                        </w:tcBorders>
                      </w:tcPr>
                      <w:p>
                        <w:pPr/>
                      </w:p>
                    </w:tc>
                    <w:tc>
                      <w:tcPr>
                        <w:tcW w:w="1292" w:type="dxa"/>
                        <w:tcBorders>
                          <w:top w:val="single" w:sz="6" w:space="0" w:color="000000"/>
                          <w:left w:val="nil" w:sz="6" w:space="0" w:color="auto"/>
                          <w:bottom w:val="nil" w:sz="6" w:space="0" w:color="auto"/>
                          <w:right w:val="nil" w:sz="6" w:space="0" w:color="auto"/>
                        </w:tcBorders>
                      </w:tcPr>
                      <w:p>
                        <w:pPr/>
                      </w:p>
                    </w:tc>
                  </w:tr>
                  <w:tr>
                    <w:trPr>
                      <w:trHeight w:val="217"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16" w:val="left" w:leader="none"/>
                          </w:tabs>
                          <w:spacing w:line="197"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发起人出资溢价</w:t>
                          <w:tab/>
                        </w:r>
                        <w:r>
                          <w:rPr>
                            <w:rFonts w:ascii="Arial" w:hAnsi="Arial" w:cs="Arial" w:eastAsia="Arial" w:hint="default"/>
                            <w:sz w:val="16"/>
                            <w:szCs w:val="16"/>
                          </w:rPr>
                          <w:t>a</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4"/>
                          <w:jc w:val="right"/>
                          <w:rPr>
                            <w:rFonts w:ascii="Arial" w:hAnsi="Arial" w:cs="Arial" w:eastAsia="Arial" w:hint="default"/>
                            <w:sz w:val="16"/>
                            <w:szCs w:val="16"/>
                          </w:rPr>
                        </w:pPr>
                        <w:r>
                          <w:rPr>
                            <w:rFonts w:ascii="Arial"/>
                            <w:w w:val="95"/>
                            <w:sz w:val="16"/>
                          </w:rPr>
                          <w:t>7,913,551,905</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1"/>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Arial" w:hAnsi="Arial" w:cs="Arial" w:eastAsia="Arial" w:hint="default"/>
                            <w:sz w:val="16"/>
                            <w:szCs w:val="16"/>
                          </w:rPr>
                        </w:pPr>
                        <w:r>
                          <w:rPr>
                            <w:rFonts w:ascii="Arial"/>
                            <w:w w:val="95"/>
                            <w:sz w:val="16"/>
                          </w:rPr>
                          <w:t>7,913,551,905</w:t>
                        </w:r>
                        <w:r>
                          <w:rPr>
                            <w:rFonts w:ascii="Arial"/>
                            <w:sz w:val="16"/>
                          </w:rPr>
                        </w:r>
                      </w:p>
                    </w:tc>
                  </w:tr>
                  <w:tr>
                    <w:trPr>
                      <w:trHeight w:val="311"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16" w:val="left" w:leader="none"/>
                          </w:tabs>
                          <w:spacing w:line="175"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人民币普通股发行溢价</w:t>
                          <w:tab/>
                        </w:r>
                        <w:r>
                          <w:rPr>
                            <w:rFonts w:ascii="Arial" w:hAnsi="Arial" w:cs="Arial" w:eastAsia="Arial" w:hint="default"/>
                            <w:sz w:val="16"/>
                            <w:szCs w:val="16"/>
                          </w:rPr>
                          <w:t>a</w:t>
                        </w:r>
                      </w:p>
                      <w:p>
                        <w:pPr>
                          <w:pStyle w:val="TableParagraph"/>
                          <w:spacing w:line="176" w:lineRule="exact"/>
                          <w:ind w:left="35" w:right="0"/>
                          <w:jc w:val="left"/>
                          <w:rPr>
                            <w:rFonts w:ascii="宋体" w:hAnsi="宋体" w:cs="宋体" w:eastAsia="宋体" w:hint="default"/>
                            <w:sz w:val="16"/>
                            <w:szCs w:val="16"/>
                          </w:rPr>
                        </w:pPr>
                        <w:r>
                          <w:rPr>
                            <w:rFonts w:ascii="宋体" w:hAnsi="宋体" w:cs="宋体" w:eastAsia="宋体" w:hint="default"/>
                            <w:spacing w:val="8"/>
                            <w:sz w:val="16"/>
                            <w:szCs w:val="16"/>
                          </w:rPr>
                          <w:t>联通运营公司同一控制下收购相关电信业务的</w:t>
                        </w:r>
                        <w:r>
                          <w:rPr>
                            <w:rFonts w:ascii="宋体" w:hAnsi="宋体" w:cs="宋体" w:eastAsia="宋体" w:hint="default"/>
                            <w:sz w:val="16"/>
                            <w:szCs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4"/>
                          <w:jc w:val="right"/>
                          <w:rPr>
                            <w:rFonts w:ascii="Arial" w:hAnsi="Arial" w:cs="Arial" w:eastAsia="Arial" w:hint="default"/>
                            <w:sz w:val="16"/>
                            <w:szCs w:val="16"/>
                          </w:rPr>
                        </w:pPr>
                        <w:r>
                          <w:rPr>
                            <w:rFonts w:ascii="Arial"/>
                            <w:w w:val="95"/>
                            <w:sz w:val="16"/>
                          </w:rPr>
                          <w:t>9,197,551,203</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9"/>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16"/>
                            <w:szCs w:val="16"/>
                          </w:rPr>
                        </w:pPr>
                        <w:r>
                          <w:rPr>
                            <w:rFonts w:ascii="Arial"/>
                            <w:w w:val="95"/>
                            <w:sz w:val="16"/>
                          </w:rPr>
                          <w:t>9,197,551,203</w:t>
                        </w:r>
                        <w:r>
                          <w:rPr>
                            <w:rFonts w:ascii="Arial"/>
                            <w:sz w:val="16"/>
                          </w:rPr>
                        </w:r>
                      </w:p>
                    </w:tc>
                  </w:tr>
                  <w:tr>
                    <w:trPr>
                      <w:trHeight w:val="415"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18" w:lineRule="exact" w:before="60"/>
                          <w:ind w:left="174" w:right="0"/>
                          <w:jc w:val="left"/>
                          <w:rPr>
                            <w:rFonts w:ascii="Arial" w:hAnsi="Arial" w:cs="Arial" w:eastAsia="Arial" w:hint="default"/>
                            <w:sz w:val="16"/>
                            <w:szCs w:val="16"/>
                          </w:rPr>
                        </w:pPr>
                        <w:r>
                          <w:rPr>
                            <w:rFonts w:ascii="宋体" w:hAnsi="宋体" w:cs="宋体" w:eastAsia="宋体" w:hint="default"/>
                            <w:w w:val="99"/>
                            <w:position w:val="1"/>
                            <w:sz w:val="16"/>
                            <w:szCs w:val="16"/>
                          </w:rPr>
                          <w:t>影</w:t>
                        </w:r>
                        <w:r>
                          <w:rPr>
                            <w:rFonts w:ascii="宋体" w:hAnsi="宋体" w:cs="宋体" w:eastAsia="宋体" w:hint="default"/>
                            <w:spacing w:val="-66"/>
                            <w:w w:val="99"/>
                            <w:position w:val="1"/>
                            <w:sz w:val="16"/>
                            <w:szCs w:val="16"/>
                          </w:rPr>
                          <w:t>响</w:t>
                        </w:r>
                        <w:r>
                          <w:rPr>
                            <w:rFonts w:ascii="宋体" w:hAnsi="宋体" w:cs="宋体" w:eastAsia="宋体" w:hint="default"/>
                            <w:w w:val="99"/>
                            <w:position w:val="1"/>
                            <w:sz w:val="16"/>
                            <w:szCs w:val="16"/>
                          </w:rPr>
                          <w:t>（</w:t>
                        </w:r>
                        <w:r>
                          <w:rPr>
                            <w:rFonts w:ascii="宋体" w:hAnsi="宋体" w:cs="宋体" w:eastAsia="宋体" w:hint="default"/>
                            <w:spacing w:val="1"/>
                            <w:w w:val="99"/>
                            <w:position w:val="1"/>
                            <w:sz w:val="16"/>
                            <w:szCs w:val="16"/>
                          </w:rPr>
                          <w:t>除</w:t>
                        </w:r>
                        <w:r>
                          <w:rPr>
                            <w:rFonts w:ascii="宋体" w:hAnsi="宋体" w:cs="宋体" w:eastAsia="宋体" w:hint="default"/>
                            <w:w w:val="99"/>
                            <w:position w:val="1"/>
                            <w:sz w:val="16"/>
                            <w:szCs w:val="16"/>
                          </w:rPr>
                          <w:t>可供</w:t>
                        </w:r>
                        <w:r>
                          <w:rPr>
                            <w:rFonts w:ascii="宋体" w:hAnsi="宋体" w:cs="宋体" w:eastAsia="宋体" w:hint="default"/>
                            <w:spacing w:val="1"/>
                            <w:w w:val="99"/>
                            <w:position w:val="1"/>
                            <w:sz w:val="16"/>
                            <w:szCs w:val="16"/>
                          </w:rPr>
                          <w:t>出售</w:t>
                        </w:r>
                        <w:r>
                          <w:rPr>
                            <w:rFonts w:ascii="宋体" w:hAnsi="宋体" w:cs="宋体" w:eastAsia="宋体" w:hint="default"/>
                            <w:w w:val="99"/>
                            <w:position w:val="1"/>
                            <w:sz w:val="16"/>
                            <w:szCs w:val="16"/>
                          </w:rPr>
                          <w:t>金融资</w:t>
                        </w:r>
                        <w:r>
                          <w:rPr>
                            <w:rFonts w:ascii="宋体" w:hAnsi="宋体" w:cs="宋体" w:eastAsia="宋体" w:hint="default"/>
                            <w:spacing w:val="1"/>
                            <w:w w:val="99"/>
                            <w:position w:val="1"/>
                            <w:sz w:val="16"/>
                            <w:szCs w:val="16"/>
                          </w:rPr>
                          <w:t>产</w:t>
                        </w:r>
                        <w:r>
                          <w:rPr>
                            <w:rFonts w:ascii="宋体" w:hAnsi="宋体" w:cs="宋体" w:eastAsia="宋体" w:hint="default"/>
                            <w:w w:val="99"/>
                            <w:position w:val="1"/>
                            <w:sz w:val="16"/>
                            <w:szCs w:val="16"/>
                          </w:rPr>
                          <w:t>公允</w:t>
                        </w:r>
                        <w:r>
                          <w:rPr>
                            <w:rFonts w:ascii="宋体" w:hAnsi="宋体" w:cs="宋体" w:eastAsia="宋体" w:hint="default"/>
                            <w:spacing w:val="1"/>
                            <w:w w:val="99"/>
                            <w:position w:val="1"/>
                            <w:sz w:val="16"/>
                            <w:szCs w:val="16"/>
                          </w:rPr>
                          <w:t>价</w:t>
                        </w:r>
                        <w:r>
                          <w:rPr>
                            <w:rFonts w:ascii="宋体" w:hAnsi="宋体" w:cs="宋体" w:eastAsia="宋体" w:hint="default"/>
                            <w:w w:val="99"/>
                            <w:position w:val="1"/>
                            <w:sz w:val="16"/>
                            <w:szCs w:val="16"/>
                          </w:rPr>
                          <w:t>值变动</w:t>
                        </w:r>
                        <w:r>
                          <w:rPr>
                            <w:rFonts w:ascii="宋体" w:hAnsi="宋体" w:cs="宋体" w:eastAsia="宋体" w:hint="default"/>
                            <w:spacing w:val="1"/>
                            <w:w w:val="99"/>
                            <w:position w:val="1"/>
                            <w:sz w:val="16"/>
                            <w:szCs w:val="16"/>
                          </w:rPr>
                          <w:t>影</w:t>
                        </w:r>
                        <w:r>
                          <w:rPr>
                            <w:rFonts w:ascii="宋体" w:hAnsi="宋体" w:cs="宋体" w:eastAsia="宋体" w:hint="default"/>
                            <w:w w:val="99"/>
                            <w:position w:val="1"/>
                            <w:sz w:val="16"/>
                            <w:szCs w:val="16"/>
                          </w:rPr>
                          <w:t>响）</w:t>
                        </w:r>
                        <w:r>
                          <w:rPr>
                            <w:rFonts w:ascii="宋体" w:hAnsi="宋体" w:cs="宋体" w:eastAsia="宋体" w:hint="default"/>
                            <w:position w:val="1"/>
                            <w:sz w:val="16"/>
                            <w:szCs w:val="16"/>
                          </w:rPr>
                          <w:t> </w:t>
                        </w:r>
                        <w:r>
                          <w:rPr>
                            <w:rFonts w:ascii="宋体" w:hAnsi="宋体" w:cs="宋体" w:eastAsia="宋体" w:hint="default"/>
                            <w:spacing w:val="-10"/>
                            <w:position w:val="1"/>
                            <w:sz w:val="16"/>
                            <w:szCs w:val="16"/>
                          </w:rPr>
                          <w:t> </w:t>
                        </w:r>
                        <w:r>
                          <w:rPr>
                            <w:rFonts w:ascii="Arial" w:hAnsi="Arial" w:cs="Arial" w:eastAsia="Arial" w:hint="default"/>
                            <w:w w:val="99"/>
                            <w:sz w:val="16"/>
                            <w:szCs w:val="16"/>
                          </w:rPr>
                          <w:t>b</w:t>
                        </w:r>
                        <w:r>
                          <w:rPr>
                            <w:rFonts w:ascii="Arial" w:hAnsi="Arial" w:cs="Arial" w:eastAsia="Arial" w:hint="default"/>
                            <w:sz w:val="16"/>
                            <w:szCs w:val="16"/>
                          </w:rPr>
                        </w:r>
                      </w:p>
                      <w:p>
                        <w:pPr>
                          <w:pStyle w:val="TableParagraph"/>
                          <w:spacing w:line="177" w:lineRule="exact"/>
                          <w:ind w:left="35" w:right="0"/>
                          <w:jc w:val="left"/>
                          <w:rPr>
                            <w:rFonts w:ascii="宋体" w:hAnsi="宋体" w:cs="宋体" w:eastAsia="宋体" w:hint="default"/>
                            <w:sz w:val="16"/>
                            <w:szCs w:val="16"/>
                          </w:rPr>
                        </w:pPr>
                        <w:r>
                          <w:rPr>
                            <w:rFonts w:ascii="宋体" w:hAnsi="宋体" w:cs="宋体" w:eastAsia="宋体" w:hint="default"/>
                            <w:spacing w:val="8"/>
                            <w:sz w:val="16"/>
                            <w:szCs w:val="16"/>
                          </w:rPr>
                          <w:t>确认子公司持有可供出售金融资产公允价值变</w:t>
                        </w:r>
                        <w:r>
                          <w:rPr>
                            <w:rFonts w:ascii="宋体" w:hAnsi="宋体" w:cs="宋体" w:eastAsia="宋体" w:hint="default"/>
                            <w:sz w:val="16"/>
                            <w:szCs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4"/>
                          <w:jc w:val="right"/>
                          <w:rPr>
                            <w:rFonts w:ascii="Arial" w:hAnsi="Arial" w:cs="Arial" w:eastAsia="Arial" w:hint="default"/>
                            <w:sz w:val="16"/>
                            <w:szCs w:val="16"/>
                          </w:rPr>
                        </w:pPr>
                        <w:r>
                          <w:rPr>
                            <w:rFonts w:ascii="Arial"/>
                            <w:w w:val="95"/>
                            <w:sz w:val="16"/>
                          </w:rPr>
                          <w:t>554,184,732</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9"/>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1"/>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5"/>
                          <w:jc w:val="right"/>
                          <w:rPr>
                            <w:rFonts w:ascii="Arial" w:hAnsi="Arial" w:cs="Arial" w:eastAsia="Arial" w:hint="default"/>
                            <w:sz w:val="16"/>
                            <w:szCs w:val="16"/>
                          </w:rPr>
                        </w:pPr>
                        <w:r>
                          <w:rPr>
                            <w:rFonts w:ascii="Arial"/>
                            <w:w w:val="95"/>
                            <w:sz w:val="16"/>
                          </w:rPr>
                          <w:t>554,184,732</w:t>
                        </w:r>
                        <w:r>
                          <w:rPr>
                            <w:rFonts w:ascii="Arial"/>
                            <w:sz w:val="16"/>
                          </w:rPr>
                        </w:r>
                      </w:p>
                    </w:tc>
                  </w:tr>
                  <w:tr>
                    <w:trPr>
                      <w:trHeight w:val="311"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20" w:val="left" w:leader="none"/>
                          </w:tabs>
                          <w:spacing w:line="240" w:lineRule="auto" w:before="60"/>
                          <w:ind w:left="200" w:right="0"/>
                          <w:jc w:val="left"/>
                          <w:rPr>
                            <w:rFonts w:ascii="Arial" w:hAnsi="Arial" w:cs="Arial" w:eastAsia="Arial" w:hint="default"/>
                            <w:sz w:val="16"/>
                            <w:szCs w:val="16"/>
                          </w:rPr>
                        </w:pPr>
                        <w:r>
                          <w:rPr>
                            <w:rFonts w:ascii="宋体" w:hAnsi="宋体" w:cs="宋体" w:eastAsia="宋体" w:hint="default"/>
                            <w:w w:val="95"/>
                            <w:position w:val="1"/>
                            <w:sz w:val="16"/>
                            <w:szCs w:val="16"/>
                          </w:rPr>
                          <w:t>动的影响</w:t>
                          <w:tab/>
                        </w:r>
                        <w:r>
                          <w:rPr>
                            <w:rFonts w:ascii="Arial" w:hAnsi="Arial" w:cs="Arial" w:eastAsia="Arial" w:hint="default"/>
                            <w:sz w:val="16"/>
                            <w:szCs w:val="16"/>
                          </w:rPr>
                          <w:t>c</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89"/>
                          <w:jc w:val="right"/>
                          <w:rPr>
                            <w:rFonts w:ascii="Arial" w:hAnsi="Arial" w:cs="Arial" w:eastAsia="Arial" w:hint="default"/>
                            <w:sz w:val="16"/>
                            <w:szCs w:val="16"/>
                          </w:rPr>
                        </w:pPr>
                        <w:r>
                          <w:rPr>
                            <w:rFonts w:ascii="Arial"/>
                            <w:w w:val="95"/>
                            <w:sz w:val="16"/>
                          </w:rPr>
                          <w:t>(452,189,469)</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9"/>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2"/>
                          <w:jc w:val="right"/>
                          <w:rPr>
                            <w:rFonts w:ascii="Arial" w:hAnsi="Arial" w:cs="Arial" w:eastAsia="Arial" w:hint="default"/>
                            <w:sz w:val="16"/>
                            <w:szCs w:val="16"/>
                          </w:rPr>
                        </w:pPr>
                        <w:r>
                          <w:rPr>
                            <w:rFonts w:ascii="Arial"/>
                            <w:w w:val="95"/>
                            <w:sz w:val="16"/>
                          </w:rPr>
                          <w:t>(668,548,698)</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right"/>
                          <w:rPr>
                            <w:rFonts w:ascii="Arial" w:hAnsi="Arial" w:cs="Arial" w:eastAsia="Arial" w:hint="default"/>
                            <w:sz w:val="16"/>
                            <w:szCs w:val="16"/>
                          </w:rPr>
                        </w:pPr>
                        <w:r>
                          <w:rPr>
                            <w:rFonts w:ascii="Arial"/>
                            <w:w w:val="95"/>
                            <w:sz w:val="16"/>
                          </w:rPr>
                          <w:t>(1,120,738,167)</w:t>
                        </w:r>
                        <w:r>
                          <w:rPr>
                            <w:rFonts w:ascii="Arial"/>
                            <w:sz w:val="16"/>
                          </w:rPr>
                        </w:r>
                      </w:p>
                    </w:tc>
                  </w:tr>
                  <w:tr>
                    <w:trPr>
                      <w:trHeight w:val="208"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16" w:val="left" w:leader="none"/>
                          </w:tabs>
                          <w:spacing w:line="187"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子公司企业改制评估增值的影响</w:t>
                          <w:tab/>
                        </w:r>
                        <w:r>
                          <w:rPr>
                            <w:rFonts w:ascii="Arial" w:hAnsi="Arial" w:cs="Arial" w:eastAsia="Arial" w:hint="default"/>
                            <w:sz w:val="16"/>
                            <w:szCs w:val="16"/>
                          </w:rPr>
                          <w:t>d</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4"/>
                          <w:jc w:val="right"/>
                          <w:rPr>
                            <w:rFonts w:ascii="Arial" w:hAnsi="Arial" w:cs="Arial" w:eastAsia="Arial" w:hint="default"/>
                            <w:sz w:val="16"/>
                            <w:szCs w:val="16"/>
                          </w:rPr>
                        </w:pPr>
                        <w:r>
                          <w:rPr>
                            <w:rFonts w:ascii="Arial"/>
                            <w:w w:val="95"/>
                            <w:sz w:val="16"/>
                          </w:rPr>
                          <w:t>29,996,252</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9"/>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16"/>
                            <w:szCs w:val="16"/>
                          </w:rPr>
                        </w:pPr>
                        <w:r>
                          <w:rPr>
                            <w:rFonts w:ascii="Arial"/>
                            <w:w w:val="95"/>
                            <w:sz w:val="16"/>
                          </w:rPr>
                          <w:t>29,996,252</w:t>
                        </w:r>
                        <w:r>
                          <w:rPr>
                            <w:rFonts w:ascii="Arial"/>
                            <w:sz w:val="16"/>
                          </w:rPr>
                        </w:r>
                      </w:p>
                    </w:tc>
                  </w:tr>
                  <w:tr>
                    <w:trPr>
                      <w:trHeight w:val="249"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16" w:val="left" w:leader="none"/>
                          </w:tabs>
                          <w:spacing w:line="187"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与股份期权相关的员工薪酬所确认金额的影响</w:t>
                          <w:tab/>
                        </w:r>
                        <w:r>
                          <w:rPr>
                            <w:rFonts w:ascii="Arial" w:hAnsi="Arial" w:cs="Arial" w:eastAsia="Arial" w:hint="default"/>
                            <w:sz w:val="16"/>
                            <w:szCs w:val="16"/>
                          </w:rPr>
                          <w:t>e</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4"/>
                          <w:jc w:val="right"/>
                          <w:rPr>
                            <w:rFonts w:ascii="Arial" w:hAnsi="Arial" w:cs="Arial" w:eastAsia="Arial" w:hint="default"/>
                            <w:sz w:val="16"/>
                            <w:szCs w:val="16"/>
                          </w:rPr>
                        </w:pPr>
                        <w:r>
                          <w:rPr>
                            <w:rFonts w:ascii="Arial"/>
                            <w:w w:val="95"/>
                            <w:sz w:val="16"/>
                          </w:rPr>
                          <w:t>273,361,147</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1"/>
                          <w:jc w:val="right"/>
                          <w:rPr>
                            <w:rFonts w:ascii="Arial" w:hAnsi="Arial" w:cs="Arial" w:eastAsia="Arial" w:hint="default"/>
                            <w:sz w:val="16"/>
                            <w:szCs w:val="16"/>
                          </w:rPr>
                        </w:pPr>
                        <w:r>
                          <w:rPr>
                            <w:rFonts w:ascii="Arial"/>
                            <w:w w:val="95"/>
                            <w:sz w:val="16"/>
                          </w:rPr>
                          <w:t>5,881,018</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2"/>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16"/>
                            <w:szCs w:val="16"/>
                          </w:rPr>
                        </w:pPr>
                        <w:r>
                          <w:rPr>
                            <w:rFonts w:ascii="Arial"/>
                            <w:w w:val="95"/>
                            <w:sz w:val="16"/>
                          </w:rPr>
                          <w:t>279,242,165</w:t>
                        </w:r>
                        <w:r>
                          <w:rPr>
                            <w:rFonts w:ascii="Arial"/>
                            <w:sz w:val="16"/>
                          </w:rPr>
                        </w:r>
                      </w:p>
                    </w:tc>
                  </w:tr>
                  <w:tr>
                    <w:trPr>
                      <w:trHeight w:val="370"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38" w:val="left" w:leader="none"/>
                          </w:tabs>
                          <w:spacing w:line="229" w:lineRule="exact"/>
                          <w:ind w:left="43" w:right="0"/>
                          <w:jc w:val="left"/>
                          <w:rPr>
                            <w:rFonts w:ascii="Arial" w:hAnsi="Arial" w:cs="Arial" w:eastAsia="Arial" w:hint="default"/>
                            <w:sz w:val="16"/>
                            <w:szCs w:val="16"/>
                          </w:rPr>
                        </w:pPr>
                        <w:r>
                          <w:rPr>
                            <w:rFonts w:ascii="宋体" w:hAnsi="宋体" w:cs="宋体" w:eastAsia="宋体" w:hint="default"/>
                            <w:w w:val="95"/>
                            <w:position w:val="1"/>
                            <w:sz w:val="16"/>
                            <w:szCs w:val="16"/>
                          </w:rPr>
                          <w:t>联通红筹公司为投资西班牙电信而增发的股份</w:t>
                          <w:tab/>
                        </w:r>
                        <w:r>
                          <w:rPr>
                            <w:rFonts w:ascii="Arial" w:hAnsi="Arial" w:cs="Arial" w:eastAsia="Arial" w:hint="default"/>
                            <w:sz w:val="16"/>
                            <w:szCs w:val="16"/>
                          </w:rPr>
                          <w:t>f</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4"/>
                          <w:jc w:val="right"/>
                          <w:rPr>
                            <w:rFonts w:ascii="Arial" w:hAnsi="Arial" w:cs="Arial" w:eastAsia="Arial" w:hint="default"/>
                            <w:sz w:val="16"/>
                            <w:szCs w:val="16"/>
                          </w:rPr>
                        </w:pPr>
                        <w:r>
                          <w:rPr>
                            <w:rFonts w:ascii="Arial"/>
                            <w:w w:val="95"/>
                            <w:sz w:val="16"/>
                          </w:rPr>
                          <w:t>2,274,479,484</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9"/>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1"/>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Arial" w:hAnsi="Arial" w:cs="Arial" w:eastAsia="Arial" w:hint="default"/>
                            <w:sz w:val="16"/>
                            <w:szCs w:val="16"/>
                          </w:rPr>
                        </w:pPr>
                        <w:r>
                          <w:rPr>
                            <w:rFonts w:ascii="Arial"/>
                            <w:w w:val="95"/>
                            <w:sz w:val="16"/>
                          </w:rPr>
                          <w:t>2,274,479,484</w:t>
                        </w:r>
                        <w:r>
                          <w:rPr>
                            <w:rFonts w:ascii="Arial"/>
                            <w:sz w:val="16"/>
                          </w:rPr>
                        </w:r>
                      </w:p>
                    </w:tc>
                  </w:tr>
                  <w:tr>
                    <w:trPr>
                      <w:trHeight w:val="329"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16" w:val="left" w:leader="none"/>
                          </w:tabs>
                          <w:spacing w:line="240" w:lineRule="auto" w:before="77"/>
                          <w:ind w:left="200" w:right="0"/>
                          <w:jc w:val="left"/>
                          <w:rPr>
                            <w:rFonts w:ascii="Arial" w:hAnsi="Arial" w:cs="Arial" w:eastAsia="Arial" w:hint="default"/>
                            <w:sz w:val="16"/>
                            <w:szCs w:val="16"/>
                          </w:rPr>
                        </w:pPr>
                        <w:r>
                          <w:rPr>
                            <w:rFonts w:ascii="宋体" w:hAnsi="宋体" w:cs="宋体" w:eastAsia="宋体" w:hint="default"/>
                            <w:w w:val="95"/>
                            <w:position w:val="1"/>
                            <w:sz w:val="16"/>
                            <w:szCs w:val="16"/>
                          </w:rPr>
                          <w:t>权益的影响</w:t>
                          <w:tab/>
                        </w:r>
                        <w:r>
                          <w:rPr>
                            <w:rFonts w:ascii="Arial" w:hAnsi="Arial" w:cs="Arial" w:eastAsia="Arial" w:hint="default"/>
                            <w:sz w:val="16"/>
                            <w:szCs w:val="16"/>
                          </w:rPr>
                          <w:t>g</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44"/>
                          <w:jc w:val="right"/>
                          <w:rPr>
                            <w:rFonts w:ascii="Arial" w:hAnsi="Arial" w:cs="Arial" w:eastAsia="Arial" w:hint="default"/>
                            <w:sz w:val="16"/>
                            <w:szCs w:val="16"/>
                          </w:rPr>
                        </w:pPr>
                        <w:r>
                          <w:rPr>
                            <w:rFonts w:ascii="Arial"/>
                            <w:w w:val="95"/>
                            <w:sz w:val="16"/>
                          </w:rPr>
                          <w:t>14,049,174</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51"/>
                          <w:jc w:val="right"/>
                          <w:rPr>
                            <w:rFonts w:ascii="Arial" w:hAnsi="Arial" w:cs="Arial" w:eastAsia="Arial" w:hint="default"/>
                            <w:sz w:val="16"/>
                            <w:szCs w:val="16"/>
                          </w:rPr>
                        </w:pPr>
                        <w:r>
                          <w:rPr>
                            <w:rFonts w:ascii="Arial"/>
                            <w:w w:val="95"/>
                            <w:sz w:val="16"/>
                          </w:rPr>
                          <w:t>11,324,910</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2"/>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5"/>
                          <w:jc w:val="right"/>
                          <w:rPr>
                            <w:rFonts w:ascii="Arial" w:hAnsi="Arial" w:cs="Arial" w:eastAsia="Arial" w:hint="default"/>
                            <w:sz w:val="16"/>
                            <w:szCs w:val="16"/>
                          </w:rPr>
                        </w:pPr>
                        <w:r>
                          <w:rPr>
                            <w:rFonts w:ascii="Arial"/>
                            <w:w w:val="95"/>
                            <w:sz w:val="16"/>
                          </w:rPr>
                          <w:t>25,374,084</w:t>
                        </w:r>
                        <w:r>
                          <w:rPr>
                            <w:rFonts w:ascii="Arial"/>
                            <w:sz w:val="16"/>
                          </w:rPr>
                        </w:r>
                      </w:p>
                    </w:tc>
                  </w:tr>
                  <w:tr>
                    <w:trPr>
                      <w:trHeight w:val="202"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16" w:val="left" w:leader="none"/>
                          </w:tabs>
                          <w:spacing w:line="187"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子公司未分配利润转增资本的影响</w:t>
                          <w:tab/>
                        </w:r>
                        <w:r>
                          <w:rPr>
                            <w:rFonts w:ascii="Arial" w:hAnsi="Arial" w:cs="Arial" w:eastAsia="Arial" w:hint="default"/>
                            <w:sz w:val="16"/>
                            <w:szCs w:val="16"/>
                          </w:rPr>
                          <w:t>h</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4"/>
                          <w:jc w:val="right"/>
                          <w:rPr>
                            <w:rFonts w:ascii="Arial" w:hAnsi="Arial" w:cs="Arial" w:eastAsia="Arial" w:hint="default"/>
                            <w:sz w:val="16"/>
                            <w:szCs w:val="16"/>
                          </w:rPr>
                        </w:pPr>
                        <w:r>
                          <w:rPr>
                            <w:rFonts w:ascii="Arial"/>
                            <w:w w:val="95"/>
                            <w:sz w:val="16"/>
                          </w:rPr>
                          <w:t>10,414,323,266</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9"/>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16"/>
                            <w:szCs w:val="16"/>
                          </w:rPr>
                        </w:pPr>
                        <w:r>
                          <w:rPr>
                            <w:rFonts w:ascii="Arial"/>
                            <w:w w:val="95"/>
                            <w:sz w:val="16"/>
                          </w:rPr>
                          <w:t>10,414,323,266</w:t>
                        </w:r>
                        <w:r>
                          <w:rPr>
                            <w:rFonts w:ascii="Arial"/>
                            <w:sz w:val="16"/>
                          </w:rPr>
                        </w:r>
                      </w:p>
                    </w:tc>
                  </w:tr>
                  <w:tr>
                    <w:trPr>
                      <w:trHeight w:val="208"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43" w:val="left" w:leader="none"/>
                          </w:tabs>
                          <w:spacing w:line="193"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因所持子公司股份变化对资本公积的影响</w:t>
                        </w:r>
                        <w:r>
                          <w:rPr>
                            <w:rFonts w:ascii="Arial" w:hAnsi="Arial" w:cs="Arial" w:eastAsia="Arial" w:hint="default"/>
                            <w:w w:val="95"/>
                            <w:sz w:val="16"/>
                            <w:szCs w:val="16"/>
                          </w:rPr>
                          <w:tab/>
                        </w:r>
                        <w:r>
                          <w:rPr>
                            <w:rFonts w:ascii="Arial" w:hAnsi="Arial" w:cs="Arial" w:eastAsia="Arial" w:hint="default"/>
                            <w:sz w:val="16"/>
                            <w:szCs w:val="16"/>
                          </w:rPr>
                          <w:t>i</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9"/>
                          <w:jc w:val="right"/>
                          <w:rPr>
                            <w:rFonts w:ascii="Arial" w:hAnsi="Arial" w:cs="Arial" w:eastAsia="Arial" w:hint="default"/>
                            <w:sz w:val="16"/>
                            <w:szCs w:val="16"/>
                          </w:rPr>
                        </w:pPr>
                        <w:r>
                          <w:rPr>
                            <w:rFonts w:ascii="Arial"/>
                            <w:w w:val="95"/>
                            <w:sz w:val="16"/>
                          </w:rPr>
                          <w:t>(5,496,357,343)</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8"/>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6"/>
                            <w:szCs w:val="16"/>
                          </w:rPr>
                        </w:pPr>
                        <w:r>
                          <w:rPr>
                            <w:rFonts w:ascii="Arial"/>
                            <w:w w:val="95"/>
                            <w:sz w:val="16"/>
                          </w:rPr>
                          <w:t>(8,154,317)</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181" w:lineRule="exact"/>
                          <w:ind w:right="50"/>
                          <w:jc w:val="right"/>
                          <w:rPr>
                            <w:rFonts w:ascii="Arial" w:hAnsi="Arial" w:cs="Arial" w:eastAsia="Arial" w:hint="default"/>
                            <w:sz w:val="16"/>
                            <w:szCs w:val="16"/>
                          </w:rPr>
                        </w:pPr>
                        <w:r>
                          <w:rPr>
                            <w:rFonts w:ascii="Arial"/>
                            <w:w w:val="95"/>
                            <w:sz w:val="16"/>
                          </w:rPr>
                          <w:t>(5,504,511,660)</w:t>
                        </w:r>
                        <w:r>
                          <w:rPr>
                            <w:rFonts w:ascii="Arial"/>
                            <w:sz w:val="16"/>
                          </w:rPr>
                        </w:r>
                      </w:p>
                    </w:tc>
                  </w:tr>
                  <w:tr>
                    <w:trPr>
                      <w:trHeight w:val="208"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43" w:val="left" w:leader="none"/>
                          </w:tabs>
                          <w:spacing w:line="193"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子公司发行可转换债券的影响</w:t>
                          <w:tab/>
                        </w:r>
                        <w:r>
                          <w:rPr>
                            <w:rFonts w:ascii="Arial" w:hAnsi="Arial" w:cs="Arial" w:eastAsia="Arial" w:hint="default"/>
                            <w:sz w:val="16"/>
                            <w:szCs w:val="16"/>
                          </w:rPr>
                          <w:t>j</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4"/>
                          <w:jc w:val="right"/>
                          <w:rPr>
                            <w:rFonts w:ascii="Arial" w:hAnsi="Arial" w:cs="Arial" w:eastAsia="Arial" w:hint="default"/>
                            <w:sz w:val="16"/>
                            <w:szCs w:val="16"/>
                          </w:rPr>
                        </w:pPr>
                        <w:r>
                          <w:rPr>
                            <w:rFonts w:ascii="Arial"/>
                            <w:w w:val="95"/>
                            <w:sz w:val="16"/>
                          </w:rPr>
                          <w:t>3,310,271,931</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9"/>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1"/>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181" w:lineRule="exact"/>
                          <w:ind w:right="104"/>
                          <w:jc w:val="right"/>
                          <w:rPr>
                            <w:rFonts w:ascii="Arial" w:hAnsi="Arial" w:cs="Arial" w:eastAsia="Arial" w:hint="default"/>
                            <w:sz w:val="16"/>
                            <w:szCs w:val="16"/>
                          </w:rPr>
                        </w:pPr>
                        <w:r>
                          <w:rPr>
                            <w:rFonts w:ascii="Arial"/>
                            <w:w w:val="95"/>
                            <w:sz w:val="16"/>
                          </w:rPr>
                          <w:t>3,310,271,931</w:t>
                        </w:r>
                        <w:r>
                          <w:rPr>
                            <w:rFonts w:ascii="Arial"/>
                            <w:sz w:val="16"/>
                          </w:rPr>
                        </w:r>
                      </w:p>
                    </w:tc>
                  </w:tr>
                  <w:tr>
                    <w:trPr>
                      <w:trHeight w:val="208"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20" w:val="left" w:leader="none"/>
                          </w:tabs>
                          <w:spacing w:line="193"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同一控制下收购贵州业务的影响</w:t>
                          <w:tab/>
                        </w:r>
                        <w:r>
                          <w:rPr>
                            <w:rFonts w:ascii="Arial" w:hAnsi="Arial" w:cs="Arial" w:eastAsia="Arial" w:hint="default"/>
                            <w:sz w:val="16"/>
                            <w:szCs w:val="16"/>
                          </w:rPr>
                          <w:t>k</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9"/>
                          <w:jc w:val="right"/>
                          <w:rPr>
                            <w:rFonts w:ascii="Arial" w:hAnsi="Arial" w:cs="Arial" w:eastAsia="Arial" w:hint="default"/>
                            <w:sz w:val="16"/>
                            <w:szCs w:val="16"/>
                          </w:rPr>
                        </w:pPr>
                        <w:r>
                          <w:rPr>
                            <w:rFonts w:ascii="Arial"/>
                            <w:w w:val="95"/>
                            <w:sz w:val="16"/>
                          </w:rPr>
                          <w:t>(248,154,771)</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8"/>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1"/>
                          <w:jc w:val="right"/>
                          <w:rPr>
                            <w:rFonts w:ascii="Arial" w:hAnsi="Arial" w:cs="Arial" w:eastAsia="Arial" w:hint="default"/>
                            <w:sz w:val="16"/>
                            <w:szCs w:val="16"/>
                          </w:rPr>
                        </w:pPr>
                        <w:r>
                          <w:rPr>
                            <w:rFonts w:ascii="Arial"/>
                            <w:w w:val="99"/>
                            <w:sz w:val="16"/>
                          </w:rPr>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181" w:lineRule="exact"/>
                          <w:ind w:right="50"/>
                          <w:jc w:val="right"/>
                          <w:rPr>
                            <w:rFonts w:ascii="Arial" w:hAnsi="Arial" w:cs="Arial" w:eastAsia="Arial" w:hint="default"/>
                            <w:sz w:val="16"/>
                            <w:szCs w:val="16"/>
                          </w:rPr>
                        </w:pPr>
                        <w:r>
                          <w:rPr>
                            <w:rFonts w:ascii="Arial"/>
                            <w:w w:val="95"/>
                            <w:sz w:val="16"/>
                          </w:rPr>
                          <w:t>(248,154,771)</w:t>
                        </w:r>
                        <w:r>
                          <w:rPr>
                            <w:rFonts w:ascii="Arial"/>
                            <w:sz w:val="16"/>
                          </w:rPr>
                        </w:r>
                      </w:p>
                    </w:tc>
                  </w:tr>
                  <w:tr>
                    <w:trPr>
                      <w:trHeight w:val="190" w:hRule="exact"/>
                    </w:trPr>
                    <w:tc>
                      <w:tcPr>
                        <w:tcW w:w="3928" w:type="dxa"/>
                        <w:tcBorders>
                          <w:top w:val="nil" w:sz="6" w:space="0" w:color="auto"/>
                          <w:left w:val="nil" w:sz="6" w:space="0" w:color="auto"/>
                          <w:bottom w:val="nil" w:sz="6" w:space="0" w:color="auto"/>
                          <w:right w:val="nil" w:sz="6" w:space="0" w:color="auto"/>
                        </w:tcBorders>
                      </w:tcPr>
                      <w:p>
                        <w:pPr>
                          <w:pStyle w:val="TableParagraph"/>
                          <w:tabs>
                            <w:tab w:pos="3643" w:val="left" w:leader="none"/>
                          </w:tabs>
                          <w:spacing w:line="193"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同一控制下收购联通新时讯的影响</w:t>
                          <w:tab/>
                        </w:r>
                        <w:r>
                          <w:rPr>
                            <w:rFonts w:ascii="Arial" w:hAnsi="Arial" w:cs="Arial" w:eastAsia="Arial" w:hint="default"/>
                            <w:sz w:val="16"/>
                            <w:szCs w:val="16"/>
                          </w:rPr>
                          <w:t>l</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4"/>
                          <w:jc w:val="right"/>
                          <w:rPr>
                            <w:rFonts w:ascii="Arial" w:hAnsi="Arial" w:cs="Arial" w:eastAsia="Arial" w:hint="default"/>
                            <w:sz w:val="16"/>
                            <w:szCs w:val="16"/>
                          </w:rPr>
                        </w:pPr>
                        <w:r>
                          <w:rPr>
                            <w:rFonts w:ascii="Arial"/>
                            <w:w w:val="95"/>
                            <w:sz w:val="16"/>
                          </w:rPr>
                          <w:t>40,926,482</w:t>
                        </w:r>
                        <w:r>
                          <w:rPr>
                            <w:rFonts w:ascii="Arial"/>
                            <w:sz w:val="16"/>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9"/>
                          <w:jc w:val="right"/>
                          <w:rPr>
                            <w:rFonts w:ascii="Arial" w:hAnsi="Arial" w:cs="Arial" w:eastAsia="Arial" w:hint="default"/>
                            <w:sz w:val="16"/>
                            <w:szCs w:val="16"/>
                          </w:rPr>
                        </w:pPr>
                        <w:r>
                          <w:rPr>
                            <w:rFonts w:ascii="Arial"/>
                            <w:w w:val="99"/>
                            <w:sz w:val="16"/>
                          </w:rPr>
                          <w:t>-</w:t>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2"/>
                          <w:jc w:val="right"/>
                          <w:rPr>
                            <w:rFonts w:ascii="Arial" w:hAnsi="Arial" w:cs="Arial" w:eastAsia="Arial" w:hint="default"/>
                            <w:sz w:val="16"/>
                            <w:szCs w:val="16"/>
                          </w:rPr>
                        </w:pPr>
                        <w:r>
                          <w:rPr>
                            <w:rFonts w:ascii="Arial"/>
                            <w:w w:val="95"/>
                            <w:sz w:val="16"/>
                          </w:rPr>
                          <w:t>(40,926,482)</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spacing w:line="181" w:lineRule="exact"/>
                          <w:ind w:right="103"/>
                          <w:jc w:val="right"/>
                          <w:rPr>
                            <w:rFonts w:ascii="Arial" w:hAnsi="Arial" w:cs="Arial" w:eastAsia="Arial" w:hint="default"/>
                            <w:sz w:val="16"/>
                            <w:szCs w:val="16"/>
                          </w:rPr>
                        </w:pPr>
                        <w:r>
                          <w:rPr>
                            <w:rFonts w:ascii="Arial"/>
                            <w:w w:val="99"/>
                            <w:sz w:val="16"/>
                          </w:rPr>
                          <w:t>-</w:t>
                        </w:r>
                        <w:r>
                          <w:rPr>
                            <w:rFonts w:ascii="Arial"/>
                            <w:sz w:val="16"/>
                          </w:rPr>
                        </w:r>
                      </w:p>
                    </w:tc>
                  </w:tr>
                  <w:tr>
                    <w:trPr>
                      <w:trHeight w:val="321" w:hRule="exact"/>
                    </w:trPr>
                    <w:tc>
                      <w:tcPr>
                        <w:tcW w:w="9047" w:type="dxa"/>
                        <w:gridSpan w:val="5"/>
                        <w:tcBorders>
                          <w:top w:val="nil" w:sz="6" w:space="0" w:color="auto"/>
                          <w:left w:val="nil" w:sz="6" w:space="0" w:color="auto"/>
                          <w:bottom w:val="nil" w:sz="6" w:space="0" w:color="auto"/>
                          <w:right w:val="nil" w:sz="6" w:space="0" w:color="auto"/>
                        </w:tcBorders>
                      </w:tcPr>
                      <w:p>
                        <w:pPr>
                          <w:pStyle w:val="TableParagraph"/>
                          <w:tabs>
                            <w:tab w:pos="3927" w:val="left" w:leader="none"/>
                            <w:tab w:pos="4345" w:val="left" w:leader="none"/>
                            <w:tab w:pos="6329" w:val="left" w:leader="none"/>
                            <w:tab w:pos="7607" w:val="left" w:leader="none"/>
                            <w:tab w:pos="8140" w:val="left" w:leader="none"/>
                          </w:tabs>
                          <w:spacing w:line="211"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其他</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33,873,261</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tab/>
                        </w:r>
                        <w:r>
                          <w:rPr>
                            <w:rFonts w:ascii="Arial" w:hAnsi="Arial" w:cs="Arial" w:eastAsia="Arial" w:hint="default"/>
                            <w:position w:val="1"/>
                            <w:sz w:val="16"/>
                            <w:szCs w:val="16"/>
                          </w:rPr>
                          <w:t>33,873,261</w:t>
                        </w:r>
                        <w:r>
                          <w:rPr>
                            <w:rFonts w:ascii="Arial" w:hAnsi="Arial" w:cs="Arial" w:eastAsia="Arial" w:hint="default"/>
                            <w:sz w:val="16"/>
                            <w:szCs w:val="16"/>
                          </w:rPr>
                        </w:r>
                      </w:p>
                    </w:tc>
                  </w:tr>
                  <w:tr>
                    <w:trPr>
                      <w:trHeight w:val="320"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63"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244"/>
                          <w:jc w:val="right"/>
                          <w:rPr>
                            <w:rFonts w:ascii="Arial" w:hAnsi="Arial" w:cs="Arial" w:eastAsia="Arial" w:hint="default"/>
                            <w:sz w:val="16"/>
                            <w:szCs w:val="16"/>
                          </w:rPr>
                        </w:pPr>
                        <w:r>
                          <w:rPr>
                            <w:rFonts w:ascii="Arial"/>
                            <w:w w:val="95"/>
                            <w:sz w:val="16"/>
                          </w:rPr>
                          <w:t>27,859,867,254</w:t>
                        </w:r>
                        <w:r>
                          <w:rPr>
                            <w:rFonts w:ascii="Arial"/>
                            <w:sz w:val="16"/>
                          </w:rPr>
                        </w:r>
                      </w:p>
                    </w:tc>
                    <w:tc>
                      <w:tcPr>
                        <w:tcW w:w="1143"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50"/>
                          <w:jc w:val="right"/>
                          <w:rPr>
                            <w:rFonts w:ascii="Arial" w:hAnsi="Arial" w:cs="Arial" w:eastAsia="Arial" w:hint="default"/>
                            <w:sz w:val="16"/>
                            <w:szCs w:val="16"/>
                          </w:rPr>
                        </w:pPr>
                        <w:r>
                          <w:rPr>
                            <w:rFonts w:ascii="Arial"/>
                            <w:w w:val="95"/>
                            <w:sz w:val="16"/>
                          </w:rPr>
                          <w:t>17,205,928</w:t>
                        </w:r>
                        <w:r>
                          <w:rPr>
                            <w:rFonts w:ascii="Arial"/>
                            <w:sz w:val="16"/>
                          </w:rPr>
                        </w:r>
                      </w:p>
                    </w:tc>
                    <w:tc>
                      <w:tcPr>
                        <w:tcW w:w="122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72"/>
                          <w:jc w:val="right"/>
                          <w:rPr>
                            <w:rFonts w:ascii="Arial" w:hAnsi="Arial" w:cs="Arial" w:eastAsia="Arial" w:hint="default"/>
                            <w:sz w:val="16"/>
                            <w:szCs w:val="16"/>
                          </w:rPr>
                        </w:pPr>
                        <w:r>
                          <w:rPr>
                            <w:rFonts w:ascii="Arial"/>
                            <w:w w:val="95"/>
                            <w:sz w:val="16"/>
                          </w:rPr>
                          <w:t>(717,629,497)</w:t>
                        </w:r>
                        <w:r>
                          <w:rPr>
                            <w:rFonts w:ascii="Arial"/>
                            <w:sz w:val="16"/>
                          </w:rPr>
                        </w:r>
                      </w:p>
                    </w:tc>
                    <w:tc>
                      <w:tcPr>
                        <w:tcW w:w="1292"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05"/>
                          <w:jc w:val="right"/>
                          <w:rPr>
                            <w:rFonts w:ascii="Arial" w:hAnsi="Arial" w:cs="Arial" w:eastAsia="Arial" w:hint="default"/>
                            <w:sz w:val="16"/>
                            <w:szCs w:val="16"/>
                          </w:rPr>
                        </w:pPr>
                        <w:r>
                          <w:rPr>
                            <w:rFonts w:ascii="Arial"/>
                            <w:w w:val="95"/>
                            <w:sz w:val="16"/>
                          </w:rPr>
                          <w:t>27,159,443,685</w:t>
                        </w:r>
                        <w:r>
                          <w:rPr>
                            <w:rFonts w:ascii="Arial"/>
                            <w:sz w:val="16"/>
                          </w:rPr>
                        </w:r>
                      </w:p>
                    </w:tc>
                  </w:tr>
                </w:tbl>
                <w:p>
                  <w:pPr/>
                </w:p>
              </w:txbxContent>
            </v:textbox>
            <w10:wrap type="none"/>
          </v:shape>
        </w:pict>
      </w:r>
      <w:r>
        <w:rPr>
          <w:rFonts w:ascii="宋体" w:hAnsi="宋体" w:cs="宋体" w:eastAsia="宋体" w:hint="default"/>
          <w:spacing w:val="8"/>
          <w:sz w:val="16"/>
          <w:szCs w:val="16"/>
        </w:rPr>
        <w:t>确认子公司员工行使股份期权所增加的子公司</w:t>
      </w:r>
      <w:r>
        <w:rPr>
          <w:rFonts w:ascii="宋体" w:hAnsi="宋体" w:cs="宋体" w:eastAsia="宋体" w:hint="default"/>
          <w:sz w:val="16"/>
          <w:szCs w:val="16"/>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p>
      <w:pPr>
        <w:spacing w:line="20" w:lineRule="exact"/>
        <w:ind w:left="8345" w:right="0" w:firstLine="0"/>
        <w:rPr>
          <w:rFonts w:ascii="宋体" w:hAnsi="宋体" w:cs="宋体" w:eastAsia="宋体" w:hint="default"/>
          <w:sz w:val="2"/>
          <w:szCs w:val="2"/>
        </w:rPr>
      </w:pPr>
      <w:r>
        <w:rPr>
          <w:rFonts w:ascii="宋体" w:hAnsi="宋体" w:cs="宋体" w:eastAsia="宋体" w:hint="default"/>
          <w:sz w:val="2"/>
          <w:szCs w:val="2"/>
        </w:rPr>
        <w:pict>
          <v:group style="width:65.4pt;height:.75pt;mso-position-horizontal-relative:char;mso-position-vertical-relative:line" coordorigin="0,0" coordsize="1308,15">
            <v:group style="position:absolute;left:7;top:7;width:1294;height:2" coordorigin="7,7" coordsize="1294,2">
              <v:shape style="position:absolute;left:7;top:7;width:1294;height:2" coordorigin="7,7" coordsize="1294,0" path="m7,7l1301,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240" w:right="860"/>
        </w:sectPr>
      </w:pPr>
    </w:p>
    <w:p>
      <w:pPr>
        <w:spacing w:line="240" w:lineRule="auto" w:before="11"/>
        <w:rPr>
          <w:rFonts w:ascii="宋体" w:hAnsi="宋体" w:cs="宋体" w:eastAsia="宋体" w:hint="default"/>
          <w:sz w:val="9"/>
          <w:szCs w:val="9"/>
        </w:rPr>
      </w:pPr>
    </w:p>
    <w:tbl>
      <w:tblPr>
        <w:tblW w:w="0" w:type="auto"/>
        <w:jc w:val="left"/>
        <w:tblInd w:w="579" w:type="dxa"/>
        <w:tblLayout w:type="fixed"/>
        <w:tblCellMar>
          <w:top w:w="0" w:type="dxa"/>
          <w:left w:w="0" w:type="dxa"/>
          <w:bottom w:w="0" w:type="dxa"/>
          <w:right w:w="0" w:type="dxa"/>
        </w:tblCellMar>
        <w:tblLook w:val="01E0"/>
      </w:tblPr>
      <w:tblGrid>
        <w:gridCol w:w="3559"/>
        <w:gridCol w:w="435"/>
        <w:gridCol w:w="1421"/>
        <w:gridCol w:w="1304"/>
        <w:gridCol w:w="1049"/>
        <w:gridCol w:w="1283"/>
      </w:tblGrid>
      <w:tr>
        <w:trPr>
          <w:trHeight w:val="500" w:hRule="exact"/>
        </w:trPr>
        <w:tc>
          <w:tcPr>
            <w:tcW w:w="3994"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tabs>
                <w:tab w:pos="3566" w:val="left" w:leader="none"/>
              </w:tabs>
              <w:spacing w:line="240" w:lineRule="auto"/>
              <w:ind w:left="1550" w:right="0"/>
              <w:jc w:val="left"/>
              <w:rPr>
                <w:rFonts w:ascii="宋体" w:hAnsi="宋体" w:cs="宋体" w:eastAsia="宋体" w:hint="default"/>
                <w:sz w:val="16"/>
                <w:szCs w:val="16"/>
              </w:rPr>
            </w:pPr>
            <w:r>
              <w:rPr>
                <w:rFonts w:ascii="宋体" w:hAnsi="宋体" w:cs="宋体" w:eastAsia="宋体" w:hint="default"/>
                <w:w w:val="95"/>
                <w:sz w:val="16"/>
                <w:szCs w:val="16"/>
              </w:rPr>
              <w:t>项目</w:t>
              <w:tab/>
            </w:r>
            <w:r>
              <w:rPr>
                <w:rFonts w:ascii="宋体" w:hAnsi="宋体" w:cs="宋体" w:eastAsia="宋体" w:hint="default"/>
                <w:sz w:val="16"/>
                <w:szCs w:val="16"/>
              </w:rPr>
              <w:t>注释</w:t>
            </w:r>
          </w:p>
        </w:tc>
        <w:tc>
          <w:tcPr>
            <w:tcW w:w="1421" w:type="dxa"/>
            <w:tcBorders>
              <w:top w:val="nil" w:sz="6" w:space="0" w:color="auto"/>
              <w:left w:val="nil" w:sz="6" w:space="0" w:color="auto"/>
              <w:bottom w:val="single" w:sz="6" w:space="0" w:color="000000"/>
              <w:right w:val="nil" w:sz="6" w:space="0" w:color="auto"/>
            </w:tcBorders>
          </w:tcPr>
          <w:p>
            <w:pPr>
              <w:pStyle w:val="TableParagraph"/>
              <w:spacing w:line="214" w:lineRule="exact" w:before="50"/>
              <w:ind w:left="690"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50"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304"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049"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0"/>
              <w:jc w:val="right"/>
              <w:rPr>
                <w:rFonts w:ascii="宋体" w:hAnsi="宋体" w:cs="宋体" w:eastAsia="宋体" w:hint="default"/>
                <w:sz w:val="16"/>
                <w:szCs w:val="16"/>
              </w:rPr>
            </w:pPr>
            <w:r>
              <w:rPr>
                <w:rFonts w:ascii="宋体" w:hAnsi="宋体" w:cs="宋体" w:eastAsia="宋体" w:hint="default"/>
                <w:w w:val="95"/>
                <w:sz w:val="16"/>
                <w:szCs w:val="16"/>
              </w:rPr>
              <w:t>本年减少</w:t>
            </w:r>
            <w:r>
              <w:rPr>
                <w:rFonts w:ascii="宋体" w:hAnsi="宋体" w:cs="宋体" w:eastAsia="宋体" w:hint="default"/>
                <w:sz w:val="16"/>
                <w:szCs w:val="16"/>
              </w:rPr>
            </w:r>
          </w:p>
        </w:tc>
        <w:tc>
          <w:tcPr>
            <w:tcW w:w="1283" w:type="dxa"/>
            <w:tcBorders>
              <w:top w:val="nil" w:sz="6" w:space="0" w:color="auto"/>
              <w:left w:val="nil" w:sz="6" w:space="0" w:color="auto"/>
              <w:bottom w:val="single" w:sz="6" w:space="0" w:color="000000"/>
              <w:right w:val="nil" w:sz="6" w:space="0" w:color="auto"/>
            </w:tcBorders>
          </w:tcPr>
          <w:p>
            <w:pPr>
              <w:pStyle w:val="TableParagraph"/>
              <w:spacing w:line="214" w:lineRule="exact" w:before="50"/>
              <w:ind w:left="652"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12"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224" w:hRule="exact"/>
        </w:trPr>
        <w:tc>
          <w:tcPr>
            <w:tcW w:w="3994" w:type="dxa"/>
            <w:gridSpan w:val="2"/>
            <w:tcBorders>
              <w:top w:val="single" w:sz="6" w:space="0" w:color="000000"/>
              <w:left w:val="nil" w:sz="6" w:space="0" w:color="auto"/>
              <w:bottom w:val="nil" w:sz="6" w:space="0" w:color="auto"/>
              <w:right w:val="nil" w:sz="6" w:space="0" w:color="auto"/>
            </w:tcBorders>
          </w:tcPr>
          <w:p>
            <w:pPr/>
          </w:p>
        </w:tc>
        <w:tc>
          <w:tcPr>
            <w:tcW w:w="1421" w:type="dxa"/>
            <w:tcBorders>
              <w:top w:val="single" w:sz="6" w:space="0" w:color="000000"/>
              <w:left w:val="nil" w:sz="6" w:space="0" w:color="auto"/>
              <w:bottom w:val="nil" w:sz="6" w:space="0" w:color="auto"/>
              <w:right w:val="nil" w:sz="6" w:space="0" w:color="auto"/>
            </w:tcBorders>
          </w:tcPr>
          <w:p>
            <w:pPr>
              <w:pStyle w:val="TableParagraph"/>
              <w:spacing w:line="183" w:lineRule="exact"/>
              <w:ind w:right="173"/>
              <w:jc w:val="right"/>
              <w:rPr>
                <w:rFonts w:ascii="宋体" w:hAnsi="宋体" w:cs="宋体" w:eastAsia="宋体" w:hint="default"/>
                <w:sz w:val="16"/>
                <w:szCs w:val="16"/>
              </w:rPr>
            </w:pPr>
            <w:r>
              <w:rPr>
                <w:rFonts w:ascii="宋体" w:hAnsi="宋体" w:cs="宋体" w:eastAsia="宋体" w:hint="default"/>
                <w:w w:val="95"/>
                <w:sz w:val="16"/>
                <w:szCs w:val="16"/>
              </w:rPr>
              <w:t>（经重列）</w:t>
            </w:r>
            <w:r>
              <w:rPr>
                <w:rFonts w:ascii="宋体" w:hAnsi="宋体" w:cs="宋体" w:eastAsia="宋体" w:hint="default"/>
                <w:sz w:val="16"/>
                <w:szCs w:val="16"/>
              </w:rPr>
            </w:r>
          </w:p>
        </w:tc>
        <w:tc>
          <w:tcPr>
            <w:tcW w:w="1304" w:type="dxa"/>
            <w:tcBorders>
              <w:top w:val="single" w:sz="6" w:space="0" w:color="000000"/>
              <w:left w:val="nil" w:sz="6" w:space="0" w:color="auto"/>
              <w:bottom w:val="nil" w:sz="6" w:space="0" w:color="auto"/>
              <w:right w:val="nil" w:sz="6" w:space="0" w:color="auto"/>
            </w:tcBorders>
          </w:tcPr>
          <w:p>
            <w:pPr/>
          </w:p>
        </w:tc>
        <w:tc>
          <w:tcPr>
            <w:tcW w:w="1049" w:type="dxa"/>
            <w:tcBorders>
              <w:top w:val="single" w:sz="6" w:space="0" w:color="000000"/>
              <w:left w:val="nil" w:sz="6" w:space="0" w:color="auto"/>
              <w:bottom w:val="nil" w:sz="6" w:space="0" w:color="auto"/>
              <w:right w:val="nil" w:sz="6" w:space="0" w:color="auto"/>
            </w:tcBorders>
          </w:tcPr>
          <w:p>
            <w:pPr/>
          </w:p>
        </w:tc>
        <w:tc>
          <w:tcPr>
            <w:tcW w:w="1283" w:type="dxa"/>
            <w:tcBorders>
              <w:top w:val="single" w:sz="6" w:space="0" w:color="000000"/>
              <w:left w:val="nil" w:sz="6" w:space="0" w:color="auto"/>
              <w:bottom w:val="nil" w:sz="6" w:space="0" w:color="auto"/>
              <w:right w:val="nil" w:sz="6" w:space="0" w:color="auto"/>
            </w:tcBorders>
          </w:tcPr>
          <w:p>
            <w:pPr/>
          </w:p>
        </w:tc>
      </w:tr>
      <w:tr>
        <w:trPr>
          <w:trHeight w:val="217" w:hRule="exact"/>
        </w:trPr>
        <w:tc>
          <w:tcPr>
            <w:tcW w:w="3994" w:type="dxa"/>
            <w:gridSpan w:val="2"/>
            <w:tcBorders>
              <w:top w:val="nil" w:sz="6" w:space="0" w:color="auto"/>
              <w:left w:val="nil" w:sz="6" w:space="0" w:color="auto"/>
              <w:bottom w:val="nil" w:sz="6" w:space="0" w:color="auto"/>
              <w:right w:val="nil" w:sz="6" w:space="0" w:color="auto"/>
            </w:tcBorders>
          </w:tcPr>
          <w:p>
            <w:pPr>
              <w:pStyle w:val="TableParagraph"/>
              <w:tabs>
                <w:tab w:pos="3651" w:val="left" w:leader="none"/>
              </w:tabs>
              <w:spacing w:line="197"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发起人出资溢价</w:t>
              <w:tab/>
            </w:r>
            <w:r>
              <w:rPr>
                <w:rFonts w:ascii="Arial" w:hAnsi="Arial" w:cs="Arial" w:eastAsia="Arial" w:hint="default"/>
                <w:sz w:val="16"/>
                <w:szCs w:val="16"/>
              </w:rPr>
              <w:t>a</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9"/>
              <w:jc w:val="right"/>
              <w:rPr>
                <w:rFonts w:ascii="Arial" w:hAnsi="Arial" w:cs="Arial" w:eastAsia="Arial" w:hint="default"/>
                <w:sz w:val="16"/>
                <w:szCs w:val="16"/>
              </w:rPr>
            </w:pPr>
            <w:r>
              <w:rPr>
                <w:rFonts w:ascii="Arial"/>
                <w:w w:val="95"/>
                <w:sz w:val="16"/>
              </w:rPr>
              <w:t>7,913,551,905</w:t>
            </w:r>
            <w:r>
              <w:rPr>
                <w:rFonts w:ascii="Arial"/>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5"/>
              <w:jc w:val="right"/>
              <w:rPr>
                <w:rFonts w:ascii="Arial" w:hAnsi="Arial" w:cs="Arial" w:eastAsia="Arial" w:hint="default"/>
                <w:sz w:val="16"/>
                <w:szCs w:val="16"/>
              </w:rPr>
            </w:pPr>
            <w:r>
              <w:rPr>
                <w:rFonts w:ascii="Arial"/>
                <w:w w:val="99"/>
                <w:sz w:val="16"/>
              </w:rPr>
              <w:t>-</w:t>
            </w:r>
            <w:r>
              <w:rPr>
                <w:rFonts w:ascii="Arial"/>
                <w:sz w:val="16"/>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Arial" w:hAnsi="Arial" w:cs="Arial" w:eastAsia="Arial" w:hint="default"/>
                <w:sz w:val="16"/>
                <w:szCs w:val="16"/>
              </w:rPr>
            </w:pPr>
            <w:r>
              <w:rPr>
                <w:rFonts w:ascii="Arial"/>
                <w:w w:val="99"/>
                <w:sz w:val="16"/>
              </w:rPr>
              <w:t>-</w:t>
            </w:r>
            <w:r>
              <w:rPr>
                <w:rFonts w:ascii="Arial"/>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7"/>
              <w:jc w:val="right"/>
              <w:rPr>
                <w:rFonts w:ascii="Arial" w:hAnsi="Arial" w:cs="Arial" w:eastAsia="Arial" w:hint="default"/>
                <w:sz w:val="16"/>
                <w:szCs w:val="16"/>
              </w:rPr>
            </w:pPr>
            <w:r>
              <w:rPr>
                <w:rFonts w:ascii="Arial"/>
                <w:w w:val="95"/>
                <w:sz w:val="16"/>
              </w:rPr>
              <w:t>7,913,551,905</w:t>
            </w:r>
            <w:r>
              <w:rPr>
                <w:rFonts w:ascii="Arial"/>
                <w:sz w:val="16"/>
              </w:rPr>
            </w:r>
          </w:p>
        </w:tc>
      </w:tr>
      <w:tr>
        <w:trPr>
          <w:trHeight w:val="198" w:hRule="exact"/>
        </w:trPr>
        <w:tc>
          <w:tcPr>
            <w:tcW w:w="3994" w:type="dxa"/>
            <w:gridSpan w:val="2"/>
            <w:tcBorders>
              <w:top w:val="nil" w:sz="6" w:space="0" w:color="auto"/>
              <w:left w:val="nil" w:sz="6" w:space="0" w:color="auto"/>
              <w:bottom w:val="nil" w:sz="6" w:space="0" w:color="auto"/>
              <w:right w:val="nil" w:sz="6" w:space="0" w:color="auto"/>
            </w:tcBorders>
          </w:tcPr>
          <w:p>
            <w:pPr>
              <w:pStyle w:val="TableParagraph"/>
              <w:tabs>
                <w:tab w:pos="3651" w:val="left" w:leader="none"/>
              </w:tabs>
              <w:spacing w:line="187" w:lineRule="exact"/>
              <w:ind w:left="35" w:right="0"/>
              <w:jc w:val="left"/>
              <w:rPr>
                <w:rFonts w:ascii="Arial" w:hAnsi="Arial" w:cs="Arial" w:eastAsia="Arial" w:hint="default"/>
                <w:sz w:val="16"/>
                <w:szCs w:val="16"/>
              </w:rPr>
            </w:pPr>
            <w:r>
              <w:rPr>
                <w:rFonts w:ascii="宋体" w:hAnsi="宋体" w:cs="宋体" w:eastAsia="宋体" w:hint="default"/>
                <w:w w:val="95"/>
                <w:position w:val="1"/>
                <w:sz w:val="16"/>
                <w:szCs w:val="16"/>
              </w:rPr>
              <w:t>人民币普通股发行溢价</w:t>
              <w:tab/>
            </w:r>
            <w:r>
              <w:rPr>
                <w:rFonts w:ascii="Arial" w:hAnsi="Arial" w:cs="Arial" w:eastAsia="Arial" w:hint="default"/>
                <w:sz w:val="16"/>
                <w:szCs w:val="16"/>
              </w:rPr>
              <w:t>a</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9"/>
              <w:jc w:val="right"/>
              <w:rPr>
                <w:rFonts w:ascii="Arial" w:hAnsi="Arial" w:cs="Arial" w:eastAsia="Arial" w:hint="default"/>
                <w:sz w:val="16"/>
                <w:szCs w:val="16"/>
              </w:rPr>
            </w:pPr>
            <w:r>
              <w:rPr>
                <w:rFonts w:ascii="Arial"/>
                <w:w w:val="95"/>
                <w:sz w:val="16"/>
              </w:rPr>
              <w:t>9,197,551,203</w:t>
            </w:r>
            <w:r>
              <w:rPr>
                <w:rFonts w:ascii="Arial"/>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5"/>
              <w:jc w:val="right"/>
              <w:rPr>
                <w:rFonts w:ascii="Arial" w:hAnsi="Arial" w:cs="Arial" w:eastAsia="Arial" w:hint="default"/>
                <w:sz w:val="16"/>
                <w:szCs w:val="16"/>
              </w:rPr>
            </w:pPr>
            <w:r>
              <w:rPr>
                <w:rFonts w:ascii="Arial"/>
                <w:w w:val="99"/>
                <w:sz w:val="16"/>
              </w:rPr>
              <w:t>-</w:t>
            </w:r>
            <w:r>
              <w:rPr>
                <w:rFonts w:ascii="Arial"/>
                <w:sz w:val="16"/>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9"/>
              <w:jc w:val="right"/>
              <w:rPr>
                <w:rFonts w:ascii="Arial" w:hAnsi="Arial" w:cs="Arial" w:eastAsia="Arial" w:hint="default"/>
                <w:sz w:val="16"/>
                <w:szCs w:val="16"/>
              </w:rPr>
            </w:pPr>
            <w:r>
              <w:rPr>
                <w:rFonts w:ascii="Arial"/>
                <w:w w:val="99"/>
                <w:sz w:val="16"/>
              </w:rPr>
              <w:t>-</w:t>
            </w:r>
            <w:r>
              <w:rPr>
                <w:rFonts w:ascii="Arial"/>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7"/>
              <w:jc w:val="right"/>
              <w:rPr>
                <w:rFonts w:ascii="Arial" w:hAnsi="Arial" w:cs="Arial" w:eastAsia="Arial" w:hint="default"/>
                <w:sz w:val="16"/>
                <w:szCs w:val="16"/>
              </w:rPr>
            </w:pPr>
            <w:r>
              <w:rPr>
                <w:rFonts w:ascii="Arial"/>
                <w:w w:val="95"/>
                <w:sz w:val="16"/>
              </w:rPr>
              <w:t>9,197,551,203</w:t>
            </w:r>
            <w:r>
              <w:rPr>
                <w:rFonts w:ascii="Arial"/>
                <w:sz w:val="16"/>
              </w:rPr>
            </w:r>
          </w:p>
        </w:tc>
      </w:tr>
      <w:tr>
        <w:trPr>
          <w:trHeight w:val="198"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60" w:lineRule="exact"/>
              <w:ind w:left="35" w:right="0"/>
              <w:jc w:val="left"/>
              <w:rPr>
                <w:rFonts w:ascii="宋体" w:hAnsi="宋体" w:cs="宋体" w:eastAsia="宋体" w:hint="default"/>
                <w:sz w:val="16"/>
                <w:szCs w:val="16"/>
              </w:rPr>
            </w:pPr>
            <w:r>
              <w:rPr>
                <w:rFonts w:ascii="宋体" w:hAnsi="宋体" w:cs="宋体" w:eastAsia="宋体" w:hint="default"/>
                <w:spacing w:val="8"/>
                <w:sz w:val="16"/>
                <w:szCs w:val="16"/>
              </w:rPr>
              <w:t>联通运营公司同一控制下收购相关电信业务的</w:t>
            </w:r>
            <w:r>
              <w:rPr>
                <w:rFonts w:ascii="宋体" w:hAnsi="宋体" w:cs="宋体" w:eastAsia="宋体" w:hint="default"/>
                <w:sz w:val="16"/>
                <w:szCs w:val="16"/>
              </w:rPr>
            </w:r>
          </w:p>
        </w:tc>
        <w:tc>
          <w:tcPr>
            <w:tcW w:w="4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3636" w:type="dxa"/>
            <w:gridSpan w:val="3"/>
            <w:tcBorders>
              <w:top w:val="nil" w:sz="6" w:space="0" w:color="auto"/>
              <w:left w:val="nil" w:sz="6" w:space="0" w:color="auto"/>
              <w:bottom w:val="nil" w:sz="6" w:space="0" w:color="auto"/>
              <w:right w:val="nil" w:sz="6" w:space="0" w:color="auto"/>
            </w:tcBorders>
          </w:tcPr>
          <w:p>
            <w:pPr/>
          </w:p>
        </w:tc>
      </w:tr>
      <w:tr>
        <w:trPr>
          <w:trHeight w:val="415"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82" w:lineRule="exact"/>
              <w:ind w:left="174" w:right="0"/>
              <w:jc w:val="left"/>
              <w:rPr>
                <w:rFonts w:ascii="宋体" w:hAnsi="宋体" w:cs="宋体" w:eastAsia="宋体" w:hint="default"/>
                <w:sz w:val="16"/>
                <w:szCs w:val="16"/>
              </w:rPr>
            </w:pPr>
            <w:r>
              <w:rPr>
                <w:rFonts w:ascii="宋体" w:hAnsi="宋体" w:cs="宋体" w:eastAsia="宋体" w:hint="default"/>
                <w:w w:val="99"/>
                <w:sz w:val="16"/>
                <w:szCs w:val="16"/>
              </w:rPr>
              <w:t>影</w:t>
            </w:r>
            <w:r>
              <w:rPr>
                <w:rFonts w:ascii="宋体" w:hAnsi="宋体" w:cs="宋体" w:eastAsia="宋体" w:hint="default"/>
                <w:spacing w:val="-66"/>
                <w:w w:val="99"/>
                <w:sz w:val="16"/>
                <w:szCs w:val="16"/>
              </w:rPr>
              <w:t>响</w:t>
            </w:r>
            <w:r>
              <w:rPr>
                <w:rFonts w:ascii="宋体" w:hAnsi="宋体" w:cs="宋体" w:eastAsia="宋体" w:hint="default"/>
                <w:w w:val="99"/>
                <w:sz w:val="16"/>
                <w:szCs w:val="16"/>
              </w:rPr>
              <w:t>（</w:t>
            </w:r>
            <w:r>
              <w:rPr>
                <w:rFonts w:ascii="宋体" w:hAnsi="宋体" w:cs="宋体" w:eastAsia="宋体" w:hint="default"/>
                <w:spacing w:val="1"/>
                <w:w w:val="99"/>
                <w:sz w:val="16"/>
                <w:szCs w:val="16"/>
              </w:rPr>
              <w:t>除</w:t>
            </w:r>
            <w:r>
              <w:rPr>
                <w:rFonts w:ascii="宋体" w:hAnsi="宋体" w:cs="宋体" w:eastAsia="宋体" w:hint="default"/>
                <w:w w:val="99"/>
                <w:sz w:val="16"/>
                <w:szCs w:val="16"/>
              </w:rPr>
              <w:t>可供</w:t>
            </w:r>
            <w:r>
              <w:rPr>
                <w:rFonts w:ascii="宋体" w:hAnsi="宋体" w:cs="宋体" w:eastAsia="宋体" w:hint="default"/>
                <w:spacing w:val="1"/>
                <w:w w:val="99"/>
                <w:sz w:val="16"/>
                <w:szCs w:val="16"/>
              </w:rPr>
              <w:t>出售</w:t>
            </w:r>
            <w:r>
              <w:rPr>
                <w:rFonts w:ascii="宋体" w:hAnsi="宋体" w:cs="宋体" w:eastAsia="宋体" w:hint="default"/>
                <w:w w:val="99"/>
                <w:sz w:val="16"/>
                <w:szCs w:val="16"/>
              </w:rPr>
              <w:t>金融资</w:t>
            </w:r>
            <w:r>
              <w:rPr>
                <w:rFonts w:ascii="宋体" w:hAnsi="宋体" w:cs="宋体" w:eastAsia="宋体" w:hint="default"/>
                <w:spacing w:val="1"/>
                <w:w w:val="99"/>
                <w:sz w:val="16"/>
                <w:szCs w:val="16"/>
              </w:rPr>
              <w:t>产</w:t>
            </w:r>
            <w:r>
              <w:rPr>
                <w:rFonts w:ascii="宋体" w:hAnsi="宋体" w:cs="宋体" w:eastAsia="宋体" w:hint="default"/>
                <w:w w:val="99"/>
                <w:sz w:val="16"/>
                <w:szCs w:val="16"/>
              </w:rPr>
              <w:t>公允</w:t>
            </w:r>
            <w:r>
              <w:rPr>
                <w:rFonts w:ascii="宋体" w:hAnsi="宋体" w:cs="宋体" w:eastAsia="宋体" w:hint="default"/>
                <w:spacing w:val="1"/>
                <w:w w:val="99"/>
                <w:sz w:val="16"/>
                <w:szCs w:val="16"/>
              </w:rPr>
              <w:t>价</w:t>
            </w:r>
            <w:r>
              <w:rPr>
                <w:rFonts w:ascii="宋体" w:hAnsi="宋体" w:cs="宋体" w:eastAsia="宋体" w:hint="default"/>
                <w:w w:val="99"/>
                <w:sz w:val="16"/>
                <w:szCs w:val="16"/>
              </w:rPr>
              <w:t>值变动</w:t>
            </w:r>
            <w:r>
              <w:rPr>
                <w:rFonts w:ascii="宋体" w:hAnsi="宋体" w:cs="宋体" w:eastAsia="宋体" w:hint="default"/>
                <w:spacing w:val="1"/>
                <w:w w:val="99"/>
                <w:sz w:val="16"/>
                <w:szCs w:val="16"/>
              </w:rPr>
              <w:t>影</w:t>
            </w:r>
            <w:r>
              <w:rPr>
                <w:rFonts w:ascii="宋体" w:hAnsi="宋体" w:cs="宋体" w:eastAsia="宋体" w:hint="default"/>
                <w:w w:val="99"/>
                <w:sz w:val="16"/>
                <w:szCs w:val="16"/>
              </w:rPr>
              <w:t>响）</w:t>
            </w:r>
            <w:r>
              <w:rPr>
                <w:rFonts w:ascii="宋体" w:hAnsi="宋体" w:cs="宋体" w:eastAsia="宋体" w:hint="default"/>
                <w:sz w:val="16"/>
                <w:szCs w:val="16"/>
              </w:rPr>
            </w:r>
          </w:p>
          <w:p>
            <w:pPr>
              <w:pStyle w:val="TableParagraph"/>
              <w:spacing w:line="208" w:lineRule="exact"/>
              <w:ind w:left="35" w:right="0"/>
              <w:jc w:val="left"/>
              <w:rPr>
                <w:rFonts w:ascii="宋体" w:hAnsi="宋体" w:cs="宋体" w:eastAsia="宋体" w:hint="default"/>
                <w:sz w:val="16"/>
                <w:szCs w:val="16"/>
              </w:rPr>
            </w:pPr>
            <w:r>
              <w:rPr>
                <w:rFonts w:ascii="宋体" w:hAnsi="宋体" w:cs="宋体" w:eastAsia="宋体" w:hint="default"/>
                <w:spacing w:val="8"/>
                <w:sz w:val="16"/>
                <w:szCs w:val="16"/>
              </w:rPr>
              <w:t>确认子公司持有可供出售金融资产公允价值变</w:t>
            </w:r>
            <w:r>
              <w:rPr>
                <w:rFonts w:ascii="宋体" w:hAnsi="宋体" w:cs="宋体" w:eastAsia="宋体" w:hint="default"/>
                <w:sz w:val="16"/>
                <w:szCs w:val="16"/>
              </w:rPr>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2" w:right="0"/>
              <w:jc w:val="left"/>
              <w:rPr>
                <w:rFonts w:ascii="Arial" w:hAnsi="Arial" w:cs="Arial" w:eastAsia="Arial" w:hint="default"/>
                <w:sz w:val="16"/>
                <w:szCs w:val="16"/>
              </w:rPr>
            </w:pPr>
            <w:r>
              <w:rPr>
                <w:rFonts w:ascii="Arial"/>
                <w:w w:val="99"/>
                <w:sz w:val="16"/>
              </w:rPr>
              <w:t>b</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9"/>
              <w:jc w:val="right"/>
              <w:rPr>
                <w:rFonts w:ascii="Arial" w:hAnsi="Arial" w:cs="Arial" w:eastAsia="Arial" w:hint="default"/>
                <w:sz w:val="16"/>
                <w:szCs w:val="16"/>
              </w:rPr>
            </w:pPr>
            <w:r>
              <w:rPr>
                <w:rFonts w:ascii="Arial"/>
                <w:w w:val="95"/>
                <w:sz w:val="16"/>
              </w:rPr>
              <w:t>554,184,732</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2158" w:val="left" w:leader="none"/>
                <w:tab w:pos="2628" w:val="left" w:leader="none"/>
              </w:tabs>
              <w:spacing w:line="240" w:lineRule="auto" w:before="22"/>
              <w:ind w:left="983" w:right="0"/>
              <w:jc w:val="left"/>
              <w:rPr>
                <w:rFonts w:ascii="Arial" w:hAnsi="Arial" w:cs="Arial" w:eastAsia="Arial" w:hint="default"/>
                <w:sz w:val="16"/>
                <w:szCs w:val="16"/>
              </w:rPr>
            </w:pPr>
            <w:r>
              <w:rPr>
                <w:rFonts w:ascii="Arial"/>
                <w:w w:val="95"/>
                <w:sz w:val="16"/>
              </w:rPr>
              <w:t>-</w:t>
              <w:tab/>
              <w:t>-</w:t>
              <w:tab/>
            </w:r>
            <w:r>
              <w:rPr>
                <w:rFonts w:ascii="Arial"/>
                <w:sz w:val="16"/>
              </w:rPr>
              <w:t>554,184,732</w:t>
            </w:r>
          </w:p>
        </w:tc>
      </w:tr>
      <w:tr>
        <w:trPr>
          <w:trHeight w:val="218"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84" w:lineRule="exact"/>
              <w:ind w:left="200" w:right="0"/>
              <w:jc w:val="left"/>
              <w:rPr>
                <w:rFonts w:ascii="宋体" w:hAnsi="宋体" w:cs="宋体" w:eastAsia="宋体" w:hint="default"/>
                <w:sz w:val="16"/>
                <w:szCs w:val="16"/>
              </w:rPr>
            </w:pPr>
            <w:r>
              <w:rPr>
                <w:rFonts w:ascii="宋体" w:hAnsi="宋体" w:cs="宋体" w:eastAsia="宋体" w:hint="default"/>
                <w:sz w:val="16"/>
                <w:szCs w:val="16"/>
              </w:rPr>
              <w:t>动的影响</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6" w:right="0"/>
              <w:jc w:val="left"/>
              <w:rPr>
                <w:rFonts w:ascii="Arial" w:hAnsi="Arial" w:cs="Arial" w:eastAsia="Arial" w:hint="default"/>
                <w:sz w:val="16"/>
                <w:szCs w:val="16"/>
              </w:rPr>
            </w:pPr>
            <w:r>
              <w:rPr>
                <w:rFonts w:ascii="Arial"/>
                <w:w w:val="99"/>
                <w:sz w:val="16"/>
              </w:rPr>
              <w:t>c</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9"/>
              <w:jc w:val="right"/>
              <w:rPr>
                <w:rFonts w:ascii="Arial" w:hAnsi="Arial" w:cs="Arial" w:eastAsia="Arial" w:hint="default"/>
                <w:sz w:val="16"/>
                <w:szCs w:val="16"/>
              </w:rPr>
            </w:pPr>
            <w:r>
              <w:rPr>
                <w:rFonts w:ascii="Arial"/>
                <w:w w:val="95"/>
                <w:sz w:val="16"/>
              </w:rPr>
              <w:t>1,913,334</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1277" w:val="left" w:leader="none"/>
                <w:tab w:pos="2575" w:val="left" w:leader="none"/>
              </w:tabs>
              <w:spacing w:line="240" w:lineRule="auto" w:before="23"/>
              <w:ind w:left="983" w:right="0"/>
              <w:jc w:val="left"/>
              <w:rPr>
                <w:rFonts w:ascii="Arial" w:hAnsi="Arial" w:cs="Arial" w:eastAsia="Arial" w:hint="default"/>
                <w:sz w:val="16"/>
                <w:szCs w:val="16"/>
              </w:rPr>
            </w:pPr>
            <w:r>
              <w:rPr>
                <w:rFonts w:ascii="Arial"/>
                <w:w w:val="95"/>
                <w:sz w:val="16"/>
              </w:rPr>
              <w:t>-</w:t>
              <w:tab/>
              <w:t>(454,102,803)</w:t>
              <w:tab/>
            </w:r>
            <w:r>
              <w:rPr>
                <w:rFonts w:ascii="Arial"/>
                <w:sz w:val="16"/>
              </w:rPr>
              <w:t>(452,189,469)</w:t>
            </w:r>
          </w:p>
        </w:tc>
      </w:tr>
      <w:tr>
        <w:trPr>
          <w:trHeight w:val="208"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子公司企业改制评估增值的影响</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2" w:right="0"/>
              <w:jc w:val="left"/>
              <w:rPr>
                <w:rFonts w:ascii="Arial" w:hAnsi="Arial" w:cs="Arial" w:eastAsia="Arial" w:hint="default"/>
                <w:sz w:val="16"/>
                <w:szCs w:val="16"/>
              </w:rPr>
            </w:pPr>
            <w:r>
              <w:rPr>
                <w:rFonts w:ascii="Arial"/>
                <w:w w:val="99"/>
                <w:sz w:val="16"/>
              </w:rPr>
              <w:t>d</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Arial" w:hAnsi="Arial" w:cs="Arial" w:eastAsia="Arial" w:hint="default"/>
                <w:sz w:val="16"/>
                <w:szCs w:val="16"/>
              </w:rPr>
            </w:pPr>
            <w:r>
              <w:rPr>
                <w:rFonts w:ascii="Arial"/>
                <w:w w:val="95"/>
                <w:sz w:val="16"/>
              </w:rPr>
              <w:t>29,996,252</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2158" w:val="left" w:leader="none"/>
                <w:tab w:pos="2717" w:val="left" w:leader="none"/>
              </w:tabs>
              <w:spacing w:line="240" w:lineRule="auto" w:before="13"/>
              <w:ind w:left="983" w:right="0"/>
              <w:jc w:val="left"/>
              <w:rPr>
                <w:rFonts w:ascii="Arial" w:hAnsi="Arial" w:cs="Arial" w:eastAsia="Arial" w:hint="default"/>
                <w:sz w:val="16"/>
                <w:szCs w:val="16"/>
              </w:rPr>
            </w:pPr>
            <w:r>
              <w:rPr>
                <w:rFonts w:ascii="Arial"/>
                <w:w w:val="95"/>
                <w:sz w:val="16"/>
              </w:rPr>
              <w:t>-</w:t>
              <w:tab/>
              <w:t>-</w:t>
              <w:tab/>
            </w:r>
            <w:r>
              <w:rPr>
                <w:rFonts w:ascii="Arial"/>
                <w:sz w:val="16"/>
              </w:rPr>
              <w:t>29,996,252</w:t>
            </w:r>
          </w:p>
        </w:tc>
      </w:tr>
      <w:tr>
        <w:trPr>
          <w:trHeight w:val="208"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与股份期权相关的员工薪酬所确认金额的影响</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2" w:right="0"/>
              <w:jc w:val="left"/>
              <w:rPr>
                <w:rFonts w:ascii="Arial" w:hAnsi="Arial" w:cs="Arial" w:eastAsia="Arial" w:hint="default"/>
                <w:sz w:val="16"/>
                <w:szCs w:val="16"/>
              </w:rPr>
            </w:pPr>
            <w:r>
              <w:rPr>
                <w:rFonts w:ascii="Arial"/>
                <w:w w:val="99"/>
                <w:sz w:val="16"/>
              </w:rPr>
              <w:t>e</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Arial" w:hAnsi="Arial" w:cs="Arial" w:eastAsia="Arial" w:hint="default"/>
                <w:sz w:val="16"/>
                <w:szCs w:val="16"/>
              </w:rPr>
            </w:pPr>
            <w:r>
              <w:rPr>
                <w:rFonts w:ascii="Arial"/>
                <w:w w:val="95"/>
                <w:sz w:val="16"/>
              </w:rPr>
              <w:t>254,071,521</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2157" w:val="left" w:leader="none"/>
                <w:tab w:pos="2628" w:val="left" w:leader="none"/>
              </w:tabs>
              <w:spacing w:line="240" w:lineRule="auto" w:before="13"/>
              <w:ind w:left="235" w:right="0"/>
              <w:jc w:val="left"/>
              <w:rPr>
                <w:rFonts w:ascii="Arial" w:hAnsi="Arial" w:cs="Arial" w:eastAsia="Arial" w:hint="default"/>
                <w:sz w:val="16"/>
                <w:szCs w:val="16"/>
              </w:rPr>
            </w:pPr>
            <w:r>
              <w:rPr>
                <w:rFonts w:ascii="Arial"/>
                <w:w w:val="95"/>
                <w:sz w:val="16"/>
              </w:rPr>
              <w:t>19,289,626</w:t>
              <w:tab/>
              <w:t>-</w:t>
              <w:tab/>
            </w:r>
            <w:r>
              <w:rPr>
                <w:rFonts w:ascii="Arial"/>
                <w:sz w:val="16"/>
              </w:rPr>
              <w:t>273,361,147</w:t>
            </w:r>
          </w:p>
        </w:tc>
      </w:tr>
      <w:tr>
        <w:trPr>
          <w:trHeight w:val="226"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联通红筹公司为投资西班牙电信而增发的股份</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4" w:right="0"/>
              <w:jc w:val="left"/>
              <w:rPr>
                <w:rFonts w:ascii="Arial" w:hAnsi="Arial" w:cs="Arial" w:eastAsia="Arial" w:hint="default"/>
                <w:sz w:val="16"/>
                <w:szCs w:val="16"/>
              </w:rPr>
            </w:pPr>
            <w:r>
              <w:rPr>
                <w:rFonts w:ascii="Arial"/>
                <w:w w:val="99"/>
                <w:sz w:val="16"/>
              </w:rPr>
              <w:t>f</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Arial" w:hAnsi="Arial" w:cs="Arial" w:eastAsia="Arial" w:hint="default"/>
                <w:sz w:val="16"/>
                <w:szCs w:val="16"/>
              </w:rPr>
            </w:pPr>
            <w:r>
              <w:rPr>
                <w:rFonts w:ascii="Arial"/>
                <w:w w:val="95"/>
                <w:sz w:val="16"/>
              </w:rPr>
              <w:t>2,274,479,484</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2157" w:val="left" w:leader="none"/>
                <w:tab w:pos="2494" w:val="left" w:leader="none"/>
              </w:tabs>
              <w:spacing w:line="240" w:lineRule="auto" w:before="13"/>
              <w:ind w:left="983" w:right="0"/>
              <w:jc w:val="left"/>
              <w:rPr>
                <w:rFonts w:ascii="Arial" w:hAnsi="Arial" w:cs="Arial" w:eastAsia="Arial" w:hint="default"/>
                <w:sz w:val="16"/>
                <w:szCs w:val="16"/>
              </w:rPr>
            </w:pPr>
            <w:r>
              <w:rPr>
                <w:rFonts w:ascii="Arial"/>
                <w:w w:val="95"/>
                <w:sz w:val="16"/>
              </w:rPr>
              <w:t>-</w:t>
              <w:tab/>
              <w:t>-</w:t>
              <w:tab/>
            </w:r>
            <w:r>
              <w:rPr>
                <w:rFonts w:ascii="Arial"/>
                <w:sz w:val="16"/>
              </w:rPr>
              <w:t>2,274,479,484</w:t>
            </w:r>
          </w:p>
        </w:tc>
      </w:tr>
      <w:tr>
        <w:trPr>
          <w:trHeight w:val="216"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92" w:lineRule="exact"/>
              <w:ind w:left="35" w:right="0"/>
              <w:jc w:val="left"/>
              <w:rPr>
                <w:rFonts w:ascii="宋体" w:hAnsi="宋体" w:cs="宋体" w:eastAsia="宋体" w:hint="default"/>
                <w:sz w:val="16"/>
                <w:szCs w:val="16"/>
              </w:rPr>
            </w:pPr>
            <w:r>
              <w:rPr>
                <w:rFonts w:ascii="宋体" w:hAnsi="宋体" w:cs="宋体" w:eastAsia="宋体" w:hint="default"/>
                <w:spacing w:val="8"/>
                <w:sz w:val="16"/>
                <w:szCs w:val="16"/>
              </w:rPr>
              <w:t>确认子公司员工行使股份期权所增加的子公司</w:t>
            </w:r>
            <w:r>
              <w:rPr>
                <w:rFonts w:ascii="宋体" w:hAnsi="宋体" w:cs="宋体" w:eastAsia="宋体" w:hint="default"/>
                <w:sz w:val="16"/>
                <w:szCs w:val="16"/>
              </w:rPr>
            </w:r>
          </w:p>
        </w:tc>
        <w:tc>
          <w:tcPr>
            <w:tcW w:w="4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3636" w:type="dxa"/>
            <w:gridSpan w:val="3"/>
            <w:tcBorders>
              <w:top w:val="nil" w:sz="6" w:space="0" w:color="auto"/>
              <w:left w:val="nil" w:sz="6" w:space="0" w:color="auto"/>
              <w:bottom w:val="nil" w:sz="6" w:space="0" w:color="auto"/>
              <w:right w:val="nil" w:sz="6" w:space="0" w:color="auto"/>
            </w:tcBorders>
          </w:tcPr>
          <w:p>
            <w:pPr/>
          </w:p>
        </w:tc>
      </w:tr>
      <w:tr>
        <w:trPr>
          <w:trHeight w:val="218"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84" w:lineRule="exact"/>
              <w:ind w:left="309" w:right="0"/>
              <w:jc w:val="left"/>
              <w:rPr>
                <w:rFonts w:ascii="宋体" w:hAnsi="宋体" w:cs="宋体" w:eastAsia="宋体" w:hint="default"/>
                <w:sz w:val="16"/>
                <w:szCs w:val="16"/>
              </w:rPr>
            </w:pPr>
            <w:r>
              <w:rPr>
                <w:rFonts w:ascii="宋体" w:hAnsi="宋体" w:cs="宋体" w:eastAsia="宋体" w:hint="default"/>
                <w:sz w:val="16"/>
                <w:szCs w:val="16"/>
              </w:rPr>
              <w:t>权益的影响</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2" w:right="0"/>
              <w:jc w:val="left"/>
              <w:rPr>
                <w:rFonts w:ascii="Arial" w:hAnsi="Arial" w:cs="Arial" w:eastAsia="Arial" w:hint="default"/>
                <w:sz w:val="16"/>
                <w:szCs w:val="16"/>
              </w:rPr>
            </w:pPr>
            <w:r>
              <w:rPr>
                <w:rFonts w:ascii="Arial"/>
                <w:w w:val="99"/>
                <w:sz w:val="16"/>
              </w:rPr>
              <w:t>g</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9"/>
              <w:jc w:val="right"/>
              <w:rPr>
                <w:rFonts w:ascii="Arial" w:hAnsi="Arial" w:cs="Arial" w:eastAsia="Arial" w:hint="default"/>
                <w:sz w:val="16"/>
                <w:szCs w:val="16"/>
              </w:rPr>
            </w:pPr>
            <w:r>
              <w:rPr>
                <w:rFonts w:ascii="Arial"/>
                <w:w w:val="95"/>
                <w:sz w:val="16"/>
              </w:rPr>
              <w:t>13,911,938</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2157" w:val="left" w:leader="none"/>
                <w:tab w:pos="2717" w:val="left" w:leader="none"/>
              </w:tabs>
              <w:spacing w:line="240" w:lineRule="auto" w:before="23"/>
              <w:ind w:left="457" w:right="0"/>
              <w:jc w:val="left"/>
              <w:rPr>
                <w:rFonts w:ascii="Arial" w:hAnsi="Arial" w:cs="Arial" w:eastAsia="Arial" w:hint="default"/>
                <w:sz w:val="16"/>
                <w:szCs w:val="16"/>
              </w:rPr>
            </w:pPr>
            <w:r>
              <w:rPr>
                <w:rFonts w:ascii="Arial"/>
                <w:w w:val="95"/>
                <w:sz w:val="16"/>
              </w:rPr>
              <w:t>137,236</w:t>
              <w:tab/>
              <w:t>-</w:t>
              <w:tab/>
            </w:r>
            <w:r>
              <w:rPr>
                <w:rFonts w:ascii="Arial"/>
                <w:sz w:val="16"/>
              </w:rPr>
              <w:t>14,049,174</w:t>
            </w:r>
          </w:p>
        </w:tc>
      </w:tr>
      <w:tr>
        <w:trPr>
          <w:trHeight w:val="207"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子公司未分配利润转增资本的影响</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2" w:right="0"/>
              <w:jc w:val="left"/>
              <w:rPr>
                <w:rFonts w:ascii="Arial" w:hAnsi="Arial" w:cs="Arial" w:eastAsia="Arial" w:hint="default"/>
                <w:sz w:val="16"/>
                <w:szCs w:val="16"/>
              </w:rPr>
            </w:pPr>
            <w:r>
              <w:rPr>
                <w:rFonts w:ascii="Arial"/>
                <w:w w:val="99"/>
                <w:sz w:val="16"/>
              </w:rPr>
              <w:t>h</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9"/>
              <w:jc w:val="right"/>
              <w:rPr>
                <w:rFonts w:ascii="Arial" w:hAnsi="Arial" w:cs="Arial" w:eastAsia="Arial" w:hint="default"/>
                <w:sz w:val="16"/>
                <w:szCs w:val="16"/>
              </w:rPr>
            </w:pPr>
            <w:r>
              <w:rPr>
                <w:rFonts w:ascii="Arial"/>
                <w:w w:val="95"/>
                <w:sz w:val="16"/>
              </w:rPr>
              <w:t>10,414,323,266</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2157" w:val="left" w:leader="none"/>
              </w:tabs>
              <w:spacing w:line="240" w:lineRule="auto" w:before="12"/>
              <w:ind w:left="983" w:right="0"/>
              <w:jc w:val="left"/>
              <w:rPr>
                <w:rFonts w:ascii="Arial" w:hAnsi="Arial" w:cs="Arial" w:eastAsia="Arial" w:hint="default"/>
                <w:sz w:val="16"/>
                <w:szCs w:val="16"/>
              </w:rPr>
            </w:pPr>
            <w:r>
              <w:rPr>
                <w:rFonts w:ascii="Arial"/>
                <w:w w:val="95"/>
                <w:sz w:val="16"/>
              </w:rPr>
              <w:t>-</w:t>
              <w:tab/>
            </w:r>
            <w:r>
              <w:rPr>
                <w:rFonts w:ascii="Arial"/>
                <w:sz w:val="16"/>
              </w:rPr>
              <w:t>-   </w:t>
            </w:r>
            <w:r>
              <w:rPr>
                <w:rFonts w:ascii="Arial"/>
                <w:spacing w:val="13"/>
                <w:sz w:val="16"/>
              </w:rPr>
              <w:t> </w:t>
            </w:r>
            <w:r>
              <w:rPr>
                <w:rFonts w:ascii="Arial"/>
                <w:sz w:val="16"/>
              </w:rPr>
              <w:t>10,414,323,266</w:t>
            </w:r>
          </w:p>
        </w:tc>
      </w:tr>
      <w:tr>
        <w:trPr>
          <w:trHeight w:val="208"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因所持子公司股份变化对资本公积的影响</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8" w:right="0"/>
              <w:jc w:val="left"/>
              <w:rPr>
                <w:rFonts w:ascii="Arial" w:hAnsi="Arial" w:cs="Arial" w:eastAsia="Arial" w:hint="default"/>
                <w:sz w:val="16"/>
                <w:szCs w:val="16"/>
              </w:rPr>
            </w:pPr>
            <w:r>
              <w:rPr>
                <w:rFonts w:ascii="Arial"/>
                <w:w w:val="99"/>
                <w:sz w:val="16"/>
              </w:rPr>
              <w:t>i</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4"/>
              <w:jc w:val="right"/>
              <w:rPr>
                <w:rFonts w:ascii="Arial" w:hAnsi="Arial" w:cs="Arial" w:eastAsia="Arial" w:hint="default"/>
                <w:sz w:val="16"/>
                <w:szCs w:val="16"/>
              </w:rPr>
            </w:pPr>
            <w:r>
              <w:rPr>
                <w:rFonts w:ascii="Arial"/>
                <w:w w:val="95"/>
                <w:sz w:val="16"/>
              </w:rPr>
              <w:t>(5,496,108,697)</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1573" w:val="left" w:leader="none"/>
              </w:tabs>
              <w:spacing w:line="240" w:lineRule="auto" w:before="12"/>
              <w:ind w:left="983" w:right="0"/>
              <w:jc w:val="left"/>
              <w:rPr>
                <w:rFonts w:ascii="Arial" w:hAnsi="Arial" w:cs="Arial" w:eastAsia="Arial" w:hint="default"/>
                <w:sz w:val="16"/>
                <w:szCs w:val="16"/>
              </w:rPr>
            </w:pPr>
            <w:r>
              <w:rPr>
                <w:rFonts w:ascii="Arial"/>
                <w:w w:val="95"/>
                <w:sz w:val="16"/>
              </w:rPr>
              <w:t>-</w:t>
              <w:tab/>
            </w:r>
            <w:r>
              <w:rPr>
                <w:rFonts w:ascii="Arial"/>
                <w:sz w:val="16"/>
              </w:rPr>
              <w:t>(248,646)   </w:t>
            </w:r>
            <w:r>
              <w:rPr>
                <w:rFonts w:ascii="Arial"/>
                <w:spacing w:val="2"/>
                <w:sz w:val="16"/>
              </w:rPr>
              <w:t> </w:t>
            </w:r>
            <w:r>
              <w:rPr>
                <w:rFonts w:ascii="Arial"/>
                <w:sz w:val="16"/>
              </w:rPr>
              <w:t>(5,496,357,343)</w:t>
            </w:r>
          </w:p>
        </w:tc>
      </w:tr>
      <w:tr>
        <w:trPr>
          <w:trHeight w:val="208"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子公司发行可转换债券的影响</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8" w:right="0"/>
              <w:jc w:val="left"/>
              <w:rPr>
                <w:rFonts w:ascii="Arial" w:hAnsi="Arial" w:cs="Arial" w:eastAsia="Arial" w:hint="default"/>
                <w:sz w:val="16"/>
                <w:szCs w:val="16"/>
              </w:rPr>
            </w:pPr>
            <w:r>
              <w:rPr>
                <w:rFonts w:ascii="Arial"/>
                <w:w w:val="99"/>
                <w:sz w:val="16"/>
              </w:rPr>
              <w:t>j</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9"/>
              <w:jc w:val="right"/>
              <w:rPr>
                <w:rFonts w:ascii="Arial" w:hAnsi="Arial" w:cs="Arial" w:eastAsia="Arial" w:hint="default"/>
                <w:sz w:val="16"/>
                <w:szCs w:val="16"/>
              </w:rPr>
            </w:pPr>
            <w:r>
              <w:rPr>
                <w:rFonts w:ascii="Arial"/>
                <w:w w:val="95"/>
                <w:sz w:val="16"/>
              </w:rPr>
              <w:t>3,116,582,352</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2157" w:val="left" w:leader="none"/>
                <w:tab w:pos="2494" w:val="left" w:leader="none"/>
              </w:tabs>
              <w:spacing w:line="240" w:lineRule="auto" w:before="12"/>
              <w:ind w:left="146" w:right="0"/>
              <w:jc w:val="left"/>
              <w:rPr>
                <w:rFonts w:ascii="Arial" w:hAnsi="Arial" w:cs="Arial" w:eastAsia="Arial" w:hint="default"/>
                <w:sz w:val="16"/>
                <w:szCs w:val="16"/>
              </w:rPr>
            </w:pPr>
            <w:r>
              <w:rPr>
                <w:rFonts w:ascii="Arial"/>
                <w:w w:val="95"/>
                <w:sz w:val="16"/>
              </w:rPr>
              <w:t>193,689,579</w:t>
              <w:tab/>
              <w:t>-</w:t>
              <w:tab/>
            </w:r>
            <w:r>
              <w:rPr>
                <w:rFonts w:ascii="Arial"/>
                <w:sz w:val="16"/>
              </w:rPr>
              <w:t>3,310,271,931</w:t>
            </w:r>
          </w:p>
        </w:tc>
      </w:tr>
      <w:tr>
        <w:trPr>
          <w:trHeight w:val="207"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同一控制下收购贵州业务的影响</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5" w:right="0"/>
              <w:jc w:val="left"/>
              <w:rPr>
                <w:rFonts w:ascii="Arial" w:hAnsi="Arial" w:cs="Arial" w:eastAsia="Arial" w:hint="default"/>
                <w:sz w:val="16"/>
                <w:szCs w:val="16"/>
              </w:rPr>
            </w:pPr>
            <w:r>
              <w:rPr>
                <w:rFonts w:ascii="Arial"/>
                <w:w w:val="99"/>
                <w:sz w:val="16"/>
              </w:rPr>
              <w:t>k</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4"/>
              <w:jc w:val="right"/>
              <w:rPr>
                <w:rFonts w:ascii="Arial" w:hAnsi="Arial" w:cs="Arial" w:eastAsia="Arial" w:hint="default"/>
                <w:sz w:val="16"/>
                <w:szCs w:val="16"/>
              </w:rPr>
            </w:pPr>
            <w:r>
              <w:rPr>
                <w:rFonts w:ascii="Arial"/>
                <w:w w:val="95"/>
                <w:sz w:val="16"/>
              </w:rPr>
              <w:t>(248,154,771)</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2158" w:val="left" w:leader="none"/>
                <w:tab w:pos="2575" w:val="left" w:leader="none"/>
              </w:tabs>
              <w:spacing w:line="240" w:lineRule="auto" w:before="12"/>
              <w:ind w:left="983" w:right="0"/>
              <w:jc w:val="left"/>
              <w:rPr>
                <w:rFonts w:ascii="Arial" w:hAnsi="Arial" w:cs="Arial" w:eastAsia="Arial" w:hint="default"/>
                <w:sz w:val="16"/>
                <w:szCs w:val="16"/>
              </w:rPr>
            </w:pPr>
            <w:r>
              <w:rPr>
                <w:rFonts w:ascii="Arial"/>
                <w:w w:val="95"/>
                <w:sz w:val="16"/>
              </w:rPr>
              <w:t>-</w:t>
              <w:tab/>
              <w:t>-</w:t>
              <w:tab/>
            </w:r>
            <w:r>
              <w:rPr>
                <w:rFonts w:ascii="Arial"/>
                <w:sz w:val="16"/>
              </w:rPr>
              <w:t>(248,154,771)</w:t>
            </w:r>
          </w:p>
        </w:tc>
      </w:tr>
      <w:tr>
        <w:trPr>
          <w:trHeight w:val="194" w:hRule="exact"/>
        </w:trPr>
        <w:tc>
          <w:tcPr>
            <w:tcW w:w="3559"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同一控制下收购联通新时讯的影响</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8" w:right="0"/>
              <w:jc w:val="left"/>
              <w:rPr>
                <w:rFonts w:ascii="Arial" w:hAnsi="Arial" w:cs="Arial" w:eastAsia="Arial" w:hint="default"/>
                <w:sz w:val="16"/>
                <w:szCs w:val="16"/>
              </w:rPr>
            </w:pPr>
            <w:r>
              <w:rPr>
                <w:rFonts w:ascii="Arial"/>
                <w:w w:val="99"/>
                <w:sz w:val="16"/>
              </w:rPr>
              <w:t>l</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Arial" w:hAnsi="Arial" w:cs="Arial" w:eastAsia="Arial" w:hint="default"/>
                <w:sz w:val="16"/>
                <w:szCs w:val="16"/>
              </w:rPr>
            </w:pPr>
            <w:r>
              <w:rPr>
                <w:rFonts w:ascii="Arial"/>
                <w:w w:val="95"/>
                <w:sz w:val="16"/>
              </w:rPr>
              <w:t>40,926,482</w:t>
            </w:r>
            <w:r>
              <w:rPr>
                <w:rFonts w:ascii="Arial"/>
                <w:sz w:val="16"/>
              </w:rPr>
            </w:r>
          </w:p>
        </w:tc>
        <w:tc>
          <w:tcPr>
            <w:tcW w:w="3636" w:type="dxa"/>
            <w:gridSpan w:val="3"/>
            <w:tcBorders>
              <w:top w:val="nil" w:sz="6" w:space="0" w:color="auto"/>
              <w:left w:val="nil" w:sz="6" w:space="0" w:color="auto"/>
              <w:bottom w:val="nil" w:sz="6" w:space="0" w:color="auto"/>
              <w:right w:val="nil" w:sz="6" w:space="0" w:color="auto"/>
            </w:tcBorders>
          </w:tcPr>
          <w:p>
            <w:pPr>
              <w:pStyle w:val="TableParagraph"/>
              <w:tabs>
                <w:tab w:pos="2158" w:val="left" w:leader="none"/>
                <w:tab w:pos="2717" w:val="left" w:leader="none"/>
              </w:tabs>
              <w:spacing w:line="240" w:lineRule="auto" w:before="13"/>
              <w:ind w:left="983" w:right="0"/>
              <w:jc w:val="left"/>
              <w:rPr>
                <w:rFonts w:ascii="Arial" w:hAnsi="Arial" w:cs="Arial" w:eastAsia="Arial" w:hint="default"/>
                <w:sz w:val="16"/>
                <w:szCs w:val="16"/>
              </w:rPr>
            </w:pPr>
            <w:r>
              <w:rPr>
                <w:rFonts w:ascii="Arial"/>
                <w:w w:val="95"/>
                <w:sz w:val="16"/>
              </w:rPr>
              <w:t>-</w:t>
              <w:tab/>
              <w:t>-</w:t>
              <w:tab/>
            </w:r>
            <w:r>
              <w:rPr>
                <w:rFonts w:ascii="Arial"/>
                <w:sz w:val="16"/>
              </w:rPr>
              <w:t>40,926,482</w:t>
            </w:r>
          </w:p>
        </w:tc>
      </w:tr>
    </w:tbl>
    <w:p>
      <w:pPr>
        <w:tabs>
          <w:tab w:pos="4576" w:val="left" w:leader="none"/>
          <w:tab w:pos="4994" w:val="left" w:leader="none"/>
          <w:tab w:pos="6451" w:val="left" w:leader="none"/>
          <w:tab w:pos="8152" w:val="left" w:leader="none"/>
          <w:tab w:pos="8711" w:val="left" w:leader="none"/>
          <w:tab w:pos="9629" w:val="left" w:leader="none"/>
        </w:tabs>
        <w:spacing w:line="211" w:lineRule="exact" w:before="0"/>
        <w:ind w:left="614"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其他</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33,771,682</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101,579</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33,873,261</w:t>
        <w:tab/>
      </w:r>
      <w:r>
        <w:rPr>
          <w:rFonts w:ascii="Arial" w:hAnsi="Arial" w:cs="Arial" w:eastAsia="Arial" w:hint="default"/>
          <w:sz w:val="16"/>
          <w:szCs w:val="16"/>
        </w:rPr>
      </w:r>
    </w:p>
    <w:p>
      <w:pPr>
        <w:spacing w:line="240" w:lineRule="auto" w:before="9"/>
        <w:rPr>
          <w:rFonts w:ascii="Arial" w:hAnsi="Arial" w:cs="Arial" w:eastAsia="Arial" w:hint="default"/>
          <w:sz w:val="10"/>
          <w:szCs w:val="10"/>
        </w:rPr>
      </w:pPr>
    </w:p>
    <w:p>
      <w:pPr>
        <w:tabs>
          <w:tab w:pos="4682" w:val="left" w:leader="none"/>
          <w:tab w:pos="6141" w:val="left" w:leader="none"/>
          <w:tab w:pos="7271" w:val="left" w:leader="none"/>
        </w:tabs>
        <w:spacing w:before="52"/>
        <w:ind w:left="614"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28,101,000,683</w:t>
        <w:tab/>
        <w:t>213,218,020</w:t>
        <w:tab/>
      </w:r>
      <w:r>
        <w:rPr>
          <w:rFonts w:ascii="Arial" w:hAnsi="Arial" w:cs="Arial" w:eastAsia="Arial" w:hint="default"/>
          <w:sz w:val="16"/>
          <w:szCs w:val="16"/>
        </w:rPr>
        <w:t>(454,351,449) </w:t>
      </w:r>
      <w:r>
        <w:rPr>
          <w:rFonts w:ascii="Arial" w:hAnsi="Arial" w:cs="Arial" w:eastAsia="Arial" w:hint="default"/>
          <w:spacing w:val="39"/>
          <w:sz w:val="16"/>
          <w:szCs w:val="16"/>
        </w:rPr>
        <w:t> </w:t>
      </w:r>
      <w:r>
        <w:rPr>
          <w:rFonts w:ascii="Arial" w:hAnsi="Arial" w:cs="Arial" w:eastAsia="Arial" w:hint="default"/>
          <w:sz w:val="16"/>
          <w:szCs w:val="16"/>
        </w:rPr>
        <w:t>27,859,867,254</w:t>
      </w:r>
    </w:p>
    <w:p>
      <w:pPr>
        <w:spacing w:line="43" w:lineRule="exact"/>
        <w:ind w:left="4555" w:right="0" w:firstLine="0"/>
        <w:rPr>
          <w:rFonts w:ascii="Arial" w:hAnsi="Arial" w:cs="Arial" w:eastAsia="Arial" w:hint="default"/>
          <w:sz w:val="4"/>
          <w:szCs w:val="4"/>
        </w:rPr>
      </w:pPr>
      <w:r>
        <w:rPr>
          <w:rFonts w:ascii="Arial" w:hAnsi="Arial" w:cs="Arial" w:eastAsia="Arial" w:hint="default"/>
          <w:position w:val="0"/>
          <w:sz w:val="4"/>
          <w:szCs w:val="4"/>
        </w:rPr>
        <w:pict>
          <v:group style="width:254.1pt;height:2.2pt;mso-position-horizontal-relative:char;mso-position-vertical-relative:line" coordorigin="0,0" coordsize="5082,44">
            <v:group style="position:absolute;left:7;top:36;width:1313;height:2" coordorigin="7,36" coordsize="1313,2">
              <v:shape style="position:absolute;left:7;top:36;width:1313;height:2" coordorigin="7,36" coordsize="1313,0" path="m7,36l1320,36e" filled="false" stroked="true" strokeweight=".72pt" strokecolor="#000000">
                <v:path arrowok="t"/>
              </v:shape>
            </v:group>
            <v:group style="position:absolute;left:7;top:7;width:1313;height:2" coordorigin="7,7" coordsize="1313,2">
              <v:shape style="position:absolute;left:7;top:7;width:1313;height:2" coordorigin="7,7" coordsize="1313,0" path="m7,7l1320,7e" filled="false" stroked="true" strokeweight=".72pt" strokecolor="#000000">
                <v:path arrowok="t"/>
              </v:shape>
            </v:group>
            <v:group style="position:absolute;left:1360;top:36;width:1148;height:2" coordorigin="1360,36" coordsize="1148,2">
              <v:shape style="position:absolute;left:1360;top:36;width:1148;height:2" coordorigin="1360,36" coordsize="1148,0" path="m1360,36l2507,36e" filled="false" stroked="true" strokeweight=".72pt" strokecolor="#000000">
                <v:path arrowok="t"/>
              </v:shape>
            </v:group>
            <v:group style="position:absolute;left:1360;top:7;width:1148;height:2" coordorigin="1360,7" coordsize="1148,2">
              <v:shape style="position:absolute;left:1360;top:7;width:1148;height:2" coordorigin="1360,7" coordsize="1148,0" path="m1360,7l2507,7e" filled="false" stroked="true" strokeweight=".72pt" strokecolor="#000000">
                <v:path arrowok="t"/>
              </v:shape>
            </v:group>
            <v:group style="position:absolute;left:2546;top:36;width:1175;height:2" coordorigin="2546,36" coordsize="1175,2">
              <v:shape style="position:absolute;left:2546;top:36;width:1175;height:2" coordorigin="2546,36" coordsize="1175,0" path="m2546,36l3721,36e" filled="false" stroked="true" strokeweight=".72pt" strokecolor="#000000">
                <v:path arrowok="t"/>
              </v:shape>
            </v:group>
            <v:group style="position:absolute;left:2546;top:7;width:1175;height:2" coordorigin="2546,7" coordsize="1175,2">
              <v:shape style="position:absolute;left:2546;top:7;width:1175;height:2" coordorigin="2546,7" coordsize="1175,0" path="m2546,7l3721,7e" filled="false" stroked="true" strokeweight=".72pt" strokecolor="#000000">
                <v:path arrowok="t"/>
              </v:shape>
            </v:group>
            <v:group style="position:absolute;left:3755;top:36;width:1320;height:2" coordorigin="3755,36" coordsize="1320,2">
              <v:shape style="position:absolute;left:3755;top:36;width:1320;height:2" coordorigin="3755,36" coordsize="1320,0" path="m3755,36l5075,36e" filled="false" stroked="true" strokeweight=".72pt" strokecolor="#000000">
                <v:path arrowok="t"/>
              </v:shape>
            </v:group>
            <v:group style="position:absolute;left:3755;top:7;width:1320;height:2" coordorigin="3755,7" coordsize="1320,2">
              <v:shape style="position:absolute;left:3755;top:7;width:1320;height:2" coordorigin="3755,7" coordsize="1320,0" path="m3755,7l5075,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86" w:lineRule="exact" w:before="60"/>
        <w:ind w:left="1032" w:right="153" w:hanging="462"/>
        <w:jc w:val="both"/>
      </w:pPr>
      <w:r>
        <w:rPr>
          <w:rFonts w:ascii="Arial" w:hAnsi="Arial" w:cs="Arial" w:eastAsia="Arial" w:hint="default"/>
        </w:rPr>
        <w:t>(a) </w:t>
      </w:r>
      <w:r>
        <w:rPr>
          <w:spacing w:val="-3"/>
        </w:rPr>
        <w:t>本公司成立之初发起人各方实际出资额超过其按《公司章程》规定的</w:t>
      </w:r>
      <w:r>
        <w:rPr>
          <w:spacing w:val="-43"/>
        </w:rPr>
        <w:t> </w:t>
      </w:r>
      <w:r>
        <w:rPr>
          <w:rFonts w:ascii="Arial" w:hAnsi="Arial" w:cs="Arial" w:eastAsia="Arial" w:hint="default"/>
        </w:rPr>
        <w:t>65%</w:t>
      </w:r>
      <w:r>
        <w:rPr/>
        <w:t>折股比例计算之</w:t>
      </w:r>
      <w:r>
        <w:rPr>
          <w:w w:val="99"/>
        </w:rPr>
        <w:t> </w:t>
      </w:r>
      <w:r>
        <w:rPr/>
        <w:t>实缴注册资本的差额，以及于</w:t>
      </w:r>
      <w:r>
        <w:rPr>
          <w:spacing w:val="-43"/>
        </w:rPr>
        <w:t> </w:t>
      </w:r>
      <w:r>
        <w:rPr>
          <w:rFonts w:ascii="Arial" w:hAnsi="Arial" w:cs="Arial" w:eastAsia="Arial" w:hint="default"/>
        </w:rPr>
        <w:t>2002</w:t>
      </w:r>
      <w:r>
        <w:rPr>
          <w:rFonts w:ascii="Arial" w:hAnsi="Arial" w:cs="Arial" w:eastAsia="Arial" w:hint="default"/>
          <w:spacing w:val="6"/>
        </w:rPr>
        <w:t> </w:t>
      </w:r>
      <w:r>
        <w:rPr/>
        <w:t>年因发行境内上市的人民币普通股和于</w:t>
      </w:r>
      <w:r>
        <w:rPr>
          <w:spacing w:val="-43"/>
        </w:rPr>
        <w:t> </w:t>
      </w:r>
      <w:r>
        <w:rPr>
          <w:rFonts w:ascii="Arial" w:hAnsi="Arial" w:cs="Arial" w:eastAsia="Arial" w:hint="default"/>
        </w:rPr>
        <w:t>2004</w:t>
      </w:r>
      <w:r>
        <w:rPr>
          <w:rFonts w:ascii="Arial" w:hAnsi="Arial" w:cs="Arial" w:eastAsia="Arial" w:hint="default"/>
          <w:spacing w:val="6"/>
        </w:rPr>
        <w:t> </w:t>
      </w:r>
      <w:r>
        <w:rPr/>
        <w:t>年</w:t>
      </w:r>
      <w:r>
        <w:rPr>
          <w:spacing w:val="-43"/>
        </w:rPr>
        <w:t> </w:t>
      </w:r>
      <w:r>
        <w:rPr>
          <w:rFonts w:ascii="Arial" w:hAnsi="Arial" w:cs="Arial" w:eastAsia="Arial" w:hint="default"/>
        </w:rPr>
        <w:t>7</w:t>
      </w:r>
      <w:r>
        <w:rPr>
          <w:rFonts w:ascii="Arial" w:hAnsi="Arial" w:cs="Arial" w:eastAsia="Arial" w:hint="default"/>
          <w:spacing w:val="6"/>
        </w:rPr>
        <w:t> </w:t>
      </w:r>
      <w:r>
        <w:rPr/>
        <w:t>月</w:t>
      </w:r>
      <w:r>
        <w:rPr>
          <w:w w:val="99"/>
        </w:rPr>
        <w:t> </w:t>
      </w:r>
      <w:r>
        <w:rPr/>
        <w:t>配售人民币普通股的溢价被记录于资本公积。</w:t>
      </w:r>
    </w:p>
    <w:p>
      <w:pPr>
        <w:spacing w:line="240" w:lineRule="auto" w:before="10"/>
        <w:rPr>
          <w:rFonts w:ascii="宋体" w:hAnsi="宋体" w:cs="宋体" w:eastAsia="宋体" w:hint="default"/>
          <w:sz w:val="15"/>
          <w:szCs w:val="15"/>
        </w:rPr>
      </w:pPr>
    </w:p>
    <w:p>
      <w:pPr>
        <w:pStyle w:val="BodyText"/>
        <w:spacing w:line="286" w:lineRule="exact"/>
        <w:ind w:left="1031" w:right="152" w:hanging="462"/>
        <w:jc w:val="both"/>
      </w:pPr>
      <w:r>
        <w:rPr>
          <w:rFonts w:ascii="Arial" w:hAnsi="Arial" w:cs="Arial" w:eastAsia="Arial" w:hint="default"/>
        </w:rPr>
        <w:t>(b)</w:t>
      </w:r>
      <w:r>
        <w:rPr>
          <w:rFonts w:ascii="Arial" w:hAnsi="Arial" w:cs="Arial" w:eastAsia="Arial" w:hint="default"/>
          <w:spacing w:val="8"/>
        </w:rPr>
        <w:t> </w:t>
      </w:r>
      <w:r>
        <w:rPr/>
        <w:t>于</w:t>
      </w:r>
      <w:r>
        <w:rPr>
          <w:spacing w:val="-51"/>
        </w:rPr>
        <w:t> </w:t>
      </w:r>
      <w:r>
        <w:rPr>
          <w:rFonts w:ascii="Arial" w:hAnsi="Arial" w:cs="Arial" w:eastAsia="Arial" w:hint="default"/>
        </w:rPr>
        <w:t>2009</w:t>
      </w:r>
      <w:r>
        <w:rPr>
          <w:rFonts w:ascii="Arial" w:hAnsi="Arial" w:cs="Arial" w:eastAsia="Arial" w:hint="default"/>
          <w:spacing w:val="-2"/>
        </w:rPr>
        <w:t> </w:t>
      </w:r>
      <w:r>
        <w:rPr/>
        <w:t>年</w:t>
      </w:r>
      <w:r>
        <w:rPr>
          <w:spacing w:val="-50"/>
        </w:rPr>
        <w:t> </w:t>
      </w:r>
      <w:r>
        <w:rPr>
          <w:rFonts w:ascii="Arial" w:hAnsi="Arial" w:cs="Arial" w:eastAsia="Arial" w:hint="default"/>
        </w:rPr>
        <w:t>1</w:t>
      </w:r>
      <w:r>
        <w:rPr>
          <w:rFonts w:ascii="Arial" w:hAnsi="Arial" w:cs="Arial" w:eastAsia="Arial" w:hint="default"/>
          <w:spacing w:val="-2"/>
        </w:rPr>
        <w:t> </w:t>
      </w:r>
      <w:r>
        <w:rPr/>
        <w:t>月，联通运营公司根据转让协议完成了向联通集团和网通集团收购相关电信</w:t>
      </w:r>
      <w:r>
        <w:rPr>
          <w:w w:val="99"/>
        </w:rPr>
        <w:t> </w:t>
      </w:r>
      <w:r>
        <w:rPr>
          <w:spacing w:val="-1"/>
        </w:rPr>
        <w:t>业务和资产的交易。本公司根据持股比例计算了在同一控制下该等收购对本集团资本公积</w:t>
      </w:r>
      <w:r>
        <w:rPr>
          <w:w w:val="99"/>
        </w:rPr>
        <w:t> </w:t>
      </w:r>
      <w:r>
        <w:rPr/>
        <w:t>的影响。</w:t>
      </w:r>
    </w:p>
    <w:p>
      <w:pPr>
        <w:spacing w:line="240" w:lineRule="auto" w:before="10"/>
        <w:rPr>
          <w:rFonts w:ascii="宋体" w:hAnsi="宋体" w:cs="宋体" w:eastAsia="宋体" w:hint="default"/>
          <w:sz w:val="15"/>
          <w:szCs w:val="15"/>
        </w:rPr>
      </w:pPr>
    </w:p>
    <w:p>
      <w:pPr>
        <w:pStyle w:val="BodyText"/>
        <w:spacing w:line="286" w:lineRule="exact"/>
        <w:ind w:left="1013" w:right="152" w:hanging="442"/>
        <w:jc w:val="both"/>
      </w:pPr>
      <w:r>
        <w:rPr>
          <w:rFonts w:ascii="Arial" w:hAnsi="Arial" w:cs="Arial" w:eastAsia="Arial" w:hint="default"/>
        </w:rPr>
        <w:t>(c)</w:t>
      </w:r>
      <w:r>
        <w:rPr>
          <w:rFonts w:ascii="Arial" w:hAnsi="Arial" w:cs="Arial" w:eastAsia="Arial" w:hint="default"/>
          <w:spacing w:val="2"/>
        </w:rPr>
        <w:t> </w:t>
      </w:r>
      <w:r>
        <w:rPr/>
        <w:t>如附注五</w:t>
      </w:r>
      <w:r>
        <w:rPr>
          <w:rFonts w:ascii="Arial" w:hAnsi="Arial" w:cs="Arial" w:eastAsia="Arial" w:hint="default"/>
        </w:rPr>
        <w:t>(7)</w:t>
      </w:r>
      <w:r>
        <w:rPr/>
        <w:t>所述，本公司所属子公司持有的可供出售金融资产产生的公允价值变动被计入</w:t>
      </w:r>
      <w:r>
        <w:rPr>
          <w:w w:val="99"/>
        </w:rPr>
        <w:t> </w:t>
      </w:r>
      <w:r>
        <w:rPr/>
        <w:t>资本公积项下。根据本公司的持股比例计算，于 </w:t>
      </w:r>
      <w:r>
        <w:rPr>
          <w:rFonts w:ascii="Arial" w:hAnsi="Arial" w:cs="Arial" w:eastAsia="Arial" w:hint="default"/>
        </w:rPr>
        <w:t>2011</w:t>
      </w:r>
      <w:r>
        <w:rPr>
          <w:rFonts w:ascii="Arial" w:hAnsi="Arial" w:cs="Arial" w:eastAsia="Arial" w:hint="default"/>
          <w:spacing w:val="-14"/>
        </w:rPr>
        <w:t> </w:t>
      </w:r>
      <w:r>
        <w:rPr/>
        <w:t>年度，交通银行股票因市价变动公</w:t>
      </w:r>
    </w:p>
    <w:p>
      <w:pPr>
        <w:pStyle w:val="BodyText"/>
        <w:spacing w:line="265" w:lineRule="exact"/>
        <w:ind w:left="1013" w:right="0"/>
        <w:jc w:val="left"/>
        <w:rPr>
          <w:rFonts w:ascii="Arial" w:hAnsi="Arial" w:cs="Arial" w:eastAsia="Arial" w:hint="default"/>
        </w:rPr>
      </w:pPr>
      <w:r>
        <w:rPr/>
        <w:t>允价值下降扣除所得税后减少了归属于本集团母公司普通股股东的资本公积约人民币</w:t>
      </w:r>
      <w:r>
        <w:rPr>
          <w:spacing w:val="-50"/>
        </w:rPr>
        <w:t> </w:t>
      </w:r>
      <w:r>
        <w:rPr>
          <w:rFonts w:ascii="Arial" w:hAnsi="Arial" w:cs="Arial" w:eastAsia="Arial" w:hint="default"/>
        </w:rPr>
        <w:t>367</w:t>
      </w:r>
    </w:p>
    <w:p>
      <w:pPr>
        <w:pStyle w:val="BodyText"/>
        <w:spacing w:line="286" w:lineRule="exact" w:before="19"/>
        <w:ind w:left="1013" w:right="140"/>
        <w:jc w:val="left"/>
      </w:pPr>
      <w:r>
        <w:rPr>
          <w:w w:val="95"/>
        </w:rPr>
        <w:t>万元，西班牙电信股票公允价值主要因股票价格以及汇率变动造成的公允价值下降扣除所</w:t>
      </w:r>
      <w:r>
        <w:rPr>
          <w:spacing w:val="103"/>
          <w:w w:val="95"/>
        </w:rPr>
        <w:t> </w:t>
      </w:r>
      <w:r>
        <w:rPr>
          <w:spacing w:val="103"/>
          <w:w w:val="95"/>
        </w:rPr>
      </w:r>
      <w:r>
        <w:rPr>
          <w:w w:val="99"/>
        </w:rPr>
        <w:t>得税后减少了归属于本集团母公司普通股股东的资本公积约人民币</w:t>
      </w:r>
      <w:r>
        <w:rPr>
          <w:spacing w:val="-47"/>
          <w:w w:val="99"/>
        </w:rPr>
        <w:t> </w:t>
      </w:r>
      <w:r>
        <w:rPr>
          <w:rFonts w:ascii="Arial" w:hAnsi="Arial" w:cs="Arial" w:eastAsia="Arial" w:hint="default"/>
          <w:w w:val="99"/>
        </w:rPr>
        <w:t>6.65</w:t>
      </w:r>
      <w:r>
        <w:rPr>
          <w:rFonts w:ascii="Arial" w:hAnsi="Arial" w:cs="Arial" w:eastAsia="Arial" w:hint="default"/>
          <w:spacing w:val="2"/>
          <w:w w:val="99"/>
        </w:rPr>
        <w:t> </w:t>
      </w:r>
      <w:r>
        <w:rPr>
          <w:spacing w:val="-14"/>
          <w:w w:val="99"/>
        </w:rPr>
        <w:t>亿元。上述事项合</w:t>
      </w:r>
      <w:r>
        <w:rPr>
          <w:spacing w:val="-14"/>
        </w:rPr>
      </w:r>
    </w:p>
    <w:p>
      <w:pPr>
        <w:pStyle w:val="BodyText"/>
        <w:spacing w:line="275" w:lineRule="exact"/>
        <w:ind w:left="1013" w:right="0"/>
        <w:jc w:val="left"/>
      </w:pPr>
      <w:r>
        <w:rPr/>
        <w:t>计减少本集团资本公积</w:t>
      </w:r>
      <w:r>
        <w:rPr>
          <w:spacing w:val="-57"/>
        </w:rPr>
        <w:t> </w:t>
      </w:r>
      <w:r>
        <w:rPr>
          <w:rFonts w:ascii="Arial" w:hAnsi="Arial" w:cs="Arial" w:eastAsia="Arial" w:hint="default"/>
        </w:rPr>
        <w:t>6.69</w:t>
      </w:r>
      <w:r>
        <w:rPr>
          <w:rFonts w:ascii="Arial" w:hAnsi="Arial" w:cs="Arial" w:eastAsia="Arial" w:hint="default"/>
          <w:spacing w:val="-8"/>
        </w:rPr>
        <w:t> </w:t>
      </w:r>
      <w:r>
        <w:rPr/>
        <w:t>亿元。</w:t>
      </w:r>
    </w:p>
    <w:p>
      <w:pPr>
        <w:pStyle w:val="BodyText"/>
        <w:spacing w:line="232" w:lineRule="auto" w:before="196"/>
        <w:ind w:left="1031" w:right="152" w:hanging="462"/>
        <w:jc w:val="both"/>
      </w:pPr>
      <w:r>
        <w:rPr>
          <w:rFonts w:ascii="Arial" w:hAnsi="Arial" w:cs="Arial" w:eastAsia="Arial" w:hint="default"/>
        </w:rPr>
        <w:t>(d)</w:t>
      </w:r>
      <w:r>
        <w:rPr>
          <w:rFonts w:ascii="Arial" w:hAnsi="Arial" w:cs="Arial" w:eastAsia="Arial" w:hint="default"/>
          <w:spacing w:val="7"/>
        </w:rPr>
        <w:t> </w:t>
      </w:r>
      <w:r>
        <w:rPr/>
        <w:t>本集团的子公司中讯设计院是一家于</w:t>
      </w:r>
      <w:r>
        <w:rPr>
          <w:spacing w:val="-38"/>
        </w:rPr>
        <w:t> </w:t>
      </w:r>
      <w:r>
        <w:rPr>
          <w:rFonts w:ascii="Arial" w:hAnsi="Arial" w:cs="Arial" w:eastAsia="Arial" w:hint="default"/>
        </w:rPr>
        <w:t>2008</w:t>
      </w:r>
      <w:r>
        <w:rPr>
          <w:rFonts w:ascii="Arial" w:hAnsi="Arial" w:cs="Arial" w:eastAsia="Arial" w:hint="default"/>
          <w:spacing w:val="11"/>
        </w:rPr>
        <w:t> </w:t>
      </w:r>
      <w:r>
        <w:rPr/>
        <w:t>年</w:t>
      </w:r>
      <w:r>
        <w:rPr>
          <w:spacing w:val="-39"/>
        </w:rPr>
        <w:t> </w:t>
      </w:r>
      <w:r>
        <w:rPr>
          <w:rFonts w:ascii="Arial" w:hAnsi="Arial" w:cs="Arial" w:eastAsia="Arial" w:hint="default"/>
        </w:rPr>
        <w:t>9</w:t>
      </w:r>
      <w:r>
        <w:rPr>
          <w:rFonts w:ascii="Arial" w:hAnsi="Arial" w:cs="Arial" w:eastAsia="Arial" w:hint="default"/>
          <w:spacing w:val="11"/>
        </w:rPr>
        <w:t> </w:t>
      </w:r>
      <w:r>
        <w:rPr/>
        <w:t>月</w:t>
      </w:r>
      <w:r>
        <w:rPr>
          <w:spacing w:val="-38"/>
        </w:rPr>
        <w:t> </w:t>
      </w:r>
      <w:r>
        <w:rPr>
          <w:rFonts w:ascii="Arial" w:hAnsi="Arial" w:cs="Arial" w:eastAsia="Arial" w:hint="default"/>
        </w:rPr>
        <w:t>27</w:t>
      </w:r>
      <w:r>
        <w:rPr>
          <w:rFonts w:ascii="Arial" w:hAnsi="Arial" w:cs="Arial" w:eastAsia="Arial" w:hint="default"/>
          <w:spacing w:val="11"/>
        </w:rPr>
        <w:t> </w:t>
      </w:r>
      <w:r>
        <w:rPr/>
        <w:t>日完成公司制改制后设立的企业，</w:t>
      </w:r>
      <w:r>
        <w:rPr>
          <w:w w:val="99"/>
        </w:rPr>
        <w:t> </w:t>
      </w:r>
      <w:r>
        <w:rPr>
          <w:spacing w:val="-1"/>
        </w:rPr>
        <w:t>根据企业改制的相关规定，中讯设计院在改制过程中的资产评估增值被计入其改制后公司</w:t>
      </w:r>
      <w:r>
        <w:rPr>
          <w:w w:val="99"/>
        </w:rPr>
        <w:t> </w:t>
      </w:r>
      <w:r>
        <w:rPr>
          <w:spacing w:val="-1"/>
        </w:rPr>
        <w:t>的所有者权益，因此根据本公司的持股比例计算，亦增加归属于本集团母公司普通股股东</w:t>
      </w:r>
      <w:r>
        <w:rPr>
          <w:w w:val="99"/>
        </w:rPr>
        <w:t> </w:t>
      </w:r>
      <w:r>
        <w:rPr/>
        <w:t>的资本公积约人民币</w:t>
      </w:r>
      <w:r>
        <w:rPr>
          <w:spacing w:val="-57"/>
        </w:rPr>
        <w:t> </w:t>
      </w:r>
      <w:r>
        <w:rPr>
          <w:rFonts w:ascii="Arial" w:hAnsi="Arial" w:cs="Arial" w:eastAsia="Arial" w:hint="default"/>
        </w:rPr>
        <w:t>0.3</w:t>
      </w:r>
      <w:r>
        <w:rPr>
          <w:rFonts w:ascii="Arial" w:hAnsi="Arial" w:cs="Arial" w:eastAsia="Arial" w:hint="default"/>
          <w:spacing w:val="-8"/>
        </w:rPr>
        <w:t> </w:t>
      </w:r>
      <w:r>
        <w:rPr/>
        <w:t>亿元。</w:t>
      </w:r>
    </w:p>
    <w:p>
      <w:pPr>
        <w:spacing w:line="240" w:lineRule="auto" w:before="9"/>
        <w:rPr>
          <w:rFonts w:ascii="宋体" w:hAnsi="宋体" w:cs="宋体" w:eastAsia="宋体" w:hint="default"/>
          <w:sz w:val="16"/>
          <w:szCs w:val="16"/>
        </w:rPr>
      </w:pPr>
    </w:p>
    <w:p>
      <w:pPr>
        <w:pStyle w:val="BodyText"/>
        <w:spacing w:line="286" w:lineRule="exact"/>
        <w:ind w:left="1031" w:right="152" w:hanging="462"/>
        <w:jc w:val="both"/>
      </w:pPr>
      <w:r>
        <w:rPr>
          <w:rFonts w:ascii="Arial" w:hAnsi="Arial" w:cs="Arial" w:eastAsia="Arial" w:hint="default"/>
        </w:rPr>
        <w:t>(e)</w:t>
      </w:r>
      <w:r>
        <w:rPr>
          <w:rFonts w:ascii="Arial" w:hAnsi="Arial" w:cs="Arial" w:eastAsia="Arial" w:hint="default"/>
          <w:spacing w:val="8"/>
        </w:rPr>
        <w:t> </w:t>
      </w:r>
      <w:r>
        <w:rPr/>
        <w:t>联通红筹公司及其子公司网通红筹公司授予员工的可行权日在</w:t>
      </w:r>
      <w:r>
        <w:rPr>
          <w:spacing w:val="-55"/>
        </w:rPr>
        <w:t> </w:t>
      </w:r>
      <w:r>
        <w:rPr>
          <w:rFonts w:ascii="Arial" w:hAnsi="Arial" w:cs="Arial" w:eastAsia="Arial" w:hint="default"/>
        </w:rPr>
        <w:t>2007</w:t>
      </w:r>
      <w:r>
        <w:rPr>
          <w:rFonts w:ascii="Arial" w:hAnsi="Arial" w:cs="Arial" w:eastAsia="Arial" w:hint="default"/>
          <w:spacing w:val="-5"/>
        </w:rPr>
        <w:t> </w:t>
      </w:r>
      <w:r>
        <w:rPr/>
        <w:t>年</w:t>
      </w:r>
      <w:r>
        <w:rPr>
          <w:spacing w:val="-55"/>
        </w:rPr>
        <w:t> </w:t>
      </w:r>
      <w:r>
        <w:rPr>
          <w:rFonts w:ascii="Arial" w:hAnsi="Arial" w:cs="Arial" w:eastAsia="Arial" w:hint="default"/>
        </w:rPr>
        <w:t>1</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t>日后的股份</w:t>
      </w:r>
      <w:r>
        <w:rPr>
          <w:w w:val="99"/>
        </w:rPr>
        <w:t> </w:t>
      </w:r>
      <w:r>
        <w:rPr/>
        <w:t>期权的公允价值于等待期内确认相应的费用，根据本公司的持股比例，</w:t>
      </w:r>
      <w:r>
        <w:rPr>
          <w:rFonts w:ascii="Arial" w:hAnsi="Arial" w:cs="Arial" w:eastAsia="Arial" w:hint="default"/>
        </w:rPr>
        <w:t>2011</w:t>
      </w:r>
      <w:r>
        <w:rPr>
          <w:rFonts w:ascii="Arial" w:hAnsi="Arial" w:cs="Arial" w:eastAsia="Arial" w:hint="default"/>
          <w:spacing w:val="9"/>
        </w:rPr>
        <w:t> </w:t>
      </w:r>
      <w:r>
        <w:rPr/>
        <w:t>年度确认的</w:t>
      </w:r>
      <w:r>
        <w:rPr>
          <w:w w:val="99"/>
        </w:rPr>
        <w:t> </w:t>
      </w:r>
      <w:r>
        <w:rPr>
          <w:spacing w:val="5"/>
        </w:rPr>
        <w:t>与股份期权相关的员工薪酬增加了归属于本集团母公司普通股股东的资本公积约人民币</w:t>
      </w:r>
      <w:r>
        <w:rPr>
          <w:w w:val="99"/>
        </w:rPr>
        <w:t> </w:t>
      </w:r>
      <w:r>
        <w:rPr>
          <w:rFonts w:ascii="Arial" w:hAnsi="Arial" w:cs="Arial" w:eastAsia="Arial" w:hint="default"/>
        </w:rPr>
        <w:t>588</w:t>
      </w:r>
      <w:r>
        <w:rPr>
          <w:rFonts w:ascii="Arial" w:hAnsi="Arial" w:cs="Arial" w:eastAsia="Arial" w:hint="default"/>
          <w:spacing w:val="-8"/>
        </w:rPr>
        <w:t> </w:t>
      </w:r>
      <w:r>
        <w:rPr/>
        <w:t>万元（</w:t>
      </w:r>
      <w:r>
        <w:rPr>
          <w:rFonts w:ascii="Arial" w:hAnsi="Arial" w:cs="Arial" w:eastAsia="Arial" w:hint="default"/>
        </w:rPr>
        <w:t>2010</w:t>
      </w:r>
      <w:r>
        <w:rPr>
          <w:rFonts w:ascii="Arial" w:hAnsi="Arial" w:cs="Arial" w:eastAsia="Arial" w:hint="default"/>
          <w:spacing w:val="-8"/>
        </w:rPr>
        <w:t> </w:t>
      </w:r>
      <w:r>
        <w:rPr/>
        <w:t>年度：约人民币</w:t>
      </w:r>
      <w:r>
        <w:rPr>
          <w:spacing w:val="-57"/>
        </w:rPr>
        <w:t> </w:t>
      </w:r>
      <w:r>
        <w:rPr>
          <w:rFonts w:ascii="Arial" w:hAnsi="Arial" w:cs="Arial" w:eastAsia="Arial" w:hint="default"/>
        </w:rPr>
        <w:t>1,929</w:t>
      </w:r>
      <w:r>
        <w:rPr>
          <w:rFonts w:ascii="Arial" w:hAnsi="Arial" w:cs="Arial" w:eastAsia="Arial" w:hint="default"/>
          <w:spacing w:val="-8"/>
        </w:rPr>
        <w:t> </w:t>
      </w:r>
      <w:r>
        <w:rPr/>
        <w:t>万元）。</w:t>
      </w:r>
    </w:p>
    <w:p>
      <w:pPr>
        <w:spacing w:after="0" w:line="286" w:lineRule="exact"/>
        <w:jc w:val="both"/>
        <w:sectPr>
          <w:headerReference w:type="default" r:id="rId118"/>
          <w:pgSz w:w="11900" w:h="16840"/>
          <w:pgMar w:header="1189" w:footer="752" w:top="3600" w:bottom="940" w:left="1260" w:right="900"/>
        </w:sectPr>
      </w:pPr>
    </w:p>
    <w:p>
      <w:pPr>
        <w:spacing w:line="240" w:lineRule="auto" w:before="12"/>
        <w:rPr>
          <w:rFonts w:ascii="宋体" w:hAnsi="宋体" w:cs="宋体" w:eastAsia="宋体" w:hint="default"/>
          <w:sz w:val="15"/>
          <w:szCs w:val="15"/>
        </w:rPr>
      </w:pPr>
    </w:p>
    <w:p>
      <w:pPr>
        <w:pStyle w:val="BodyText"/>
        <w:tabs>
          <w:tab w:pos="1031" w:val="left" w:leader="none"/>
        </w:tabs>
        <w:spacing w:line="295" w:lineRule="exact" w:before="31"/>
        <w:ind w:left="569" w:right="0"/>
        <w:jc w:val="left"/>
      </w:pPr>
      <w:r>
        <w:rPr>
          <w:rFonts w:ascii="Arial" w:hAnsi="Arial" w:cs="Arial" w:eastAsia="Arial" w:hint="default"/>
          <w:w w:val="95"/>
        </w:rPr>
        <w:t>(f)</w:t>
        <w:tab/>
      </w:r>
      <w:r>
        <w:rPr/>
        <w:t>于</w:t>
      </w:r>
      <w:r>
        <w:rPr>
          <w:spacing w:val="-43"/>
        </w:rPr>
        <w:t> </w:t>
      </w:r>
      <w:r>
        <w:rPr>
          <w:rFonts w:ascii="Arial" w:hAnsi="Arial" w:cs="Arial" w:eastAsia="Arial" w:hint="default"/>
        </w:rPr>
        <w:t>2009</w:t>
      </w:r>
      <w:r>
        <w:rPr>
          <w:rFonts w:ascii="Arial" w:hAnsi="Arial" w:cs="Arial" w:eastAsia="Arial" w:hint="default"/>
          <w:spacing w:val="6"/>
        </w:rPr>
        <w:t> </w:t>
      </w:r>
      <w:r>
        <w:rPr/>
        <w:t>年</w:t>
      </w:r>
      <w:r>
        <w:rPr>
          <w:spacing w:val="-43"/>
        </w:rPr>
        <w:t> </w:t>
      </w:r>
      <w:r>
        <w:rPr>
          <w:rFonts w:ascii="Arial" w:hAnsi="Arial" w:cs="Arial" w:eastAsia="Arial" w:hint="default"/>
        </w:rPr>
        <w:t>10</w:t>
      </w:r>
      <w:r>
        <w:rPr>
          <w:rFonts w:ascii="Arial" w:hAnsi="Arial" w:cs="Arial" w:eastAsia="Arial" w:hint="default"/>
          <w:spacing w:val="6"/>
        </w:rPr>
        <w:t> </w:t>
      </w:r>
      <w:r>
        <w:rPr/>
        <w:t>月</w:t>
      </w:r>
      <w:r>
        <w:rPr>
          <w:spacing w:val="-43"/>
        </w:rPr>
        <w:t> </w:t>
      </w:r>
      <w:r>
        <w:rPr>
          <w:rFonts w:ascii="Arial" w:hAnsi="Arial" w:cs="Arial" w:eastAsia="Arial" w:hint="default"/>
        </w:rPr>
        <w:t>21</w:t>
      </w:r>
      <w:r>
        <w:rPr>
          <w:rFonts w:ascii="Arial" w:hAnsi="Arial" w:cs="Arial" w:eastAsia="Arial" w:hint="default"/>
          <w:spacing w:val="6"/>
        </w:rPr>
        <w:t> </w:t>
      </w:r>
      <w:r>
        <w:rPr/>
        <w:t>日，联通红筹公司通过新发行约</w:t>
      </w:r>
      <w:r>
        <w:rPr>
          <w:spacing w:val="-43"/>
        </w:rPr>
        <w:t> </w:t>
      </w:r>
      <w:r>
        <w:rPr>
          <w:rFonts w:ascii="Arial" w:hAnsi="Arial" w:cs="Arial" w:eastAsia="Arial" w:hint="default"/>
        </w:rPr>
        <w:t>6.94</w:t>
      </w:r>
      <w:r>
        <w:rPr>
          <w:rFonts w:ascii="Arial" w:hAnsi="Arial" w:cs="Arial" w:eastAsia="Arial" w:hint="default"/>
          <w:spacing w:val="7"/>
        </w:rPr>
        <w:t> </w:t>
      </w:r>
      <w:r>
        <w:rPr/>
        <w:t>亿股股份交换了西班牙电信的</w:t>
      </w:r>
    </w:p>
    <w:p>
      <w:pPr>
        <w:pStyle w:val="BodyText"/>
        <w:spacing w:line="286" w:lineRule="exact"/>
        <w:ind w:left="1031" w:right="0"/>
        <w:jc w:val="both"/>
      </w:pPr>
      <w:r>
        <w:rPr/>
        <w:t>约 </w:t>
      </w:r>
      <w:r>
        <w:rPr>
          <w:rFonts w:ascii="Arial" w:hAnsi="Arial" w:cs="Arial" w:eastAsia="Arial" w:hint="default"/>
        </w:rPr>
        <w:t>0.41</w:t>
      </w:r>
      <w:r>
        <w:rPr>
          <w:rFonts w:ascii="Arial" w:hAnsi="Arial" w:cs="Arial" w:eastAsia="Arial" w:hint="default"/>
          <w:spacing w:val="30"/>
        </w:rPr>
        <w:t> </w:t>
      </w:r>
      <w:r>
        <w:rPr/>
        <w:t>亿股股份完成了与西班牙电信的相互投资。为完成该交易联通红筹公司所新发行</w:t>
      </w:r>
    </w:p>
    <w:p>
      <w:pPr>
        <w:pStyle w:val="BodyText"/>
        <w:spacing w:line="230" w:lineRule="auto" w:before="1"/>
        <w:ind w:left="1031" w:right="212"/>
        <w:jc w:val="both"/>
      </w:pPr>
      <w:r>
        <w:rPr/>
        <w:t>股份的公允价值约人民币</w:t>
      </w:r>
      <w:r>
        <w:rPr>
          <w:spacing w:val="-71"/>
        </w:rPr>
        <w:t> </w:t>
      </w:r>
      <w:r>
        <w:rPr>
          <w:rFonts w:ascii="Arial" w:hAnsi="Arial" w:cs="Arial" w:eastAsia="Arial" w:hint="default"/>
        </w:rPr>
        <w:t>67.12</w:t>
      </w:r>
      <w:r>
        <w:rPr>
          <w:rFonts w:ascii="Arial" w:hAnsi="Arial" w:cs="Arial" w:eastAsia="Arial" w:hint="default"/>
          <w:spacing w:val="-22"/>
        </w:rPr>
        <w:t> </w:t>
      </w:r>
      <w:r>
        <w:rPr/>
        <w:t>亿元，分别增加了联通红筹公司的股本和资本溢价。根据</w:t>
      </w:r>
      <w:r>
        <w:rPr>
          <w:w w:val="99"/>
        </w:rPr>
        <w:t> </w:t>
      </w:r>
      <w:r>
        <w:rPr>
          <w:spacing w:val="-1"/>
        </w:rPr>
        <w:t>本公司对联通红筹公司的持股比例计算，同时增加了归属于本集团母公司普通股股东的资</w:t>
      </w:r>
      <w:r>
        <w:rPr>
          <w:spacing w:val="-101"/>
        </w:rPr>
        <w:t> </w:t>
      </w:r>
      <w:r>
        <w:rPr>
          <w:spacing w:val="-101"/>
        </w:rPr>
      </w:r>
      <w:r>
        <w:rPr/>
        <w:t>本公积约人民币</w:t>
      </w:r>
      <w:r>
        <w:rPr>
          <w:spacing w:val="-57"/>
        </w:rPr>
        <w:t> </w:t>
      </w:r>
      <w:r>
        <w:rPr>
          <w:rFonts w:ascii="Arial" w:hAnsi="Arial" w:cs="Arial" w:eastAsia="Arial" w:hint="default"/>
        </w:rPr>
        <w:t>22.74</w:t>
      </w:r>
      <w:r>
        <w:rPr>
          <w:rFonts w:ascii="Arial" w:hAnsi="Arial" w:cs="Arial" w:eastAsia="Arial" w:hint="default"/>
          <w:spacing w:val="-8"/>
        </w:rPr>
        <w:t> </w:t>
      </w:r>
      <w:r>
        <w:rPr/>
        <w:t>亿元。</w:t>
      </w:r>
    </w:p>
    <w:p>
      <w:pPr>
        <w:spacing w:line="240" w:lineRule="auto" w:before="9"/>
        <w:rPr>
          <w:rFonts w:ascii="宋体" w:hAnsi="宋体" w:cs="宋体" w:eastAsia="宋体" w:hint="default"/>
          <w:sz w:val="16"/>
          <w:szCs w:val="16"/>
        </w:rPr>
      </w:pPr>
    </w:p>
    <w:p>
      <w:pPr>
        <w:pStyle w:val="BodyText"/>
        <w:spacing w:line="286" w:lineRule="exact"/>
        <w:ind w:left="1032" w:right="103" w:hanging="462"/>
        <w:jc w:val="both"/>
      </w:pPr>
      <w:r>
        <w:rPr>
          <w:rFonts w:ascii="Arial" w:hAnsi="Arial" w:cs="Arial" w:eastAsia="Arial" w:hint="default"/>
        </w:rPr>
        <w:t>(g) </w:t>
      </w:r>
      <w:r>
        <w:rPr/>
        <w:t>于 </w:t>
      </w:r>
      <w:r>
        <w:rPr>
          <w:rFonts w:ascii="Arial" w:hAnsi="Arial" w:cs="Arial" w:eastAsia="Arial" w:hint="default"/>
        </w:rPr>
        <w:t>2011</w:t>
      </w:r>
      <w:r>
        <w:rPr>
          <w:rFonts w:ascii="Arial" w:hAnsi="Arial" w:cs="Arial" w:eastAsia="Arial" w:hint="default"/>
          <w:spacing w:val="-21"/>
        </w:rPr>
        <w:t> </w:t>
      </w:r>
      <w:r>
        <w:rPr/>
        <w:t>年度，联通红筹公司的部分被授予股份期权的员工行使股份期权而增加了联通红</w:t>
      </w:r>
      <w:r>
        <w:rPr>
          <w:w w:val="99"/>
        </w:rPr>
        <w:t> </w:t>
      </w:r>
      <w:r>
        <w:rPr/>
        <w:t>筹公司的股本及股本溢价，根据本公司对联通红筹公司的持股比例计算，增加归属于本集</w:t>
      </w:r>
      <w:r>
        <w:rPr>
          <w:w w:val="99"/>
        </w:rPr>
        <w:t> </w:t>
      </w:r>
      <w:r>
        <w:rPr/>
        <w:t>团母公司普通股股东的资本公积约人民币</w:t>
      </w:r>
      <w:r>
        <w:rPr>
          <w:spacing w:val="-56"/>
        </w:rPr>
        <w:t> </w:t>
      </w:r>
      <w:r>
        <w:rPr>
          <w:rFonts w:ascii="Arial" w:hAnsi="Arial" w:cs="Arial" w:eastAsia="Arial" w:hint="default"/>
        </w:rPr>
        <w:t>1,132</w:t>
      </w:r>
      <w:r>
        <w:rPr>
          <w:rFonts w:ascii="Arial" w:hAnsi="Arial" w:cs="Arial" w:eastAsia="Arial" w:hint="default"/>
          <w:spacing w:val="-7"/>
        </w:rPr>
        <w:t> </w:t>
      </w:r>
      <w:r>
        <w:rPr>
          <w:spacing w:val="-10"/>
        </w:rPr>
        <w:t>万元。（</w:t>
      </w:r>
      <w:r>
        <w:rPr>
          <w:rFonts w:ascii="Arial" w:hAnsi="Arial" w:cs="Arial" w:eastAsia="Arial" w:hint="default"/>
          <w:spacing w:val="-10"/>
        </w:rPr>
        <w:t>2010</w:t>
      </w:r>
      <w:r>
        <w:rPr>
          <w:rFonts w:ascii="Arial" w:hAnsi="Arial" w:cs="Arial" w:eastAsia="Arial" w:hint="default"/>
          <w:spacing w:val="-7"/>
        </w:rPr>
        <w:t> </w:t>
      </w:r>
      <w:r>
        <w:rPr>
          <w:spacing w:val="-6"/>
        </w:rPr>
        <w:t>年度：约人民币</w:t>
      </w:r>
      <w:r>
        <w:rPr>
          <w:spacing w:val="-56"/>
        </w:rPr>
        <w:t> </w:t>
      </w:r>
      <w:r>
        <w:rPr>
          <w:rFonts w:ascii="Arial" w:hAnsi="Arial" w:cs="Arial" w:eastAsia="Arial" w:hint="default"/>
        </w:rPr>
        <w:t>14</w:t>
      </w:r>
      <w:r>
        <w:rPr>
          <w:rFonts w:ascii="Arial" w:hAnsi="Arial" w:cs="Arial" w:eastAsia="Arial" w:hint="default"/>
          <w:spacing w:val="-6"/>
        </w:rPr>
        <w:t> </w:t>
      </w:r>
      <w:r>
        <w:rPr>
          <w:spacing w:val="-10"/>
        </w:rPr>
        <w:t>万元）。</w:t>
      </w:r>
    </w:p>
    <w:p>
      <w:pPr>
        <w:pStyle w:val="BodyText"/>
        <w:spacing w:line="295" w:lineRule="exact" w:before="178"/>
        <w:ind w:left="570" w:right="0"/>
        <w:jc w:val="left"/>
      </w:pPr>
      <w:r>
        <w:rPr>
          <w:rFonts w:ascii="Arial" w:hAnsi="Arial" w:cs="Arial" w:eastAsia="Arial" w:hint="default"/>
        </w:rPr>
        <w:t>(h)  </w:t>
      </w:r>
      <w:r>
        <w:rPr>
          <w:rFonts w:ascii="Arial" w:hAnsi="Arial" w:cs="Arial" w:eastAsia="Arial" w:hint="default"/>
          <w:spacing w:val="5"/>
        </w:rPr>
        <w:t> </w:t>
      </w:r>
      <w:r>
        <w:rPr/>
        <w:t>于</w:t>
      </w:r>
      <w:r>
        <w:rPr>
          <w:spacing w:val="-57"/>
        </w:rPr>
        <w:t> </w:t>
      </w:r>
      <w:r>
        <w:rPr>
          <w:rFonts w:ascii="Arial" w:hAnsi="Arial" w:cs="Arial" w:eastAsia="Arial" w:hint="default"/>
        </w:rPr>
        <w:t>2007</w:t>
      </w:r>
      <w:r>
        <w:rPr>
          <w:rFonts w:ascii="Arial" w:hAnsi="Arial" w:cs="Arial" w:eastAsia="Arial" w:hint="default"/>
          <w:spacing w:val="-8"/>
        </w:rPr>
        <w:t> </w:t>
      </w:r>
      <w:r>
        <w:rPr/>
        <w:t>年度，联通运营公司根据董事会决议，以其累计未分配利润中的约人民币</w:t>
      </w:r>
      <w:r>
        <w:rPr>
          <w:spacing w:val="-57"/>
        </w:rPr>
        <w:t> </w:t>
      </w:r>
      <w:r>
        <w:rPr>
          <w:rFonts w:ascii="Arial" w:hAnsi="Arial" w:cs="Arial" w:eastAsia="Arial" w:hint="default"/>
        </w:rPr>
        <w:t>173</w:t>
      </w:r>
      <w:r>
        <w:rPr>
          <w:rFonts w:ascii="Arial" w:hAnsi="Arial" w:cs="Arial" w:eastAsia="Arial" w:hint="default"/>
          <w:spacing w:val="-8"/>
        </w:rPr>
        <w:t> </w:t>
      </w:r>
      <w:r>
        <w:rPr/>
        <w:t>亿</w:t>
      </w:r>
    </w:p>
    <w:p>
      <w:pPr>
        <w:pStyle w:val="BodyText"/>
        <w:spacing w:line="232" w:lineRule="auto"/>
        <w:ind w:left="1032" w:right="212"/>
        <w:jc w:val="both"/>
      </w:pPr>
      <w:r>
        <w:rPr/>
        <w:t>元未分配利润转增注册资本。此外，本公司的子公司中讯设计院是一家于</w:t>
      </w:r>
      <w:r>
        <w:rPr>
          <w:spacing w:val="-68"/>
        </w:rPr>
        <w:t> </w:t>
      </w:r>
      <w:r>
        <w:rPr>
          <w:rFonts w:ascii="Arial" w:hAnsi="Arial" w:cs="Arial" w:eastAsia="Arial" w:hint="default"/>
        </w:rPr>
        <w:t>2008</w:t>
      </w:r>
      <w:r>
        <w:rPr>
          <w:rFonts w:ascii="Arial" w:hAnsi="Arial" w:cs="Arial" w:eastAsia="Arial" w:hint="default"/>
          <w:spacing w:val="-19"/>
        </w:rPr>
        <w:t> </w:t>
      </w:r>
      <w:r>
        <w:rPr/>
        <w:t>年</w:t>
      </w:r>
      <w:r>
        <w:rPr>
          <w:spacing w:val="-68"/>
        </w:rPr>
        <w:t> </w:t>
      </w:r>
      <w:r>
        <w:rPr>
          <w:rFonts w:ascii="Arial" w:hAnsi="Arial" w:cs="Arial" w:eastAsia="Arial" w:hint="default"/>
        </w:rPr>
        <w:t>9</w:t>
      </w:r>
      <w:r>
        <w:rPr>
          <w:rFonts w:ascii="Arial" w:hAnsi="Arial" w:cs="Arial" w:eastAsia="Arial" w:hint="default"/>
          <w:spacing w:val="-19"/>
        </w:rPr>
        <w:t> </w:t>
      </w:r>
      <w:r>
        <w:rPr/>
        <w:t>月</w:t>
      </w:r>
      <w:r>
        <w:rPr>
          <w:spacing w:val="-68"/>
        </w:rPr>
        <w:t> </w:t>
      </w:r>
      <w:r>
        <w:rPr>
          <w:rFonts w:ascii="Arial" w:hAnsi="Arial" w:cs="Arial" w:eastAsia="Arial" w:hint="default"/>
        </w:rPr>
        <w:t>27</w:t>
      </w:r>
      <w:r>
        <w:rPr>
          <w:rFonts w:ascii="Arial" w:hAnsi="Arial" w:cs="Arial" w:eastAsia="Arial" w:hint="default"/>
          <w:w w:val="99"/>
        </w:rPr>
        <w:t> </w:t>
      </w:r>
      <w:r>
        <w:rPr>
          <w:spacing w:val="-1"/>
        </w:rPr>
        <w:t>日完成公司制改制后设立的企业，根据相关企业改制的规定，中讯设计院截至改制日止的</w:t>
      </w:r>
      <w:r>
        <w:rPr>
          <w:spacing w:val="-102"/>
        </w:rPr>
        <w:t> </w:t>
      </w:r>
      <w:r>
        <w:rPr>
          <w:spacing w:val="-102"/>
        </w:rPr>
      </w:r>
      <w:r>
        <w:rPr>
          <w:spacing w:val="-1"/>
        </w:rPr>
        <w:t>未分配利润被全部转入资本公积项下。本公司根据持股比例计算了上述事项对本集团资本</w:t>
      </w:r>
      <w:r>
        <w:rPr>
          <w:spacing w:val="-101"/>
        </w:rPr>
        <w:t> </w:t>
      </w:r>
      <w:r>
        <w:rPr>
          <w:spacing w:val="-101"/>
        </w:rPr>
      </w:r>
      <w:r>
        <w:rPr/>
        <w:t>公积的影响。</w:t>
      </w:r>
    </w:p>
    <w:p>
      <w:pPr>
        <w:spacing w:line="240" w:lineRule="auto" w:before="3"/>
        <w:rPr>
          <w:rFonts w:ascii="宋体" w:hAnsi="宋体" w:cs="宋体" w:eastAsia="宋体" w:hint="default"/>
          <w:sz w:val="16"/>
          <w:szCs w:val="16"/>
        </w:rPr>
      </w:pPr>
    </w:p>
    <w:p>
      <w:pPr>
        <w:pStyle w:val="BodyText"/>
        <w:spacing w:line="232" w:lineRule="auto"/>
        <w:ind w:left="1032" w:right="212" w:hanging="462"/>
        <w:jc w:val="both"/>
      </w:pPr>
      <w:r>
        <w:rPr>
          <w:rFonts w:ascii="Arial" w:hAnsi="Arial" w:cs="Arial" w:eastAsia="Arial" w:hint="default"/>
        </w:rPr>
        <w:t>(i)</w:t>
      </w:r>
      <w:r>
        <w:rPr>
          <w:rFonts w:ascii="Arial" w:hAnsi="Arial" w:cs="Arial" w:eastAsia="Arial" w:hint="default"/>
          <w:spacing w:val="12"/>
        </w:rPr>
        <w:t> </w:t>
      </w:r>
      <w:r>
        <w:rPr/>
        <w:t>联通红筹公司于</w:t>
      </w:r>
      <w:r>
        <w:rPr>
          <w:spacing w:val="-58"/>
        </w:rPr>
        <w:t> </w:t>
      </w:r>
      <w:r>
        <w:rPr>
          <w:rFonts w:ascii="Arial" w:hAnsi="Arial" w:cs="Arial" w:eastAsia="Arial" w:hint="default"/>
        </w:rPr>
        <w:t>2008</w:t>
      </w:r>
      <w:r>
        <w:rPr>
          <w:rFonts w:ascii="Arial" w:hAnsi="Arial" w:cs="Arial" w:eastAsia="Arial" w:hint="default"/>
          <w:spacing w:val="-9"/>
        </w:rPr>
        <w:t> </w:t>
      </w:r>
      <w:r>
        <w:rPr/>
        <w:t>年</w:t>
      </w:r>
      <w:r>
        <w:rPr>
          <w:spacing w:val="-58"/>
        </w:rPr>
        <w:t> </w:t>
      </w:r>
      <w:r>
        <w:rPr>
          <w:rFonts w:ascii="Arial" w:hAnsi="Arial" w:cs="Arial" w:eastAsia="Arial" w:hint="default"/>
        </w:rPr>
        <w:t>10</w:t>
      </w:r>
      <w:r>
        <w:rPr>
          <w:rFonts w:ascii="Arial" w:hAnsi="Arial" w:cs="Arial" w:eastAsia="Arial" w:hint="default"/>
          <w:spacing w:val="-9"/>
        </w:rPr>
        <w:t> </w:t>
      </w:r>
      <w:r>
        <w:rPr/>
        <w:t>月</w:t>
      </w:r>
      <w:r>
        <w:rPr>
          <w:spacing w:val="-58"/>
        </w:rPr>
        <w:t> </w:t>
      </w:r>
      <w:r>
        <w:rPr>
          <w:rFonts w:ascii="Arial" w:hAnsi="Arial" w:cs="Arial" w:eastAsia="Arial" w:hint="default"/>
        </w:rPr>
        <w:t>15</w:t>
      </w:r>
      <w:r>
        <w:rPr>
          <w:rFonts w:ascii="Arial" w:hAnsi="Arial" w:cs="Arial" w:eastAsia="Arial" w:hint="default"/>
          <w:spacing w:val="-9"/>
        </w:rPr>
        <w:t> </w:t>
      </w:r>
      <w:r>
        <w:rPr/>
        <w:t>日以换股方式完成了与网通红筹公司的合并，网通红筹</w:t>
      </w:r>
      <w:r>
        <w:rPr>
          <w:w w:val="99"/>
        </w:rPr>
        <w:t> </w:t>
      </w:r>
      <w:r>
        <w:rPr>
          <w:spacing w:val="-1"/>
        </w:rPr>
        <w:t>公司的股东权益被计入联通红筹公司的合并股东权益总额，增加本集团的资本公积。由于</w:t>
      </w:r>
      <w:r>
        <w:rPr>
          <w:w w:val="99"/>
        </w:rPr>
        <w:t> </w:t>
      </w:r>
      <w:r>
        <w:rPr/>
        <w:t>在报告期，本公司一直保持对联通红筹公司的控制，因此此合并导致本公司通过联通</w:t>
      </w:r>
      <w:r>
        <w:rPr>
          <w:spacing w:val="-56"/>
        </w:rPr>
        <w:t> </w:t>
      </w:r>
      <w:r>
        <w:rPr>
          <w:rFonts w:ascii="Arial" w:hAnsi="Arial" w:cs="Arial" w:eastAsia="Arial" w:hint="default"/>
        </w:rPr>
        <w:t>BVI</w:t>
      </w:r>
      <w:r>
        <w:rPr>
          <w:rFonts w:ascii="Arial" w:hAnsi="Arial" w:cs="Arial" w:eastAsia="Arial" w:hint="default"/>
          <w:w w:val="99"/>
        </w:rPr>
        <w:t> </w:t>
      </w:r>
      <w:r>
        <w:rPr>
          <w:spacing w:val="-1"/>
        </w:rPr>
        <w:t>公司对联通红筹公司的持股比例下降，会减少本集团的资本公积。按本公司对联通红筹公</w:t>
      </w:r>
      <w:r>
        <w:rPr>
          <w:w w:val="99"/>
        </w:rPr>
        <w:t> </w:t>
      </w:r>
      <w:r>
        <w:rPr>
          <w:spacing w:val="5"/>
        </w:rPr>
        <w:t>司的持股比例计算，前述因素互抵后减少归属于本集团母公司普通股股东的资本公积约</w:t>
      </w:r>
    </w:p>
    <w:p>
      <w:pPr>
        <w:pStyle w:val="BodyText"/>
        <w:spacing w:line="302" w:lineRule="exact"/>
        <w:ind w:left="1032" w:right="0"/>
        <w:jc w:val="both"/>
      </w:pPr>
      <w:r>
        <w:rPr>
          <w:rFonts w:ascii="Arial" w:hAnsi="Arial" w:cs="Arial" w:eastAsia="Arial" w:hint="default"/>
        </w:rPr>
        <w:t>61.18</w:t>
      </w:r>
      <w:r>
        <w:rPr>
          <w:rFonts w:ascii="Arial" w:hAnsi="Arial" w:cs="Arial" w:eastAsia="Arial" w:hint="default"/>
          <w:spacing w:val="-9"/>
        </w:rPr>
        <w:t> </w:t>
      </w:r>
      <w:r>
        <w:rPr/>
        <w:t>亿元。</w:t>
      </w:r>
    </w:p>
    <w:p>
      <w:pPr>
        <w:pStyle w:val="BodyText"/>
        <w:spacing w:line="225" w:lineRule="auto" w:before="177"/>
        <w:ind w:left="1018" w:right="212" w:hanging="1"/>
        <w:jc w:val="both"/>
      </w:pPr>
      <w:r>
        <w:rPr>
          <w:spacing w:val="-5"/>
          <w:w w:val="99"/>
        </w:rPr>
        <w:t>另外，由于本公司子公司联通红筹公司分别于</w:t>
      </w:r>
      <w:r>
        <w:rPr>
          <w:spacing w:val="-53"/>
          <w:w w:val="99"/>
        </w:rPr>
        <w:t> </w:t>
      </w:r>
      <w:r>
        <w:rPr>
          <w:rFonts w:ascii="Arial" w:hAnsi="Arial" w:cs="Arial" w:eastAsia="Arial" w:hint="default"/>
          <w:w w:val="99"/>
        </w:rPr>
        <w:t>2009</w:t>
      </w:r>
      <w:r>
        <w:rPr>
          <w:rFonts w:ascii="Arial" w:hAnsi="Arial" w:cs="Arial" w:eastAsia="Arial" w:hint="default"/>
          <w:spacing w:val="-5"/>
          <w:w w:val="99"/>
        </w:rPr>
        <w:t> </w:t>
      </w:r>
      <w:r>
        <w:rPr>
          <w:w w:val="99"/>
        </w:rPr>
        <w:t>年</w:t>
      </w:r>
      <w:r>
        <w:rPr>
          <w:spacing w:val="-54"/>
          <w:w w:val="99"/>
        </w:rPr>
        <w:t> </w:t>
      </w:r>
      <w:r>
        <w:rPr>
          <w:rFonts w:ascii="Arial" w:hAnsi="Arial" w:cs="Arial" w:eastAsia="Arial" w:hint="default"/>
          <w:w w:val="99"/>
        </w:rPr>
        <w:t>10</w:t>
      </w:r>
      <w:r>
        <w:rPr>
          <w:rFonts w:ascii="Arial" w:hAnsi="Arial" w:cs="Arial" w:eastAsia="Arial" w:hint="default"/>
          <w:spacing w:val="-5"/>
          <w:w w:val="99"/>
        </w:rPr>
        <w:t> </w:t>
      </w:r>
      <w:r>
        <w:rPr>
          <w:w w:val="99"/>
        </w:rPr>
        <w:t>月</w:t>
      </w:r>
      <w:r>
        <w:rPr>
          <w:spacing w:val="-54"/>
          <w:w w:val="99"/>
        </w:rPr>
        <w:t> </w:t>
      </w:r>
      <w:r>
        <w:rPr>
          <w:rFonts w:ascii="Arial" w:hAnsi="Arial" w:cs="Arial" w:eastAsia="Arial" w:hint="default"/>
          <w:w w:val="99"/>
        </w:rPr>
        <w:t>21</w:t>
      </w:r>
      <w:r>
        <w:rPr>
          <w:rFonts w:ascii="Arial" w:hAnsi="Arial" w:cs="Arial" w:eastAsia="Arial" w:hint="default"/>
          <w:spacing w:val="-5"/>
          <w:w w:val="99"/>
        </w:rPr>
        <w:t> </w:t>
      </w:r>
      <w:r>
        <w:rPr>
          <w:w w:val="99"/>
        </w:rPr>
        <w:t>日和</w:t>
      </w:r>
      <w:r>
        <w:rPr>
          <w:spacing w:val="-54"/>
          <w:w w:val="99"/>
        </w:rPr>
        <w:t> </w:t>
      </w:r>
      <w:r>
        <w:rPr>
          <w:rFonts w:ascii="Arial" w:hAnsi="Arial" w:cs="Arial" w:eastAsia="Arial" w:hint="default"/>
          <w:w w:val="99"/>
        </w:rPr>
        <w:t>2009</w:t>
      </w:r>
      <w:r>
        <w:rPr>
          <w:rFonts w:ascii="Arial" w:hAnsi="Arial" w:cs="Arial" w:eastAsia="Arial" w:hint="default"/>
          <w:spacing w:val="-5"/>
          <w:w w:val="99"/>
        </w:rPr>
        <w:t> </w:t>
      </w:r>
      <w:r>
        <w:rPr>
          <w:w w:val="99"/>
        </w:rPr>
        <w:t>年</w:t>
      </w:r>
      <w:r>
        <w:rPr>
          <w:spacing w:val="-54"/>
          <w:w w:val="99"/>
        </w:rPr>
        <w:t> </w:t>
      </w:r>
      <w:r>
        <w:rPr>
          <w:rFonts w:ascii="Arial" w:hAnsi="Arial" w:cs="Arial" w:eastAsia="Arial" w:hint="default"/>
          <w:w w:val="99"/>
        </w:rPr>
        <w:t>11</w:t>
      </w:r>
      <w:r>
        <w:rPr>
          <w:rFonts w:ascii="Arial" w:hAnsi="Arial" w:cs="Arial" w:eastAsia="Arial" w:hint="default"/>
          <w:spacing w:val="-5"/>
          <w:w w:val="99"/>
        </w:rPr>
        <w:t> </w:t>
      </w:r>
      <w:r>
        <w:rPr>
          <w:w w:val="99"/>
        </w:rPr>
        <w:t>月</w:t>
      </w:r>
      <w:r>
        <w:rPr>
          <w:spacing w:val="-54"/>
          <w:w w:val="99"/>
        </w:rPr>
        <w:t> </w:t>
      </w:r>
      <w:r>
        <w:rPr>
          <w:rFonts w:ascii="Arial" w:hAnsi="Arial" w:cs="Arial" w:eastAsia="Arial" w:hint="default"/>
          <w:w w:val="99"/>
        </w:rPr>
        <w:t>5</w:t>
      </w:r>
      <w:r>
        <w:rPr>
          <w:rFonts w:ascii="Arial" w:hAnsi="Arial" w:cs="Arial" w:eastAsia="Arial" w:hint="default"/>
          <w:spacing w:val="-5"/>
          <w:w w:val="99"/>
        </w:rPr>
        <w:t> </w:t>
      </w:r>
      <w:r>
        <w:rPr>
          <w:w w:val="99"/>
        </w:rPr>
        <w:t>日完 </w:t>
      </w:r>
      <w:r>
        <w:rPr/>
        <w:t>成了与西班牙电信相互投资和回购 </w:t>
      </w:r>
      <w:r>
        <w:rPr>
          <w:rFonts w:ascii="Arial" w:hAnsi="Arial" w:cs="Arial" w:eastAsia="Arial" w:hint="default"/>
        </w:rPr>
        <w:t>SKT</w:t>
      </w:r>
      <w:r>
        <w:rPr>
          <w:rFonts w:ascii="Arial" w:hAnsi="Arial" w:cs="Arial" w:eastAsia="Arial" w:hint="default"/>
          <w:spacing w:val="42"/>
        </w:rPr>
        <w:t> </w:t>
      </w:r>
      <w:r>
        <w:rPr/>
        <w:t>持有的联通红筹公司股份的交易，故本公司通过</w:t>
      </w:r>
      <w:r>
        <w:rPr>
          <w:w w:val="99"/>
        </w:rPr>
        <w:t> </w:t>
      </w:r>
      <w:r>
        <w:rPr/>
        <w:t>联通 </w:t>
      </w:r>
      <w:r>
        <w:rPr>
          <w:rFonts w:ascii="Arial" w:hAnsi="Arial" w:cs="Arial" w:eastAsia="Arial" w:hint="default"/>
        </w:rPr>
        <w:t>BVI </w:t>
      </w:r>
      <w:r>
        <w:rPr>
          <w:spacing w:val="2"/>
        </w:rPr>
        <w:t>公司对联通红筹公司的持股比例由两项交易完成前的</w:t>
      </w:r>
      <w:r>
        <w:rPr>
          <w:spacing w:val="14"/>
        </w:rPr>
        <w:t> </w:t>
      </w:r>
      <w:r>
        <w:rPr>
          <w:rFonts w:ascii="Arial" w:hAnsi="Arial" w:cs="Arial" w:eastAsia="Arial" w:hint="default"/>
        </w:rPr>
        <w:t>40.92%</w:t>
      </w:r>
      <w:r>
        <w:rPr/>
        <w:t>上升至完成后的</w:t>
      </w:r>
      <w:r>
        <w:rPr>
          <w:w w:val="99"/>
        </w:rPr>
        <w:t> </w:t>
      </w:r>
      <w:r>
        <w:rPr>
          <w:rFonts w:ascii="Arial" w:hAnsi="Arial" w:cs="Arial" w:eastAsia="Arial" w:hint="default"/>
        </w:rPr>
        <w:t>41.27%</w:t>
      </w:r>
      <w:r>
        <w:rPr/>
        <w:t>，亦增加归属于本集团母公司普通股股东的资本公积约人民币</w:t>
      </w:r>
      <w:r>
        <w:rPr>
          <w:spacing w:val="-58"/>
        </w:rPr>
        <w:t> </w:t>
      </w:r>
      <w:r>
        <w:rPr>
          <w:rFonts w:ascii="Arial" w:hAnsi="Arial" w:cs="Arial" w:eastAsia="Arial" w:hint="default"/>
        </w:rPr>
        <w:t>6.22</w:t>
      </w:r>
      <w:r>
        <w:rPr>
          <w:rFonts w:ascii="Arial" w:hAnsi="Arial" w:cs="Arial" w:eastAsia="Arial" w:hint="default"/>
          <w:spacing w:val="-10"/>
        </w:rPr>
        <w:t> </w:t>
      </w:r>
      <w:r>
        <w:rPr/>
        <w:t>亿元。</w:t>
      </w:r>
    </w:p>
    <w:p>
      <w:pPr>
        <w:spacing w:line="240" w:lineRule="auto" w:before="10"/>
        <w:rPr>
          <w:rFonts w:ascii="宋体" w:hAnsi="宋体" w:cs="宋体" w:eastAsia="宋体" w:hint="default"/>
          <w:sz w:val="16"/>
          <w:szCs w:val="16"/>
        </w:rPr>
      </w:pPr>
    </w:p>
    <w:p>
      <w:pPr>
        <w:pStyle w:val="BodyText"/>
        <w:spacing w:line="286" w:lineRule="exact"/>
        <w:ind w:left="1032" w:right="212" w:hanging="2"/>
        <w:jc w:val="both"/>
      </w:pPr>
      <w:r>
        <w:rPr/>
        <w:t>于 </w:t>
      </w:r>
      <w:r>
        <w:rPr>
          <w:rFonts w:ascii="Arial" w:hAnsi="Arial" w:cs="Arial" w:eastAsia="Arial" w:hint="default"/>
        </w:rPr>
        <w:t>2011</w:t>
      </w:r>
      <w:r>
        <w:rPr>
          <w:rFonts w:ascii="Arial" w:hAnsi="Arial" w:cs="Arial" w:eastAsia="Arial" w:hint="default"/>
          <w:spacing w:val="-30"/>
        </w:rPr>
        <w:t> </w:t>
      </w:r>
      <w:r>
        <w:rPr/>
        <w:t>年度，联通红筹公司的部分被授予股份期权的员工行使股份期权而增加联通红筹</w:t>
      </w:r>
      <w:r>
        <w:rPr>
          <w:w w:val="99"/>
        </w:rPr>
        <w:t> </w:t>
      </w:r>
      <w:r>
        <w:rPr/>
        <w:t>公司公众股份约</w:t>
      </w:r>
      <w:r>
        <w:rPr>
          <w:spacing w:val="-57"/>
        </w:rPr>
        <w:t> </w:t>
      </w:r>
      <w:r>
        <w:rPr>
          <w:rFonts w:ascii="Arial" w:hAnsi="Arial" w:cs="Arial" w:eastAsia="Arial" w:hint="default"/>
        </w:rPr>
        <w:t>272.5</w:t>
      </w:r>
      <w:r>
        <w:rPr>
          <w:rFonts w:ascii="Arial" w:hAnsi="Arial" w:cs="Arial" w:eastAsia="Arial" w:hint="default"/>
          <w:spacing w:val="-8"/>
        </w:rPr>
        <w:t> </w:t>
      </w:r>
      <w:r>
        <w:rPr>
          <w:spacing w:val="-6"/>
        </w:rPr>
        <w:t>万股，因此导致联通</w:t>
      </w:r>
      <w:r>
        <w:rPr>
          <w:spacing w:val="-57"/>
        </w:rPr>
        <w:t> </w:t>
      </w:r>
      <w:r>
        <w:rPr>
          <w:rFonts w:ascii="Arial" w:hAnsi="Arial" w:cs="Arial" w:eastAsia="Arial" w:hint="default"/>
        </w:rPr>
        <w:t>BVI</w:t>
      </w:r>
      <w:r>
        <w:rPr>
          <w:rFonts w:ascii="Arial" w:hAnsi="Arial" w:cs="Arial" w:eastAsia="Arial" w:hint="default"/>
          <w:spacing w:val="-8"/>
        </w:rPr>
        <w:t> </w:t>
      </w:r>
      <w:r>
        <w:rPr/>
        <w:t>公司对联通红筹公司持股比例下降而使归</w:t>
      </w:r>
      <w:r>
        <w:rPr>
          <w:w w:val="99"/>
        </w:rPr>
        <w:t> </w:t>
      </w:r>
      <w:r>
        <w:rPr/>
        <w:t>属于本集团母公司普通股股东的资本公积减少约人民币</w:t>
      </w:r>
      <w:r>
        <w:rPr>
          <w:spacing w:val="-57"/>
        </w:rPr>
        <w:t> </w:t>
      </w:r>
      <w:r>
        <w:rPr>
          <w:rFonts w:ascii="Arial" w:hAnsi="Arial" w:cs="Arial" w:eastAsia="Arial" w:hint="default"/>
        </w:rPr>
        <w:t>815</w:t>
      </w:r>
      <w:r>
        <w:rPr>
          <w:rFonts w:ascii="Arial" w:hAnsi="Arial" w:cs="Arial" w:eastAsia="Arial" w:hint="default"/>
          <w:spacing w:val="-8"/>
        </w:rPr>
        <w:t> </w:t>
      </w:r>
      <w:r>
        <w:rPr/>
        <w:t>万元。</w:t>
      </w:r>
    </w:p>
    <w:p>
      <w:pPr>
        <w:pStyle w:val="BodyText"/>
        <w:spacing w:line="230" w:lineRule="auto" w:before="161"/>
        <w:ind w:left="1032" w:right="148" w:hanging="462"/>
        <w:jc w:val="both"/>
      </w:pPr>
      <w:r>
        <w:rPr>
          <w:rFonts w:ascii="Arial" w:hAnsi="Arial" w:cs="Arial" w:eastAsia="Arial" w:hint="default"/>
        </w:rPr>
        <w:t>(j)</w:t>
      </w:r>
      <w:r>
        <w:rPr>
          <w:rFonts w:ascii="Arial" w:hAnsi="Arial" w:cs="Arial" w:eastAsia="Arial" w:hint="default"/>
          <w:spacing w:val="18"/>
        </w:rPr>
        <w:t> </w:t>
      </w:r>
      <w:r>
        <w:rPr/>
        <w:t>于</w:t>
      </w:r>
      <w:r>
        <w:rPr>
          <w:spacing w:val="-56"/>
        </w:rPr>
        <w:t> </w:t>
      </w:r>
      <w:r>
        <w:rPr>
          <w:rFonts w:ascii="Arial" w:hAnsi="Arial" w:cs="Arial" w:eastAsia="Arial" w:hint="default"/>
        </w:rPr>
        <w:t>2007</w:t>
      </w:r>
      <w:r>
        <w:rPr>
          <w:rFonts w:ascii="Arial" w:hAnsi="Arial" w:cs="Arial" w:eastAsia="Arial" w:hint="default"/>
          <w:spacing w:val="-7"/>
        </w:rPr>
        <w:t> </w:t>
      </w:r>
      <w:r>
        <w:rPr/>
        <w:t>年度，联通红筹公司向</w:t>
      </w:r>
      <w:r>
        <w:rPr>
          <w:spacing w:val="-56"/>
        </w:rPr>
        <w:t> </w:t>
      </w:r>
      <w:r>
        <w:rPr>
          <w:rFonts w:ascii="Arial" w:hAnsi="Arial" w:cs="Arial" w:eastAsia="Arial" w:hint="default"/>
        </w:rPr>
        <w:t>SKT</w:t>
      </w:r>
      <w:r>
        <w:rPr>
          <w:rFonts w:ascii="Arial" w:hAnsi="Arial" w:cs="Arial" w:eastAsia="Arial" w:hint="default"/>
          <w:spacing w:val="-7"/>
        </w:rPr>
        <w:t> </w:t>
      </w:r>
      <w:r>
        <w:rPr/>
        <w:t>发行的可转换债券已全部转换为联通红筹公司股份，</w:t>
      </w:r>
      <w:r>
        <w:rPr>
          <w:w w:val="99"/>
        </w:rPr>
        <w:t> </w:t>
      </w:r>
      <w:r>
        <w:rPr/>
        <w:t>根据换股后本公司对联通红筹公司的持股比例计算，于换股后归属于本集团母公司普通股</w:t>
      </w:r>
      <w:r>
        <w:rPr>
          <w:w w:val="99"/>
        </w:rPr>
        <w:t> </w:t>
      </w:r>
      <w:r>
        <w:rPr/>
        <w:t>股东的资本公积增加约人民币</w:t>
      </w:r>
      <w:r>
        <w:rPr>
          <w:spacing w:val="-57"/>
        </w:rPr>
        <w:t> </w:t>
      </w:r>
      <w:r>
        <w:rPr>
          <w:rFonts w:ascii="Arial" w:hAnsi="Arial" w:cs="Arial" w:eastAsia="Arial" w:hint="default"/>
        </w:rPr>
        <w:t>31.17</w:t>
      </w:r>
      <w:r>
        <w:rPr>
          <w:rFonts w:ascii="Arial" w:hAnsi="Arial" w:cs="Arial" w:eastAsia="Arial" w:hint="default"/>
          <w:spacing w:val="-8"/>
        </w:rPr>
        <w:t> </w:t>
      </w:r>
      <w:r>
        <w:rPr/>
        <w:t>亿元。</w:t>
      </w:r>
    </w:p>
    <w:p>
      <w:pPr>
        <w:pStyle w:val="BodyText"/>
        <w:spacing w:line="295" w:lineRule="exact" w:before="190"/>
        <w:ind w:left="1031" w:right="0"/>
        <w:jc w:val="both"/>
      </w:pPr>
      <w:r>
        <w:rPr/>
        <w:t>另外，本公司所属子公司亿迅公司（发行人）于</w:t>
      </w:r>
      <w:r>
        <w:rPr>
          <w:spacing w:val="-59"/>
        </w:rPr>
        <w:t> </w:t>
      </w:r>
      <w:r>
        <w:rPr>
          <w:rFonts w:ascii="Arial" w:hAnsi="Arial" w:cs="Arial" w:eastAsia="Arial" w:hint="default"/>
        </w:rPr>
        <w:t>2010</w:t>
      </w:r>
      <w:r>
        <w:rPr>
          <w:rFonts w:ascii="Arial" w:hAnsi="Arial" w:cs="Arial" w:eastAsia="Arial" w:hint="default"/>
          <w:spacing w:val="-10"/>
        </w:rPr>
        <w:t> </w:t>
      </w:r>
      <w:r>
        <w:rPr/>
        <w:t>年</w:t>
      </w:r>
      <w:r>
        <w:rPr>
          <w:spacing w:val="-59"/>
        </w:rPr>
        <w:t> </w:t>
      </w:r>
      <w:r>
        <w:rPr>
          <w:rFonts w:ascii="Arial" w:hAnsi="Arial" w:cs="Arial" w:eastAsia="Arial" w:hint="default"/>
        </w:rPr>
        <w:t>10</w:t>
      </w:r>
      <w:r>
        <w:rPr>
          <w:rFonts w:ascii="Arial" w:hAnsi="Arial" w:cs="Arial" w:eastAsia="Arial" w:hint="default"/>
          <w:spacing w:val="-10"/>
        </w:rPr>
        <w:t> </w:t>
      </w:r>
      <w:r>
        <w:rPr/>
        <w:t>月</w:t>
      </w:r>
      <w:r>
        <w:rPr>
          <w:spacing w:val="-59"/>
        </w:rPr>
        <w:t> </w:t>
      </w:r>
      <w:r>
        <w:rPr>
          <w:rFonts w:ascii="Arial" w:hAnsi="Arial" w:cs="Arial" w:eastAsia="Arial" w:hint="default"/>
        </w:rPr>
        <w:t>18</w:t>
      </w:r>
      <w:r>
        <w:rPr>
          <w:rFonts w:ascii="Arial" w:hAnsi="Arial" w:cs="Arial" w:eastAsia="Arial" w:hint="default"/>
          <w:spacing w:val="-10"/>
        </w:rPr>
        <w:t> </w:t>
      </w:r>
      <w:r>
        <w:rPr/>
        <w:t>日完成了联通红筹公司</w:t>
      </w:r>
    </w:p>
    <w:p>
      <w:pPr>
        <w:pStyle w:val="BodyText"/>
        <w:spacing w:line="286" w:lineRule="exact"/>
        <w:ind w:left="1032" w:right="0"/>
        <w:jc w:val="both"/>
      </w:pPr>
      <w:r>
        <w:rPr/>
        <w:t>可转换债券的发行，该可转换债券权益部分约人民币 </w:t>
      </w:r>
      <w:r>
        <w:rPr>
          <w:rFonts w:ascii="Arial" w:hAnsi="Arial" w:cs="Arial" w:eastAsia="Arial" w:hint="default"/>
        </w:rPr>
        <w:t>5.72</w:t>
      </w:r>
      <w:r>
        <w:rPr>
          <w:rFonts w:ascii="Arial" w:hAnsi="Arial" w:cs="Arial" w:eastAsia="Arial" w:hint="default"/>
          <w:spacing w:val="29"/>
        </w:rPr>
        <w:t> </w:t>
      </w:r>
      <w:r>
        <w:rPr/>
        <w:t>亿元根据本公司的持股比例计</w:t>
      </w:r>
    </w:p>
    <w:p>
      <w:pPr>
        <w:pStyle w:val="BodyText"/>
        <w:spacing w:line="295" w:lineRule="exact"/>
        <w:ind w:left="1032" w:right="0"/>
        <w:jc w:val="both"/>
      </w:pPr>
      <w:r>
        <w:rPr/>
        <w:t>算约人民币</w:t>
      </w:r>
      <w:r>
        <w:rPr>
          <w:spacing w:val="-57"/>
        </w:rPr>
        <w:t> </w:t>
      </w:r>
      <w:r>
        <w:rPr>
          <w:rFonts w:ascii="Arial" w:hAnsi="Arial" w:cs="Arial" w:eastAsia="Arial" w:hint="default"/>
        </w:rPr>
        <w:t>1.94</w:t>
      </w:r>
      <w:r>
        <w:rPr>
          <w:rFonts w:ascii="Arial" w:hAnsi="Arial" w:cs="Arial" w:eastAsia="Arial" w:hint="default"/>
          <w:spacing w:val="-9"/>
        </w:rPr>
        <w:t> </w:t>
      </w:r>
      <w:r>
        <w:rPr/>
        <w:t>亿元被反映在归属于本集团母公司普通股股东的资本公积项下。</w:t>
      </w:r>
    </w:p>
    <w:p>
      <w:pPr>
        <w:pStyle w:val="BodyText"/>
        <w:spacing w:line="286" w:lineRule="exact" w:before="190"/>
        <w:ind w:left="1031" w:right="213" w:hanging="462"/>
        <w:jc w:val="both"/>
      </w:pPr>
      <w:r>
        <w:rPr>
          <w:rFonts w:ascii="Arial" w:hAnsi="Arial" w:cs="Arial" w:eastAsia="Arial" w:hint="default"/>
        </w:rPr>
        <w:t>(k)</w:t>
      </w:r>
      <w:r>
        <w:rPr>
          <w:rFonts w:ascii="Arial" w:hAnsi="Arial" w:cs="Arial" w:eastAsia="Arial" w:hint="default"/>
          <w:spacing w:val="13"/>
        </w:rPr>
        <w:t> </w:t>
      </w:r>
      <w:r>
        <w:rPr/>
        <w:t>由于本公司所属联通运营公司于</w:t>
      </w:r>
      <w:r>
        <w:rPr>
          <w:spacing w:val="-58"/>
        </w:rPr>
        <w:t> </w:t>
      </w:r>
      <w:r>
        <w:rPr>
          <w:rFonts w:ascii="Arial" w:hAnsi="Arial" w:cs="Arial" w:eastAsia="Arial" w:hint="default"/>
        </w:rPr>
        <w:t>2007</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日完成了对贵州业务的收购，本公司根</w:t>
      </w:r>
      <w:r>
        <w:rPr>
          <w:w w:val="99"/>
        </w:rPr>
        <w:t> </w:t>
      </w:r>
      <w:r>
        <w:rPr/>
        <w:t>据持股比例计算了在同一控制下收购贵州业务对本集团资本公积的影响。</w:t>
      </w:r>
    </w:p>
    <w:p>
      <w:pPr>
        <w:spacing w:after="0" w:line="286" w:lineRule="exact"/>
        <w:jc w:val="both"/>
        <w:sectPr>
          <w:pgSz w:w="11900" w:h="16840"/>
          <w:pgMar w:header="1189" w:footer="752" w:top="3600" w:bottom="940" w:left="1260" w:right="840"/>
        </w:sectPr>
      </w:pPr>
    </w:p>
    <w:p>
      <w:pPr>
        <w:spacing w:line="240" w:lineRule="auto" w:before="9"/>
        <w:rPr>
          <w:rFonts w:ascii="宋体" w:hAnsi="宋体" w:cs="宋体" w:eastAsia="宋体" w:hint="default"/>
          <w:sz w:val="16"/>
          <w:szCs w:val="16"/>
        </w:rPr>
      </w:pPr>
    </w:p>
    <w:p>
      <w:pPr>
        <w:pStyle w:val="BodyText"/>
        <w:spacing w:line="240" w:lineRule="auto" w:before="31"/>
        <w:ind w:left="102" w:right="97"/>
        <w:jc w:val="left"/>
      </w:pPr>
      <w:r>
        <w:rPr>
          <w:rFonts w:ascii="Arial" w:hAnsi="Arial" w:cs="Arial" w:eastAsia="Arial" w:hint="default"/>
        </w:rPr>
        <w:t>31</w:t>
      </w:r>
      <w:r>
        <w:rPr/>
        <w:t>、资本公积（续）</w:t>
      </w:r>
    </w:p>
    <w:p>
      <w:pPr>
        <w:spacing w:line="240" w:lineRule="auto" w:before="13"/>
        <w:rPr>
          <w:rFonts w:ascii="宋体" w:hAnsi="宋体" w:cs="宋体" w:eastAsia="宋体" w:hint="default"/>
          <w:sz w:val="17"/>
          <w:szCs w:val="17"/>
        </w:rPr>
      </w:pPr>
    </w:p>
    <w:p>
      <w:pPr>
        <w:pStyle w:val="BodyText"/>
        <w:tabs>
          <w:tab w:pos="1011" w:val="left" w:leader="none"/>
        </w:tabs>
        <w:spacing w:line="295" w:lineRule="exact"/>
        <w:ind w:left="550" w:right="0"/>
        <w:jc w:val="left"/>
      </w:pPr>
      <w:r>
        <w:rPr>
          <w:rFonts w:ascii="Arial" w:hAnsi="Arial" w:cs="Arial" w:eastAsia="Arial" w:hint="default"/>
          <w:w w:val="95"/>
        </w:rPr>
        <w:t>(l)</w:t>
        <w:tab/>
      </w:r>
      <w:r>
        <w:rPr/>
        <w:t>如附注一</w:t>
      </w:r>
      <w:r>
        <w:rPr>
          <w:rFonts w:ascii="Arial" w:hAnsi="Arial" w:cs="Arial" w:eastAsia="Arial" w:hint="default"/>
        </w:rPr>
        <w:t>(2)</w:t>
      </w:r>
      <w:r>
        <w:rPr/>
        <w:t>所述，于</w:t>
      </w:r>
      <w:r>
        <w:rPr>
          <w:spacing w:val="-39"/>
        </w:rPr>
        <w:t> </w:t>
      </w:r>
      <w:r>
        <w:rPr>
          <w:rFonts w:ascii="Arial" w:hAnsi="Arial" w:cs="Arial" w:eastAsia="Arial" w:hint="default"/>
        </w:rPr>
        <w:t>2011</w:t>
      </w:r>
      <w:r>
        <w:rPr>
          <w:rFonts w:ascii="Arial" w:hAnsi="Arial" w:cs="Arial" w:eastAsia="Arial" w:hint="default"/>
          <w:spacing w:val="10"/>
        </w:rPr>
        <w:t> </w:t>
      </w:r>
      <w:r>
        <w:rPr/>
        <w:t>年</w:t>
      </w:r>
      <w:r>
        <w:rPr>
          <w:spacing w:val="-39"/>
        </w:rPr>
        <w:t> </w:t>
      </w:r>
      <w:r>
        <w:rPr>
          <w:rFonts w:ascii="Arial" w:hAnsi="Arial" w:cs="Arial" w:eastAsia="Arial" w:hint="default"/>
        </w:rPr>
        <w:t>12</w:t>
      </w:r>
      <w:r>
        <w:rPr>
          <w:rFonts w:ascii="Arial" w:hAnsi="Arial" w:cs="Arial" w:eastAsia="Arial" w:hint="default"/>
          <w:spacing w:val="11"/>
        </w:rPr>
        <w:t> </w:t>
      </w:r>
      <w:r>
        <w:rPr/>
        <w:t>月，宽带在线完成了同一控制下向联通集团收购联通新</w:t>
      </w:r>
    </w:p>
    <w:p>
      <w:pPr>
        <w:pStyle w:val="BodyText"/>
        <w:spacing w:line="286" w:lineRule="exact"/>
        <w:ind w:left="1012" w:right="0"/>
        <w:jc w:val="both"/>
      </w:pPr>
      <w:r>
        <w:rPr/>
        <w:t>时讯的交易，故本公司按持股比例增加了本公司可比期间 </w:t>
      </w:r>
      <w:r>
        <w:rPr>
          <w:rFonts w:ascii="Arial" w:hAnsi="Arial" w:cs="Arial" w:eastAsia="Arial" w:hint="default"/>
        </w:rPr>
        <w:t>2010</w:t>
      </w:r>
      <w:r>
        <w:rPr>
          <w:rFonts w:ascii="Arial" w:hAnsi="Arial" w:cs="Arial" w:eastAsia="Arial" w:hint="default"/>
          <w:spacing w:val="-31"/>
        </w:rPr>
        <w:t> </w:t>
      </w:r>
      <w:r>
        <w:rPr/>
        <w:t>年年初资本公积约人民币</w:t>
      </w:r>
    </w:p>
    <w:p>
      <w:pPr>
        <w:pStyle w:val="BodyText"/>
        <w:spacing w:line="230" w:lineRule="auto" w:before="1"/>
        <w:ind w:left="1012" w:right="112"/>
        <w:jc w:val="both"/>
      </w:pPr>
      <w:r>
        <w:rPr>
          <w:rFonts w:ascii="Arial" w:hAnsi="Arial" w:cs="Arial" w:eastAsia="Arial" w:hint="default"/>
        </w:rPr>
        <w:t>4,093</w:t>
      </w:r>
      <w:r>
        <w:rPr>
          <w:rFonts w:ascii="Arial" w:hAnsi="Arial" w:cs="Arial" w:eastAsia="Arial" w:hint="default"/>
          <w:spacing w:val="-9"/>
        </w:rPr>
        <w:t> </w:t>
      </w:r>
      <w:r>
        <w:rPr>
          <w:spacing w:val="-4"/>
        </w:rPr>
        <w:t>万元。因本次交易的合并对价约人民币</w:t>
      </w:r>
      <w:r>
        <w:rPr>
          <w:spacing w:val="-58"/>
        </w:rPr>
        <w:t> </w:t>
      </w:r>
      <w:r>
        <w:rPr>
          <w:rFonts w:ascii="Arial" w:hAnsi="Arial" w:cs="Arial" w:eastAsia="Arial" w:hint="default"/>
        </w:rPr>
        <w:t>1.58</w:t>
      </w:r>
      <w:r>
        <w:rPr>
          <w:rFonts w:ascii="Arial" w:hAnsi="Arial" w:cs="Arial" w:eastAsia="Arial" w:hint="default"/>
          <w:spacing w:val="-9"/>
        </w:rPr>
        <w:t> </w:t>
      </w:r>
      <w:r>
        <w:rPr/>
        <w:t>亿元超过被合并方联通新时讯于合并日</w:t>
      </w:r>
      <w:r>
        <w:rPr>
          <w:w w:val="99"/>
        </w:rPr>
        <w:t> </w:t>
      </w:r>
      <w:r>
        <w:rPr>
          <w:spacing w:val="-1"/>
        </w:rPr>
        <w:t>的净资产，根据同一控制下企业合并的会计处理的要求，该等差额应当冲减合并方的资本</w:t>
      </w:r>
      <w:r>
        <w:rPr>
          <w:spacing w:val="-101"/>
        </w:rPr>
        <w:t> </w:t>
      </w:r>
      <w:r>
        <w:rPr>
          <w:spacing w:val="-101"/>
        </w:rPr>
      </w:r>
      <w:r>
        <w:rPr>
          <w:spacing w:val="-4"/>
        </w:rPr>
        <w:t>公积，资本公积不足冲减的，冲减留存收益。于</w:t>
      </w:r>
      <w:r>
        <w:rPr>
          <w:spacing w:val="-61"/>
        </w:rPr>
        <w:t> </w:t>
      </w:r>
      <w:r>
        <w:rPr>
          <w:rFonts w:ascii="Arial" w:hAnsi="Arial" w:cs="Arial" w:eastAsia="Arial" w:hint="default"/>
        </w:rPr>
        <w:t>2011</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月交易完成日，由于本次合并</w:t>
      </w:r>
      <w:r>
        <w:rPr>
          <w:w w:val="99"/>
        </w:rPr>
        <w:t> </w:t>
      </w:r>
      <w:r>
        <w:rPr>
          <w:spacing w:val="-1"/>
        </w:rPr>
        <w:t>方宽带在线的资本公积不足冲减，因此合并对价在抵销因合并联通新时讯而计入合并资本</w:t>
      </w:r>
      <w:r>
        <w:rPr>
          <w:spacing w:val="-101"/>
        </w:rPr>
        <w:t> </w:t>
      </w:r>
      <w:r>
        <w:rPr>
          <w:spacing w:val="-101"/>
        </w:rPr>
      </w:r>
      <w:r>
        <w:rPr/>
        <w:t>公积的影响后，其余额将冲减合并的留存收益。根据本公司的持股比例计算，</w:t>
      </w:r>
      <w:r>
        <w:rPr>
          <w:rFonts w:ascii="Arial" w:hAnsi="Arial" w:cs="Arial" w:eastAsia="Arial" w:hint="default"/>
        </w:rPr>
        <w:t>2011</w:t>
      </w:r>
      <w:r>
        <w:rPr>
          <w:rFonts w:ascii="Arial" w:hAnsi="Arial" w:cs="Arial" w:eastAsia="Arial" w:hint="default"/>
          <w:spacing w:val="9"/>
        </w:rPr>
        <w:t> </w:t>
      </w:r>
      <w:r>
        <w:rPr/>
        <w:t>年度</w:t>
      </w:r>
      <w:r>
        <w:rPr>
          <w:spacing w:val="-108"/>
        </w:rPr>
        <w:t> </w:t>
      </w:r>
      <w:r>
        <w:rPr/>
        <w:t>上述需抵销的对资本公积的影响约为人民币</w:t>
      </w:r>
      <w:r>
        <w:rPr>
          <w:spacing w:val="-57"/>
        </w:rPr>
        <w:t> </w:t>
      </w:r>
      <w:r>
        <w:rPr>
          <w:rFonts w:ascii="Arial" w:hAnsi="Arial" w:cs="Arial" w:eastAsia="Arial" w:hint="default"/>
        </w:rPr>
        <w:t>4,093</w:t>
      </w:r>
      <w:r>
        <w:rPr>
          <w:rFonts w:ascii="Arial" w:hAnsi="Arial" w:cs="Arial" w:eastAsia="Arial" w:hint="default"/>
          <w:spacing w:val="-8"/>
        </w:rPr>
        <w:t> </w:t>
      </w:r>
      <w:r>
        <w:rPr/>
        <w:t>万元。</w:t>
      </w:r>
    </w:p>
    <w:p>
      <w:pPr>
        <w:spacing w:line="240" w:lineRule="auto" w:before="2"/>
        <w:rPr>
          <w:rFonts w:ascii="宋体" w:hAnsi="宋体" w:cs="宋体" w:eastAsia="宋体" w:hint="default"/>
          <w:sz w:val="18"/>
          <w:szCs w:val="18"/>
        </w:rPr>
      </w:pPr>
    </w:p>
    <w:p>
      <w:pPr>
        <w:pStyle w:val="BodyText"/>
        <w:spacing w:line="240" w:lineRule="auto"/>
        <w:ind w:left="102" w:right="97"/>
        <w:jc w:val="left"/>
      </w:pPr>
      <w:r>
        <w:rPr>
          <w:rFonts w:ascii="Arial" w:hAnsi="Arial" w:cs="Arial" w:eastAsia="Arial" w:hint="default"/>
        </w:rPr>
        <w:t>32</w:t>
      </w:r>
      <w:r>
        <w:rPr/>
        <w:t>、盈余公积</w:t>
      </w: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19"/>
          <w:pgSz w:w="11900" w:h="16840"/>
          <w:pgMar w:header="1189" w:footer="752" w:top="3040" w:bottom="940" w:left="1280" w:right="940"/>
        </w:sectPr>
      </w:pPr>
    </w:p>
    <w:p>
      <w:pPr>
        <w:pStyle w:val="BodyText"/>
        <w:spacing w:line="294" w:lineRule="exact" w:before="31"/>
        <w:ind w:left="3512" w:right="3490"/>
        <w:jc w:val="center"/>
      </w:pPr>
      <w:r>
        <w:rPr>
          <w:rFonts w:ascii="Arial" w:hAnsi="Arial" w:cs="Arial" w:eastAsia="Arial" w:hint="default"/>
        </w:rPr>
        <w:t>2010</w:t>
      </w:r>
      <w:r>
        <w:rPr>
          <w:rFonts w:ascii="Arial" w:hAnsi="Arial" w:cs="Arial" w:eastAsia="Arial" w:hint="default"/>
          <w:spacing w:val="-8"/>
        </w:rPr>
        <w:t> </w:t>
      </w:r>
      <w:r>
        <w:rPr/>
        <w:t>年</w:t>
      </w:r>
    </w:p>
    <w:p>
      <w:pPr>
        <w:pStyle w:val="BodyText"/>
        <w:tabs>
          <w:tab w:pos="3201" w:val="left" w:leader="none"/>
          <w:tab w:pos="5127" w:val="left" w:leader="none"/>
          <w:tab w:pos="6927" w:val="left" w:leader="none"/>
        </w:tabs>
        <w:spacing w:line="294" w:lineRule="exact"/>
        <w:ind w:left="1279" w:right="0"/>
        <w:jc w:val="left"/>
      </w:pPr>
      <w:r>
        <w:rPr>
          <w:w w:val="95"/>
        </w:rPr>
        <w:t>项目</w:t>
        <w:tab/>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w w:val="95"/>
        </w:rPr>
        <w:t>本年增加</w:t>
        <w:tab/>
        <w:t>本年减少</w:t>
      </w:r>
      <w:r>
        <w:rPr/>
      </w:r>
    </w:p>
    <w:p>
      <w:pPr>
        <w:pStyle w:val="BodyText"/>
        <w:spacing w:line="294" w:lineRule="exact" w:before="31"/>
        <w:ind w:left="938" w:right="0"/>
        <w:jc w:val="left"/>
      </w:pPr>
      <w:r>
        <w:rPr/>
        <w:br w:type="column"/>
      </w:r>
      <w:r>
        <w:rPr>
          <w:rFonts w:ascii="Arial" w:hAnsi="Arial" w:cs="Arial" w:eastAsia="Arial" w:hint="default"/>
        </w:rPr>
        <w:t>2011</w:t>
      </w:r>
      <w:r>
        <w:rPr>
          <w:rFonts w:ascii="Arial" w:hAnsi="Arial" w:cs="Arial" w:eastAsia="Arial" w:hint="default"/>
          <w:spacing w:val="-8"/>
        </w:rPr>
        <w:t> </w:t>
      </w:r>
      <w:r>
        <w:rPr/>
        <w:t>年</w:t>
      </w:r>
    </w:p>
    <w:p>
      <w:pPr>
        <w:pStyle w:val="BodyText"/>
        <w:spacing w:line="294" w:lineRule="exact"/>
        <w:ind w:left="608" w:right="0"/>
        <w:jc w:val="left"/>
      </w:pP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after="0" w:line="294" w:lineRule="exact"/>
        <w:jc w:val="left"/>
        <w:sectPr>
          <w:type w:val="continuous"/>
          <w:pgSz w:w="11900" w:h="16840"/>
          <w:pgMar w:top="1600" w:bottom="280" w:left="1280" w:right="940"/>
          <w:cols w:num="2" w:equalWidth="0">
            <w:col w:w="7807" w:space="40"/>
            <w:col w:w="1833"/>
          </w:cols>
        </w:sectPr>
      </w:pPr>
    </w:p>
    <w:p>
      <w:pPr>
        <w:spacing w:line="20" w:lineRule="exact"/>
        <w:ind w:left="542" w:right="0" w:firstLine="0"/>
        <w:rPr>
          <w:rFonts w:ascii="宋体" w:hAnsi="宋体" w:cs="宋体" w:eastAsia="宋体" w:hint="default"/>
          <w:sz w:val="2"/>
          <w:szCs w:val="2"/>
        </w:rPr>
      </w:pPr>
      <w:r>
        <w:rPr>
          <w:rFonts w:ascii="宋体" w:hAnsi="宋体" w:cs="宋体" w:eastAsia="宋体" w:hint="default"/>
          <w:sz w:val="2"/>
          <w:szCs w:val="2"/>
        </w:rPr>
        <w:pict>
          <v:group style="width:451.5pt;height:.75pt;mso-position-horizontal-relative:char;mso-position-vertical-relative:line" coordorigin="0,0" coordsize="9030,15">
            <v:group style="position:absolute;left:7;top:7;width:1902;height:2" coordorigin="7,7" coordsize="1902,2">
              <v:shape style="position:absolute;left:7;top:7;width:1902;height:2" coordorigin="7,7" coordsize="1902,0" path="m7,7l1909,7e" filled="false" stroked="true" strokeweight=".72pt" strokecolor="#000000">
                <v:path arrowok="t"/>
              </v:shape>
            </v:group>
            <v:group style="position:absolute;left:1957;top:7;width:1814;height:2" coordorigin="1957,7" coordsize="1814,2">
              <v:shape style="position:absolute;left:1957;top:7;width:1814;height:2" coordorigin="1957,7" coordsize="1814,0" path="m1957,7l3770,7e" filled="false" stroked="true" strokeweight=".72pt" strokecolor="#000000">
                <v:path arrowok="t"/>
              </v:shape>
            </v:group>
            <v:group style="position:absolute;left:3828;top:7;width:1694;height:2" coordorigin="3828,7" coordsize="1694,2">
              <v:shape style="position:absolute;left:3828;top:7;width:1694;height:2" coordorigin="3828,7" coordsize="1694,0" path="m3828,7l5521,7e" filled="false" stroked="true" strokeweight=".72pt" strokecolor="#000000">
                <v:path arrowok="t"/>
              </v:shape>
            </v:group>
            <v:group style="position:absolute;left:5578;top:7;width:1744;height:2" coordorigin="5578,7" coordsize="1744,2">
              <v:shape style="position:absolute;left:5578;top:7;width:1744;height:2" coordorigin="5578,7" coordsize="1744,0" path="m5578,7l7321,7e" filled="false" stroked="true" strokeweight=".72pt" strokecolor="#000000">
                <v:path arrowok="t"/>
              </v:shape>
            </v:group>
            <v:group style="position:absolute;left:7378;top:7;width:1646;height:2" coordorigin="7378,7" coordsize="1646,2">
              <v:shape style="position:absolute;left:7378;top:7;width:1646;height:2" coordorigin="7378,7" coordsize="1646,0" path="m7378,7l9023,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3"/>
          <w:szCs w:val="13"/>
        </w:rPr>
      </w:pPr>
    </w:p>
    <w:p>
      <w:pPr>
        <w:pStyle w:val="BodyText"/>
        <w:tabs>
          <w:tab w:pos="2929" w:val="left" w:leader="none"/>
          <w:tab w:pos="4851" w:val="left" w:leader="none"/>
          <w:tab w:pos="7678" w:val="left" w:leader="none"/>
          <w:tab w:pos="8239" w:val="left" w:leader="none"/>
        </w:tabs>
        <w:spacing w:line="240" w:lineRule="auto" w:before="27"/>
        <w:ind w:left="564" w:right="97"/>
        <w:jc w:val="left"/>
        <w:rPr>
          <w:rFonts w:ascii="Arial" w:hAnsi="Arial" w:cs="Arial" w:eastAsia="Arial" w:hint="default"/>
        </w:rPr>
      </w:pPr>
      <w:r>
        <w:rPr>
          <w:w w:val="95"/>
          <w:position w:val="2"/>
        </w:rPr>
        <w:t>法定盈余公积</w:t>
        <w:tab/>
      </w:r>
      <w:r>
        <w:rPr>
          <w:rFonts w:ascii="Arial" w:hAnsi="Arial" w:cs="Arial" w:eastAsia="Arial" w:hint="default"/>
          <w:w w:val="95"/>
        </w:rPr>
        <w:t>684,955,035</w:t>
        <w:tab/>
        <w:t>61,540,221</w:t>
        <w:tab/>
        <w:t>-</w:t>
        <w:tab/>
      </w:r>
      <w:r>
        <w:rPr>
          <w:rFonts w:ascii="Arial" w:hAnsi="Arial" w:cs="Arial" w:eastAsia="Arial" w:hint="default"/>
        </w:rPr>
        <w:t>746,495,256</w:t>
      </w:r>
    </w:p>
    <w:p>
      <w:pPr>
        <w:spacing w:line="43" w:lineRule="exact"/>
        <w:ind w:left="2478" w:right="0" w:firstLine="0"/>
        <w:rPr>
          <w:rFonts w:ascii="Arial" w:hAnsi="Arial" w:cs="Arial" w:eastAsia="Arial" w:hint="default"/>
          <w:sz w:val="4"/>
          <w:szCs w:val="4"/>
        </w:rPr>
      </w:pPr>
      <w:r>
        <w:rPr>
          <w:rFonts w:ascii="Arial" w:hAnsi="Arial" w:cs="Arial" w:eastAsia="Arial" w:hint="default"/>
          <w:position w:val="0"/>
          <w:sz w:val="4"/>
          <w:szCs w:val="4"/>
        </w:rPr>
        <w:pict>
          <v:group style="width:354.75pt;height:2.2pt;mso-position-horizontal-relative:char;mso-position-vertical-relative:line" coordorigin="0,0" coordsize="7095,44">
            <v:group style="position:absolute;left:7;top:36;width:1828;height:2" coordorigin="7,36" coordsize="1828,2">
              <v:shape style="position:absolute;left:7;top:36;width:1828;height:2" coordorigin="7,36" coordsize="1828,0" path="m7,36l1835,36e" filled="false" stroked="true" strokeweight=".72pt" strokecolor="#000000">
                <v:path arrowok="t"/>
              </v:shape>
            </v:group>
            <v:group style="position:absolute;left:7;top:7;width:1828;height:2" coordorigin="7,7" coordsize="1828,2">
              <v:shape style="position:absolute;left:7;top:7;width:1828;height:2" coordorigin="7,7" coordsize="1828,0" path="m7,7l1835,7e" filled="false" stroked="true" strokeweight=".72pt" strokecolor="#000000">
                <v:path arrowok="t"/>
              </v:shape>
            </v:group>
            <v:group style="position:absolute;left:1878;top:36;width:1708;height:2" coordorigin="1878,36" coordsize="1708,2">
              <v:shape style="position:absolute;left:1878;top:36;width:1708;height:2" coordorigin="1878,36" coordsize="1708,0" path="m1878,36l3586,36e" filled="false" stroked="true" strokeweight=".72pt" strokecolor="#000000">
                <v:path arrowok="t"/>
              </v:shape>
            </v:group>
            <v:group style="position:absolute;left:1878;top:7;width:1708;height:2" coordorigin="1878,7" coordsize="1708,2">
              <v:shape style="position:absolute;left:1878;top:7;width:1708;height:2" coordorigin="1878,7" coordsize="1708,0" path="m1878,7l3586,7e" filled="false" stroked="true" strokeweight=".72pt" strokecolor="#000000">
                <v:path arrowok="t"/>
              </v:shape>
            </v:group>
            <v:group style="position:absolute;left:3628;top:36;width:1758;height:2" coordorigin="3628,36" coordsize="1758,2">
              <v:shape style="position:absolute;left:3628;top:36;width:1758;height:2" coordorigin="3628,36" coordsize="1758,0" path="m3628,36l5386,36e" filled="false" stroked="true" strokeweight=".72pt" strokecolor="#000000">
                <v:path arrowok="t"/>
              </v:shape>
            </v:group>
            <v:group style="position:absolute;left:3628;top:7;width:1758;height:2" coordorigin="3628,7" coordsize="1758,2">
              <v:shape style="position:absolute;left:3628;top:7;width:1758;height:2" coordorigin="3628,7" coordsize="1758,0" path="m3628,7l5386,7e" filled="false" stroked="true" strokeweight=".72pt" strokecolor="#000000">
                <v:path arrowok="t"/>
              </v:shape>
            </v:group>
            <v:group style="position:absolute;left:5428;top:36;width:1660;height:2" coordorigin="5428,36" coordsize="1660,2">
              <v:shape style="position:absolute;left:5428;top:36;width:1660;height:2" coordorigin="5428,36" coordsize="1660,0" path="m5428,36l7087,36e" filled="false" stroked="true" strokeweight=".72pt" strokecolor="#000000">
                <v:path arrowok="t"/>
              </v:shape>
            </v:group>
            <v:group style="position:absolute;left:5428;top:7;width:1660;height:2" coordorigin="5428,7" coordsize="1660,2">
              <v:shape style="position:absolute;left:5428;top:7;width:1660;height:2" coordorigin="5428,7" coordsize="1660,0" path="m5428,7l7087,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2"/>
        <w:rPr>
          <w:rFonts w:ascii="Arial" w:hAnsi="Arial" w:cs="Arial" w:eastAsia="Arial" w:hint="default"/>
          <w:sz w:val="10"/>
          <w:szCs w:val="10"/>
        </w:rPr>
      </w:pPr>
    </w:p>
    <w:p>
      <w:pPr>
        <w:spacing w:after="0" w:line="240" w:lineRule="auto"/>
        <w:rPr>
          <w:rFonts w:ascii="Arial" w:hAnsi="Arial" w:cs="Arial" w:eastAsia="Arial" w:hint="default"/>
          <w:sz w:val="10"/>
          <w:szCs w:val="10"/>
        </w:rPr>
        <w:sectPr>
          <w:type w:val="continuous"/>
          <w:pgSz w:w="11900" w:h="16840"/>
          <w:pgMar w:top="1600" w:bottom="280" w:left="1280" w:right="940"/>
        </w:sectPr>
      </w:pPr>
    </w:p>
    <w:p>
      <w:pPr>
        <w:pStyle w:val="BodyText"/>
        <w:spacing w:line="294" w:lineRule="exact" w:before="31"/>
        <w:ind w:left="3512" w:right="3490"/>
        <w:jc w:val="center"/>
      </w:pPr>
      <w:r>
        <w:rPr>
          <w:rFonts w:ascii="Arial" w:hAnsi="Arial" w:cs="Arial" w:eastAsia="Arial" w:hint="default"/>
        </w:rPr>
        <w:t>2009</w:t>
      </w:r>
      <w:r>
        <w:rPr>
          <w:rFonts w:ascii="Arial" w:hAnsi="Arial" w:cs="Arial" w:eastAsia="Arial" w:hint="default"/>
          <w:spacing w:val="-8"/>
        </w:rPr>
        <w:t> </w:t>
      </w:r>
      <w:r>
        <w:rPr/>
        <w:t>年</w:t>
      </w:r>
    </w:p>
    <w:p>
      <w:pPr>
        <w:pStyle w:val="BodyText"/>
        <w:tabs>
          <w:tab w:pos="3201" w:val="left" w:leader="none"/>
          <w:tab w:pos="5127" w:val="left" w:leader="none"/>
          <w:tab w:pos="6927" w:val="left" w:leader="none"/>
        </w:tabs>
        <w:spacing w:line="294" w:lineRule="exact"/>
        <w:ind w:left="1279" w:right="0"/>
        <w:jc w:val="left"/>
      </w:pPr>
      <w:r>
        <w:rPr>
          <w:w w:val="95"/>
        </w:rPr>
        <w:t>项目</w:t>
        <w:tab/>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w w:val="95"/>
        </w:rPr>
        <w:t>本年增加</w:t>
        <w:tab/>
        <w:t>本年减少</w:t>
      </w:r>
      <w:r>
        <w:rPr/>
      </w:r>
    </w:p>
    <w:p>
      <w:pPr>
        <w:pStyle w:val="BodyText"/>
        <w:spacing w:line="294" w:lineRule="exact" w:before="31"/>
        <w:ind w:left="938" w:right="0"/>
        <w:jc w:val="left"/>
      </w:pPr>
      <w:r>
        <w:rPr/>
        <w:br w:type="column"/>
      </w:r>
      <w:r>
        <w:rPr>
          <w:rFonts w:ascii="Arial" w:hAnsi="Arial" w:cs="Arial" w:eastAsia="Arial" w:hint="default"/>
        </w:rPr>
        <w:t>2010</w:t>
      </w:r>
      <w:r>
        <w:rPr>
          <w:rFonts w:ascii="Arial" w:hAnsi="Arial" w:cs="Arial" w:eastAsia="Arial" w:hint="default"/>
          <w:spacing w:val="-8"/>
        </w:rPr>
        <w:t> </w:t>
      </w:r>
      <w:r>
        <w:rPr/>
        <w:t>年</w:t>
      </w:r>
    </w:p>
    <w:p>
      <w:pPr>
        <w:pStyle w:val="BodyText"/>
        <w:spacing w:line="294" w:lineRule="exact"/>
        <w:ind w:left="608" w:right="0"/>
        <w:jc w:val="left"/>
      </w:pP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after="0" w:line="294" w:lineRule="exact"/>
        <w:jc w:val="left"/>
        <w:sectPr>
          <w:type w:val="continuous"/>
          <w:pgSz w:w="11900" w:h="16840"/>
          <w:pgMar w:top="1600" w:bottom="280" w:left="1280" w:right="940"/>
          <w:cols w:num="2" w:equalWidth="0">
            <w:col w:w="7807" w:space="40"/>
            <w:col w:w="1833"/>
          </w:cols>
        </w:sectPr>
      </w:pPr>
    </w:p>
    <w:p>
      <w:pPr>
        <w:spacing w:line="20" w:lineRule="exact"/>
        <w:ind w:left="542" w:right="0" w:firstLine="0"/>
        <w:rPr>
          <w:rFonts w:ascii="宋体" w:hAnsi="宋体" w:cs="宋体" w:eastAsia="宋体" w:hint="default"/>
          <w:sz w:val="2"/>
          <w:szCs w:val="2"/>
        </w:rPr>
      </w:pPr>
      <w:r>
        <w:rPr>
          <w:rFonts w:ascii="宋体" w:hAnsi="宋体" w:cs="宋体" w:eastAsia="宋体" w:hint="default"/>
          <w:sz w:val="2"/>
          <w:szCs w:val="2"/>
        </w:rPr>
        <w:pict>
          <v:group style="width:451.5pt;height:.75pt;mso-position-horizontal-relative:char;mso-position-vertical-relative:line" coordorigin="0,0" coordsize="9030,15">
            <v:group style="position:absolute;left:7;top:7;width:1902;height:2" coordorigin="7,7" coordsize="1902,2">
              <v:shape style="position:absolute;left:7;top:7;width:1902;height:2" coordorigin="7,7" coordsize="1902,0" path="m7,7l1909,7e" filled="false" stroked="true" strokeweight=".72pt" strokecolor="#000000">
                <v:path arrowok="t"/>
              </v:shape>
            </v:group>
            <v:group style="position:absolute;left:1957;top:7;width:1814;height:2" coordorigin="1957,7" coordsize="1814,2">
              <v:shape style="position:absolute;left:1957;top:7;width:1814;height:2" coordorigin="1957,7" coordsize="1814,0" path="m1957,7l3770,7e" filled="false" stroked="true" strokeweight=".72pt" strokecolor="#000000">
                <v:path arrowok="t"/>
              </v:shape>
            </v:group>
            <v:group style="position:absolute;left:3828;top:7;width:1694;height:2" coordorigin="3828,7" coordsize="1694,2">
              <v:shape style="position:absolute;left:3828;top:7;width:1694;height:2" coordorigin="3828,7" coordsize="1694,0" path="m3828,7l5521,7e" filled="false" stroked="true" strokeweight=".72pt" strokecolor="#000000">
                <v:path arrowok="t"/>
              </v:shape>
            </v:group>
            <v:group style="position:absolute;left:5578;top:7;width:1744;height:2" coordorigin="5578,7" coordsize="1744,2">
              <v:shape style="position:absolute;left:5578;top:7;width:1744;height:2" coordorigin="5578,7" coordsize="1744,0" path="m5578,7l7321,7e" filled="false" stroked="true" strokeweight=".72pt" strokecolor="#000000">
                <v:path arrowok="t"/>
              </v:shape>
            </v:group>
            <v:group style="position:absolute;left:7378;top:7;width:1646;height:2" coordorigin="7378,7" coordsize="1646,2">
              <v:shape style="position:absolute;left:7378;top:7;width:1646;height:2" coordorigin="7378,7" coordsize="1646,0" path="m7378,7l902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5"/>
          <w:szCs w:val="15"/>
        </w:rPr>
      </w:pPr>
    </w:p>
    <w:p>
      <w:pPr>
        <w:pStyle w:val="BodyText"/>
        <w:tabs>
          <w:tab w:pos="2929" w:val="left" w:leader="none"/>
          <w:tab w:pos="4730" w:val="left" w:leader="none"/>
          <w:tab w:pos="7678" w:val="left" w:leader="none"/>
          <w:tab w:pos="8239" w:val="left" w:leader="none"/>
        </w:tabs>
        <w:spacing w:line="240" w:lineRule="auto" w:before="27"/>
        <w:ind w:left="564" w:right="97"/>
        <w:jc w:val="left"/>
        <w:rPr>
          <w:rFonts w:ascii="Arial" w:hAnsi="Arial" w:cs="Arial" w:eastAsia="Arial" w:hint="default"/>
        </w:rPr>
      </w:pPr>
      <w:r>
        <w:rPr>
          <w:w w:val="95"/>
          <w:position w:val="2"/>
        </w:rPr>
        <w:t>法定盈余公积</w:t>
        <w:tab/>
      </w:r>
      <w:r>
        <w:rPr>
          <w:rFonts w:ascii="Arial" w:hAnsi="Arial" w:cs="Arial" w:eastAsia="Arial" w:hint="default"/>
          <w:w w:val="95"/>
        </w:rPr>
        <w:t>558,500,106</w:t>
        <w:tab/>
        <w:t>126,454,929</w:t>
        <w:tab/>
        <w:t>-</w:t>
        <w:tab/>
      </w:r>
      <w:r>
        <w:rPr>
          <w:rFonts w:ascii="Arial" w:hAnsi="Arial" w:cs="Arial" w:eastAsia="Arial" w:hint="default"/>
        </w:rPr>
        <w:t>684,955,035</w:t>
      </w:r>
    </w:p>
    <w:p>
      <w:pPr>
        <w:spacing w:line="43" w:lineRule="exact"/>
        <w:ind w:left="2478" w:right="0" w:firstLine="0"/>
        <w:rPr>
          <w:rFonts w:ascii="Arial" w:hAnsi="Arial" w:cs="Arial" w:eastAsia="Arial" w:hint="default"/>
          <w:sz w:val="4"/>
          <w:szCs w:val="4"/>
        </w:rPr>
      </w:pPr>
      <w:r>
        <w:rPr>
          <w:rFonts w:ascii="Arial" w:hAnsi="Arial" w:cs="Arial" w:eastAsia="Arial" w:hint="default"/>
          <w:position w:val="0"/>
          <w:sz w:val="4"/>
          <w:szCs w:val="4"/>
        </w:rPr>
        <w:pict>
          <v:group style="width:354.75pt;height:2.2pt;mso-position-horizontal-relative:char;mso-position-vertical-relative:line" coordorigin="0,0" coordsize="7095,44">
            <v:group style="position:absolute;left:7;top:36;width:1828;height:2" coordorigin="7,36" coordsize="1828,2">
              <v:shape style="position:absolute;left:7;top:36;width:1828;height:2" coordorigin="7,36" coordsize="1828,0" path="m7,36l1835,36e" filled="false" stroked="true" strokeweight=".72pt" strokecolor="#000000">
                <v:path arrowok="t"/>
              </v:shape>
            </v:group>
            <v:group style="position:absolute;left:7;top:7;width:1828;height:2" coordorigin="7,7" coordsize="1828,2">
              <v:shape style="position:absolute;left:7;top:7;width:1828;height:2" coordorigin="7,7" coordsize="1828,0" path="m7,7l1835,7e" filled="false" stroked="true" strokeweight=".72pt" strokecolor="#000000">
                <v:path arrowok="t"/>
              </v:shape>
            </v:group>
            <v:group style="position:absolute;left:1878;top:36;width:1708;height:2" coordorigin="1878,36" coordsize="1708,2">
              <v:shape style="position:absolute;left:1878;top:36;width:1708;height:2" coordorigin="1878,36" coordsize="1708,0" path="m1878,36l3586,36e" filled="false" stroked="true" strokeweight=".72pt" strokecolor="#000000">
                <v:path arrowok="t"/>
              </v:shape>
            </v:group>
            <v:group style="position:absolute;left:1878;top:7;width:1708;height:2" coordorigin="1878,7" coordsize="1708,2">
              <v:shape style="position:absolute;left:1878;top:7;width:1708;height:2" coordorigin="1878,7" coordsize="1708,0" path="m1878,7l3586,7e" filled="false" stroked="true" strokeweight=".72pt" strokecolor="#000000">
                <v:path arrowok="t"/>
              </v:shape>
            </v:group>
            <v:group style="position:absolute;left:3628;top:36;width:1758;height:2" coordorigin="3628,36" coordsize="1758,2">
              <v:shape style="position:absolute;left:3628;top:36;width:1758;height:2" coordorigin="3628,36" coordsize="1758,0" path="m3628,36l5386,36e" filled="false" stroked="true" strokeweight=".72pt" strokecolor="#000000">
                <v:path arrowok="t"/>
              </v:shape>
            </v:group>
            <v:group style="position:absolute;left:3628;top:7;width:1758;height:2" coordorigin="3628,7" coordsize="1758,2">
              <v:shape style="position:absolute;left:3628;top:7;width:1758;height:2" coordorigin="3628,7" coordsize="1758,0" path="m3628,7l5386,7e" filled="false" stroked="true" strokeweight=".72pt" strokecolor="#000000">
                <v:path arrowok="t"/>
              </v:shape>
            </v:group>
            <v:group style="position:absolute;left:5428;top:36;width:1660;height:2" coordorigin="5428,36" coordsize="1660,2">
              <v:shape style="position:absolute;left:5428;top:36;width:1660;height:2" coordorigin="5428,36" coordsize="1660,0" path="m5428,36l7087,36e" filled="false" stroked="true" strokeweight=".72pt" strokecolor="#000000">
                <v:path arrowok="t"/>
              </v:shape>
            </v:group>
            <v:group style="position:absolute;left:5428;top:7;width:1660;height:2" coordorigin="5428,7" coordsize="1660,2">
              <v:shape style="position:absolute;left:5428;top:7;width:1660;height:2" coordorigin="5428,7" coordsize="1660,0" path="m5428,7l7087,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86" w:lineRule="exact" w:before="60"/>
        <w:ind w:left="549" w:right="168"/>
        <w:jc w:val="both"/>
      </w:pPr>
      <w:r>
        <w:rPr>
          <w:spacing w:val="-2"/>
        </w:rPr>
        <w:t>根据《中华人民共和国公司法》及本公司《公司章程》，本公司于年度决算时按年度净利润的</w:t>
      </w:r>
      <w:r>
        <w:rPr>
          <w:spacing w:val="-93"/>
        </w:rPr>
        <w:t> </w:t>
      </w:r>
      <w:r>
        <w:rPr>
          <w:spacing w:val="-93"/>
        </w:rPr>
      </w:r>
      <w:r>
        <w:rPr>
          <w:rFonts w:ascii="Arial" w:hAnsi="Arial" w:cs="Arial" w:eastAsia="Arial" w:hint="default"/>
        </w:rPr>
        <w:t>10%</w:t>
      </w:r>
      <w:r>
        <w:rPr/>
        <w:t>提取法定盈余公积金。当法定盈余公积金累计额达到股本的</w:t>
      </w:r>
      <w:r>
        <w:rPr>
          <w:spacing w:val="29"/>
        </w:rPr>
        <w:t> </w:t>
      </w:r>
      <w:r>
        <w:rPr>
          <w:rFonts w:ascii="Arial" w:hAnsi="Arial" w:cs="Arial" w:eastAsia="Arial" w:hint="default"/>
        </w:rPr>
        <w:t>50%</w:t>
      </w:r>
      <w:r>
        <w:rPr/>
        <w:t>以上时，可不再提取。</w:t>
      </w:r>
      <w:r>
        <w:rPr>
          <w:spacing w:val="-106"/>
        </w:rPr>
        <w:t> </w:t>
      </w:r>
      <w:r>
        <w:rPr>
          <w:spacing w:val="-106"/>
        </w:rPr>
      </w:r>
      <w:r>
        <w:rPr/>
        <w:t>法定盈余公积金经批准后可用于弥补亏损，或者增加股本。经董事会决议，本公司</w:t>
      </w:r>
      <w:r>
        <w:rPr>
          <w:spacing w:val="-58"/>
        </w:rPr>
        <w:t> </w:t>
      </w:r>
      <w:r>
        <w:rPr>
          <w:rFonts w:ascii="Arial" w:hAnsi="Arial" w:cs="Arial" w:eastAsia="Arial" w:hint="default"/>
        </w:rPr>
        <w:t>2011</w:t>
      </w:r>
      <w:r>
        <w:rPr>
          <w:rFonts w:ascii="Arial" w:hAnsi="Arial" w:cs="Arial" w:eastAsia="Arial" w:hint="default"/>
          <w:spacing w:val="-9"/>
        </w:rPr>
        <w:t> </w:t>
      </w:r>
      <w:r>
        <w:rPr/>
        <w:t>年按</w:t>
      </w:r>
      <w:r>
        <w:rPr>
          <w:spacing w:val="-2"/>
          <w:w w:val="99"/>
        </w:rPr>
        <w:t> </w:t>
      </w:r>
      <w:r>
        <w:rPr/>
        <w:t>净利润的</w:t>
      </w:r>
      <w:r>
        <w:rPr>
          <w:spacing w:val="-44"/>
        </w:rPr>
        <w:t> </w:t>
      </w:r>
      <w:r>
        <w:rPr>
          <w:rFonts w:ascii="Arial" w:hAnsi="Arial" w:cs="Arial" w:eastAsia="Arial" w:hint="default"/>
        </w:rPr>
        <w:t>10%</w:t>
      </w:r>
      <w:r>
        <w:rPr/>
        <w:t>提取法定盈余公积金约人民币</w:t>
      </w:r>
      <w:r>
        <w:rPr>
          <w:spacing w:val="-44"/>
        </w:rPr>
        <w:t> </w:t>
      </w:r>
      <w:r>
        <w:rPr>
          <w:rFonts w:ascii="Arial" w:hAnsi="Arial" w:cs="Arial" w:eastAsia="Arial" w:hint="default"/>
        </w:rPr>
        <w:t>0.62</w:t>
      </w:r>
      <w:r>
        <w:rPr>
          <w:rFonts w:ascii="Arial" w:hAnsi="Arial" w:cs="Arial" w:eastAsia="Arial" w:hint="default"/>
          <w:spacing w:val="5"/>
        </w:rPr>
        <w:t> </w:t>
      </w:r>
      <w:r>
        <w:rPr/>
        <w:t>亿元（</w:t>
      </w:r>
      <w:r>
        <w:rPr>
          <w:rFonts w:ascii="Arial" w:hAnsi="Arial" w:cs="Arial" w:eastAsia="Arial" w:hint="default"/>
        </w:rPr>
        <w:t>2010</w:t>
      </w:r>
      <w:r>
        <w:rPr>
          <w:rFonts w:ascii="Arial" w:hAnsi="Arial" w:cs="Arial" w:eastAsia="Arial" w:hint="default"/>
          <w:spacing w:val="5"/>
        </w:rPr>
        <w:t> </w:t>
      </w:r>
      <w:r>
        <w:rPr/>
        <w:t>年度：按净利润的</w:t>
      </w:r>
      <w:r>
        <w:rPr>
          <w:spacing w:val="-44"/>
        </w:rPr>
        <w:t> </w:t>
      </w:r>
      <w:r>
        <w:rPr>
          <w:rFonts w:ascii="Arial" w:hAnsi="Arial" w:cs="Arial" w:eastAsia="Arial" w:hint="default"/>
        </w:rPr>
        <w:t>10%</w:t>
      </w:r>
      <w:r>
        <w:rPr/>
        <w:t>提取，</w:t>
      </w:r>
      <w:r>
        <w:rPr>
          <w:w w:val="99"/>
        </w:rPr>
        <w:t> </w:t>
      </w:r>
      <w:r>
        <w:rPr/>
        <w:t>共约人民币</w:t>
      </w:r>
      <w:r>
        <w:rPr>
          <w:spacing w:val="-56"/>
        </w:rPr>
        <w:t> </w:t>
      </w:r>
      <w:r>
        <w:rPr>
          <w:rFonts w:ascii="Arial" w:hAnsi="Arial" w:cs="Arial" w:eastAsia="Arial" w:hint="default"/>
        </w:rPr>
        <w:t>1.26</w:t>
      </w:r>
      <w:r>
        <w:rPr>
          <w:rFonts w:ascii="Arial" w:hAnsi="Arial" w:cs="Arial" w:eastAsia="Arial" w:hint="default"/>
          <w:spacing w:val="-8"/>
        </w:rPr>
        <w:t> </w:t>
      </w:r>
      <w:r>
        <w:rPr/>
        <w:t>亿元）。</w:t>
      </w:r>
    </w:p>
    <w:p>
      <w:pPr>
        <w:spacing w:line="240" w:lineRule="auto" w:before="1"/>
        <w:rPr>
          <w:rFonts w:ascii="宋体" w:hAnsi="宋体" w:cs="宋体" w:eastAsia="宋体" w:hint="default"/>
          <w:sz w:val="17"/>
          <w:szCs w:val="17"/>
        </w:rPr>
      </w:pPr>
    </w:p>
    <w:p>
      <w:pPr>
        <w:pStyle w:val="BodyText"/>
        <w:spacing w:line="240" w:lineRule="auto"/>
        <w:ind w:left="102" w:right="97"/>
        <w:jc w:val="left"/>
      </w:pPr>
      <w:r>
        <w:rPr>
          <w:rFonts w:ascii="Arial" w:hAnsi="Arial" w:cs="Arial" w:eastAsia="Arial" w:hint="default"/>
        </w:rPr>
        <w:t>33</w:t>
      </w:r>
      <w:r>
        <w:rPr/>
        <w:t>、未分配利润</w:t>
      </w:r>
    </w:p>
    <w:p>
      <w:pPr>
        <w:spacing w:line="240" w:lineRule="auto" w:before="6"/>
        <w:rPr>
          <w:rFonts w:ascii="宋体" w:hAnsi="宋体" w:cs="宋体" w:eastAsia="宋体" w:hint="default"/>
          <w:sz w:val="18"/>
          <w:szCs w:val="18"/>
        </w:rPr>
      </w:pPr>
    </w:p>
    <w:p>
      <w:pPr>
        <w:tabs>
          <w:tab w:pos="7475" w:val="left" w:leader="none"/>
        </w:tabs>
        <w:spacing w:before="0"/>
        <w:ind w:left="5508" w:right="97" w:firstLine="0"/>
        <w:jc w:val="left"/>
        <w:rPr>
          <w:rFonts w:ascii="宋体" w:hAnsi="宋体" w:cs="宋体" w:eastAsia="宋体" w:hint="default"/>
          <w:sz w:val="18"/>
          <w:szCs w:val="18"/>
        </w:rPr>
      </w:pPr>
      <w:r>
        <w:rPr/>
        <w:pict>
          <v:group style="position:absolute;margin-left:300.839996pt;margin-top:13.512324pt;width:118.3pt;height:.1pt;mso-position-horizontal-relative:page;mso-position-vertical-relative:paragraph;z-index:-817000" coordorigin="6017,270" coordsize="2366,2">
            <v:shape style="position:absolute;left:6017;top:270;width:2366;height:2" coordorigin="6017,270" coordsize="2366,0" path="m6017,270l8382,270e" filled="false" stroked="true" strokeweight=".72pt" strokecolor="#000000">
              <v:path arrowok="t"/>
            </v:shape>
            <w10:wrap type="none"/>
          </v:group>
        </w:pict>
      </w:r>
      <w:r>
        <w:rPr/>
        <w:pict>
          <v:group style="position:absolute;margin-left:423.299988pt;margin-top:13.512324pt;width:115.7pt;height:.1pt;mso-position-horizontal-relative:page;mso-position-vertical-relative:paragraph;z-index:7336" coordorigin="8466,270" coordsize="2314,2">
            <v:shape style="position:absolute;left:8466;top:270;width:2314;height:2" coordorigin="8466,270" coordsize="2314,0" path="m8466,270l10780,270e" filled="false" stroked="true" strokeweight=".72pt" strokecolor="#000000">
              <v:path arrowok="t"/>
            </v:shape>
            <w10:wrap type="none"/>
          </v:group>
        </w:pict>
      </w: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年度</w:t>
        <w:tab/>
      </w: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年度（经重列）</w:t>
      </w:r>
    </w:p>
    <w:p>
      <w:pPr>
        <w:spacing w:after="0"/>
        <w:jc w:val="left"/>
        <w:rPr>
          <w:rFonts w:ascii="宋体" w:hAnsi="宋体" w:cs="宋体" w:eastAsia="宋体" w:hint="default"/>
          <w:sz w:val="18"/>
          <w:szCs w:val="18"/>
        </w:rPr>
        <w:sectPr>
          <w:type w:val="continuous"/>
          <w:pgSz w:w="11900" w:h="16840"/>
          <w:pgMar w:top="1600" w:bottom="280" w:left="1280" w:right="940"/>
        </w:sectPr>
      </w:pPr>
    </w:p>
    <w:p>
      <w:pPr>
        <w:spacing w:line="240" w:lineRule="auto" w:before="10"/>
        <w:rPr>
          <w:rFonts w:ascii="宋体" w:hAnsi="宋体" w:cs="宋体" w:eastAsia="宋体" w:hint="default"/>
          <w:sz w:val="17"/>
          <w:szCs w:val="17"/>
        </w:rPr>
      </w:pPr>
    </w:p>
    <w:p>
      <w:pPr>
        <w:tabs>
          <w:tab w:pos="1499" w:val="left" w:leader="none"/>
        </w:tabs>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注释</w:t>
        <w:tab/>
        <w:t>金额</w:t>
      </w:r>
    </w:p>
    <w:p>
      <w:pPr>
        <w:spacing w:line="234"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提取或分</w:t>
      </w:r>
    </w:p>
    <w:p>
      <w:pPr>
        <w:tabs>
          <w:tab w:pos="1967" w:val="left" w:leader="none"/>
        </w:tabs>
        <w:spacing w:line="234" w:lineRule="exact" w:before="0"/>
        <w:ind w:left="361" w:right="-20" w:firstLine="0"/>
        <w:jc w:val="left"/>
        <w:rPr>
          <w:rFonts w:ascii="宋体" w:hAnsi="宋体" w:cs="宋体" w:eastAsia="宋体" w:hint="default"/>
          <w:sz w:val="18"/>
          <w:szCs w:val="18"/>
        </w:rPr>
      </w:pPr>
      <w:r>
        <w:rPr>
          <w:rFonts w:ascii="宋体" w:hAnsi="宋体" w:cs="宋体" w:eastAsia="宋体" w:hint="default"/>
          <w:sz w:val="18"/>
          <w:szCs w:val="18"/>
        </w:rPr>
        <w:t>配比例</w:t>
        <w:tab/>
        <w:t>金额</w:t>
      </w:r>
    </w:p>
    <w:p>
      <w:pPr>
        <w:spacing w:line="232" w:lineRule="exact" w:before="24"/>
        <w:ind w:left="386" w:right="194" w:hanging="180"/>
        <w:jc w:val="left"/>
        <w:rPr>
          <w:rFonts w:ascii="宋体" w:hAnsi="宋体" w:cs="宋体" w:eastAsia="宋体" w:hint="default"/>
          <w:sz w:val="18"/>
          <w:szCs w:val="18"/>
        </w:rPr>
      </w:pPr>
      <w:r>
        <w:rPr/>
        <w:br w:type="column"/>
      </w:r>
      <w:r>
        <w:rPr>
          <w:rFonts w:ascii="宋体" w:hAnsi="宋体" w:cs="宋体" w:eastAsia="宋体" w:hint="default"/>
          <w:sz w:val="18"/>
          <w:szCs w:val="18"/>
        </w:rPr>
        <w:t>提取或分 配比例</w:t>
      </w:r>
    </w:p>
    <w:p>
      <w:pPr>
        <w:spacing w:after="0" w:line="232" w:lineRule="exact"/>
        <w:jc w:val="left"/>
        <w:rPr>
          <w:rFonts w:ascii="宋体" w:hAnsi="宋体" w:cs="宋体" w:eastAsia="宋体" w:hint="default"/>
          <w:sz w:val="18"/>
          <w:szCs w:val="18"/>
        </w:rPr>
        <w:sectPr>
          <w:type w:val="continuous"/>
          <w:pgSz w:w="11900" w:h="16840"/>
          <w:pgMar w:top="1600" w:bottom="280" w:left="1280" w:right="940"/>
          <w:cols w:num="3" w:equalWidth="0">
            <w:col w:w="6133" w:space="40"/>
            <w:col w:w="2328" w:space="40"/>
            <w:col w:w="1139"/>
          </w:cols>
        </w:sectPr>
      </w:pPr>
    </w:p>
    <w:p>
      <w:pPr>
        <w:spacing w:line="20" w:lineRule="exact"/>
        <w:ind w:left="4729" w:right="0" w:firstLine="0"/>
        <w:rPr>
          <w:rFonts w:ascii="宋体" w:hAnsi="宋体" w:cs="宋体" w:eastAsia="宋体" w:hint="default"/>
          <w:sz w:val="2"/>
          <w:szCs w:val="2"/>
        </w:rPr>
      </w:pPr>
      <w:r>
        <w:rPr>
          <w:rFonts w:ascii="宋体"/>
          <w:sz w:val="2"/>
        </w:rPr>
        <w:pict>
          <v:group style="width:75.55pt;height:.75pt;mso-position-horizontal-relative:char;mso-position-vertical-relative:line" coordorigin="0,0" coordsize="1511,15">
            <v:group style="position:absolute;left:7;top:7;width:1497;height:2" coordorigin="7,7" coordsize="1497,2">
              <v:shape style="position:absolute;left:7;top:7;width:1497;height:2" coordorigin="7,7" coordsize="1497,0" path="m7,7l1504,7e" filled="false" stroked="true" strokeweight=".71999pt" strokecolor="#000000">
                <v:path arrowok="t"/>
              </v:shape>
            </v:group>
          </v:group>
        </w:pict>
      </w:r>
      <w:r>
        <w:rPr>
          <w:rFonts w:ascii="宋体"/>
          <w:sz w:val="2"/>
        </w:rPr>
      </w:r>
      <w:r>
        <w:rPr>
          <w:rFonts w:ascii="Times New Roman"/>
          <w:spacing w:val="61"/>
          <w:sz w:val="2"/>
        </w:rPr>
        <w:t> </w:t>
      </w:r>
      <w:r>
        <w:rPr>
          <w:rFonts w:ascii="宋体"/>
          <w:spacing w:val="61"/>
          <w:sz w:val="2"/>
        </w:rPr>
        <w:pict>
          <v:group style="width:40pt;height:.75pt;mso-position-horizontal-relative:char;mso-position-vertical-relative:line" coordorigin="0,0" coordsize="800,15">
            <v:group style="position:absolute;left:7;top:7;width:785;height:2" coordorigin="7,7" coordsize="785,2">
              <v:shape style="position:absolute;left:7;top:7;width:785;height:2" coordorigin="7,7" coordsize="785,0" path="m7,7l792,7e" filled="false" stroked="true" strokeweight=".71999pt" strokecolor="#000000">
                <v:path arrowok="t"/>
              </v:shape>
            </v:group>
          </v:group>
        </w:pict>
      </w:r>
      <w:r>
        <w:rPr>
          <w:rFonts w:ascii="宋体"/>
          <w:spacing w:val="61"/>
          <w:sz w:val="2"/>
        </w:rPr>
      </w:r>
      <w:r>
        <w:rPr>
          <w:rFonts w:ascii="Times New Roman"/>
          <w:spacing w:val="61"/>
          <w:sz w:val="2"/>
        </w:rPr>
        <w:t> </w:t>
      </w:r>
      <w:r>
        <w:rPr>
          <w:rFonts w:ascii="宋体"/>
          <w:spacing w:val="61"/>
          <w:sz w:val="2"/>
        </w:rPr>
        <w:pict>
          <v:group style="width:73.5pt;height:.75pt;mso-position-horizontal-relative:char;mso-position-vertical-relative:line" coordorigin="0,0" coordsize="1470,15">
            <v:group style="position:absolute;left:7;top:7;width:1456;height:2" coordorigin="7,7" coordsize="1456,2">
              <v:shape style="position:absolute;left:7;top:7;width:1456;height:2" coordorigin="7,7" coordsize="1456,0" path="m7,7l1463,7e" filled="false" stroked="true" strokeweight=".71999pt" strokecolor="#000000">
                <v:path arrowok="t"/>
              </v:shape>
            </v:group>
          </v:group>
        </w:pict>
      </w:r>
      <w:r>
        <w:rPr>
          <w:rFonts w:ascii="宋体"/>
          <w:spacing w:val="61"/>
          <w:sz w:val="2"/>
        </w:rPr>
      </w:r>
      <w:r>
        <w:rPr>
          <w:rFonts w:ascii="Times New Roman"/>
          <w:spacing w:val="62"/>
          <w:sz w:val="2"/>
        </w:rPr>
        <w:t> </w:t>
      </w:r>
      <w:r>
        <w:rPr>
          <w:rFonts w:ascii="宋体"/>
          <w:spacing w:val="62"/>
          <w:sz w:val="2"/>
        </w:rPr>
        <w:pict>
          <v:group style="width:39.1pt;height:.75pt;mso-position-horizontal-relative:char;mso-position-vertical-relative:line" coordorigin="0,0" coordsize="782,15">
            <v:group style="position:absolute;left:7;top:7;width:767;height:2" coordorigin="7,7" coordsize="767,2">
              <v:shape style="position:absolute;left:7;top:7;width:767;height:2" coordorigin="7,7" coordsize="767,0" path="m7,7l774,7e" filled="false" stroked="true" strokeweight=".71999pt" strokecolor="#000000">
                <v:path arrowok="t"/>
              </v:shape>
            </v:group>
          </v:group>
        </w:pict>
      </w:r>
      <w:r>
        <w:rPr>
          <w:rFonts w:ascii="宋体"/>
          <w:spacing w:val="62"/>
          <w:sz w:val="2"/>
        </w:rPr>
      </w:r>
    </w:p>
    <w:p>
      <w:pPr>
        <w:spacing w:line="240" w:lineRule="auto" w:before="4"/>
        <w:rPr>
          <w:rFonts w:ascii="宋体" w:hAnsi="宋体" w:cs="宋体" w:eastAsia="宋体" w:hint="default"/>
          <w:sz w:val="10"/>
          <w:szCs w:val="10"/>
        </w:rPr>
      </w:pPr>
    </w:p>
    <w:tbl>
      <w:tblPr>
        <w:tblW w:w="0" w:type="auto"/>
        <w:jc w:val="left"/>
        <w:tblInd w:w="512" w:type="dxa"/>
        <w:tblLayout w:type="fixed"/>
        <w:tblCellMar>
          <w:top w:w="0" w:type="dxa"/>
          <w:left w:w="0" w:type="dxa"/>
          <w:bottom w:w="0" w:type="dxa"/>
          <w:right w:w="0" w:type="dxa"/>
        </w:tblCellMar>
        <w:tblLook w:val="01E0"/>
      </w:tblPr>
      <w:tblGrid>
        <w:gridCol w:w="3694"/>
        <w:gridCol w:w="515"/>
        <w:gridCol w:w="1511"/>
        <w:gridCol w:w="938"/>
        <w:gridCol w:w="1519"/>
        <w:gridCol w:w="625"/>
      </w:tblGrid>
      <w:tr>
        <w:trPr>
          <w:trHeight w:val="317"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年初未分配利润（同一控制企业合并调整前）</w:t>
            </w:r>
          </w:p>
        </w:tc>
        <w:tc>
          <w:tcPr>
            <w:tcW w:w="51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9"/>
              <w:jc w:val="right"/>
              <w:rPr>
                <w:rFonts w:ascii="Arial" w:hAnsi="Arial" w:cs="Arial" w:eastAsia="Arial" w:hint="default"/>
                <w:sz w:val="18"/>
                <w:szCs w:val="18"/>
              </w:rPr>
            </w:pPr>
            <w:r>
              <w:rPr>
                <w:rFonts w:ascii="Arial"/>
                <w:spacing w:val="-1"/>
                <w:sz w:val="18"/>
              </w:rPr>
              <w:t>21,153,277,236</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4" w:right="0"/>
              <w:jc w:val="left"/>
              <w:rPr>
                <w:rFonts w:ascii="Arial" w:hAnsi="Arial" w:cs="Arial" w:eastAsia="Arial" w:hint="default"/>
                <w:sz w:val="18"/>
                <w:szCs w:val="18"/>
              </w:rPr>
            </w:pPr>
            <w:r>
              <w:rPr>
                <w:rFonts w:ascii="Arial"/>
                <w:sz w:val="18"/>
              </w:rPr>
              <w:t>21,188,259,723</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33"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同一控制下企业合并的调整</w:t>
            </w:r>
          </w:p>
        </w:tc>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9" w:right="0"/>
              <w:jc w:val="left"/>
              <w:rPr>
                <w:rFonts w:ascii="Arial" w:hAnsi="Arial" w:cs="Arial" w:eastAsia="Arial" w:hint="default"/>
                <w:sz w:val="18"/>
                <w:szCs w:val="18"/>
              </w:rPr>
            </w:pPr>
            <w:r>
              <w:rPr>
                <w:rFonts w:ascii="Arial"/>
                <w:sz w:val="18"/>
              </w:rPr>
              <w:t>(a)</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Arial" w:hAnsi="Arial" w:cs="Arial" w:eastAsia="Arial" w:hint="default"/>
                <w:sz w:val="18"/>
                <w:szCs w:val="18"/>
              </w:rPr>
            </w:pPr>
            <w:r>
              <w:rPr>
                <w:rFonts w:ascii="Arial"/>
                <w:spacing w:val="-1"/>
                <w:sz w:val="18"/>
              </w:rPr>
              <w:t>7,647,344</w:t>
            </w:r>
          </w:p>
        </w:tc>
        <w:tc>
          <w:tcPr>
            <w:tcW w:w="938" w:type="dxa"/>
            <w:tcBorders>
              <w:top w:val="nil" w:sz="6" w:space="0" w:color="auto"/>
              <w:left w:val="nil" w:sz="6" w:space="0" w:color="auto"/>
              <w:bottom w:val="nil" w:sz="6" w:space="0" w:color="auto"/>
              <w:right w:val="nil" w:sz="6" w:space="0" w:color="auto"/>
            </w:tcBorders>
          </w:tcPr>
          <w:p>
            <w:pPr>
              <w:pStyle w:val="TableParagraph"/>
              <w:spacing w:line="195" w:lineRule="exact"/>
              <w:ind w:right="29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spacing w:val="-1"/>
                <w:sz w:val="18"/>
              </w:rPr>
              <w:t>750,522</w:t>
            </w:r>
          </w:p>
        </w:tc>
        <w:tc>
          <w:tcPr>
            <w:tcW w:w="625"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33"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年初未分配利润（同一控制企业合并调整后）</w:t>
            </w:r>
          </w:p>
        </w:tc>
        <w:tc>
          <w:tcPr>
            <w:tcW w:w="51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21,160,924,580</w:t>
            </w:r>
          </w:p>
        </w:tc>
        <w:tc>
          <w:tcPr>
            <w:tcW w:w="938" w:type="dxa"/>
            <w:tcBorders>
              <w:top w:val="nil" w:sz="6" w:space="0" w:color="auto"/>
              <w:left w:val="nil" w:sz="6" w:space="0" w:color="auto"/>
              <w:bottom w:val="nil" w:sz="6" w:space="0" w:color="auto"/>
              <w:right w:val="nil" w:sz="6" w:space="0" w:color="auto"/>
            </w:tcBorders>
          </w:tcPr>
          <w:p>
            <w:pPr>
              <w:pStyle w:val="TableParagraph"/>
              <w:spacing w:line="196" w:lineRule="exact"/>
              <w:ind w:right="297"/>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4" w:right="0"/>
              <w:jc w:val="left"/>
              <w:rPr>
                <w:rFonts w:ascii="Arial" w:hAnsi="Arial" w:cs="Arial" w:eastAsia="Arial" w:hint="default"/>
                <w:sz w:val="18"/>
                <w:szCs w:val="18"/>
              </w:rPr>
            </w:pPr>
            <w:r>
              <w:rPr>
                <w:rFonts w:ascii="Arial"/>
                <w:sz w:val="18"/>
              </w:rPr>
              <w:t>21,189,010,245</w:t>
            </w:r>
          </w:p>
        </w:tc>
        <w:tc>
          <w:tcPr>
            <w:tcW w:w="625" w:type="dxa"/>
            <w:tcBorders>
              <w:top w:val="nil" w:sz="6" w:space="0" w:color="auto"/>
              <w:left w:val="nil" w:sz="6" w:space="0" w:color="auto"/>
              <w:bottom w:val="nil" w:sz="6" w:space="0" w:color="auto"/>
              <w:right w:val="nil" w:sz="6" w:space="0" w:color="auto"/>
            </w:tcBorders>
          </w:tcPr>
          <w:p>
            <w:pPr>
              <w:pStyle w:val="TableParagraph"/>
              <w:spacing w:line="196" w:lineRule="exact"/>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33"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加：本年归属于母公司股东的净利润</w:t>
            </w:r>
          </w:p>
        </w:tc>
        <w:tc>
          <w:tcPr>
            <w:tcW w:w="51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Arial" w:hAnsi="Arial" w:cs="Arial" w:eastAsia="Arial" w:hint="default"/>
                <w:sz w:val="18"/>
                <w:szCs w:val="18"/>
              </w:rPr>
            </w:pPr>
            <w:r>
              <w:rPr>
                <w:rFonts w:ascii="Arial"/>
                <w:spacing w:val="-1"/>
                <w:sz w:val="18"/>
              </w:rPr>
              <w:t>1,412,245,739</w:t>
            </w:r>
          </w:p>
        </w:tc>
        <w:tc>
          <w:tcPr>
            <w:tcW w:w="938" w:type="dxa"/>
            <w:tcBorders>
              <w:top w:val="nil" w:sz="6" w:space="0" w:color="auto"/>
              <w:left w:val="nil" w:sz="6" w:space="0" w:color="auto"/>
              <w:bottom w:val="nil" w:sz="6" w:space="0" w:color="auto"/>
              <w:right w:val="nil" w:sz="6" w:space="0" w:color="auto"/>
            </w:tcBorders>
          </w:tcPr>
          <w:p>
            <w:pPr>
              <w:pStyle w:val="TableParagraph"/>
              <w:spacing w:line="195" w:lineRule="exact"/>
              <w:ind w:right="297"/>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13" w:right="0"/>
              <w:jc w:val="left"/>
              <w:rPr>
                <w:rFonts w:ascii="Arial" w:hAnsi="Arial" w:cs="Arial" w:eastAsia="Arial" w:hint="default"/>
                <w:sz w:val="18"/>
                <w:szCs w:val="18"/>
              </w:rPr>
            </w:pPr>
            <w:r>
              <w:rPr>
                <w:rFonts w:ascii="Arial"/>
                <w:sz w:val="18"/>
              </w:rPr>
              <w:t>1,234,506,831</w:t>
            </w:r>
          </w:p>
        </w:tc>
        <w:tc>
          <w:tcPr>
            <w:tcW w:w="625"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33"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减：提取法定盈余公积（附注五</w:t>
            </w:r>
            <w:r>
              <w:rPr>
                <w:rFonts w:ascii="Arial" w:hAnsi="Arial" w:cs="Arial" w:eastAsia="Arial" w:hint="default"/>
                <w:sz w:val="18"/>
                <w:szCs w:val="18"/>
              </w:rPr>
              <w:t>(32)</w:t>
            </w:r>
            <w:r>
              <w:rPr>
                <w:rFonts w:ascii="宋体" w:hAnsi="宋体" w:cs="宋体" w:eastAsia="宋体" w:hint="default"/>
                <w:sz w:val="18"/>
                <w:szCs w:val="18"/>
              </w:rPr>
              <w:t>）</w:t>
            </w:r>
          </w:p>
        </w:tc>
        <w:tc>
          <w:tcPr>
            <w:tcW w:w="51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
              <w:jc w:val="right"/>
              <w:rPr>
                <w:rFonts w:ascii="Arial" w:hAnsi="Arial" w:cs="Arial" w:eastAsia="Arial" w:hint="default"/>
                <w:sz w:val="18"/>
                <w:szCs w:val="18"/>
              </w:rPr>
            </w:pPr>
            <w:r>
              <w:rPr>
                <w:rFonts w:ascii="Arial"/>
                <w:spacing w:val="-1"/>
                <w:sz w:val="18"/>
              </w:rPr>
              <w:t>(61,540,221)</w:t>
            </w:r>
            <w:r>
              <w:rPr>
                <w:rFonts w:ascii="Arial"/>
                <w:sz w:val="18"/>
              </w:rPr>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9"/>
              <w:jc w:val="right"/>
              <w:rPr>
                <w:rFonts w:ascii="Arial" w:hAnsi="Arial" w:cs="Arial" w:eastAsia="Arial" w:hint="default"/>
                <w:sz w:val="18"/>
                <w:szCs w:val="18"/>
              </w:rPr>
            </w:pPr>
            <w:r>
              <w:rPr>
                <w:rFonts w:ascii="Arial"/>
                <w:spacing w:val="-1"/>
                <w:w w:val="95"/>
                <w:sz w:val="18"/>
              </w:rPr>
              <w:t>10%</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4" w:right="0"/>
              <w:jc w:val="left"/>
              <w:rPr>
                <w:rFonts w:ascii="Arial" w:hAnsi="Arial" w:cs="Arial" w:eastAsia="Arial" w:hint="default"/>
                <w:sz w:val="18"/>
                <w:szCs w:val="18"/>
              </w:rPr>
            </w:pPr>
            <w:r>
              <w:rPr>
                <w:rFonts w:ascii="Arial"/>
                <w:sz w:val="18"/>
              </w:rPr>
              <w:t>(126,454,929)</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456"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195" w:lineRule="exact"/>
              <w:ind w:left="402" w:right="0"/>
              <w:jc w:val="left"/>
              <w:rPr>
                <w:rFonts w:ascii="宋体" w:hAnsi="宋体" w:cs="宋体" w:eastAsia="宋体" w:hint="default"/>
                <w:sz w:val="18"/>
                <w:szCs w:val="18"/>
              </w:rPr>
            </w:pPr>
            <w:r>
              <w:rPr>
                <w:rFonts w:ascii="宋体" w:hAnsi="宋体" w:cs="宋体" w:eastAsia="宋体" w:hint="default"/>
                <w:sz w:val="18"/>
                <w:szCs w:val="18"/>
              </w:rPr>
              <w:t>应付普通股股利</w:t>
            </w:r>
          </w:p>
          <w:p>
            <w:pPr>
              <w:pStyle w:val="TableParagraph"/>
              <w:spacing w:line="235" w:lineRule="exact"/>
              <w:ind w:left="402" w:right="0"/>
              <w:jc w:val="left"/>
              <w:rPr>
                <w:rFonts w:ascii="宋体" w:hAnsi="宋体" w:cs="宋体" w:eastAsia="宋体" w:hint="default"/>
                <w:sz w:val="18"/>
                <w:szCs w:val="18"/>
              </w:rPr>
            </w:pPr>
            <w:r>
              <w:rPr>
                <w:rFonts w:ascii="宋体" w:hAnsi="宋体" w:cs="宋体" w:eastAsia="宋体" w:hint="default"/>
                <w:spacing w:val="6"/>
                <w:sz w:val="18"/>
                <w:szCs w:val="18"/>
              </w:rPr>
              <w:t>同一控制下宽带在线所收购的联通新时</w:t>
            </w:r>
            <w:r>
              <w:rPr>
                <w:rFonts w:ascii="宋体" w:hAnsi="宋体" w:cs="宋体" w:eastAsia="宋体" w:hint="default"/>
                <w:sz w:val="18"/>
                <w:szCs w:val="18"/>
              </w:rPr>
            </w:r>
          </w:p>
        </w:tc>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9" w:right="0"/>
              <w:jc w:val="left"/>
              <w:rPr>
                <w:rFonts w:ascii="Arial" w:hAnsi="Arial" w:cs="Arial" w:eastAsia="Arial" w:hint="default"/>
                <w:sz w:val="18"/>
                <w:szCs w:val="18"/>
              </w:rPr>
            </w:pPr>
            <w:r>
              <w:rPr>
                <w:rFonts w:ascii="Arial"/>
                <w:sz w:val="18"/>
              </w:rPr>
              <w:t>(b)</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
              <w:jc w:val="right"/>
              <w:rPr>
                <w:rFonts w:ascii="Arial" w:hAnsi="Arial" w:cs="Arial" w:eastAsia="Arial" w:hint="default"/>
                <w:sz w:val="18"/>
                <w:szCs w:val="18"/>
              </w:rPr>
            </w:pPr>
            <w:r>
              <w:rPr>
                <w:rFonts w:ascii="Arial"/>
                <w:spacing w:val="-1"/>
                <w:sz w:val="18"/>
              </w:rPr>
              <w:t>(551,111,506)</w:t>
            </w:r>
            <w:r>
              <w:rPr>
                <w:rFonts w:ascii="Arial"/>
                <w:sz w:val="18"/>
              </w:rPr>
            </w:r>
          </w:p>
        </w:tc>
        <w:tc>
          <w:tcPr>
            <w:tcW w:w="938" w:type="dxa"/>
            <w:tcBorders>
              <w:top w:val="nil" w:sz="6" w:space="0" w:color="auto"/>
              <w:left w:val="nil" w:sz="6" w:space="0" w:color="auto"/>
              <w:bottom w:val="nil" w:sz="6" w:space="0" w:color="auto"/>
              <w:right w:val="nil" w:sz="6" w:space="0" w:color="auto"/>
            </w:tcBorders>
          </w:tcPr>
          <w:p>
            <w:pPr>
              <w:pStyle w:val="TableParagraph"/>
              <w:spacing w:line="195" w:lineRule="exact"/>
              <w:ind w:right="297"/>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3" w:right="0"/>
              <w:jc w:val="left"/>
              <w:rPr>
                <w:rFonts w:ascii="Arial" w:hAnsi="Arial" w:cs="Arial" w:eastAsia="Arial" w:hint="default"/>
                <w:sz w:val="18"/>
                <w:szCs w:val="18"/>
              </w:rPr>
            </w:pPr>
            <w:r>
              <w:rPr>
                <w:rFonts w:ascii="Arial"/>
                <w:sz w:val="18"/>
              </w:rPr>
              <w:t>(1,136,137,567)</w:t>
            </w:r>
          </w:p>
        </w:tc>
        <w:tc>
          <w:tcPr>
            <w:tcW w:w="625"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30"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6" w:lineRule="exact"/>
              <w:ind w:left="581" w:right="0"/>
              <w:jc w:val="left"/>
              <w:rPr>
                <w:rFonts w:ascii="宋体" w:hAnsi="宋体" w:cs="宋体" w:eastAsia="宋体" w:hint="default"/>
                <w:sz w:val="18"/>
                <w:szCs w:val="18"/>
              </w:rPr>
            </w:pPr>
            <w:r>
              <w:rPr>
                <w:rFonts w:ascii="宋体" w:hAnsi="宋体" w:cs="宋体" w:eastAsia="宋体" w:hint="default"/>
                <w:sz w:val="18"/>
                <w:szCs w:val="18"/>
              </w:rPr>
              <w:t>讯向联通集团分配利润</w:t>
            </w:r>
          </w:p>
        </w:tc>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4" w:right="0"/>
              <w:jc w:val="left"/>
              <w:rPr>
                <w:rFonts w:ascii="Arial" w:hAnsi="Arial" w:cs="Arial" w:eastAsia="Arial" w:hint="default"/>
                <w:sz w:val="18"/>
                <w:szCs w:val="18"/>
              </w:rPr>
            </w:pPr>
            <w:r>
              <w:rPr>
                <w:rFonts w:ascii="Arial"/>
                <w:sz w:val="18"/>
              </w:rPr>
              <w:t>(c)</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0"/>
              <w:jc w:val="right"/>
              <w:rPr>
                <w:rFonts w:ascii="Arial" w:hAnsi="Arial" w:cs="Arial" w:eastAsia="Arial" w:hint="default"/>
                <w:sz w:val="18"/>
                <w:szCs w:val="18"/>
              </w:rPr>
            </w:pPr>
            <w:r>
              <w:rPr>
                <w:rFonts w:ascii="Arial"/>
                <w:spacing w:val="-1"/>
                <w:sz w:val="18"/>
              </w:rPr>
              <w:t>(3,029,151)</w:t>
            </w:r>
            <w:r>
              <w:rPr>
                <w:rFonts w:ascii="Arial"/>
                <w:sz w:val="18"/>
              </w:rPr>
            </w:r>
          </w:p>
        </w:tc>
        <w:tc>
          <w:tcPr>
            <w:tcW w:w="938" w:type="dxa"/>
            <w:tcBorders>
              <w:top w:val="nil" w:sz="6" w:space="0" w:color="auto"/>
              <w:left w:val="nil" w:sz="6" w:space="0" w:color="auto"/>
              <w:bottom w:val="nil" w:sz="6" w:space="0" w:color="auto"/>
              <w:right w:val="nil" w:sz="6" w:space="0" w:color="auto"/>
            </w:tcBorders>
          </w:tcPr>
          <w:p>
            <w:pPr>
              <w:pStyle w:val="TableParagraph"/>
              <w:spacing w:line="206" w:lineRule="exact"/>
              <w:ind w:right="297"/>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2"/>
              <w:jc w:val="right"/>
              <w:rPr>
                <w:rFonts w:ascii="Arial" w:hAnsi="Arial" w:cs="Arial" w:eastAsia="Arial" w:hint="default"/>
                <w:sz w:val="18"/>
                <w:szCs w:val="18"/>
              </w:rPr>
            </w:pPr>
            <w:r>
              <w:rPr>
                <w:rFonts w:ascii="Arial"/>
                <w:w w:val="99"/>
                <w:sz w:val="18"/>
              </w:rPr>
              <w:t>-</w:t>
            </w:r>
            <w:r>
              <w:rPr>
                <w:rFonts w:ascii="Arial"/>
                <w:sz w:val="18"/>
              </w:rPr>
            </w:r>
          </w:p>
        </w:tc>
        <w:tc>
          <w:tcPr>
            <w:tcW w:w="625"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38"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11" w:lineRule="exact"/>
              <w:ind w:left="402" w:right="0"/>
              <w:jc w:val="left"/>
              <w:rPr>
                <w:rFonts w:ascii="宋体" w:hAnsi="宋体" w:cs="宋体" w:eastAsia="宋体" w:hint="default"/>
                <w:sz w:val="18"/>
                <w:szCs w:val="18"/>
              </w:rPr>
            </w:pPr>
            <w:r>
              <w:rPr>
                <w:rFonts w:ascii="宋体" w:hAnsi="宋体" w:cs="宋体" w:eastAsia="宋体" w:hint="default"/>
                <w:spacing w:val="6"/>
                <w:sz w:val="18"/>
                <w:szCs w:val="18"/>
              </w:rPr>
              <w:t>宽带在线同一控制下收购联通新时讯支</w:t>
            </w:r>
            <w:r>
              <w:rPr>
                <w:rFonts w:ascii="宋体" w:hAnsi="宋体" w:cs="宋体" w:eastAsia="宋体" w:hint="default"/>
                <w:sz w:val="18"/>
                <w:szCs w:val="18"/>
              </w:rPr>
            </w:r>
          </w:p>
        </w:tc>
        <w:tc>
          <w:tcPr>
            <w:tcW w:w="51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nil" w:sz="6" w:space="0" w:color="auto"/>
              <w:right w:val="nil" w:sz="6" w:space="0" w:color="auto"/>
            </w:tcBorders>
          </w:tcPr>
          <w:p>
            <w:pPr/>
          </w:p>
        </w:tc>
      </w:tr>
      <w:tr>
        <w:trPr>
          <w:trHeight w:val="252"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7" w:lineRule="exact"/>
              <w:ind w:left="581" w:right="0"/>
              <w:jc w:val="left"/>
              <w:rPr>
                <w:rFonts w:ascii="宋体" w:hAnsi="宋体" w:cs="宋体" w:eastAsia="宋体" w:hint="default"/>
                <w:sz w:val="18"/>
                <w:szCs w:val="18"/>
              </w:rPr>
            </w:pPr>
            <w:r>
              <w:rPr>
                <w:rFonts w:ascii="宋体" w:hAnsi="宋体" w:cs="宋体" w:eastAsia="宋体" w:hint="default"/>
                <w:sz w:val="18"/>
                <w:szCs w:val="18"/>
              </w:rPr>
              <w:t>付的价款</w:t>
            </w:r>
          </w:p>
        </w:tc>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9" w:right="0"/>
              <w:jc w:val="left"/>
              <w:rPr>
                <w:rFonts w:ascii="Arial" w:hAnsi="Arial" w:cs="Arial" w:eastAsia="Arial" w:hint="default"/>
                <w:sz w:val="18"/>
                <w:szCs w:val="18"/>
              </w:rPr>
            </w:pPr>
            <w:r>
              <w:rPr>
                <w:rFonts w:ascii="Arial"/>
                <w:sz w:val="18"/>
              </w:rPr>
              <w:t>(d)</w:t>
            </w:r>
          </w:p>
        </w:tc>
        <w:tc>
          <w:tcPr>
            <w:tcW w:w="1511" w:type="dxa"/>
            <w:tcBorders>
              <w:top w:val="nil" w:sz="6" w:space="0" w:color="auto"/>
              <w:left w:val="nil" w:sz="6" w:space="0" w:color="auto"/>
              <w:bottom w:val="nil" w:sz="6" w:space="0" w:color="auto"/>
              <w:right w:val="nil" w:sz="6" w:space="0" w:color="auto"/>
            </w:tcBorders>
          </w:tcPr>
          <w:p>
            <w:pPr>
              <w:pStyle w:val="TableParagraph"/>
              <w:tabs>
                <w:tab w:pos="443" w:val="left" w:leader="none"/>
              </w:tabs>
              <w:spacing w:line="240" w:lineRule="auto" w:before="26"/>
              <w:ind w:right="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(12,578,971)</w:t>
            </w:r>
            <w:r>
              <w:rPr>
                <w:rFonts w:ascii="Arial"/>
                <w:spacing w:val="-1"/>
                <w:sz w:val="18"/>
              </w:rPr>
            </w:r>
            <w:r>
              <w:rPr>
                <w:rFonts w:ascii="Arial"/>
                <w:sz w:val="18"/>
              </w:rPr>
            </w:r>
          </w:p>
        </w:tc>
        <w:tc>
          <w:tcPr>
            <w:tcW w:w="938" w:type="dxa"/>
            <w:tcBorders>
              <w:top w:val="nil" w:sz="6" w:space="0" w:color="auto"/>
              <w:left w:val="nil" w:sz="6" w:space="0" w:color="auto"/>
              <w:bottom w:val="nil" w:sz="6" w:space="0" w:color="auto"/>
              <w:right w:val="nil" w:sz="6" w:space="0" w:color="auto"/>
            </w:tcBorders>
          </w:tcPr>
          <w:p>
            <w:pPr>
              <w:pStyle w:val="TableParagraph"/>
              <w:spacing w:line="207" w:lineRule="exact"/>
              <w:ind w:right="297"/>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19" w:type="dxa"/>
            <w:tcBorders>
              <w:top w:val="nil" w:sz="6" w:space="0" w:color="auto"/>
              <w:left w:val="nil" w:sz="6" w:space="0" w:color="auto"/>
              <w:bottom w:val="nil" w:sz="6" w:space="0" w:color="auto"/>
              <w:right w:val="nil" w:sz="6" w:space="0" w:color="auto"/>
            </w:tcBorders>
          </w:tcPr>
          <w:p>
            <w:pPr>
              <w:pStyle w:val="TableParagraph"/>
              <w:tabs>
                <w:tab w:pos="1289" w:val="left" w:leader="none"/>
                <w:tab w:pos="1455" w:val="left" w:leader="none"/>
              </w:tabs>
              <w:spacing w:line="240" w:lineRule="auto" w:before="26"/>
              <w:ind w:right="4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625"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55"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51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right="89"/>
              <w:jc w:val="right"/>
              <w:rPr>
                <w:rFonts w:ascii="Arial" w:hAnsi="Arial" w:cs="Arial" w:eastAsia="Arial" w:hint="default"/>
                <w:sz w:val="18"/>
                <w:szCs w:val="18"/>
              </w:rPr>
            </w:pPr>
            <w:r>
              <w:rPr>
                <w:rFonts w:ascii="Arial"/>
                <w:spacing w:val="-1"/>
                <w:sz w:val="18"/>
              </w:rPr>
              <w:t>21,944,910,470</w:t>
            </w:r>
          </w:p>
        </w:tc>
        <w:tc>
          <w:tcPr>
            <w:tcW w:w="938" w:type="dxa"/>
            <w:tcBorders>
              <w:top w:val="nil" w:sz="6" w:space="0" w:color="auto"/>
              <w:left w:val="nil" w:sz="6" w:space="0" w:color="auto"/>
              <w:bottom w:val="nil" w:sz="6" w:space="0" w:color="auto"/>
              <w:right w:val="nil" w:sz="6" w:space="0" w:color="auto"/>
            </w:tcBorders>
          </w:tcPr>
          <w:p>
            <w:pPr>
              <w:pStyle w:val="TableParagraph"/>
              <w:spacing w:line="203" w:lineRule="exact"/>
              <w:ind w:right="297"/>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19"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114" w:right="0"/>
              <w:jc w:val="left"/>
              <w:rPr>
                <w:rFonts w:ascii="Arial" w:hAnsi="Arial" w:cs="Arial" w:eastAsia="Arial" w:hint="default"/>
                <w:sz w:val="18"/>
                <w:szCs w:val="18"/>
              </w:rPr>
            </w:pPr>
            <w:r>
              <w:rPr>
                <w:rFonts w:ascii="Arial"/>
                <w:sz w:val="18"/>
              </w:rPr>
              <w:t>21,160,924,580</w:t>
            </w:r>
          </w:p>
        </w:tc>
        <w:tc>
          <w:tcPr>
            <w:tcW w:w="625"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3" w:lineRule="exact"/>
        <w:jc w:val="right"/>
        <w:rPr>
          <w:rFonts w:ascii="宋体" w:hAnsi="宋体" w:cs="宋体" w:eastAsia="宋体" w:hint="default"/>
          <w:sz w:val="18"/>
          <w:szCs w:val="18"/>
        </w:rPr>
        <w:sectPr>
          <w:type w:val="continuous"/>
          <w:pgSz w:w="11900" w:h="16840"/>
          <w:pgMar w:top="1600" w:bottom="280" w:left="1280" w:right="940"/>
        </w:sectPr>
      </w:pPr>
    </w:p>
    <w:p>
      <w:pPr>
        <w:spacing w:line="240" w:lineRule="auto" w:before="9"/>
        <w:rPr>
          <w:rFonts w:ascii="宋体" w:hAnsi="宋体" w:cs="宋体" w:eastAsia="宋体" w:hint="default"/>
          <w:sz w:val="16"/>
          <w:szCs w:val="16"/>
        </w:rPr>
      </w:pPr>
    </w:p>
    <w:p>
      <w:pPr>
        <w:pStyle w:val="BodyText"/>
        <w:spacing w:line="240" w:lineRule="auto" w:before="31"/>
        <w:ind w:left="102" w:right="251"/>
        <w:jc w:val="left"/>
      </w:pPr>
      <w:r>
        <w:rPr>
          <w:rFonts w:ascii="Arial" w:hAnsi="Arial" w:cs="Arial" w:eastAsia="Arial" w:hint="default"/>
        </w:rPr>
        <w:t>33</w:t>
      </w:r>
      <w:r>
        <w:rPr/>
        <w:t>、未分配利润（续）</w:t>
      </w:r>
    </w:p>
    <w:p>
      <w:pPr>
        <w:spacing w:line="240" w:lineRule="auto" w:before="4"/>
        <w:rPr>
          <w:rFonts w:ascii="宋体" w:hAnsi="宋体" w:cs="宋体" w:eastAsia="宋体" w:hint="default"/>
          <w:sz w:val="15"/>
          <w:szCs w:val="15"/>
        </w:rPr>
      </w:pPr>
    </w:p>
    <w:p>
      <w:pPr>
        <w:pStyle w:val="BodyText"/>
        <w:spacing w:line="295" w:lineRule="exact"/>
        <w:ind w:left="550" w:right="0"/>
        <w:jc w:val="left"/>
        <w:rPr>
          <w:rFonts w:ascii="Arial" w:hAnsi="Arial" w:cs="Arial" w:eastAsia="Arial" w:hint="default"/>
        </w:rPr>
      </w:pPr>
      <w:r>
        <w:rPr>
          <w:w w:val="99"/>
        </w:rPr>
        <w:t>于</w:t>
      </w:r>
      <w:r>
        <w:rPr>
          <w:spacing w:val="-71"/>
        </w:rPr>
        <w:t> </w:t>
      </w:r>
      <w:r>
        <w:rPr>
          <w:rFonts w:ascii="Arial" w:hAnsi="Arial" w:cs="Arial" w:eastAsia="Arial" w:hint="default"/>
          <w:w w:val="99"/>
        </w:rPr>
        <w:t>2011</w:t>
      </w:r>
      <w:r>
        <w:rPr>
          <w:rFonts w:ascii="Arial" w:hAnsi="Arial" w:cs="Arial" w:eastAsia="Arial" w:hint="default"/>
          <w:spacing w:val="-22"/>
        </w:rPr>
        <w:t> </w:t>
      </w:r>
      <w:r>
        <w:rPr>
          <w:w w:val="99"/>
        </w:rPr>
        <w:t>年</w:t>
      </w:r>
      <w:r>
        <w:rPr>
          <w:spacing w:val="-71"/>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22"/>
        </w:rPr>
        <w:t> </w:t>
      </w:r>
      <w:r>
        <w:rPr>
          <w:w w:val="99"/>
        </w:rPr>
        <w:t>月</w:t>
      </w:r>
      <w:r>
        <w:rPr>
          <w:spacing w:val="-71"/>
        </w:rPr>
        <w:t> </w:t>
      </w:r>
      <w:r>
        <w:rPr>
          <w:rFonts w:ascii="Arial" w:hAnsi="Arial" w:cs="Arial" w:eastAsia="Arial" w:hint="default"/>
          <w:w w:val="99"/>
        </w:rPr>
        <w:t>31</w:t>
      </w:r>
      <w:r>
        <w:rPr>
          <w:rFonts w:ascii="Arial" w:hAnsi="Arial" w:cs="Arial" w:eastAsia="Arial" w:hint="default"/>
          <w:spacing w:val="-22"/>
        </w:rPr>
        <w:t> </w:t>
      </w:r>
      <w:r>
        <w:rPr>
          <w:spacing w:val="1"/>
          <w:w w:val="99"/>
        </w:rPr>
        <w:t>日</w:t>
      </w:r>
      <w:r>
        <w:rPr>
          <w:spacing w:val="-110"/>
          <w:w w:val="99"/>
        </w:rPr>
        <w:t>，</w:t>
      </w:r>
      <w:r>
        <w:rPr>
          <w:w w:val="99"/>
        </w:rPr>
        <w:t>未分配</w:t>
      </w:r>
      <w:r>
        <w:rPr>
          <w:spacing w:val="1"/>
          <w:w w:val="99"/>
        </w:rPr>
        <w:t>利润</w:t>
      </w:r>
      <w:r>
        <w:rPr>
          <w:w w:val="99"/>
        </w:rPr>
        <w:t>中包含</w:t>
      </w:r>
      <w:r>
        <w:rPr>
          <w:spacing w:val="1"/>
          <w:w w:val="99"/>
        </w:rPr>
        <w:t>归属</w:t>
      </w:r>
      <w:r>
        <w:rPr>
          <w:w w:val="99"/>
        </w:rPr>
        <w:t>于母公</w:t>
      </w:r>
      <w:r>
        <w:rPr>
          <w:spacing w:val="1"/>
          <w:w w:val="99"/>
        </w:rPr>
        <w:t>司的</w:t>
      </w:r>
      <w:r>
        <w:rPr>
          <w:w w:val="99"/>
        </w:rPr>
        <w:t>子公司</w:t>
      </w:r>
      <w:r>
        <w:rPr>
          <w:spacing w:val="1"/>
          <w:w w:val="99"/>
        </w:rPr>
        <w:t>盈余</w:t>
      </w:r>
      <w:r>
        <w:rPr>
          <w:w w:val="99"/>
        </w:rPr>
        <w:t>公积余</w:t>
      </w:r>
      <w:r>
        <w:rPr>
          <w:spacing w:val="1"/>
          <w:w w:val="99"/>
        </w:rPr>
        <w:t>额约</w:t>
      </w:r>
      <w:r>
        <w:rPr>
          <w:w w:val="99"/>
        </w:rPr>
        <w:t>人民币</w:t>
      </w:r>
      <w:r>
        <w:rPr>
          <w:spacing w:val="-71"/>
        </w:rPr>
        <w:t> </w:t>
      </w:r>
      <w:r>
        <w:rPr>
          <w:rFonts w:ascii="Arial" w:hAnsi="Arial" w:cs="Arial" w:eastAsia="Arial" w:hint="default"/>
          <w:w w:val="99"/>
        </w:rPr>
        <w:t>84.</w:t>
      </w:r>
      <w:r>
        <w:rPr>
          <w:rFonts w:ascii="Arial" w:hAnsi="Arial" w:cs="Arial" w:eastAsia="Arial" w:hint="default"/>
          <w:spacing w:val="1"/>
          <w:w w:val="99"/>
        </w:rPr>
        <w:t>3</w:t>
      </w:r>
      <w:r>
        <w:rPr>
          <w:rFonts w:ascii="Arial" w:hAnsi="Arial" w:cs="Arial" w:eastAsia="Arial" w:hint="default"/>
          <w:w w:val="99"/>
        </w:rPr>
        <w:t>3</w:t>
      </w:r>
      <w:r>
        <w:rPr>
          <w:rFonts w:ascii="Arial" w:hAnsi="Arial" w:cs="Arial" w:eastAsia="Arial" w:hint="default"/>
        </w:rPr>
      </w:r>
    </w:p>
    <w:p>
      <w:pPr>
        <w:pStyle w:val="BodyText"/>
        <w:spacing w:line="286" w:lineRule="exact"/>
        <w:ind w:left="549" w:right="0"/>
        <w:jc w:val="left"/>
      </w:pPr>
      <w:r>
        <w:rPr/>
        <w:t>亿元（</w:t>
      </w:r>
      <w:r>
        <w:rPr>
          <w:rFonts w:ascii="Arial" w:hAnsi="Arial" w:cs="Arial" w:eastAsia="Arial" w:hint="default"/>
        </w:rPr>
        <w:t>2010</w:t>
      </w:r>
      <w:r>
        <w:rPr>
          <w:rFonts w:ascii="Arial" w:hAnsi="Arial" w:cs="Arial" w:eastAsia="Arial" w:hint="default"/>
          <w:spacing w:val="1"/>
        </w:rPr>
        <w:t> </w:t>
      </w:r>
      <w:r>
        <w:rPr/>
        <w:t>年</w:t>
      </w:r>
      <w:r>
        <w:rPr>
          <w:spacing w:val="-49"/>
        </w:rPr>
        <w:t> </w:t>
      </w:r>
      <w:r>
        <w:rPr>
          <w:rFonts w:ascii="Arial" w:hAnsi="Arial" w:cs="Arial" w:eastAsia="Arial" w:hint="default"/>
        </w:rPr>
        <w:t>12 </w:t>
      </w:r>
      <w:r>
        <w:rPr/>
        <w:t>月</w:t>
      </w:r>
      <w:r>
        <w:rPr>
          <w:spacing w:val="-49"/>
        </w:rPr>
        <w:t> </w:t>
      </w:r>
      <w:r>
        <w:rPr>
          <w:rFonts w:ascii="Arial" w:hAnsi="Arial" w:cs="Arial" w:eastAsia="Arial" w:hint="default"/>
        </w:rPr>
        <w:t>31 </w:t>
      </w:r>
      <w:r>
        <w:rPr/>
        <w:t>日：约人民币</w:t>
      </w:r>
      <w:r>
        <w:rPr>
          <w:spacing w:val="-49"/>
        </w:rPr>
        <w:t> </w:t>
      </w:r>
      <w:r>
        <w:rPr>
          <w:rFonts w:ascii="Arial" w:hAnsi="Arial" w:cs="Arial" w:eastAsia="Arial" w:hint="default"/>
        </w:rPr>
        <w:t>83.18 </w:t>
      </w:r>
      <w:r>
        <w:rPr/>
        <w:t>亿元），其中子公司</w:t>
      </w:r>
      <w:r>
        <w:rPr>
          <w:spacing w:val="-49"/>
        </w:rPr>
        <w:t> </w:t>
      </w:r>
      <w:r>
        <w:rPr>
          <w:rFonts w:ascii="Arial" w:hAnsi="Arial" w:cs="Arial" w:eastAsia="Arial" w:hint="default"/>
        </w:rPr>
        <w:t>2011 </w:t>
      </w:r>
      <w:r>
        <w:rPr/>
        <w:t>年度计提的归属于母</w:t>
      </w:r>
    </w:p>
    <w:p>
      <w:pPr>
        <w:pStyle w:val="BodyText"/>
        <w:spacing w:line="295" w:lineRule="exact"/>
        <w:ind w:left="550" w:right="251"/>
        <w:jc w:val="left"/>
      </w:pPr>
      <w:r>
        <w:rPr/>
        <w:t>公司的任意盈余公积约人民币</w:t>
      </w:r>
      <w:r>
        <w:rPr>
          <w:spacing w:val="-57"/>
        </w:rPr>
        <w:t> </w:t>
      </w:r>
      <w:r>
        <w:rPr>
          <w:rFonts w:ascii="Arial" w:hAnsi="Arial" w:cs="Arial" w:eastAsia="Arial" w:hint="default"/>
        </w:rPr>
        <w:t>0.05</w:t>
      </w:r>
      <w:r>
        <w:rPr>
          <w:rFonts w:ascii="Arial" w:hAnsi="Arial" w:cs="Arial" w:eastAsia="Arial" w:hint="default"/>
          <w:spacing w:val="-8"/>
        </w:rPr>
        <w:t> </w:t>
      </w:r>
      <w:r>
        <w:rPr/>
        <w:t>亿元（</w:t>
      </w:r>
      <w:r>
        <w:rPr>
          <w:rFonts w:ascii="Arial" w:hAnsi="Arial" w:cs="Arial" w:eastAsia="Arial" w:hint="default"/>
        </w:rPr>
        <w:t>2010</w:t>
      </w:r>
      <w:r>
        <w:rPr>
          <w:rFonts w:ascii="Arial" w:hAnsi="Arial" w:cs="Arial" w:eastAsia="Arial" w:hint="default"/>
          <w:spacing w:val="-7"/>
        </w:rPr>
        <w:t> </w:t>
      </w:r>
      <w:r>
        <w:rPr/>
        <w:t>年度：约人民币</w:t>
      </w:r>
      <w:r>
        <w:rPr>
          <w:spacing w:val="-57"/>
        </w:rPr>
        <w:t> </w:t>
      </w:r>
      <w:r>
        <w:rPr>
          <w:rFonts w:ascii="Arial" w:hAnsi="Arial" w:cs="Arial" w:eastAsia="Arial" w:hint="default"/>
        </w:rPr>
        <w:t>0.65</w:t>
      </w:r>
      <w:r>
        <w:rPr>
          <w:rFonts w:ascii="Arial" w:hAnsi="Arial" w:cs="Arial" w:eastAsia="Arial" w:hint="default"/>
          <w:spacing w:val="-8"/>
        </w:rPr>
        <w:t> </w:t>
      </w:r>
      <w:r>
        <w:rPr/>
        <w:t>亿元）。</w:t>
      </w:r>
    </w:p>
    <w:p>
      <w:pPr>
        <w:spacing w:line="240" w:lineRule="auto" w:before="4"/>
        <w:rPr>
          <w:rFonts w:ascii="宋体" w:hAnsi="宋体" w:cs="宋体" w:eastAsia="宋体" w:hint="default"/>
          <w:sz w:val="15"/>
          <w:szCs w:val="15"/>
        </w:rPr>
      </w:pPr>
    </w:p>
    <w:p>
      <w:pPr>
        <w:pStyle w:val="BodyText"/>
        <w:spacing w:line="294" w:lineRule="exact"/>
        <w:ind w:left="550" w:right="0"/>
        <w:jc w:val="left"/>
        <w:rPr>
          <w:rFonts w:ascii="Arial" w:hAnsi="Arial" w:cs="Arial" w:eastAsia="Arial" w:hint="default"/>
        </w:rPr>
      </w:pPr>
      <w:r>
        <w:rPr>
          <w:rFonts w:ascii="Arial" w:hAnsi="Arial" w:cs="Arial" w:eastAsia="Arial" w:hint="default"/>
        </w:rPr>
        <w:t>2011 </w:t>
      </w:r>
      <w:r>
        <w:rPr/>
        <w:t>年度子公司计提的任意盈余公积为联通运营公司根据财政部和国家税务总局 </w:t>
      </w:r>
      <w:r>
        <w:rPr>
          <w:rFonts w:ascii="Arial" w:hAnsi="Arial" w:cs="Arial" w:eastAsia="Arial" w:hint="default"/>
        </w:rPr>
        <w:t>2005 </w:t>
      </w:r>
      <w:r>
        <w:rPr/>
        <w:t>年</w:t>
      </w:r>
      <w:r>
        <w:rPr>
          <w:spacing w:val="29"/>
        </w:rPr>
        <w:t> </w:t>
      </w:r>
      <w:r>
        <w:rPr>
          <w:rFonts w:ascii="Arial" w:hAnsi="Arial" w:cs="Arial" w:eastAsia="Arial" w:hint="default"/>
        </w:rPr>
        <w:t>4</w:t>
      </w:r>
    </w:p>
    <w:p>
      <w:pPr>
        <w:pStyle w:val="BodyText"/>
        <w:spacing w:line="286" w:lineRule="exact" w:before="18"/>
        <w:ind w:left="549" w:right="188"/>
        <w:jc w:val="both"/>
      </w:pPr>
      <w:r>
        <w:rPr/>
        <w:t>月 </w:t>
      </w:r>
      <w:r>
        <w:rPr>
          <w:rFonts w:ascii="Arial" w:hAnsi="Arial" w:cs="Arial" w:eastAsia="Arial" w:hint="default"/>
        </w:rPr>
        <w:t>6 </w:t>
      </w:r>
      <w:r>
        <w:rPr/>
        <w:t>日相关批复文件（财税</w:t>
      </w:r>
      <w:r>
        <w:rPr>
          <w:rFonts w:ascii="Arial" w:hAnsi="Arial" w:cs="Arial" w:eastAsia="Arial" w:hint="default"/>
        </w:rPr>
        <w:t>[2005]56 </w:t>
      </w:r>
      <w:r>
        <w:rPr/>
        <w:t>号），将计入利润表中的市话初装费收入约人民币</w:t>
      </w:r>
      <w:r>
        <w:rPr>
          <w:spacing w:val="-57"/>
        </w:rPr>
        <w:t> </w:t>
      </w:r>
      <w:r>
        <w:rPr>
          <w:rFonts w:ascii="Arial" w:hAnsi="Arial" w:cs="Arial" w:eastAsia="Arial" w:hint="default"/>
        </w:rPr>
        <w:t>0.15</w:t>
      </w:r>
      <w:r>
        <w:rPr>
          <w:rFonts w:ascii="Arial" w:hAnsi="Arial" w:cs="Arial" w:eastAsia="Arial" w:hint="default"/>
          <w:w w:val="99"/>
        </w:rPr>
        <w:t> </w:t>
      </w:r>
      <w:r>
        <w:rPr/>
        <w:t>亿元（</w:t>
      </w:r>
      <w:r>
        <w:rPr>
          <w:rFonts w:ascii="Arial" w:hAnsi="Arial" w:cs="Arial" w:eastAsia="Arial" w:hint="default"/>
        </w:rPr>
        <w:t>2010</w:t>
      </w:r>
      <w:r>
        <w:rPr>
          <w:rFonts w:ascii="Arial" w:hAnsi="Arial" w:cs="Arial" w:eastAsia="Arial" w:hint="default"/>
          <w:spacing w:val="-22"/>
        </w:rPr>
        <w:t> </w:t>
      </w:r>
      <w:r>
        <w:rPr/>
        <w:t>年：约人民币</w:t>
      </w:r>
      <w:r>
        <w:rPr>
          <w:spacing w:val="-71"/>
        </w:rPr>
        <w:t> </w:t>
      </w:r>
      <w:r>
        <w:rPr>
          <w:rFonts w:ascii="Arial" w:hAnsi="Arial" w:cs="Arial" w:eastAsia="Arial" w:hint="default"/>
        </w:rPr>
        <w:t>1.92</w:t>
      </w:r>
      <w:r>
        <w:rPr>
          <w:rFonts w:ascii="Arial" w:hAnsi="Arial" w:cs="Arial" w:eastAsia="Arial" w:hint="default"/>
          <w:spacing w:val="-22"/>
        </w:rPr>
        <w:t> </w:t>
      </w:r>
      <w:r>
        <w:rPr/>
        <w:t>亿元）从年末未分配利润转入任意盈余公积的金额，该等金额</w:t>
      </w:r>
      <w:r>
        <w:rPr>
          <w:w w:val="99"/>
        </w:rPr>
        <w:t> </w:t>
      </w:r>
      <w:r>
        <w:rPr/>
        <w:t>根据上述文件规定不得用于向股东支付股利。</w:t>
      </w:r>
    </w:p>
    <w:p>
      <w:pPr>
        <w:spacing w:line="240" w:lineRule="auto" w:before="10"/>
        <w:rPr>
          <w:rFonts w:ascii="宋体" w:hAnsi="宋体" w:cs="宋体" w:eastAsia="宋体" w:hint="default"/>
          <w:sz w:val="16"/>
          <w:szCs w:val="16"/>
        </w:rPr>
      </w:pPr>
    </w:p>
    <w:p>
      <w:pPr>
        <w:pStyle w:val="BodyText"/>
        <w:spacing w:line="284" w:lineRule="exact"/>
        <w:ind w:left="560" w:right="251" w:hanging="459"/>
        <w:jc w:val="left"/>
      </w:pPr>
      <w:r>
        <w:rPr>
          <w:rFonts w:ascii="Arial" w:hAnsi="Arial" w:cs="Arial" w:eastAsia="Arial" w:hint="default"/>
          <w:w w:val="99"/>
        </w:rPr>
        <w:t>(a)</w:t>
      </w:r>
      <w:r>
        <w:rPr>
          <w:rFonts w:ascii="Arial" w:hAnsi="Arial" w:cs="Arial" w:eastAsia="Arial" w:hint="default"/>
          <w:spacing w:val="41"/>
          <w:w w:val="99"/>
        </w:rPr>
        <w:t> </w:t>
      </w:r>
      <w:r>
        <w:rPr>
          <w:spacing w:val="-3"/>
          <w:w w:val="99"/>
        </w:rPr>
        <w:t>本年由于同一控制下收购联通新时讯，将被收购联通新时讯的累积留存收益转入年初未分配利</w:t>
      </w:r>
      <w:r>
        <w:rPr>
          <w:w w:val="99"/>
        </w:rPr>
        <w:t> </w:t>
      </w:r>
      <w:r>
        <w:rPr/>
        <w:t>润，金额约为人民币</w:t>
      </w:r>
      <w:r>
        <w:rPr>
          <w:spacing w:val="-56"/>
        </w:rPr>
        <w:t> </w:t>
      </w:r>
      <w:r>
        <w:rPr>
          <w:rFonts w:ascii="Arial" w:hAnsi="Arial" w:cs="Arial" w:eastAsia="Arial" w:hint="default"/>
        </w:rPr>
        <w:t>765</w:t>
      </w:r>
      <w:r>
        <w:rPr>
          <w:rFonts w:ascii="Arial" w:hAnsi="Arial" w:cs="Arial" w:eastAsia="Arial" w:hint="default"/>
          <w:spacing w:val="-7"/>
        </w:rPr>
        <w:t> </w:t>
      </w:r>
      <w:r>
        <w:rPr/>
        <w:t>万元（</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日：约人民币</w:t>
      </w:r>
      <w:r>
        <w:rPr>
          <w:spacing w:val="-56"/>
        </w:rPr>
        <w:t> </w:t>
      </w:r>
      <w:r>
        <w:rPr>
          <w:rFonts w:ascii="Arial" w:hAnsi="Arial" w:cs="Arial" w:eastAsia="Arial" w:hint="default"/>
        </w:rPr>
        <w:t>75</w:t>
      </w:r>
      <w:r>
        <w:rPr>
          <w:rFonts w:ascii="Arial" w:hAnsi="Arial" w:cs="Arial" w:eastAsia="Arial" w:hint="default"/>
          <w:spacing w:val="-7"/>
        </w:rPr>
        <w:t> </w:t>
      </w:r>
      <w:r>
        <w:rPr/>
        <w:t>万元）。</w:t>
      </w:r>
    </w:p>
    <w:p>
      <w:pPr>
        <w:spacing w:line="240" w:lineRule="auto" w:before="3"/>
        <w:rPr>
          <w:rFonts w:ascii="宋体" w:hAnsi="宋体" w:cs="宋体" w:eastAsia="宋体" w:hint="default"/>
          <w:sz w:val="17"/>
          <w:szCs w:val="17"/>
        </w:rPr>
      </w:pPr>
    </w:p>
    <w:p>
      <w:pPr>
        <w:pStyle w:val="BodyText"/>
        <w:spacing w:line="295" w:lineRule="exact"/>
        <w:ind w:left="102" w:right="0"/>
        <w:jc w:val="left"/>
      </w:pPr>
      <w:r>
        <w:rPr>
          <w:rFonts w:ascii="Arial" w:hAnsi="Arial" w:cs="Arial" w:eastAsia="Arial" w:hint="default"/>
        </w:rPr>
        <w:t>(b)  </w:t>
      </w:r>
      <w:r>
        <w:rPr>
          <w:rFonts w:ascii="Arial" w:hAnsi="Arial" w:cs="Arial" w:eastAsia="Arial" w:hint="default"/>
          <w:spacing w:val="4"/>
        </w:rPr>
        <w:t> </w:t>
      </w:r>
      <w:r>
        <w:rPr/>
        <w:t>于</w:t>
      </w:r>
      <w:r>
        <w:rPr>
          <w:spacing w:val="-53"/>
        </w:rPr>
        <w:t> </w:t>
      </w:r>
      <w:r>
        <w:rPr>
          <w:rFonts w:ascii="Arial" w:hAnsi="Arial" w:cs="Arial" w:eastAsia="Arial" w:hint="default"/>
        </w:rPr>
        <w:t>2011</w:t>
      </w:r>
      <w:r>
        <w:rPr>
          <w:rFonts w:ascii="Arial" w:hAnsi="Arial" w:cs="Arial" w:eastAsia="Arial" w:hint="default"/>
          <w:spacing w:val="-3"/>
        </w:rPr>
        <w:t> </w:t>
      </w:r>
      <w:r>
        <w:rPr/>
        <w:t>年</w:t>
      </w:r>
      <w:r>
        <w:rPr>
          <w:spacing w:val="-53"/>
        </w:rPr>
        <w:t> </w:t>
      </w:r>
      <w:r>
        <w:rPr>
          <w:rFonts w:ascii="Arial" w:hAnsi="Arial" w:cs="Arial" w:eastAsia="Arial" w:hint="default"/>
        </w:rPr>
        <w:t>5</w:t>
      </w:r>
      <w:r>
        <w:rPr>
          <w:rFonts w:ascii="Arial" w:hAnsi="Arial" w:cs="Arial" w:eastAsia="Arial" w:hint="default"/>
          <w:spacing w:val="-4"/>
        </w:rPr>
        <w:t> </w:t>
      </w:r>
      <w:r>
        <w:rPr/>
        <w:t>月</w:t>
      </w:r>
      <w:r>
        <w:rPr>
          <w:spacing w:val="-53"/>
        </w:rPr>
        <w:t> </w:t>
      </w:r>
      <w:r>
        <w:rPr>
          <w:rFonts w:ascii="Arial" w:hAnsi="Arial" w:cs="Arial" w:eastAsia="Arial" w:hint="default"/>
        </w:rPr>
        <w:t>24</w:t>
      </w:r>
      <w:r>
        <w:rPr>
          <w:rFonts w:ascii="Arial" w:hAnsi="Arial" w:cs="Arial" w:eastAsia="Arial" w:hint="default"/>
          <w:spacing w:val="-3"/>
        </w:rPr>
        <w:t> </w:t>
      </w:r>
      <w:r>
        <w:rPr/>
        <w:t>日，本公司股东大会批准根据</w:t>
      </w:r>
      <w:r>
        <w:rPr>
          <w:spacing w:val="-53"/>
        </w:rPr>
        <w:t> </w:t>
      </w:r>
      <w:r>
        <w:rPr>
          <w:rFonts w:ascii="Arial" w:hAnsi="Arial" w:cs="Arial" w:eastAsia="Arial" w:hint="default"/>
        </w:rPr>
        <w:t>2010</w:t>
      </w:r>
      <w:r>
        <w:rPr>
          <w:rFonts w:ascii="Arial" w:hAnsi="Arial" w:cs="Arial" w:eastAsia="Arial" w:hint="default"/>
          <w:spacing w:val="-3"/>
        </w:rPr>
        <w:t> </w:t>
      </w:r>
      <w:r>
        <w:rPr/>
        <w:t>年</w:t>
      </w:r>
      <w:r>
        <w:rPr>
          <w:spacing w:val="-53"/>
        </w:rPr>
        <w:t> </w:t>
      </w:r>
      <w:r>
        <w:rPr>
          <w:rFonts w:ascii="Arial" w:hAnsi="Arial" w:cs="Arial" w:eastAsia="Arial" w:hint="default"/>
        </w:rPr>
        <w:t>12</w:t>
      </w:r>
      <w:r>
        <w:rPr>
          <w:rFonts w:ascii="Arial" w:hAnsi="Arial" w:cs="Arial" w:eastAsia="Arial" w:hint="default"/>
          <w:spacing w:val="-3"/>
        </w:rPr>
        <w:t> </w:t>
      </w:r>
      <w:r>
        <w:rPr/>
        <w:t>月</w:t>
      </w:r>
      <w:r>
        <w:rPr>
          <w:spacing w:val="-53"/>
        </w:rPr>
        <w:t> </w:t>
      </w:r>
      <w:r>
        <w:rPr>
          <w:rFonts w:ascii="Arial" w:hAnsi="Arial" w:cs="Arial" w:eastAsia="Arial" w:hint="default"/>
        </w:rPr>
        <w:t>31</w:t>
      </w:r>
      <w:r>
        <w:rPr>
          <w:rFonts w:ascii="Arial" w:hAnsi="Arial" w:cs="Arial" w:eastAsia="Arial" w:hint="default"/>
          <w:spacing w:val="-3"/>
        </w:rPr>
        <w:t> </w:t>
      </w:r>
      <w:r>
        <w:rPr/>
        <w:t>日股本为基数向全体股东</w:t>
      </w:r>
    </w:p>
    <w:p>
      <w:pPr>
        <w:pStyle w:val="BodyText"/>
        <w:spacing w:line="286" w:lineRule="exact"/>
        <w:ind w:left="560" w:right="0"/>
        <w:jc w:val="left"/>
        <w:rPr>
          <w:rFonts w:ascii="Arial" w:hAnsi="Arial" w:cs="Arial" w:eastAsia="Arial" w:hint="default"/>
        </w:rPr>
      </w:pPr>
      <w:r>
        <w:rPr/>
        <w:t>派发每股现金股利人民币 </w:t>
      </w:r>
      <w:r>
        <w:rPr>
          <w:rFonts w:ascii="Arial" w:hAnsi="Arial" w:cs="Arial" w:eastAsia="Arial" w:hint="default"/>
        </w:rPr>
        <w:t>0.026 </w:t>
      </w:r>
      <w:r>
        <w:rPr/>
        <w:t>元（含税）的 </w:t>
      </w:r>
      <w:r>
        <w:rPr>
          <w:rFonts w:ascii="Arial" w:hAnsi="Arial" w:cs="Arial" w:eastAsia="Arial" w:hint="default"/>
        </w:rPr>
        <w:t>2010 </w:t>
      </w:r>
      <w:r>
        <w:rPr/>
        <w:t>年度利润分配方案，共计约人民币</w:t>
      </w:r>
      <w:r>
        <w:rPr>
          <w:spacing w:val="-46"/>
        </w:rPr>
        <w:t> </w:t>
      </w:r>
      <w:r>
        <w:rPr>
          <w:rFonts w:ascii="Arial" w:hAnsi="Arial" w:cs="Arial" w:eastAsia="Arial" w:hint="default"/>
        </w:rPr>
        <w:t>5.51</w:t>
      </w:r>
    </w:p>
    <w:p>
      <w:pPr>
        <w:pStyle w:val="BodyText"/>
        <w:spacing w:line="295" w:lineRule="exact"/>
        <w:ind w:left="560" w:right="251"/>
        <w:jc w:val="left"/>
      </w:pPr>
      <w:r>
        <w:rPr/>
        <w:t>亿元（</w:t>
      </w:r>
      <w:r>
        <w:rPr>
          <w:rFonts w:ascii="Arial" w:hAnsi="Arial" w:cs="Arial" w:eastAsia="Arial" w:hint="default"/>
        </w:rPr>
        <w:t>2010</w:t>
      </w:r>
      <w:r>
        <w:rPr>
          <w:rFonts w:ascii="Arial" w:hAnsi="Arial" w:cs="Arial" w:eastAsia="Arial" w:hint="default"/>
          <w:spacing w:val="-7"/>
        </w:rPr>
        <w:t> </w:t>
      </w:r>
      <w:r>
        <w:rPr/>
        <w:t>年度：约人民币</w:t>
      </w:r>
      <w:r>
        <w:rPr>
          <w:spacing w:val="-57"/>
        </w:rPr>
        <w:t> </w:t>
      </w:r>
      <w:r>
        <w:rPr>
          <w:rFonts w:ascii="Arial" w:hAnsi="Arial" w:cs="Arial" w:eastAsia="Arial" w:hint="default"/>
        </w:rPr>
        <w:t>11.36</w:t>
      </w:r>
      <w:r>
        <w:rPr>
          <w:rFonts w:ascii="Arial" w:hAnsi="Arial" w:cs="Arial" w:eastAsia="Arial" w:hint="default"/>
          <w:spacing w:val="-8"/>
        </w:rPr>
        <w:t> </w:t>
      </w:r>
      <w:r>
        <w:rPr/>
        <w:t>亿元）的股利自未分配利润转出。</w:t>
      </w:r>
    </w:p>
    <w:p>
      <w:pPr>
        <w:spacing w:line="240" w:lineRule="auto" w:before="12"/>
        <w:rPr>
          <w:rFonts w:ascii="宋体" w:hAnsi="宋体" w:cs="宋体" w:eastAsia="宋体" w:hint="default"/>
          <w:sz w:val="17"/>
          <w:szCs w:val="17"/>
        </w:rPr>
      </w:pPr>
    </w:p>
    <w:p>
      <w:pPr>
        <w:pStyle w:val="BodyText"/>
        <w:tabs>
          <w:tab w:pos="560" w:val="left" w:leader="none"/>
        </w:tabs>
        <w:spacing w:line="295" w:lineRule="exact"/>
        <w:ind w:left="102" w:right="0"/>
        <w:jc w:val="left"/>
        <w:rPr>
          <w:rFonts w:ascii="Arial" w:hAnsi="Arial" w:cs="Arial" w:eastAsia="Arial" w:hint="default"/>
        </w:rPr>
      </w:pPr>
      <w:r>
        <w:rPr>
          <w:rFonts w:ascii="Arial" w:hAnsi="Arial" w:cs="Arial" w:eastAsia="Arial" w:hint="default"/>
          <w:w w:val="95"/>
        </w:rPr>
        <w:t>(c)</w:t>
        <w:tab/>
      </w:r>
      <w:r>
        <w:rPr/>
        <w:t>于</w:t>
      </w:r>
      <w:r>
        <w:rPr>
          <w:spacing w:val="-51"/>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月，根据收购联通新时讯协议，联通新时讯于</w:t>
      </w:r>
      <w:r>
        <w:rPr>
          <w:spacing w:val="-52"/>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w:t>
      </w:r>
      <w:r>
        <w:rPr>
          <w:rFonts w:ascii="Arial" w:hAnsi="Arial" w:cs="Arial" w:eastAsia="Arial" w:hint="default"/>
          <w:spacing w:val="-2"/>
        </w:rPr>
        <w:t> </w:t>
      </w:r>
      <w:r>
        <w:rPr/>
        <w:t>月</w:t>
      </w:r>
      <w:r>
        <w:rPr>
          <w:spacing w:val="-51"/>
        </w:rPr>
        <w:t> </w:t>
      </w:r>
      <w:r>
        <w:rPr>
          <w:rFonts w:ascii="Arial" w:hAnsi="Arial" w:cs="Arial" w:eastAsia="Arial" w:hint="default"/>
        </w:rPr>
        <w:t>1</w:t>
      </w:r>
      <w:r>
        <w:rPr>
          <w:rFonts w:ascii="Arial" w:hAnsi="Arial" w:cs="Arial" w:eastAsia="Arial" w:hint="default"/>
          <w:spacing w:val="-2"/>
        </w:rPr>
        <w:t> </w:t>
      </w:r>
      <w:r>
        <w:rPr/>
        <w:t>日至</w:t>
      </w:r>
      <w:r>
        <w:rPr>
          <w:spacing w:val="-51"/>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12</w:t>
      </w:r>
    </w:p>
    <w:p>
      <w:pPr>
        <w:pStyle w:val="BodyText"/>
        <w:spacing w:line="286" w:lineRule="exact"/>
        <w:ind w:left="560" w:right="0"/>
        <w:jc w:val="left"/>
      </w:pPr>
      <w:r>
        <w:rPr/>
        <w:t>月</w:t>
      </w:r>
      <w:r>
        <w:rPr>
          <w:spacing w:val="-56"/>
        </w:rPr>
        <w:t> </w:t>
      </w:r>
      <w:r>
        <w:rPr>
          <w:rFonts w:ascii="Arial" w:hAnsi="Arial" w:cs="Arial" w:eastAsia="Arial" w:hint="default"/>
        </w:rPr>
        <w:t>1</w:t>
      </w:r>
      <w:r>
        <w:rPr>
          <w:rFonts w:ascii="Arial" w:hAnsi="Arial" w:cs="Arial" w:eastAsia="Arial" w:hint="default"/>
          <w:spacing w:val="-7"/>
        </w:rPr>
        <w:t> </w:t>
      </w:r>
      <w:r>
        <w:rPr/>
        <w:t>日止</w:t>
      </w:r>
      <w:r>
        <w:rPr>
          <w:spacing w:val="-56"/>
        </w:rPr>
        <w:t> </w:t>
      </w:r>
      <w:r>
        <w:rPr>
          <w:rFonts w:ascii="Arial" w:hAnsi="Arial" w:cs="Arial" w:eastAsia="Arial" w:hint="default"/>
        </w:rPr>
        <w:t>11</w:t>
      </w:r>
      <w:r>
        <w:rPr>
          <w:rFonts w:ascii="Arial" w:hAnsi="Arial" w:cs="Arial" w:eastAsia="Arial" w:hint="default"/>
          <w:spacing w:val="-7"/>
        </w:rPr>
        <w:t> </w:t>
      </w:r>
      <w:r>
        <w:rPr/>
        <w:t>个月期间的净利润约人民币</w:t>
      </w:r>
      <w:r>
        <w:rPr>
          <w:spacing w:val="-56"/>
        </w:rPr>
        <w:t> </w:t>
      </w:r>
      <w:r>
        <w:rPr>
          <w:rFonts w:ascii="Arial" w:hAnsi="Arial" w:cs="Arial" w:eastAsia="Arial" w:hint="default"/>
        </w:rPr>
        <w:t>894</w:t>
      </w:r>
      <w:r>
        <w:rPr>
          <w:rFonts w:ascii="Arial" w:hAnsi="Arial" w:cs="Arial" w:eastAsia="Arial" w:hint="default"/>
          <w:spacing w:val="-6"/>
        </w:rPr>
        <w:t> </w:t>
      </w:r>
      <w:r>
        <w:rPr/>
        <w:t>万元归属于联通集团。根据本公司的持股比例，</w:t>
      </w:r>
    </w:p>
    <w:p>
      <w:pPr>
        <w:pStyle w:val="BodyText"/>
        <w:spacing w:line="295" w:lineRule="exact"/>
        <w:ind w:left="560" w:right="251"/>
        <w:jc w:val="left"/>
      </w:pPr>
      <w:r>
        <w:rPr/>
        <w:t>归属于本集团母公司普通股股东的未分配利润减少约人民币</w:t>
      </w:r>
      <w:r>
        <w:rPr>
          <w:spacing w:val="-56"/>
        </w:rPr>
        <w:t> </w:t>
      </w:r>
      <w:r>
        <w:rPr>
          <w:rFonts w:ascii="Arial" w:hAnsi="Arial" w:cs="Arial" w:eastAsia="Arial" w:hint="default"/>
        </w:rPr>
        <w:t>303</w:t>
      </w:r>
      <w:r>
        <w:rPr>
          <w:rFonts w:ascii="Arial" w:hAnsi="Arial" w:cs="Arial" w:eastAsia="Arial" w:hint="default"/>
          <w:spacing w:val="-7"/>
        </w:rPr>
        <w:t> </w:t>
      </w:r>
      <w:r>
        <w:rPr/>
        <w:t>万元。</w:t>
      </w:r>
    </w:p>
    <w:p>
      <w:pPr>
        <w:spacing w:line="240" w:lineRule="auto" w:before="12"/>
        <w:rPr>
          <w:rFonts w:ascii="宋体" w:hAnsi="宋体" w:cs="宋体" w:eastAsia="宋体" w:hint="default"/>
          <w:sz w:val="17"/>
          <w:szCs w:val="17"/>
        </w:rPr>
      </w:pPr>
    </w:p>
    <w:p>
      <w:pPr>
        <w:pStyle w:val="BodyText"/>
        <w:spacing w:line="295" w:lineRule="exact"/>
        <w:ind w:left="102" w:right="0"/>
        <w:jc w:val="left"/>
      </w:pPr>
      <w:r>
        <w:rPr>
          <w:rFonts w:ascii="Arial" w:hAnsi="Arial" w:cs="Arial" w:eastAsia="Arial" w:hint="default"/>
        </w:rPr>
        <w:t>(d)  </w:t>
      </w:r>
      <w:r>
        <w:rPr>
          <w:rFonts w:ascii="Arial" w:hAnsi="Arial" w:cs="Arial" w:eastAsia="Arial" w:hint="default"/>
          <w:spacing w:val="1"/>
        </w:rPr>
        <w:t> </w:t>
      </w:r>
      <w:r>
        <w:rPr/>
        <w:t>如附注一</w:t>
      </w:r>
      <w:r>
        <w:rPr>
          <w:rFonts w:ascii="Arial" w:hAnsi="Arial" w:cs="Arial" w:eastAsia="Arial" w:hint="default"/>
        </w:rPr>
        <w:t>(2)</w:t>
      </w:r>
      <w:r>
        <w:rPr/>
        <w:t>所述，于</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月，宽带在线完成了同一控制下向联通集团收购联通新时讯</w:t>
      </w:r>
    </w:p>
    <w:p>
      <w:pPr>
        <w:pStyle w:val="BodyText"/>
        <w:spacing w:line="286" w:lineRule="exact"/>
        <w:ind w:left="560" w:right="0"/>
        <w:jc w:val="left"/>
      </w:pPr>
      <w:r>
        <w:rPr/>
        <w:t>的交易，故本公司按持股比例增加了本公司</w:t>
      </w:r>
      <w:r>
        <w:rPr>
          <w:spacing w:val="-66"/>
        </w:rPr>
        <w:t> </w:t>
      </w:r>
      <w:r>
        <w:rPr>
          <w:rFonts w:ascii="Arial" w:hAnsi="Arial" w:cs="Arial" w:eastAsia="Arial" w:hint="default"/>
        </w:rPr>
        <w:t>2011</w:t>
      </w:r>
      <w:r>
        <w:rPr>
          <w:rFonts w:ascii="Arial" w:hAnsi="Arial" w:cs="Arial" w:eastAsia="Arial" w:hint="default"/>
          <w:spacing w:val="-17"/>
        </w:rPr>
        <w:t> </w:t>
      </w:r>
      <w:r>
        <w:rPr/>
        <w:t>年年初未分配利润约人民币</w:t>
      </w:r>
      <w:r>
        <w:rPr>
          <w:spacing w:val="-66"/>
        </w:rPr>
        <w:t> </w:t>
      </w:r>
      <w:r>
        <w:rPr>
          <w:rFonts w:ascii="Arial" w:hAnsi="Arial" w:cs="Arial" w:eastAsia="Arial" w:hint="default"/>
        </w:rPr>
        <w:t>765</w:t>
      </w:r>
      <w:r>
        <w:rPr>
          <w:rFonts w:ascii="Arial" w:hAnsi="Arial" w:cs="Arial" w:eastAsia="Arial" w:hint="default"/>
          <w:spacing w:val="-16"/>
        </w:rPr>
        <w:t> </w:t>
      </w:r>
      <w:r>
        <w:rPr>
          <w:spacing w:val="-8"/>
        </w:rPr>
        <w:t>万元。因本</w:t>
      </w:r>
    </w:p>
    <w:p>
      <w:pPr>
        <w:pStyle w:val="BodyText"/>
        <w:spacing w:line="232" w:lineRule="auto"/>
        <w:ind w:left="560" w:right="96"/>
        <w:jc w:val="left"/>
      </w:pPr>
      <w:r>
        <w:rPr/>
        <w:t>次交易的合并对价约人民币</w:t>
      </w:r>
      <w:r>
        <w:rPr>
          <w:spacing w:val="-46"/>
        </w:rPr>
        <w:t> </w:t>
      </w:r>
      <w:r>
        <w:rPr>
          <w:rFonts w:ascii="Arial" w:hAnsi="Arial" w:cs="Arial" w:eastAsia="Arial" w:hint="default"/>
        </w:rPr>
        <w:t>1.58</w:t>
      </w:r>
      <w:r>
        <w:rPr>
          <w:rFonts w:ascii="Arial" w:hAnsi="Arial" w:cs="Arial" w:eastAsia="Arial" w:hint="default"/>
          <w:spacing w:val="4"/>
        </w:rPr>
        <w:t> </w:t>
      </w:r>
      <w:r>
        <w:rPr/>
        <w:t>亿元超过被合并方联通新时讯于合并日的净资产，根据同一</w:t>
      </w:r>
      <w:r>
        <w:rPr>
          <w:w w:val="99"/>
        </w:rPr>
        <w:t> </w:t>
      </w:r>
      <w:r>
        <w:rPr>
          <w:spacing w:val="-5"/>
          <w:w w:val="99"/>
        </w:rPr>
        <w:t>控制下企业合并的会计处理的要求，该等差额应当冲减合并的资本公积，资本公积不足冲减的，</w:t>
      </w:r>
      <w:r>
        <w:rPr>
          <w:spacing w:val="-97"/>
          <w:w w:val="99"/>
        </w:rPr>
        <w:t> </w:t>
      </w:r>
      <w:r>
        <w:rPr>
          <w:spacing w:val="-97"/>
          <w:w w:val="99"/>
        </w:rPr>
      </w:r>
      <w:r>
        <w:rPr>
          <w:spacing w:val="-4"/>
        </w:rPr>
        <w:t>冲减留存收益。于</w:t>
      </w:r>
      <w:r>
        <w:rPr>
          <w:spacing w:val="-65"/>
        </w:rPr>
        <w:t> </w:t>
      </w:r>
      <w:r>
        <w:rPr>
          <w:rFonts w:ascii="Arial" w:hAnsi="Arial" w:cs="Arial" w:eastAsia="Arial" w:hint="default"/>
        </w:rPr>
        <w:t>2011</w:t>
      </w:r>
      <w:r>
        <w:rPr>
          <w:rFonts w:ascii="Arial" w:hAnsi="Arial" w:cs="Arial" w:eastAsia="Arial" w:hint="default"/>
          <w:spacing w:val="-15"/>
        </w:rPr>
        <w:t> </w:t>
      </w:r>
      <w:r>
        <w:rPr/>
        <w:t>年</w:t>
      </w:r>
      <w:r>
        <w:rPr>
          <w:spacing w:val="-65"/>
        </w:rPr>
        <w:t> </w:t>
      </w:r>
      <w:r>
        <w:rPr>
          <w:rFonts w:ascii="Arial" w:hAnsi="Arial" w:cs="Arial" w:eastAsia="Arial" w:hint="default"/>
        </w:rPr>
        <w:t>12</w:t>
      </w:r>
      <w:r>
        <w:rPr>
          <w:rFonts w:ascii="Arial" w:hAnsi="Arial" w:cs="Arial" w:eastAsia="Arial" w:hint="default"/>
          <w:spacing w:val="-16"/>
        </w:rPr>
        <w:t> </w:t>
      </w:r>
      <w:r>
        <w:rPr/>
        <w:t>月交易完成日，由于本次合并方宽带在线的资本公积不足冲减，</w:t>
      </w:r>
      <w:r>
        <w:rPr>
          <w:w w:val="99"/>
        </w:rPr>
        <w:t> </w:t>
      </w:r>
      <w:r>
        <w:rPr>
          <w:spacing w:val="-3"/>
          <w:w w:val="99"/>
        </w:rPr>
        <w:t>因此合并对价在抵销因合并联通新时讯而计入合并未分配利润的影响后，其余额将冲减合并的</w:t>
      </w:r>
      <w:r>
        <w:rPr>
          <w:spacing w:val="-73"/>
          <w:w w:val="99"/>
        </w:rPr>
        <w:t> </w:t>
      </w:r>
      <w:r>
        <w:rPr>
          <w:spacing w:val="-73"/>
          <w:w w:val="99"/>
        </w:rPr>
      </w:r>
      <w:r>
        <w:rPr>
          <w:spacing w:val="-3"/>
        </w:rPr>
        <w:t>留存收益。根据本公司的持股比例计算，归属于本集团母公司普通股股东的未分配利润减少约</w:t>
      </w:r>
      <w:r>
        <w:rPr>
          <w:spacing w:val="-90"/>
        </w:rPr>
        <w:t> </w:t>
      </w:r>
      <w:r>
        <w:rPr>
          <w:spacing w:val="-90"/>
        </w:rPr>
      </w:r>
      <w:r>
        <w:rPr/>
        <w:t>人民币</w:t>
      </w:r>
      <w:r>
        <w:rPr>
          <w:spacing w:val="-57"/>
        </w:rPr>
        <w:t> </w:t>
      </w:r>
      <w:r>
        <w:rPr>
          <w:rFonts w:ascii="Arial" w:hAnsi="Arial" w:cs="Arial" w:eastAsia="Arial" w:hint="default"/>
        </w:rPr>
        <w:t>1,258</w:t>
      </w:r>
      <w:r>
        <w:rPr>
          <w:rFonts w:ascii="Arial" w:hAnsi="Arial" w:cs="Arial" w:eastAsia="Arial" w:hint="default"/>
          <w:spacing w:val="-8"/>
        </w:rPr>
        <w:t> </w:t>
      </w:r>
      <w:r>
        <w:rPr/>
        <w:t>万元。</w:t>
      </w:r>
    </w:p>
    <w:p>
      <w:pPr>
        <w:spacing w:line="240" w:lineRule="auto" w:before="13"/>
        <w:rPr>
          <w:rFonts w:ascii="宋体" w:hAnsi="宋体" w:cs="宋体" w:eastAsia="宋体" w:hint="default"/>
          <w:sz w:val="17"/>
          <w:szCs w:val="17"/>
        </w:rPr>
      </w:pPr>
    </w:p>
    <w:p>
      <w:pPr>
        <w:pStyle w:val="BodyText"/>
        <w:spacing w:line="240" w:lineRule="auto"/>
        <w:ind w:left="102" w:right="251"/>
        <w:jc w:val="left"/>
      </w:pPr>
      <w:r>
        <w:rPr>
          <w:rFonts w:ascii="Arial" w:hAnsi="Arial" w:cs="Arial" w:eastAsia="Arial" w:hint="default"/>
        </w:rPr>
        <w:t>34</w:t>
      </w:r>
      <w:r>
        <w:rPr/>
        <w:t>、少数股东权益及少数股东损益</w:t>
      </w:r>
    </w:p>
    <w:p>
      <w:pPr>
        <w:spacing w:line="240" w:lineRule="auto" w:before="6"/>
        <w:rPr>
          <w:rFonts w:ascii="宋体" w:hAnsi="宋体" w:cs="宋体" w:eastAsia="宋体" w:hint="default"/>
          <w:sz w:val="17"/>
          <w:szCs w:val="17"/>
        </w:rPr>
      </w:pPr>
    </w:p>
    <w:p>
      <w:pPr>
        <w:pStyle w:val="BodyText"/>
        <w:spacing w:line="286" w:lineRule="exact"/>
        <w:ind w:left="550" w:right="183" w:hanging="1"/>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日，联通集团因直接持有联通</w:t>
      </w:r>
      <w:r>
        <w:rPr>
          <w:spacing w:val="-56"/>
        </w:rPr>
        <w:t> </w:t>
      </w:r>
      <w:r>
        <w:rPr>
          <w:rFonts w:ascii="Arial" w:hAnsi="Arial" w:cs="Arial" w:eastAsia="Arial" w:hint="default"/>
        </w:rPr>
        <w:t>BVI</w:t>
      </w:r>
      <w:r>
        <w:rPr>
          <w:rFonts w:ascii="Arial" w:hAnsi="Arial" w:cs="Arial" w:eastAsia="Arial" w:hint="default"/>
          <w:spacing w:val="-6"/>
        </w:rPr>
        <w:t> </w:t>
      </w:r>
      <w:r>
        <w:rPr/>
        <w:t>公司余下的</w:t>
      </w:r>
      <w:r>
        <w:rPr>
          <w:spacing w:val="-56"/>
        </w:rPr>
        <w:t> </w:t>
      </w:r>
      <w:r>
        <w:rPr>
          <w:rFonts w:ascii="Arial" w:hAnsi="Arial" w:cs="Arial" w:eastAsia="Arial" w:hint="default"/>
        </w:rPr>
        <w:t>17.90%</w:t>
      </w:r>
      <w:r>
        <w:rPr/>
        <w:t>股权而于本集团合</w:t>
      </w:r>
      <w:r>
        <w:rPr>
          <w:w w:val="99"/>
        </w:rPr>
        <w:t> </w:t>
      </w:r>
      <w:r>
        <w:rPr/>
        <w:t>并财务报表中被确认为少数股东。</w:t>
      </w:r>
    </w:p>
    <w:p>
      <w:pPr>
        <w:pStyle w:val="BodyText"/>
        <w:spacing w:line="286" w:lineRule="exact" w:before="178"/>
        <w:ind w:left="550" w:right="184" w:hanging="1"/>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日，网通集团</w:t>
      </w:r>
      <w:r>
        <w:rPr>
          <w:spacing w:val="-56"/>
        </w:rPr>
        <w:t> </w:t>
      </w:r>
      <w:r>
        <w:rPr>
          <w:rFonts w:ascii="Arial" w:hAnsi="Arial" w:cs="Arial" w:eastAsia="Arial" w:hint="default"/>
        </w:rPr>
        <w:t>BVI</w:t>
      </w:r>
      <w:r>
        <w:rPr>
          <w:rFonts w:ascii="Arial" w:hAnsi="Arial" w:cs="Arial" w:eastAsia="Arial" w:hint="default"/>
          <w:spacing w:val="-7"/>
        </w:rPr>
        <w:t> </w:t>
      </w:r>
      <w:r>
        <w:rPr/>
        <w:t>公司因合并后持有联通红筹公司约</w:t>
      </w:r>
      <w:r>
        <w:rPr>
          <w:spacing w:val="-56"/>
        </w:rPr>
        <w:t> </w:t>
      </w:r>
      <w:r>
        <w:rPr>
          <w:rFonts w:ascii="Arial" w:hAnsi="Arial" w:cs="Arial" w:eastAsia="Arial" w:hint="default"/>
        </w:rPr>
        <w:t>29.75%</w:t>
      </w:r>
      <w:r>
        <w:rPr/>
        <w:t>的股份而于</w:t>
      </w:r>
      <w:r>
        <w:rPr>
          <w:w w:val="99"/>
        </w:rPr>
        <w:t> </w:t>
      </w:r>
      <w:r>
        <w:rPr/>
        <w:t>本集团合并财务报表中被确认为少数股东。</w:t>
      </w:r>
    </w:p>
    <w:p>
      <w:pPr>
        <w:spacing w:after="0" w:line="286" w:lineRule="exact"/>
        <w:jc w:val="left"/>
        <w:sectPr>
          <w:headerReference w:type="default" r:id="rId120"/>
          <w:pgSz w:w="11900" w:h="16840"/>
          <w:pgMar w:header="1189" w:footer="752" w:top="3040" w:bottom="940" w:left="1280" w:right="920"/>
        </w:sect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4819"/>
        <w:gridCol w:w="2270"/>
        <w:gridCol w:w="164"/>
        <w:gridCol w:w="2188"/>
        <w:gridCol w:w="56"/>
      </w:tblGrid>
      <w:tr>
        <w:trPr>
          <w:trHeight w:val="1346"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388" w:lineRule="auto" w:before="31"/>
              <w:ind w:left="35" w:right="798"/>
              <w:jc w:val="left"/>
              <w:rPr>
                <w:rFonts w:ascii="宋体" w:hAnsi="宋体" w:cs="宋体" w:eastAsia="宋体" w:hint="default"/>
                <w:sz w:val="22"/>
                <w:szCs w:val="22"/>
              </w:rPr>
            </w:pPr>
            <w:r>
              <w:rPr>
                <w:rFonts w:ascii="Arial" w:hAnsi="Arial" w:cs="Arial" w:eastAsia="Arial" w:hint="default"/>
                <w:sz w:val="22"/>
                <w:szCs w:val="22"/>
              </w:rPr>
              <w:t>34</w:t>
            </w:r>
            <w:r>
              <w:rPr>
                <w:rFonts w:ascii="宋体" w:hAnsi="宋体" w:cs="宋体" w:eastAsia="宋体" w:hint="default"/>
                <w:sz w:val="22"/>
                <w:szCs w:val="22"/>
              </w:rPr>
              <w:t>、少数股东权益及少数股东损益（续）</w:t>
            </w:r>
            <w:r>
              <w:rPr>
                <w:rFonts w:ascii="宋体" w:hAnsi="宋体" w:cs="宋体" w:eastAsia="宋体" w:hint="default"/>
                <w:w w:val="99"/>
                <w:sz w:val="22"/>
                <w:szCs w:val="22"/>
              </w:rPr>
              <w:t> </w:t>
            </w:r>
            <w:r>
              <w:rPr>
                <w:rFonts w:ascii="Arial" w:hAnsi="Arial" w:cs="Arial" w:eastAsia="Arial" w:hint="default"/>
                <w:sz w:val="22"/>
                <w:szCs w:val="22"/>
              </w:rPr>
              <w:t>(a) </w:t>
            </w:r>
            <w:r>
              <w:rPr>
                <w:rFonts w:ascii="Arial" w:hAnsi="Arial" w:cs="Arial" w:eastAsia="Arial" w:hint="default"/>
                <w:spacing w:val="25"/>
                <w:sz w:val="22"/>
                <w:szCs w:val="22"/>
              </w:rPr>
              <w:t> </w:t>
            </w:r>
            <w:r>
              <w:rPr>
                <w:rFonts w:ascii="宋体" w:hAnsi="宋体" w:cs="宋体" w:eastAsia="宋体" w:hint="default"/>
                <w:sz w:val="22"/>
                <w:szCs w:val="22"/>
              </w:rPr>
              <w:t>少数股东权益</w:t>
            </w:r>
          </w:p>
        </w:tc>
        <w:tc>
          <w:tcPr>
            <w:tcW w:w="227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5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3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56" w:type="dxa"/>
            <w:tcBorders>
              <w:top w:val="nil" w:sz="6" w:space="0" w:color="auto"/>
              <w:left w:val="nil" w:sz="6" w:space="0" w:color="auto"/>
              <w:bottom w:val="nil" w:sz="6" w:space="0" w:color="auto"/>
              <w:right w:val="nil" w:sz="6" w:space="0" w:color="auto"/>
            </w:tcBorders>
          </w:tcPr>
          <w:p>
            <w:pPr/>
          </w:p>
        </w:tc>
      </w:tr>
      <w:tr>
        <w:trPr>
          <w:trHeight w:val="292" w:hRule="exact"/>
        </w:trPr>
        <w:tc>
          <w:tcPr>
            <w:tcW w:w="4819" w:type="dxa"/>
            <w:tcBorders>
              <w:top w:val="nil" w:sz="6" w:space="0" w:color="auto"/>
              <w:left w:val="nil" w:sz="6" w:space="0" w:color="auto"/>
              <w:bottom w:val="nil" w:sz="6" w:space="0" w:color="auto"/>
              <w:right w:val="nil" w:sz="6" w:space="0" w:color="auto"/>
            </w:tcBorders>
          </w:tcPr>
          <w:p>
            <w:pPr/>
          </w:p>
        </w:tc>
        <w:tc>
          <w:tcPr>
            <w:tcW w:w="2270" w:type="dxa"/>
            <w:tcBorders>
              <w:top w:val="single" w:sz="6" w:space="0" w:color="000000"/>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single" w:sz="6" w:space="0" w:color="000000"/>
              <w:left w:val="nil" w:sz="6" w:space="0" w:color="auto"/>
              <w:bottom w:val="nil" w:sz="6" w:space="0" w:color="auto"/>
              <w:right w:val="nil" w:sz="6" w:space="0" w:color="auto"/>
            </w:tcBorders>
          </w:tcPr>
          <w:p>
            <w:pPr>
              <w:pStyle w:val="TableParagraph"/>
              <w:spacing w:line="252" w:lineRule="exact"/>
              <w:ind w:right="4"/>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c>
          <w:tcPr>
            <w:tcW w:w="56" w:type="dxa"/>
            <w:tcBorders>
              <w:top w:val="nil" w:sz="6" w:space="0" w:color="auto"/>
              <w:left w:val="nil" w:sz="6" w:space="0" w:color="auto"/>
              <w:bottom w:val="nil" w:sz="6" w:space="0" w:color="auto"/>
              <w:right w:val="nil" w:sz="6" w:space="0" w:color="auto"/>
            </w:tcBorders>
          </w:tcPr>
          <w:p>
            <w:pPr/>
          </w:p>
        </w:tc>
      </w:tr>
      <w:tr>
        <w:trPr>
          <w:trHeight w:val="299"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3" w:lineRule="exact"/>
              <w:ind w:left="483"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99" w:right="0"/>
              <w:jc w:val="left"/>
              <w:rPr>
                <w:rFonts w:ascii="Arial" w:hAnsi="Arial" w:cs="Arial" w:eastAsia="Arial" w:hint="default"/>
                <w:sz w:val="22"/>
                <w:szCs w:val="22"/>
              </w:rPr>
            </w:pPr>
            <w:r>
              <w:rPr>
                <w:rFonts w:ascii="Arial"/>
                <w:sz w:val="22"/>
              </w:rPr>
              <w:t>15,374,915,727</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Arial" w:hAnsi="Arial" w:cs="Arial" w:eastAsia="Arial" w:hint="default"/>
                <w:sz w:val="22"/>
                <w:szCs w:val="22"/>
              </w:rPr>
            </w:pPr>
            <w:r>
              <w:rPr>
                <w:rFonts w:ascii="Arial"/>
                <w:spacing w:val="-1"/>
                <w:sz w:val="22"/>
              </w:rPr>
              <w:t>15,358,587,803</w:t>
            </w:r>
          </w:p>
        </w:tc>
        <w:tc>
          <w:tcPr>
            <w:tcW w:w="56" w:type="dxa"/>
            <w:tcBorders>
              <w:top w:val="nil" w:sz="6" w:space="0" w:color="auto"/>
              <w:left w:val="nil" w:sz="6" w:space="0" w:color="auto"/>
              <w:bottom w:val="nil" w:sz="6" w:space="0" w:color="auto"/>
              <w:right w:val="nil" w:sz="6" w:space="0" w:color="auto"/>
            </w:tcBorders>
          </w:tcPr>
          <w:p>
            <w:pPr/>
          </w:p>
        </w:tc>
      </w:tr>
      <w:tr>
        <w:trPr>
          <w:trHeight w:val="28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5" w:lineRule="exact"/>
              <w:ind w:left="483" w:right="0"/>
              <w:jc w:val="left"/>
              <w:rPr>
                <w:rFonts w:ascii="宋体" w:hAnsi="宋体" w:cs="宋体" w:eastAsia="宋体" w:hint="default"/>
                <w:sz w:val="22"/>
                <w:szCs w:val="22"/>
              </w:rPr>
            </w:pPr>
            <w:r>
              <w:rPr>
                <w:rFonts w:ascii="宋体" w:hAnsi="宋体" w:cs="宋体" w:eastAsia="宋体" w:hint="default"/>
                <w:sz w:val="22"/>
                <w:szCs w:val="22"/>
              </w:rPr>
              <w:t>网通集团</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00" w:right="0"/>
              <w:jc w:val="left"/>
              <w:rPr>
                <w:rFonts w:ascii="Arial" w:hAnsi="Arial" w:cs="Arial" w:eastAsia="Arial" w:hint="default"/>
                <w:sz w:val="22"/>
                <w:szCs w:val="22"/>
              </w:rPr>
            </w:pPr>
            <w:r>
              <w:rPr>
                <w:rFonts w:ascii="Arial"/>
                <w:sz w:val="22"/>
              </w:rPr>
              <w:t>61,886,616,235</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4"/>
              <w:jc w:val="right"/>
              <w:rPr>
                <w:rFonts w:ascii="Arial" w:hAnsi="Arial" w:cs="Arial" w:eastAsia="Arial" w:hint="default"/>
                <w:sz w:val="22"/>
                <w:szCs w:val="22"/>
              </w:rPr>
            </w:pPr>
            <w:r>
              <w:rPr>
                <w:rFonts w:ascii="Arial"/>
                <w:spacing w:val="-1"/>
                <w:sz w:val="22"/>
              </w:rPr>
              <w:t>61,832,264,970</w:t>
            </w:r>
          </w:p>
        </w:tc>
        <w:tc>
          <w:tcPr>
            <w:tcW w:w="56" w:type="dxa"/>
            <w:tcBorders>
              <w:top w:val="nil" w:sz="6" w:space="0" w:color="auto"/>
              <w:left w:val="nil" w:sz="6" w:space="0" w:color="auto"/>
              <w:bottom w:val="nil" w:sz="6" w:space="0" w:color="auto"/>
              <w:right w:val="nil" w:sz="6" w:space="0" w:color="auto"/>
            </w:tcBorders>
          </w:tcPr>
          <w:p>
            <w:pPr/>
          </w:p>
        </w:tc>
      </w:tr>
      <w:tr>
        <w:trPr>
          <w:trHeight w:val="419"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39" w:lineRule="exact"/>
              <w:ind w:left="483" w:right="0"/>
              <w:jc w:val="left"/>
              <w:rPr>
                <w:rFonts w:ascii="宋体" w:hAnsi="宋体" w:cs="宋体" w:eastAsia="宋体" w:hint="default"/>
                <w:sz w:val="22"/>
                <w:szCs w:val="22"/>
              </w:rPr>
            </w:pPr>
            <w:r>
              <w:rPr>
                <w:rFonts w:ascii="宋体" w:hAnsi="宋体" w:cs="宋体" w:eastAsia="宋体" w:hint="default"/>
                <w:sz w:val="22"/>
                <w:szCs w:val="22"/>
              </w:rPr>
              <w:t>联通红筹公司之公众股东</w:t>
            </w:r>
          </w:p>
        </w:tc>
        <w:tc>
          <w:tcPr>
            <w:tcW w:w="2270" w:type="dxa"/>
            <w:tcBorders>
              <w:top w:val="nil" w:sz="6" w:space="0" w:color="auto"/>
              <w:left w:val="nil" w:sz="6" w:space="0" w:color="auto"/>
              <w:bottom w:val="nil" w:sz="6" w:space="0" w:color="auto"/>
              <w:right w:val="nil" w:sz="6" w:space="0" w:color="auto"/>
            </w:tcBorders>
          </w:tcPr>
          <w:p>
            <w:pPr>
              <w:pStyle w:val="TableParagraph"/>
              <w:tabs>
                <w:tab w:pos="585" w:val="left" w:leader="none"/>
                <w:tab w:pos="2255"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60,325,361,885</w:t>
              <w:tab/>
            </w:r>
            <w:r>
              <w:rPr>
                <w:rFonts w:ascii="Arial"/>
                <w:spacing w:val="-1"/>
                <w:sz w:val="22"/>
              </w:rPr>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tabs>
                <w:tab w:pos="508" w:val="left" w:leader="none"/>
                <w:tab w:pos="2171" w:val="left" w:leader="none"/>
              </w:tabs>
              <w:spacing w:line="240" w:lineRule="auto" w:before="17"/>
              <w:ind w:right="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60,248,352,673</w:t>
              <w:tab/>
            </w:r>
            <w:r>
              <w:rPr>
                <w:rFonts w:ascii="Arial"/>
                <w:spacing w:val="-1"/>
                <w:sz w:val="22"/>
              </w:rPr>
            </w:r>
          </w:p>
        </w:tc>
        <w:tc>
          <w:tcPr>
            <w:tcW w:w="56" w:type="dxa"/>
            <w:tcBorders>
              <w:top w:val="nil" w:sz="6" w:space="0" w:color="auto"/>
              <w:left w:val="nil" w:sz="6" w:space="0" w:color="auto"/>
              <w:bottom w:val="nil" w:sz="6" w:space="0" w:color="auto"/>
              <w:right w:val="nil" w:sz="6" w:space="0" w:color="auto"/>
            </w:tcBorders>
          </w:tcPr>
          <w:p>
            <w:pPr/>
          </w:p>
        </w:tc>
      </w:tr>
      <w:tr>
        <w:trPr>
          <w:trHeight w:val="431"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8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7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77" w:right="0"/>
              <w:jc w:val="left"/>
              <w:rPr>
                <w:rFonts w:ascii="Arial" w:hAnsi="Arial" w:cs="Arial" w:eastAsia="Arial" w:hint="default"/>
                <w:sz w:val="22"/>
                <w:szCs w:val="22"/>
              </w:rPr>
            </w:pPr>
            <w:r>
              <w:rPr>
                <w:rFonts w:ascii="Arial"/>
                <w:sz w:val="22"/>
              </w:rPr>
              <w:t>137,586,893,847</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00" w:right="0"/>
              <w:jc w:val="left"/>
              <w:rPr>
                <w:rFonts w:ascii="Arial" w:hAnsi="Arial" w:cs="Arial" w:eastAsia="Arial" w:hint="default"/>
                <w:sz w:val="22"/>
                <w:szCs w:val="22"/>
              </w:rPr>
            </w:pPr>
            <w:r>
              <w:rPr>
                <w:rFonts w:ascii="Arial"/>
                <w:sz w:val="22"/>
              </w:rPr>
              <w:t>137,439,205,446</w:t>
            </w:r>
          </w:p>
        </w:tc>
        <w:tc>
          <w:tcPr>
            <w:tcW w:w="56" w:type="dxa"/>
            <w:tcBorders>
              <w:top w:val="nil" w:sz="6" w:space="0" w:color="auto"/>
              <w:left w:val="nil" w:sz="6" w:space="0" w:color="auto"/>
              <w:bottom w:val="nil" w:sz="6" w:space="0" w:color="auto"/>
              <w:right w:val="nil" w:sz="6" w:space="0" w:color="auto"/>
            </w:tcBorders>
          </w:tcPr>
          <w:p>
            <w:pPr/>
          </w:p>
        </w:tc>
      </w:tr>
      <w:tr>
        <w:trPr>
          <w:trHeight w:val="608"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35" w:right="0"/>
              <w:jc w:val="left"/>
              <w:rPr>
                <w:rFonts w:ascii="宋体" w:hAnsi="宋体" w:cs="宋体" w:eastAsia="宋体" w:hint="default"/>
                <w:sz w:val="22"/>
                <w:szCs w:val="22"/>
              </w:rPr>
            </w:pPr>
            <w:r>
              <w:rPr>
                <w:rFonts w:ascii="Arial" w:hAnsi="Arial" w:cs="Arial" w:eastAsia="Arial" w:hint="default"/>
                <w:sz w:val="22"/>
                <w:szCs w:val="22"/>
              </w:rPr>
              <w:t>(b) </w:t>
            </w:r>
            <w:r>
              <w:rPr>
                <w:rFonts w:ascii="Arial" w:hAnsi="Arial" w:cs="Arial" w:eastAsia="Arial" w:hint="default"/>
                <w:spacing w:val="25"/>
                <w:sz w:val="22"/>
                <w:szCs w:val="22"/>
              </w:rPr>
              <w:t> </w:t>
            </w:r>
            <w:r>
              <w:rPr>
                <w:rFonts w:ascii="宋体" w:hAnsi="宋体" w:cs="宋体" w:eastAsia="宋体" w:hint="default"/>
                <w:sz w:val="22"/>
                <w:szCs w:val="22"/>
              </w:rPr>
              <w:t>少数股东损益</w:t>
            </w:r>
          </w:p>
        </w:tc>
        <w:tc>
          <w:tcPr>
            <w:tcW w:w="2270" w:type="dxa"/>
            <w:tcBorders>
              <w:top w:val="single" w:sz="17" w:space="0" w:color="000000"/>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single" w:sz="17" w:space="0" w:color="000000"/>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r>
      <w:tr>
        <w:trPr>
          <w:trHeight w:val="378" w:hRule="exact"/>
        </w:trPr>
        <w:tc>
          <w:tcPr>
            <w:tcW w:w="4819"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6" w:space="0" w:color="000000"/>
              <w:right w:val="nil" w:sz="6" w:space="0" w:color="auto"/>
            </w:tcBorders>
          </w:tcPr>
          <w:p>
            <w:pPr>
              <w:pStyle w:val="TableParagraph"/>
              <w:spacing w:line="240" w:lineRule="auto" w:before="49"/>
              <w:ind w:left="1161"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6" w:space="0" w:color="000000"/>
              <w:right w:val="nil" w:sz="6" w:space="0" w:color="auto"/>
            </w:tcBorders>
          </w:tcPr>
          <w:p>
            <w:pPr>
              <w:pStyle w:val="TableParagraph"/>
              <w:spacing w:line="240" w:lineRule="auto" w:before="49"/>
              <w:ind w:right="43"/>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56" w:type="dxa"/>
            <w:tcBorders>
              <w:top w:val="nil" w:sz="6" w:space="0" w:color="auto"/>
              <w:left w:val="nil" w:sz="6" w:space="0" w:color="auto"/>
              <w:bottom w:val="single" w:sz="6" w:space="0" w:color="000000"/>
              <w:right w:val="nil" w:sz="6" w:space="0" w:color="auto"/>
            </w:tcBorders>
          </w:tcPr>
          <w:p>
            <w:pPr/>
          </w:p>
        </w:tc>
      </w:tr>
      <w:tr>
        <w:trPr>
          <w:trHeight w:val="292" w:hRule="exact"/>
        </w:trPr>
        <w:tc>
          <w:tcPr>
            <w:tcW w:w="4819" w:type="dxa"/>
            <w:tcBorders>
              <w:top w:val="nil" w:sz="6" w:space="0" w:color="auto"/>
              <w:left w:val="nil" w:sz="6" w:space="0" w:color="auto"/>
              <w:bottom w:val="nil" w:sz="6" w:space="0" w:color="auto"/>
              <w:right w:val="nil" w:sz="6" w:space="0" w:color="auto"/>
            </w:tcBorders>
          </w:tcPr>
          <w:p>
            <w:pPr/>
          </w:p>
        </w:tc>
        <w:tc>
          <w:tcPr>
            <w:tcW w:w="2270" w:type="dxa"/>
            <w:tcBorders>
              <w:top w:val="single" w:sz="6" w:space="0" w:color="000000"/>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single" w:sz="6" w:space="0" w:color="000000"/>
              <w:left w:val="nil" w:sz="6" w:space="0" w:color="auto"/>
              <w:bottom w:val="nil" w:sz="6" w:space="0" w:color="auto"/>
              <w:right w:val="nil" w:sz="6" w:space="0" w:color="auto"/>
            </w:tcBorders>
          </w:tcPr>
          <w:p>
            <w:pPr>
              <w:pStyle w:val="TableParagraph"/>
              <w:spacing w:line="252" w:lineRule="exact"/>
              <w:ind w:right="0"/>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c>
          <w:tcPr>
            <w:tcW w:w="56" w:type="dxa"/>
            <w:tcBorders>
              <w:top w:val="single" w:sz="6" w:space="0" w:color="000000"/>
              <w:left w:val="nil" w:sz="6" w:space="0" w:color="auto"/>
              <w:bottom w:val="nil" w:sz="6" w:space="0" w:color="auto"/>
              <w:right w:val="nil" w:sz="6" w:space="0" w:color="auto"/>
            </w:tcBorders>
          </w:tcPr>
          <w:p>
            <w:pPr/>
          </w:p>
        </w:tc>
      </w:tr>
      <w:tr>
        <w:trPr>
          <w:trHeight w:val="299"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3" w:lineRule="exact"/>
              <w:ind w:left="483"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92" w:right="0"/>
              <w:jc w:val="left"/>
              <w:rPr>
                <w:rFonts w:ascii="Arial" w:hAnsi="Arial" w:cs="Arial" w:eastAsia="Arial" w:hint="default"/>
                <w:sz w:val="22"/>
                <w:szCs w:val="22"/>
              </w:rPr>
            </w:pPr>
            <w:r>
              <w:rPr>
                <w:rFonts w:ascii="Arial"/>
                <w:sz w:val="22"/>
              </w:rPr>
              <w:t>310,207,358</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0"/>
              <w:jc w:val="right"/>
              <w:rPr>
                <w:rFonts w:ascii="Arial" w:hAnsi="Arial" w:cs="Arial" w:eastAsia="Arial" w:hint="default"/>
                <w:sz w:val="22"/>
                <w:szCs w:val="22"/>
              </w:rPr>
            </w:pPr>
            <w:r>
              <w:rPr>
                <w:rFonts w:ascii="Arial"/>
                <w:w w:val="95"/>
                <w:sz w:val="22"/>
              </w:rPr>
              <w:t>272,029,287</w:t>
            </w:r>
            <w:r>
              <w:rPr>
                <w:rFonts w:ascii="Arial"/>
                <w:sz w:val="22"/>
              </w:rPr>
            </w:r>
          </w:p>
        </w:tc>
        <w:tc>
          <w:tcPr>
            <w:tcW w:w="56" w:type="dxa"/>
            <w:tcBorders>
              <w:top w:val="nil" w:sz="6" w:space="0" w:color="auto"/>
              <w:left w:val="nil" w:sz="6" w:space="0" w:color="auto"/>
              <w:bottom w:val="nil" w:sz="6" w:space="0" w:color="auto"/>
              <w:right w:val="nil" w:sz="6" w:space="0" w:color="auto"/>
            </w:tcBorders>
          </w:tcPr>
          <w:p>
            <w:pPr/>
          </w:p>
        </w:tc>
      </w:tr>
      <w:tr>
        <w:trPr>
          <w:trHeight w:val="286"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5" w:lineRule="exact"/>
              <w:ind w:left="483" w:right="0"/>
              <w:jc w:val="left"/>
              <w:rPr>
                <w:rFonts w:ascii="宋体" w:hAnsi="宋体" w:cs="宋体" w:eastAsia="宋体" w:hint="default"/>
                <w:sz w:val="22"/>
                <w:szCs w:val="22"/>
              </w:rPr>
            </w:pPr>
            <w:r>
              <w:rPr>
                <w:rFonts w:ascii="宋体" w:hAnsi="宋体" w:cs="宋体" w:eastAsia="宋体" w:hint="default"/>
                <w:sz w:val="22"/>
                <w:szCs w:val="22"/>
              </w:rPr>
              <w:t>网通集团</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09" w:right="0"/>
              <w:jc w:val="left"/>
              <w:rPr>
                <w:rFonts w:ascii="Arial" w:hAnsi="Arial" w:cs="Arial" w:eastAsia="Arial" w:hint="default"/>
                <w:sz w:val="22"/>
                <w:szCs w:val="22"/>
              </w:rPr>
            </w:pPr>
            <w:r>
              <w:rPr>
                <w:rFonts w:ascii="Arial"/>
                <w:sz w:val="22"/>
              </w:rPr>
              <w:t>1,248,750,435</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Arial" w:hAnsi="Arial" w:cs="Arial" w:eastAsia="Arial" w:hint="default"/>
                <w:sz w:val="22"/>
                <w:szCs w:val="22"/>
              </w:rPr>
            </w:pPr>
            <w:r>
              <w:rPr>
                <w:rFonts w:ascii="Arial"/>
                <w:spacing w:val="-1"/>
                <w:sz w:val="22"/>
              </w:rPr>
              <w:t>1,106,731,975</w:t>
            </w:r>
          </w:p>
        </w:tc>
        <w:tc>
          <w:tcPr>
            <w:tcW w:w="56" w:type="dxa"/>
            <w:tcBorders>
              <w:top w:val="nil" w:sz="6" w:space="0" w:color="auto"/>
              <w:left w:val="nil" w:sz="6" w:space="0" w:color="auto"/>
              <w:bottom w:val="nil" w:sz="6" w:space="0" w:color="auto"/>
              <w:right w:val="nil" w:sz="6" w:space="0" w:color="auto"/>
            </w:tcBorders>
          </w:tcPr>
          <w:p>
            <w:pPr/>
          </w:p>
        </w:tc>
      </w:tr>
      <w:tr>
        <w:trPr>
          <w:trHeight w:val="28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39" w:lineRule="exact"/>
              <w:ind w:left="483" w:right="0"/>
              <w:jc w:val="left"/>
              <w:rPr>
                <w:rFonts w:ascii="宋体" w:hAnsi="宋体" w:cs="宋体" w:eastAsia="宋体" w:hint="default"/>
                <w:sz w:val="22"/>
                <w:szCs w:val="22"/>
              </w:rPr>
            </w:pPr>
            <w:r>
              <w:rPr>
                <w:rFonts w:ascii="宋体" w:hAnsi="宋体" w:cs="宋体" w:eastAsia="宋体" w:hint="default"/>
                <w:sz w:val="22"/>
                <w:szCs w:val="22"/>
              </w:rPr>
              <w:t>联通红筹公司之公众股东</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09" w:right="0"/>
              <w:jc w:val="left"/>
              <w:rPr>
                <w:rFonts w:ascii="Arial" w:hAnsi="Arial" w:cs="Arial" w:eastAsia="Arial" w:hint="default"/>
                <w:sz w:val="22"/>
                <w:szCs w:val="22"/>
              </w:rPr>
            </w:pPr>
            <w:r>
              <w:rPr>
                <w:rFonts w:ascii="Arial"/>
                <w:sz w:val="22"/>
              </w:rPr>
              <w:t>1,216,761,853</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Arial" w:hAnsi="Arial" w:cs="Arial" w:eastAsia="Arial" w:hint="default"/>
                <w:sz w:val="22"/>
                <w:szCs w:val="22"/>
              </w:rPr>
            </w:pPr>
            <w:r>
              <w:rPr>
                <w:rFonts w:ascii="Arial"/>
                <w:spacing w:val="-1"/>
                <w:sz w:val="22"/>
              </w:rPr>
              <w:t>1,078,383,759</w:t>
            </w:r>
          </w:p>
        </w:tc>
        <w:tc>
          <w:tcPr>
            <w:tcW w:w="56" w:type="dxa"/>
            <w:tcBorders>
              <w:top w:val="nil" w:sz="6" w:space="0" w:color="auto"/>
              <w:left w:val="nil" w:sz="6" w:space="0" w:color="auto"/>
              <w:bottom w:val="nil" w:sz="6" w:space="0" w:color="auto"/>
              <w:right w:val="nil" w:sz="6" w:space="0" w:color="auto"/>
            </w:tcBorders>
          </w:tcPr>
          <w:p>
            <w:pPr/>
          </w:p>
        </w:tc>
      </w:tr>
      <w:tr>
        <w:trPr>
          <w:trHeight w:val="419"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39" w:lineRule="exact"/>
              <w:ind w:left="48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70" w:type="dxa"/>
            <w:tcBorders>
              <w:top w:val="nil" w:sz="6" w:space="0" w:color="auto"/>
              <w:left w:val="nil" w:sz="6" w:space="0" w:color="auto"/>
              <w:bottom w:val="nil" w:sz="6" w:space="0" w:color="auto"/>
              <w:right w:val="nil" w:sz="6" w:space="0" w:color="auto"/>
            </w:tcBorders>
          </w:tcPr>
          <w:p>
            <w:pPr>
              <w:pStyle w:val="TableParagraph"/>
              <w:tabs>
                <w:tab w:pos="2027" w:val="left" w:leader="none"/>
              </w:tabs>
              <w:spacing w:line="240" w:lineRule="auto" w:before="17"/>
              <w:ind w:right="6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(19,117)</w:t>
            </w:r>
            <w:r>
              <w:rPr>
                <w:rFonts w:ascii="Arial"/>
                <w:w w:val="95"/>
                <w:sz w:val="22"/>
              </w:rPr>
            </w:r>
            <w:r>
              <w:rPr>
                <w:rFonts w:ascii="Arial"/>
                <w:sz w:val="22"/>
              </w:rPr>
            </w:r>
          </w:p>
        </w:tc>
        <w:tc>
          <w:tcPr>
            <w:tcW w:w="56" w:type="dxa"/>
            <w:tcBorders>
              <w:top w:val="nil" w:sz="6" w:space="0" w:color="auto"/>
              <w:left w:val="nil" w:sz="6" w:space="0" w:color="auto"/>
              <w:bottom w:val="nil" w:sz="6" w:space="0" w:color="auto"/>
              <w:right w:val="nil" w:sz="6" w:space="0" w:color="auto"/>
            </w:tcBorders>
          </w:tcPr>
          <w:p>
            <w:pPr/>
          </w:p>
        </w:tc>
      </w:tr>
      <w:tr>
        <w:trPr>
          <w:trHeight w:val="431"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8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7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709" w:right="0"/>
              <w:jc w:val="left"/>
              <w:rPr>
                <w:rFonts w:ascii="Arial" w:hAnsi="Arial" w:cs="Arial" w:eastAsia="Arial" w:hint="default"/>
                <w:sz w:val="22"/>
                <w:szCs w:val="22"/>
              </w:rPr>
            </w:pPr>
            <w:r>
              <w:rPr>
                <w:rFonts w:ascii="Arial"/>
                <w:sz w:val="22"/>
              </w:rPr>
              <w:t>2,775,719,646</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71"/>
              <w:jc w:val="right"/>
              <w:rPr>
                <w:rFonts w:ascii="Arial" w:hAnsi="Arial" w:cs="Arial" w:eastAsia="Arial" w:hint="default"/>
                <w:sz w:val="22"/>
                <w:szCs w:val="22"/>
              </w:rPr>
            </w:pPr>
            <w:r>
              <w:rPr>
                <w:rFonts w:ascii="Arial"/>
                <w:spacing w:val="-1"/>
                <w:sz w:val="22"/>
              </w:rPr>
              <w:t>2,457,125,904</w:t>
            </w:r>
          </w:p>
        </w:tc>
        <w:tc>
          <w:tcPr>
            <w:tcW w:w="56" w:type="dxa"/>
            <w:tcBorders>
              <w:top w:val="nil" w:sz="6" w:space="0" w:color="auto"/>
              <w:left w:val="nil" w:sz="6" w:space="0" w:color="auto"/>
              <w:bottom w:val="single" w:sz="17" w:space="0" w:color="000000"/>
              <w:right w:val="nil" w:sz="6" w:space="0" w:color="auto"/>
            </w:tcBorders>
          </w:tcPr>
          <w:p>
            <w:pPr/>
          </w:p>
        </w:tc>
      </w:tr>
      <w:tr>
        <w:trPr>
          <w:trHeight w:val="621"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35" w:right="0"/>
              <w:jc w:val="left"/>
              <w:rPr>
                <w:rFonts w:ascii="宋体" w:hAnsi="宋体" w:cs="宋体" w:eastAsia="宋体" w:hint="default"/>
                <w:sz w:val="22"/>
                <w:szCs w:val="22"/>
              </w:rPr>
            </w:pPr>
            <w:r>
              <w:rPr>
                <w:rFonts w:ascii="Arial" w:hAnsi="Arial" w:cs="Arial" w:eastAsia="Arial" w:hint="default"/>
                <w:sz w:val="22"/>
                <w:szCs w:val="22"/>
              </w:rPr>
              <w:t>35</w:t>
            </w:r>
            <w:r>
              <w:rPr>
                <w:rFonts w:ascii="宋体" w:hAnsi="宋体" w:cs="宋体" w:eastAsia="宋体" w:hint="default"/>
                <w:sz w:val="22"/>
                <w:szCs w:val="22"/>
              </w:rPr>
              <w:t>、营业收入和营业成本</w:t>
            </w:r>
          </w:p>
        </w:tc>
        <w:tc>
          <w:tcPr>
            <w:tcW w:w="2270" w:type="dxa"/>
            <w:tcBorders>
              <w:top w:val="single" w:sz="17" w:space="0" w:color="000000"/>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single" w:sz="17" w:space="0" w:color="000000"/>
              <w:left w:val="nil" w:sz="6" w:space="0" w:color="auto"/>
              <w:bottom w:val="nil" w:sz="6" w:space="0" w:color="auto"/>
              <w:right w:val="nil" w:sz="6" w:space="0" w:color="auto"/>
            </w:tcBorders>
          </w:tcPr>
          <w:p>
            <w:pPr/>
          </w:p>
        </w:tc>
        <w:tc>
          <w:tcPr>
            <w:tcW w:w="56" w:type="dxa"/>
            <w:tcBorders>
              <w:top w:val="single" w:sz="17" w:space="0" w:color="000000"/>
              <w:left w:val="nil" w:sz="6" w:space="0" w:color="auto"/>
              <w:bottom w:val="nil" w:sz="6" w:space="0" w:color="auto"/>
              <w:right w:val="nil" w:sz="6" w:space="0" w:color="auto"/>
            </w:tcBorders>
          </w:tcPr>
          <w:p>
            <w:pPr/>
          </w:p>
        </w:tc>
      </w:tr>
      <w:tr>
        <w:trPr>
          <w:trHeight w:val="392" w:hRule="exact"/>
        </w:trPr>
        <w:tc>
          <w:tcPr>
            <w:tcW w:w="4819"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left="1107"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right="147"/>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56" w:type="dxa"/>
            <w:tcBorders>
              <w:top w:val="nil" w:sz="6" w:space="0" w:color="auto"/>
              <w:left w:val="nil" w:sz="6" w:space="0" w:color="auto"/>
              <w:bottom w:val="nil" w:sz="6" w:space="0" w:color="auto"/>
              <w:right w:val="nil" w:sz="6" w:space="0" w:color="auto"/>
            </w:tcBorders>
          </w:tcPr>
          <w:p>
            <w:pPr/>
          </w:p>
        </w:tc>
      </w:tr>
      <w:tr>
        <w:trPr>
          <w:trHeight w:val="337" w:hRule="exact"/>
        </w:trPr>
        <w:tc>
          <w:tcPr>
            <w:tcW w:w="4819" w:type="dxa"/>
            <w:tcBorders>
              <w:top w:val="nil" w:sz="6" w:space="0" w:color="auto"/>
              <w:left w:val="nil" w:sz="6" w:space="0" w:color="auto"/>
              <w:bottom w:val="nil" w:sz="6" w:space="0" w:color="auto"/>
              <w:right w:val="nil" w:sz="6" w:space="0" w:color="auto"/>
            </w:tcBorders>
          </w:tcPr>
          <w:p>
            <w:pPr/>
          </w:p>
        </w:tc>
        <w:tc>
          <w:tcPr>
            <w:tcW w:w="2270" w:type="dxa"/>
            <w:tcBorders>
              <w:top w:val="single" w:sz="6" w:space="0" w:color="000000"/>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single" w:sz="6" w:space="0" w:color="000000"/>
              <w:left w:val="nil" w:sz="6" w:space="0" w:color="auto"/>
              <w:bottom w:val="nil" w:sz="6" w:space="0" w:color="auto"/>
              <w:right w:val="nil" w:sz="6" w:space="0" w:color="auto"/>
            </w:tcBorders>
          </w:tcPr>
          <w:p>
            <w:pPr>
              <w:pStyle w:val="TableParagraph"/>
              <w:spacing w:line="282" w:lineRule="exact"/>
              <w:ind w:right="153"/>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c>
          <w:tcPr>
            <w:tcW w:w="56" w:type="dxa"/>
            <w:tcBorders>
              <w:top w:val="nil" w:sz="6" w:space="0" w:color="auto"/>
              <w:left w:val="nil" w:sz="6" w:space="0" w:color="auto"/>
              <w:bottom w:val="nil" w:sz="6" w:space="0" w:color="auto"/>
              <w:right w:val="nil" w:sz="6" w:space="0" w:color="auto"/>
            </w:tcBorders>
          </w:tcPr>
          <w:p>
            <w:pPr/>
          </w:p>
        </w:tc>
      </w:tr>
      <w:tr>
        <w:trPr>
          <w:trHeight w:val="31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68" w:lineRule="exact"/>
              <w:ind w:left="477"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270"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r>
      <w:tr>
        <w:trPr>
          <w:trHeight w:val="328"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67" w:lineRule="exact"/>
              <w:ind w:left="477" w:right="0"/>
              <w:jc w:val="left"/>
              <w:rPr>
                <w:rFonts w:ascii="宋体" w:hAnsi="宋体" w:cs="宋体" w:eastAsia="宋体" w:hint="default"/>
                <w:sz w:val="22"/>
                <w:szCs w:val="22"/>
              </w:rPr>
            </w:pPr>
            <w:r>
              <w:rPr>
                <w:rFonts w:ascii="宋体" w:hAnsi="宋体" w:cs="宋体" w:eastAsia="宋体" w:hint="default"/>
                <w:sz w:val="22"/>
                <w:szCs w:val="22"/>
              </w:rPr>
              <w:t>通话及月租费收入</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00" w:right="0"/>
              <w:jc w:val="left"/>
              <w:rPr>
                <w:rFonts w:ascii="Arial" w:hAnsi="Arial" w:cs="Arial" w:eastAsia="Arial" w:hint="default"/>
                <w:sz w:val="22"/>
                <w:szCs w:val="22"/>
              </w:rPr>
            </w:pPr>
            <w:r>
              <w:rPr>
                <w:rFonts w:ascii="Arial"/>
                <w:sz w:val="22"/>
              </w:rPr>
              <w:t>80,780,180,262</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34"/>
              <w:jc w:val="right"/>
              <w:rPr>
                <w:rFonts w:ascii="Arial" w:hAnsi="Arial" w:cs="Arial" w:eastAsia="Arial" w:hint="default"/>
                <w:sz w:val="22"/>
                <w:szCs w:val="22"/>
              </w:rPr>
            </w:pPr>
            <w:r>
              <w:rPr>
                <w:rFonts w:ascii="Arial"/>
                <w:spacing w:val="-1"/>
                <w:sz w:val="22"/>
              </w:rPr>
              <w:t>77,767,374,729</w:t>
            </w:r>
          </w:p>
        </w:tc>
        <w:tc>
          <w:tcPr>
            <w:tcW w:w="56" w:type="dxa"/>
            <w:tcBorders>
              <w:top w:val="nil" w:sz="6" w:space="0" w:color="auto"/>
              <w:left w:val="nil" w:sz="6" w:space="0" w:color="auto"/>
              <w:bottom w:val="nil" w:sz="6" w:space="0" w:color="auto"/>
              <w:right w:val="nil" w:sz="6" w:space="0" w:color="auto"/>
            </w:tcBorders>
          </w:tcPr>
          <w:p>
            <w:pPr/>
          </w:p>
        </w:tc>
      </w:tr>
      <w:tr>
        <w:trPr>
          <w:trHeight w:val="31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4" w:lineRule="exact"/>
              <w:ind w:left="477" w:right="0"/>
              <w:jc w:val="left"/>
              <w:rPr>
                <w:rFonts w:ascii="宋体" w:hAnsi="宋体" w:cs="宋体" w:eastAsia="宋体" w:hint="default"/>
                <w:sz w:val="22"/>
                <w:szCs w:val="22"/>
              </w:rPr>
            </w:pPr>
            <w:r>
              <w:rPr>
                <w:rFonts w:ascii="宋体" w:hAnsi="宋体" w:cs="宋体" w:eastAsia="宋体" w:hint="default"/>
                <w:sz w:val="22"/>
                <w:szCs w:val="22"/>
              </w:rPr>
              <w:t>增值业务收入</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00" w:right="0"/>
              <w:jc w:val="left"/>
              <w:rPr>
                <w:rFonts w:ascii="Arial" w:hAnsi="Arial" w:cs="Arial" w:eastAsia="Arial" w:hint="default"/>
                <w:sz w:val="22"/>
                <w:szCs w:val="22"/>
              </w:rPr>
            </w:pPr>
            <w:r>
              <w:rPr>
                <w:rFonts w:ascii="Arial"/>
                <w:sz w:val="22"/>
              </w:rPr>
              <w:t>43,788,159,009</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Arial" w:hAnsi="Arial" w:cs="Arial" w:eastAsia="Arial" w:hint="default"/>
                <w:sz w:val="22"/>
                <w:szCs w:val="22"/>
              </w:rPr>
            </w:pPr>
            <w:r>
              <w:rPr>
                <w:rFonts w:ascii="Arial"/>
                <w:spacing w:val="-1"/>
                <w:sz w:val="22"/>
              </w:rPr>
              <w:t>31,621,888,088</w:t>
            </w:r>
          </w:p>
        </w:tc>
        <w:tc>
          <w:tcPr>
            <w:tcW w:w="56" w:type="dxa"/>
            <w:tcBorders>
              <w:top w:val="nil" w:sz="6" w:space="0" w:color="auto"/>
              <w:left w:val="nil" w:sz="6" w:space="0" w:color="auto"/>
              <w:bottom w:val="nil" w:sz="6" w:space="0" w:color="auto"/>
              <w:right w:val="nil" w:sz="6" w:space="0" w:color="auto"/>
            </w:tcBorders>
          </w:tcPr>
          <w:p>
            <w:pPr/>
          </w:p>
        </w:tc>
      </w:tr>
      <w:tr>
        <w:trPr>
          <w:trHeight w:val="31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4" w:lineRule="exact"/>
              <w:ind w:left="477" w:right="0"/>
              <w:jc w:val="left"/>
              <w:rPr>
                <w:rFonts w:ascii="宋体" w:hAnsi="宋体" w:cs="宋体" w:eastAsia="宋体" w:hint="default"/>
                <w:sz w:val="22"/>
                <w:szCs w:val="22"/>
              </w:rPr>
            </w:pPr>
            <w:r>
              <w:rPr>
                <w:rFonts w:ascii="宋体" w:hAnsi="宋体" w:cs="宋体" w:eastAsia="宋体" w:hint="default"/>
                <w:sz w:val="22"/>
                <w:szCs w:val="22"/>
              </w:rPr>
              <w:t>宽带、数据及互联网收入</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00" w:right="0"/>
              <w:jc w:val="left"/>
              <w:rPr>
                <w:rFonts w:ascii="Arial" w:hAnsi="Arial" w:cs="Arial" w:eastAsia="Arial" w:hint="default"/>
                <w:sz w:val="22"/>
                <w:szCs w:val="22"/>
              </w:rPr>
            </w:pPr>
            <w:r>
              <w:rPr>
                <w:rFonts w:ascii="Arial"/>
                <w:sz w:val="22"/>
              </w:rPr>
              <w:t>39,812,179,895</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Arial" w:hAnsi="Arial" w:cs="Arial" w:eastAsia="Arial" w:hint="default"/>
                <w:sz w:val="22"/>
                <w:szCs w:val="22"/>
              </w:rPr>
            </w:pPr>
            <w:r>
              <w:rPr>
                <w:rFonts w:ascii="Arial"/>
                <w:spacing w:val="-1"/>
                <w:sz w:val="22"/>
              </w:rPr>
              <w:t>33,579,997,899</w:t>
            </w:r>
          </w:p>
        </w:tc>
        <w:tc>
          <w:tcPr>
            <w:tcW w:w="56" w:type="dxa"/>
            <w:tcBorders>
              <w:top w:val="nil" w:sz="6" w:space="0" w:color="auto"/>
              <w:left w:val="nil" w:sz="6" w:space="0" w:color="auto"/>
              <w:bottom w:val="nil" w:sz="6" w:space="0" w:color="auto"/>
              <w:right w:val="nil" w:sz="6" w:space="0" w:color="auto"/>
            </w:tcBorders>
          </w:tcPr>
          <w:p>
            <w:pPr/>
          </w:p>
        </w:tc>
      </w:tr>
      <w:tr>
        <w:trPr>
          <w:trHeight w:val="31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4" w:lineRule="exact"/>
              <w:ind w:left="477" w:right="0"/>
              <w:jc w:val="left"/>
              <w:rPr>
                <w:rFonts w:ascii="宋体" w:hAnsi="宋体" w:cs="宋体" w:eastAsia="宋体" w:hint="default"/>
                <w:sz w:val="22"/>
                <w:szCs w:val="22"/>
              </w:rPr>
            </w:pPr>
            <w:r>
              <w:rPr>
                <w:rFonts w:ascii="宋体" w:hAnsi="宋体" w:cs="宋体" w:eastAsia="宋体" w:hint="default"/>
                <w:sz w:val="22"/>
                <w:szCs w:val="22"/>
              </w:rPr>
              <w:t>网间结算收入</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00" w:right="0"/>
              <w:jc w:val="left"/>
              <w:rPr>
                <w:rFonts w:ascii="Arial" w:hAnsi="Arial" w:cs="Arial" w:eastAsia="Arial" w:hint="default"/>
                <w:sz w:val="22"/>
                <w:szCs w:val="22"/>
              </w:rPr>
            </w:pPr>
            <w:r>
              <w:rPr>
                <w:rFonts w:ascii="Arial"/>
                <w:sz w:val="22"/>
              </w:rPr>
              <w:t>15,713,617,408</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Arial" w:hAnsi="Arial" w:cs="Arial" w:eastAsia="Arial" w:hint="default"/>
                <w:sz w:val="22"/>
                <w:szCs w:val="22"/>
              </w:rPr>
            </w:pPr>
            <w:r>
              <w:rPr>
                <w:rFonts w:ascii="Arial"/>
                <w:spacing w:val="-1"/>
                <w:sz w:val="22"/>
              </w:rPr>
              <w:t>15,066,827,707</w:t>
            </w:r>
          </w:p>
        </w:tc>
        <w:tc>
          <w:tcPr>
            <w:tcW w:w="56" w:type="dxa"/>
            <w:tcBorders>
              <w:top w:val="nil" w:sz="6" w:space="0" w:color="auto"/>
              <w:left w:val="nil" w:sz="6" w:space="0" w:color="auto"/>
              <w:bottom w:val="nil" w:sz="6" w:space="0" w:color="auto"/>
              <w:right w:val="nil" w:sz="6" w:space="0" w:color="auto"/>
            </w:tcBorders>
          </w:tcPr>
          <w:p>
            <w:pPr/>
          </w:p>
        </w:tc>
      </w:tr>
      <w:tr>
        <w:trPr>
          <w:trHeight w:val="31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4" w:lineRule="exact"/>
              <w:ind w:left="477" w:right="0"/>
              <w:jc w:val="left"/>
              <w:rPr>
                <w:rFonts w:ascii="宋体" w:hAnsi="宋体" w:cs="宋体" w:eastAsia="宋体" w:hint="default"/>
                <w:sz w:val="22"/>
                <w:szCs w:val="22"/>
              </w:rPr>
            </w:pPr>
            <w:r>
              <w:rPr>
                <w:rFonts w:ascii="宋体" w:hAnsi="宋体" w:cs="宋体" w:eastAsia="宋体" w:hint="default"/>
                <w:sz w:val="22"/>
                <w:szCs w:val="22"/>
              </w:rPr>
              <w:t>电路及网元租赁收入</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22" w:right="0"/>
              <w:jc w:val="left"/>
              <w:rPr>
                <w:rFonts w:ascii="Arial" w:hAnsi="Arial" w:cs="Arial" w:eastAsia="Arial" w:hint="default"/>
                <w:sz w:val="22"/>
                <w:szCs w:val="22"/>
              </w:rPr>
            </w:pPr>
            <w:r>
              <w:rPr>
                <w:rFonts w:ascii="Arial"/>
                <w:sz w:val="22"/>
              </w:rPr>
              <w:t>7,308,923,444</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Arial" w:hAnsi="Arial" w:cs="Arial" w:eastAsia="Arial" w:hint="default"/>
                <w:sz w:val="22"/>
                <w:szCs w:val="22"/>
              </w:rPr>
            </w:pPr>
            <w:r>
              <w:rPr>
                <w:rFonts w:ascii="Arial"/>
                <w:spacing w:val="-1"/>
                <w:sz w:val="22"/>
              </w:rPr>
              <w:t>6,191,073,662</w:t>
            </w:r>
          </w:p>
        </w:tc>
        <w:tc>
          <w:tcPr>
            <w:tcW w:w="56" w:type="dxa"/>
            <w:tcBorders>
              <w:top w:val="nil" w:sz="6" w:space="0" w:color="auto"/>
              <w:left w:val="nil" w:sz="6" w:space="0" w:color="auto"/>
              <w:bottom w:val="nil" w:sz="6" w:space="0" w:color="auto"/>
              <w:right w:val="nil" w:sz="6" w:space="0" w:color="auto"/>
            </w:tcBorders>
          </w:tcPr>
          <w:p>
            <w:pPr/>
          </w:p>
        </w:tc>
      </w:tr>
      <w:tr>
        <w:trPr>
          <w:trHeight w:val="31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4" w:lineRule="exact"/>
              <w:ind w:right="593"/>
              <w:jc w:val="right"/>
              <w:rPr>
                <w:rFonts w:ascii="宋体" w:hAnsi="宋体" w:cs="宋体" w:eastAsia="宋体" w:hint="default"/>
                <w:sz w:val="22"/>
                <w:szCs w:val="22"/>
              </w:rPr>
            </w:pPr>
            <w:r>
              <w:rPr>
                <w:rFonts w:ascii="宋体" w:hAnsi="宋体" w:cs="宋体" w:eastAsia="宋体" w:hint="default"/>
                <w:w w:val="95"/>
                <w:sz w:val="22"/>
                <w:szCs w:val="22"/>
              </w:rPr>
              <w:t>装移机收入及一次性不退还收入的摊销</w:t>
            </w:r>
            <w:r>
              <w:rPr>
                <w:rFonts w:ascii="宋体" w:hAnsi="宋体" w:cs="宋体" w:eastAsia="宋体" w:hint="default"/>
                <w:sz w:val="22"/>
                <w:szCs w:val="22"/>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22" w:right="0"/>
              <w:jc w:val="left"/>
              <w:rPr>
                <w:rFonts w:ascii="Arial" w:hAnsi="Arial" w:cs="Arial" w:eastAsia="Arial" w:hint="default"/>
                <w:sz w:val="22"/>
                <w:szCs w:val="22"/>
              </w:rPr>
            </w:pPr>
            <w:r>
              <w:rPr>
                <w:rFonts w:ascii="Arial"/>
                <w:sz w:val="22"/>
              </w:rPr>
              <w:t>1,030,809,931</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Arial" w:hAnsi="Arial" w:cs="Arial" w:eastAsia="Arial" w:hint="default"/>
                <w:sz w:val="22"/>
                <w:szCs w:val="22"/>
              </w:rPr>
            </w:pPr>
            <w:r>
              <w:rPr>
                <w:rFonts w:ascii="Arial"/>
                <w:spacing w:val="-1"/>
                <w:sz w:val="22"/>
              </w:rPr>
              <w:t>1,244,804,260</w:t>
            </w:r>
          </w:p>
        </w:tc>
        <w:tc>
          <w:tcPr>
            <w:tcW w:w="56" w:type="dxa"/>
            <w:tcBorders>
              <w:top w:val="nil" w:sz="6" w:space="0" w:color="auto"/>
              <w:left w:val="nil" w:sz="6" w:space="0" w:color="auto"/>
              <w:bottom w:val="nil" w:sz="6" w:space="0" w:color="auto"/>
              <w:right w:val="nil" w:sz="6" w:space="0" w:color="auto"/>
            </w:tcBorders>
          </w:tcPr>
          <w:p>
            <w:pPr/>
          </w:p>
        </w:tc>
      </w:tr>
      <w:tr>
        <w:trPr>
          <w:trHeight w:val="31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4" w:lineRule="exact"/>
              <w:ind w:right="599"/>
              <w:jc w:val="right"/>
              <w:rPr>
                <w:rFonts w:ascii="宋体" w:hAnsi="宋体" w:cs="宋体" w:eastAsia="宋体" w:hint="default"/>
                <w:sz w:val="22"/>
                <w:szCs w:val="22"/>
              </w:rPr>
            </w:pPr>
            <w:r>
              <w:rPr>
                <w:rFonts w:ascii="宋体" w:hAnsi="宋体" w:cs="宋体" w:eastAsia="宋体" w:hint="default"/>
                <w:w w:val="95"/>
                <w:sz w:val="22"/>
                <w:szCs w:val="22"/>
              </w:rPr>
              <w:t>信息与通信技术服务及设计服务收入等</w:t>
            </w:r>
            <w:r>
              <w:rPr>
                <w:rFonts w:ascii="宋体" w:hAnsi="宋体" w:cs="宋体" w:eastAsia="宋体" w:hint="default"/>
                <w:sz w:val="22"/>
                <w:szCs w:val="22"/>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22" w:right="0"/>
              <w:jc w:val="left"/>
              <w:rPr>
                <w:rFonts w:ascii="Arial" w:hAnsi="Arial" w:cs="Arial" w:eastAsia="Arial" w:hint="default"/>
                <w:sz w:val="22"/>
                <w:szCs w:val="22"/>
              </w:rPr>
            </w:pPr>
            <w:r>
              <w:rPr>
                <w:rFonts w:ascii="Arial"/>
                <w:sz w:val="22"/>
              </w:rPr>
              <w:t>2,757,564,115</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Arial" w:hAnsi="Arial" w:cs="Arial" w:eastAsia="Arial" w:hint="default"/>
                <w:sz w:val="22"/>
                <w:szCs w:val="22"/>
              </w:rPr>
            </w:pPr>
            <w:r>
              <w:rPr>
                <w:rFonts w:ascii="Arial"/>
                <w:spacing w:val="-1"/>
                <w:sz w:val="22"/>
              </w:rPr>
              <w:t>2,175,793,818</w:t>
            </w:r>
          </w:p>
        </w:tc>
        <w:tc>
          <w:tcPr>
            <w:tcW w:w="56" w:type="dxa"/>
            <w:tcBorders>
              <w:top w:val="nil" w:sz="6" w:space="0" w:color="auto"/>
              <w:left w:val="nil" w:sz="6" w:space="0" w:color="auto"/>
              <w:bottom w:val="nil" w:sz="6" w:space="0" w:color="auto"/>
              <w:right w:val="nil" w:sz="6" w:space="0" w:color="auto"/>
            </w:tcBorders>
          </w:tcPr>
          <w:p>
            <w:pPr/>
          </w:p>
        </w:tc>
      </w:tr>
      <w:tr>
        <w:trPr>
          <w:trHeight w:val="31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4" w:lineRule="exact"/>
              <w:ind w:left="477" w:right="0"/>
              <w:jc w:val="left"/>
              <w:rPr>
                <w:rFonts w:ascii="宋体" w:hAnsi="宋体" w:cs="宋体" w:eastAsia="宋体" w:hint="default"/>
                <w:sz w:val="22"/>
                <w:szCs w:val="22"/>
              </w:rPr>
            </w:pPr>
            <w:r>
              <w:rPr>
                <w:rFonts w:ascii="宋体" w:hAnsi="宋体" w:cs="宋体" w:eastAsia="宋体" w:hint="default"/>
                <w:sz w:val="22"/>
                <w:szCs w:val="22"/>
              </w:rPr>
              <w:t>初装费收入</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27" w:right="0"/>
              <w:jc w:val="left"/>
              <w:rPr>
                <w:rFonts w:ascii="Arial" w:hAnsi="Arial" w:cs="Arial" w:eastAsia="Arial" w:hint="default"/>
                <w:sz w:val="22"/>
                <w:szCs w:val="22"/>
              </w:rPr>
            </w:pPr>
            <w:r>
              <w:rPr>
                <w:rFonts w:ascii="Arial"/>
                <w:sz w:val="22"/>
              </w:rPr>
              <w:t>15,336,010</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3"/>
              <w:jc w:val="right"/>
              <w:rPr>
                <w:rFonts w:ascii="Arial" w:hAnsi="Arial" w:cs="Arial" w:eastAsia="Arial" w:hint="default"/>
                <w:sz w:val="22"/>
                <w:szCs w:val="22"/>
              </w:rPr>
            </w:pPr>
            <w:r>
              <w:rPr>
                <w:rFonts w:ascii="Arial"/>
                <w:w w:val="95"/>
                <w:sz w:val="22"/>
              </w:rPr>
              <w:t>192,419,908</w:t>
            </w:r>
            <w:r>
              <w:rPr>
                <w:rFonts w:ascii="Arial"/>
                <w:sz w:val="22"/>
              </w:rPr>
            </w:r>
          </w:p>
        </w:tc>
        <w:tc>
          <w:tcPr>
            <w:tcW w:w="56" w:type="dxa"/>
            <w:tcBorders>
              <w:top w:val="nil" w:sz="6" w:space="0" w:color="auto"/>
              <w:left w:val="nil" w:sz="6" w:space="0" w:color="auto"/>
              <w:bottom w:val="nil" w:sz="6" w:space="0" w:color="auto"/>
              <w:right w:val="nil" w:sz="6" w:space="0" w:color="auto"/>
            </w:tcBorders>
          </w:tcPr>
          <w:p>
            <w:pPr/>
          </w:p>
        </w:tc>
      </w:tr>
      <w:tr>
        <w:trPr>
          <w:trHeight w:val="308"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4" w:lineRule="exact"/>
              <w:ind w:left="477"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70" w:type="dxa"/>
            <w:tcBorders>
              <w:top w:val="nil" w:sz="6" w:space="0" w:color="auto"/>
              <w:left w:val="nil" w:sz="6" w:space="0" w:color="auto"/>
              <w:bottom w:val="nil" w:sz="6" w:space="0" w:color="auto"/>
              <w:right w:val="nil" w:sz="6" w:space="0" w:color="auto"/>
            </w:tcBorders>
          </w:tcPr>
          <w:p>
            <w:pPr>
              <w:pStyle w:val="TableParagraph"/>
              <w:tabs>
                <w:tab w:pos="802" w:val="left" w:leader="none"/>
                <w:tab w:pos="2197" w:val="left" w:leader="none"/>
              </w:tabs>
              <w:spacing w:line="240" w:lineRule="auto" w:before="32"/>
              <w:ind w:right="6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564,425,718</w:t>
            </w:r>
            <w:r>
              <w:rPr>
                <w:rFonts w:ascii="Arial"/>
                <w:sz w:val="22"/>
                <w:u w:val="single" w:color="000000"/>
              </w:rPr>
              <w:tab/>
            </w:r>
            <w:r>
              <w:rPr>
                <w:rFonts w:ascii="Arial"/>
                <w:sz w:val="22"/>
              </w:rPr>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tabs>
                <w:tab w:pos="825" w:val="left" w:leader="none"/>
                <w:tab w:pos="2137" w:val="left" w:leader="none"/>
              </w:tabs>
              <w:spacing w:line="240" w:lineRule="auto" w:before="32"/>
              <w:ind w:right="4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942,025,356</w:t>
            </w:r>
            <w:r>
              <w:rPr>
                <w:rFonts w:ascii="Arial"/>
                <w:sz w:val="22"/>
                <w:u w:val="single" w:color="000000"/>
              </w:rPr>
              <w:tab/>
            </w:r>
            <w:r>
              <w:rPr>
                <w:rFonts w:ascii="Arial"/>
                <w:sz w:val="22"/>
              </w:rPr>
            </w:r>
          </w:p>
        </w:tc>
        <w:tc>
          <w:tcPr>
            <w:tcW w:w="56" w:type="dxa"/>
            <w:tcBorders>
              <w:top w:val="nil" w:sz="6" w:space="0" w:color="auto"/>
              <w:left w:val="nil" w:sz="6" w:space="0" w:color="auto"/>
              <w:bottom w:val="nil" w:sz="6" w:space="0" w:color="auto"/>
              <w:right w:val="nil" w:sz="6" w:space="0" w:color="auto"/>
            </w:tcBorders>
          </w:tcPr>
          <w:p>
            <w:pPr/>
          </w:p>
        </w:tc>
      </w:tr>
      <w:tr>
        <w:trPr>
          <w:trHeight w:val="419"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7" w:lineRule="exact"/>
              <w:ind w:left="477"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7" w:right="0"/>
              <w:jc w:val="left"/>
              <w:rPr>
                <w:rFonts w:ascii="Arial" w:hAnsi="Arial" w:cs="Arial" w:eastAsia="Arial" w:hint="default"/>
                <w:sz w:val="22"/>
                <w:szCs w:val="22"/>
              </w:rPr>
            </w:pPr>
            <w:r>
              <w:rPr>
                <w:rFonts w:ascii="Arial"/>
                <w:sz w:val="22"/>
              </w:rPr>
              <w:t>191,771,195,792</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00" w:right="0"/>
              <w:jc w:val="left"/>
              <w:rPr>
                <w:rFonts w:ascii="Arial" w:hAnsi="Arial" w:cs="Arial" w:eastAsia="Arial" w:hint="default"/>
                <w:sz w:val="22"/>
                <w:szCs w:val="22"/>
              </w:rPr>
            </w:pPr>
            <w:r>
              <w:rPr>
                <w:rFonts w:ascii="Arial"/>
                <w:sz w:val="22"/>
              </w:rPr>
              <w:t>168,782,205,427</w:t>
            </w:r>
          </w:p>
        </w:tc>
        <w:tc>
          <w:tcPr>
            <w:tcW w:w="56" w:type="dxa"/>
            <w:tcBorders>
              <w:top w:val="nil" w:sz="6" w:space="0" w:color="auto"/>
              <w:left w:val="nil" w:sz="6" w:space="0" w:color="auto"/>
              <w:bottom w:val="nil" w:sz="6" w:space="0" w:color="auto"/>
              <w:right w:val="nil" w:sz="6" w:space="0" w:color="auto"/>
            </w:tcBorders>
          </w:tcPr>
          <w:p>
            <w:pPr/>
          </w:p>
        </w:tc>
      </w:tr>
      <w:tr>
        <w:trPr>
          <w:trHeight w:val="398"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77"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270"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r>
      <w:tr>
        <w:trPr>
          <w:trHeight w:val="433"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3" w:lineRule="exact"/>
              <w:ind w:left="477" w:right="0"/>
              <w:jc w:val="left"/>
              <w:rPr>
                <w:rFonts w:ascii="宋体" w:hAnsi="宋体" w:cs="宋体" w:eastAsia="宋体" w:hint="default"/>
                <w:sz w:val="22"/>
                <w:szCs w:val="22"/>
              </w:rPr>
            </w:pPr>
            <w:r>
              <w:rPr>
                <w:rFonts w:ascii="宋体" w:hAnsi="宋体" w:cs="宋体" w:eastAsia="宋体" w:hint="default"/>
                <w:sz w:val="22"/>
                <w:szCs w:val="22"/>
              </w:rPr>
              <w:t>销售通信产品收入</w:t>
            </w:r>
          </w:p>
        </w:tc>
        <w:tc>
          <w:tcPr>
            <w:tcW w:w="2270" w:type="dxa"/>
            <w:tcBorders>
              <w:top w:val="nil" w:sz="6" w:space="0" w:color="auto"/>
              <w:left w:val="nil" w:sz="6" w:space="0" w:color="auto"/>
              <w:bottom w:val="nil" w:sz="6" w:space="0" w:color="auto"/>
              <w:right w:val="nil" w:sz="6" w:space="0" w:color="auto"/>
            </w:tcBorders>
          </w:tcPr>
          <w:p>
            <w:pPr>
              <w:pStyle w:val="TableParagraph"/>
              <w:tabs>
                <w:tab w:pos="496" w:val="left" w:leader="none"/>
                <w:tab w:pos="2197" w:val="left" w:leader="none"/>
              </w:tabs>
              <w:spacing w:line="240" w:lineRule="auto" w:before="31"/>
              <w:ind w:right="6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23,747,315,666</w:t>
              <w:tab/>
            </w:r>
            <w:r>
              <w:rPr>
                <w:rFonts w:ascii="Arial"/>
                <w:spacing w:val="-1"/>
                <w:sz w:val="22"/>
              </w:rPr>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tabs>
                <w:tab w:pos="642" w:val="left" w:leader="none"/>
                <w:tab w:pos="2137" w:val="left" w:leader="none"/>
              </w:tabs>
              <w:spacing w:line="240" w:lineRule="auto" w:before="31"/>
              <w:ind w:right="4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7,461,216,697</w:t>
              <w:tab/>
            </w:r>
            <w:r>
              <w:rPr>
                <w:rFonts w:ascii="Arial"/>
                <w:spacing w:val="-1"/>
                <w:sz w:val="22"/>
              </w:rPr>
            </w:r>
          </w:p>
        </w:tc>
        <w:tc>
          <w:tcPr>
            <w:tcW w:w="56" w:type="dxa"/>
            <w:tcBorders>
              <w:top w:val="nil" w:sz="6" w:space="0" w:color="auto"/>
              <w:left w:val="nil" w:sz="6" w:space="0" w:color="auto"/>
              <w:bottom w:val="nil" w:sz="6" w:space="0" w:color="auto"/>
              <w:right w:val="nil" w:sz="6" w:space="0" w:color="auto"/>
            </w:tcBorders>
          </w:tcPr>
          <w:p>
            <w:pPr/>
          </w:p>
        </w:tc>
      </w:tr>
      <w:tr>
        <w:trPr>
          <w:trHeight w:val="430"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7"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7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377" w:right="0"/>
              <w:jc w:val="left"/>
              <w:rPr>
                <w:rFonts w:ascii="Arial" w:hAnsi="Arial" w:cs="Arial" w:eastAsia="Arial" w:hint="default"/>
                <w:sz w:val="22"/>
                <w:szCs w:val="22"/>
              </w:rPr>
            </w:pPr>
            <w:r>
              <w:rPr>
                <w:rFonts w:ascii="Arial"/>
                <w:sz w:val="22"/>
              </w:rPr>
              <w:t>215,518,511,458</w:t>
            </w:r>
          </w:p>
        </w:tc>
        <w:tc>
          <w:tcPr>
            <w:tcW w:w="164"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01" w:right="0"/>
              <w:jc w:val="left"/>
              <w:rPr>
                <w:rFonts w:ascii="Arial" w:hAnsi="Arial" w:cs="Arial" w:eastAsia="Arial" w:hint="default"/>
                <w:sz w:val="22"/>
                <w:szCs w:val="22"/>
              </w:rPr>
            </w:pPr>
            <w:r>
              <w:rPr>
                <w:rFonts w:ascii="Arial"/>
                <w:sz w:val="22"/>
              </w:rPr>
              <w:t>176,243,422,124</w:t>
            </w:r>
          </w:p>
        </w:tc>
        <w:tc>
          <w:tcPr>
            <w:tcW w:w="56"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21"/>
          <w:pgSz w:w="11900" w:h="16840"/>
          <w:pgMar w:header="1189" w:footer="752" w:top="3040" w:bottom="940" w:left="1240" w:right="940"/>
        </w:sectPr>
      </w:pPr>
    </w:p>
    <w:p>
      <w:pPr>
        <w:spacing w:line="240" w:lineRule="auto" w:before="1"/>
        <w:rPr>
          <w:rFonts w:ascii="Times New Roman" w:hAnsi="Times New Roman" w:cs="Times New Roman" w:eastAsia="Times New Roman" w:hint="default"/>
          <w:sz w:val="18"/>
          <w:szCs w:val="18"/>
        </w:rPr>
      </w:pPr>
    </w:p>
    <w:tbl>
      <w:tblPr>
        <w:tblW w:w="0" w:type="auto"/>
        <w:jc w:val="left"/>
        <w:tblInd w:w="467" w:type="dxa"/>
        <w:tblLayout w:type="fixed"/>
        <w:tblCellMar>
          <w:top w:w="0" w:type="dxa"/>
          <w:left w:w="0" w:type="dxa"/>
          <w:bottom w:w="0" w:type="dxa"/>
          <w:right w:w="0" w:type="dxa"/>
        </w:tblCellMar>
        <w:tblLook w:val="01E0"/>
      </w:tblPr>
      <w:tblGrid>
        <w:gridCol w:w="4409"/>
        <w:gridCol w:w="2212"/>
        <w:gridCol w:w="223"/>
        <w:gridCol w:w="2191"/>
      </w:tblGrid>
      <w:tr>
        <w:trPr>
          <w:trHeight w:val="361" w:hRule="exact"/>
        </w:trPr>
        <w:tc>
          <w:tcPr>
            <w:tcW w:w="4409" w:type="dxa"/>
            <w:vMerge w:val="restart"/>
            <w:tcBorders>
              <w:top w:val="nil" w:sz="6" w:space="0" w:color="auto"/>
              <w:left w:val="nil" w:sz="6" w:space="0" w:color="auto"/>
              <w:right w:val="nil" w:sz="6" w:space="0" w:color="auto"/>
            </w:tcBorders>
          </w:tcPr>
          <w:p>
            <w:pPr/>
          </w:p>
        </w:tc>
        <w:tc>
          <w:tcPr>
            <w:tcW w:w="221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1128"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89"/>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292" w:hRule="exact"/>
        </w:trPr>
        <w:tc>
          <w:tcPr>
            <w:tcW w:w="4409" w:type="dxa"/>
            <w:vMerge/>
            <w:tcBorders>
              <w:left w:val="nil" w:sz="6" w:space="0" w:color="auto"/>
              <w:bottom w:val="nil" w:sz="6" w:space="0" w:color="auto"/>
              <w:right w:val="nil" w:sz="6" w:space="0" w:color="auto"/>
            </w:tcBorders>
          </w:tcPr>
          <w:p>
            <w:pPr/>
          </w:p>
        </w:tc>
        <w:tc>
          <w:tcPr>
            <w:tcW w:w="2212" w:type="dxa"/>
            <w:tcBorders>
              <w:top w:val="single" w:sz="6"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single" w:sz="6" w:space="0" w:color="000000"/>
              <w:left w:val="nil" w:sz="6" w:space="0" w:color="auto"/>
              <w:bottom w:val="nil" w:sz="6" w:space="0" w:color="auto"/>
              <w:right w:val="nil" w:sz="6" w:space="0" w:color="auto"/>
            </w:tcBorders>
          </w:tcPr>
          <w:p>
            <w:pPr>
              <w:pStyle w:val="TableParagraph"/>
              <w:spacing w:line="252" w:lineRule="exact"/>
              <w:ind w:right="90"/>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86"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212"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
        </w:tc>
      </w:tr>
      <w:tr>
        <w:trPr>
          <w:trHeight w:val="299"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38" w:right="0"/>
              <w:jc w:val="left"/>
              <w:rPr>
                <w:rFonts w:ascii="Arial" w:hAnsi="Arial" w:cs="Arial" w:eastAsia="Arial" w:hint="default"/>
                <w:sz w:val="22"/>
                <w:szCs w:val="22"/>
              </w:rPr>
            </w:pPr>
            <w:r>
              <w:rPr>
                <w:rFonts w:ascii="Arial"/>
                <w:sz w:val="22"/>
              </w:rPr>
              <w:t>55,216,165,968</w:t>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2"/>
              <w:jc w:val="right"/>
              <w:rPr>
                <w:rFonts w:ascii="Arial" w:hAnsi="Arial" w:cs="Arial" w:eastAsia="Arial" w:hint="default"/>
                <w:sz w:val="22"/>
                <w:szCs w:val="22"/>
              </w:rPr>
            </w:pPr>
            <w:r>
              <w:rPr>
                <w:rFonts w:ascii="Arial"/>
                <w:spacing w:val="-1"/>
                <w:sz w:val="22"/>
              </w:rPr>
              <w:t>52,337,653,664</w:t>
            </w:r>
          </w:p>
        </w:tc>
      </w:tr>
      <w:tr>
        <w:trPr>
          <w:trHeight w:val="284"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网间结算支出</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38" w:right="0"/>
              <w:jc w:val="left"/>
              <w:rPr>
                <w:rFonts w:ascii="Arial" w:hAnsi="Arial" w:cs="Arial" w:eastAsia="Arial" w:hint="default"/>
                <w:sz w:val="22"/>
                <w:szCs w:val="22"/>
              </w:rPr>
            </w:pPr>
            <w:r>
              <w:rPr>
                <w:rFonts w:ascii="Arial"/>
                <w:sz w:val="22"/>
              </w:rPr>
              <w:t>16,379,830,147</w:t>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2"/>
              <w:jc w:val="right"/>
              <w:rPr>
                <w:rFonts w:ascii="Arial" w:hAnsi="Arial" w:cs="Arial" w:eastAsia="Arial" w:hint="default"/>
                <w:sz w:val="22"/>
                <w:szCs w:val="22"/>
              </w:rPr>
            </w:pPr>
            <w:r>
              <w:rPr>
                <w:rFonts w:ascii="Arial"/>
                <w:spacing w:val="-1"/>
                <w:sz w:val="22"/>
              </w:rPr>
              <w:t>13,727,014,066</w:t>
            </w:r>
          </w:p>
        </w:tc>
      </w:tr>
      <w:tr>
        <w:trPr>
          <w:trHeight w:val="286"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38" w:right="0"/>
              <w:jc w:val="left"/>
              <w:rPr>
                <w:rFonts w:ascii="Arial" w:hAnsi="Arial" w:cs="Arial" w:eastAsia="Arial" w:hint="default"/>
                <w:sz w:val="22"/>
                <w:szCs w:val="22"/>
              </w:rPr>
            </w:pPr>
            <w:r>
              <w:rPr>
                <w:rFonts w:ascii="Arial"/>
                <w:sz w:val="22"/>
              </w:rPr>
              <w:t>18,088,161,851</w:t>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15,796,829,310</w:t>
            </w:r>
          </w:p>
        </w:tc>
      </w:tr>
      <w:tr>
        <w:trPr>
          <w:trHeight w:val="286"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网络运行及支撑成本（注）</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38" w:right="0"/>
              <w:jc w:val="left"/>
              <w:rPr>
                <w:rFonts w:ascii="Arial" w:hAnsi="Arial" w:cs="Arial" w:eastAsia="Arial" w:hint="default"/>
                <w:sz w:val="22"/>
                <w:szCs w:val="22"/>
              </w:rPr>
            </w:pPr>
            <w:r>
              <w:rPr>
                <w:rFonts w:ascii="Arial"/>
                <w:sz w:val="22"/>
              </w:rPr>
              <w:t>29,448,793,410</w:t>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26,387,391,162</w:t>
            </w:r>
          </w:p>
        </w:tc>
      </w:tr>
      <w:tr>
        <w:trPr>
          <w:trHeight w:val="286"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信息与通信技术服务成本</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61" w:right="0"/>
              <w:jc w:val="left"/>
              <w:rPr>
                <w:rFonts w:ascii="Arial" w:hAnsi="Arial" w:cs="Arial" w:eastAsia="Arial" w:hint="default"/>
                <w:sz w:val="22"/>
                <w:szCs w:val="22"/>
              </w:rPr>
            </w:pPr>
            <w:r>
              <w:rPr>
                <w:rFonts w:ascii="Arial"/>
                <w:sz w:val="22"/>
              </w:rPr>
              <w:t>1,409,637,585</w:t>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Arial" w:hAnsi="Arial" w:cs="Arial" w:eastAsia="Arial" w:hint="default"/>
                <w:sz w:val="22"/>
                <w:szCs w:val="22"/>
              </w:rPr>
            </w:pPr>
            <w:r>
              <w:rPr>
                <w:rFonts w:ascii="Arial"/>
                <w:w w:val="95"/>
                <w:sz w:val="22"/>
              </w:rPr>
              <w:t>895,601,652</w:t>
            </w:r>
            <w:r>
              <w:rPr>
                <w:rFonts w:ascii="Arial"/>
                <w:sz w:val="22"/>
              </w:rPr>
            </w:r>
          </w:p>
        </w:tc>
      </w:tr>
      <w:tr>
        <w:trPr>
          <w:trHeight w:val="293"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12" w:type="dxa"/>
            <w:tcBorders>
              <w:top w:val="nil" w:sz="6" w:space="0" w:color="auto"/>
              <w:left w:val="nil" w:sz="6" w:space="0" w:color="auto"/>
              <w:bottom w:val="nil" w:sz="6" w:space="0" w:color="auto"/>
              <w:right w:val="nil" w:sz="6" w:space="0" w:color="auto"/>
            </w:tcBorders>
          </w:tcPr>
          <w:p>
            <w:pPr>
              <w:pStyle w:val="TableParagraph"/>
              <w:tabs>
                <w:tab w:pos="661" w:val="left" w:leader="none"/>
                <w:tab w:pos="2211"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4,132,526,472</w:t>
              <w:tab/>
            </w:r>
            <w:r>
              <w:rPr>
                <w:rFonts w:ascii="Arial"/>
                <w:sz w:val="22"/>
              </w:rPr>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tabs>
                <w:tab w:pos="646" w:val="left" w:leader="none"/>
                <w:tab w:pos="2141"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3,931,142,593</w:t>
              <w:tab/>
            </w:r>
            <w:r>
              <w:rPr>
                <w:rFonts w:ascii="Arial"/>
                <w:spacing w:val="-1"/>
                <w:sz w:val="22"/>
              </w:rPr>
            </w:r>
          </w:p>
        </w:tc>
      </w:tr>
      <w:tr>
        <w:trPr>
          <w:trHeight w:val="419"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6" w:right="0"/>
              <w:jc w:val="left"/>
              <w:rPr>
                <w:rFonts w:ascii="Arial" w:hAnsi="Arial" w:cs="Arial" w:eastAsia="Arial" w:hint="default"/>
                <w:sz w:val="22"/>
                <w:szCs w:val="22"/>
              </w:rPr>
            </w:pPr>
            <w:r>
              <w:rPr>
                <w:rFonts w:ascii="Arial"/>
                <w:sz w:val="22"/>
              </w:rPr>
              <w:t>124,675,115,433</w:t>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2"/>
              <w:jc w:val="right"/>
              <w:rPr>
                <w:rFonts w:ascii="Arial" w:hAnsi="Arial" w:cs="Arial" w:eastAsia="Arial" w:hint="default"/>
                <w:sz w:val="22"/>
                <w:szCs w:val="22"/>
              </w:rPr>
            </w:pPr>
            <w:r>
              <w:rPr>
                <w:rFonts w:ascii="Arial"/>
                <w:spacing w:val="-1"/>
                <w:sz w:val="22"/>
              </w:rPr>
              <w:t>113,075,632,447</w:t>
            </w:r>
          </w:p>
        </w:tc>
      </w:tr>
      <w:tr>
        <w:trPr>
          <w:trHeight w:val="398"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212"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
        </w:tc>
      </w:tr>
      <w:tr>
        <w:trPr>
          <w:trHeight w:val="433"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销售通信产品成本</w:t>
            </w:r>
          </w:p>
        </w:tc>
        <w:tc>
          <w:tcPr>
            <w:tcW w:w="2212" w:type="dxa"/>
            <w:tcBorders>
              <w:top w:val="nil" w:sz="6" w:space="0" w:color="auto"/>
              <w:left w:val="nil" w:sz="6" w:space="0" w:color="auto"/>
              <w:bottom w:val="nil" w:sz="6" w:space="0" w:color="auto"/>
              <w:right w:val="nil" w:sz="6" w:space="0" w:color="auto"/>
            </w:tcBorders>
          </w:tcPr>
          <w:p>
            <w:pPr>
              <w:pStyle w:val="TableParagraph"/>
              <w:tabs>
                <w:tab w:pos="538" w:val="left" w:leader="none"/>
                <w:tab w:pos="2211" w:val="left" w:leader="none"/>
              </w:tabs>
              <w:spacing w:line="240" w:lineRule="auto" w:before="31"/>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29,738,908,253</w:t>
              <w:tab/>
            </w:r>
            <w:r>
              <w:rPr>
                <w:rFonts w:ascii="Arial"/>
                <w:sz w:val="22"/>
              </w:rPr>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tabs>
                <w:tab w:pos="524" w:val="left" w:leader="none"/>
                <w:tab w:pos="2141" w:val="left" w:leader="none"/>
              </w:tabs>
              <w:spacing w:line="240" w:lineRule="auto" w:before="31"/>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10,687,585,929</w:t>
              <w:tab/>
            </w:r>
            <w:r>
              <w:rPr>
                <w:rFonts w:ascii="Arial"/>
                <w:spacing w:val="-1"/>
                <w:sz w:val="22"/>
              </w:rPr>
            </w:r>
          </w:p>
        </w:tc>
      </w:tr>
      <w:tr>
        <w:trPr>
          <w:trHeight w:val="431"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1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16" w:right="0"/>
              <w:jc w:val="left"/>
              <w:rPr>
                <w:rFonts w:ascii="Arial" w:hAnsi="Arial" w:cs="Arial" w:eastAsia="Arial" w:hint="default"/>
                <w:sz w:val="22"/>
                <w:szCs w:val="22"/>
              </w:rPr>
            </w:pPr>
            <w:r>
              <w:rPr>
                <w:rFonts w:ascii="Arial"/>
                <w:sz w:val="22"/>
              </w:rPr>
              <w:t>154,414,023,686</w:t>
            </w:r>
          </w:p>
        </w:tc>
        <w:tc>
          <w:tcPr>
            <w:tcW w:w="223"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2"/>
              <w:jc w:val="right"/>
              <w:rPr>
                <w:rFonts w:ascii="Arial" w:hAnsi="Arial" w:cs="Arial" w:eastAsia="Arial" w:hint="default"/>
                <w:sz w:val="22"/>
                <w:szCs w:val="22"/>
              </w:rPr>
            </w:pPr>
            <w:r>
              <w:rPr>
                <w:rFonts w:ascii="Arial"/>
                <w:spacing w:val="-1"/>
                <w:sz w:val="22"/>
              </w:rPr>
              <w:t>123,763,218,376</w:t>
            </w:r>
          </w:p>
        </w:tc>
      </w:tr>
    </w:tbl>
    <w:p>
      <w:pPr>
        <w:spacing w:line="240" w:lineRule="auto" w:before="1"/>
        <w:rPr>
          <w:rFonts w:ascii="Times New Roman" w:hAnsi="Times New Roman" w:cs="Times New Roman" w:eastAsia="Times New Roman" w:hint="default"/>
          <w:sz w:val="14"/>
          <w:szCs w:val="14"/>
        </w:rPr>
      </w:pPr>
    </w:p>
    <w:p>
      <w:pPr>
        <w:pStyle w:val="BodyText"/>
        <w:spacing w:line="286" w:lineRule="exact" w:before="60"/>
        <w:ind w:left="930" w:right="172" w:hanging="441"/>
        <w:jc w:val="left"/>
      </w:pPr>
      <w:r>
        <w:rPr>
          <w:spacing w:val="-1"/>
        </w:rPr>
        <w:t>注：网络运行及支撑成本主要包括修理及运行维护费、水电取暖动力费、房屋设备及通信电路</w:t>
      </w:r>
      <w:r>
        <w:rPr>
          <w:spacing w:val="-101"/>
        </w:rPr>
        <w:t> </w:t>
      </w:r>
      <w:r>
        <w:rPr>
          <w:spacing w:val="-101"/>
        </w:rPr>
      </w:r>
      <w:r>
        <w:rPr/>
        <w:t>租赁费等，以及南方固定电信网络租赁费人民币</w:t>
      </w:r>
      <w:r>
        <w:rPr>
          <w:rFonts w:ascii="Arial" w:hAnsi="Arial" w:cs="Arial" w:eastAsia="Arial" w:hint="default"/>
        </w:rPr>
        <w:t>24</w:t>
      </w:r>
      <w:r>
        <w:rPr/>
        <w:t>亿元（</w:t>
      </w:r>
      <w:r>
        <w:rPr>
          <w:rFonts w:ascii="Arial" w:hAnsi="Arial" w:cs="Arial" w:eastAsia="Arial" w:hint="default"/>
        </w:rPr>
        <w:t>2010</w:t>
      </w:r>
      <w:r>
        <w:rPr/>
        <w:t>年度：人民币</w:t>
      </w:r>
      <w:r>
        <w:rPr>
          <w:rFonts w:ascii="Arial" w:hAnsi="Arial" w:cs="Arial" w:eastAsia="Arial" w:hint="default"/>
        </w:rPr>
        <w:t>22</w:t>
      </w:r>
      <w:r>
        <w:rPr/>
        <w:t>亿元）。</w:t>
      </w:r>
    </w:p>
    <w:p>
      <w:pPr>
        <w:spacing w:line="240" w:lineRule="auto" w:before="2"/>
        <w:rPr>
          <w:rFonts w:ascii="宋体" w:hAnsi="宋体" w:cs="宋体" w:eastAsia="宋体" w:hint="default"/>
          <w:sz w:val="17"/>
          <w:szCs w:val="17"/>
        </w:rPr>
      </w:pPr>
    </w:p>
    <w:p>
      <w:pPr>
        <w:pStyle w:val="BodyText"/>
        <w:spacing w:line="424" w:lineRule="auto"/>
        <w:ind w:left="508" w:right="5102" w:hanging="406"/>
        <w:jc w:val="left"/>
      </w:pPr>
      <w:r>
        <w:rPr>
          <w:rFonts w:ascii="Arial" w:hAnsi="Arial" w:cs="Arial" w:eastAsia="Arial" w:hint="default"/>
        </w:rPr>
        <w:t>(a)</w:t>
      </w:r>
      <w:r>
        <w:rPr>
          <w:rFonts w:ascii="Arial" w:hAnsi="Arial" w:cs="Arial" w:eastAsia="Arial" w:hint="default"/>
          <w:spacing w:val="24"/>
        </w:rPr>
        <w:t> </w:t>
      </w:r>
      <w:r>
        <w:rPr/>
        <w:t>主营业务收入和主营业务成本</w:t>
      </w:r>
      <w:r>
        <w:rPr>
          <w:w w:val="99"/>
        </w:rPr>
        <w:t> </w:t>
      </w:r>
      <w:r>
        <w:rPr/>
        <w:t>按行业分析如下：</w:t>
      </w:r>
    </w:p>
    <w:p>
      <w:pPr>
        <w:tabs>
          <w:tab w:pos="6714" w:val="left" w:leader="none"/>
        </w:tabs>
        <w:spacing w:before="85"/>
        <w:ind w:left="3466" w:right="91" w:firstLine="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tab/>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年度（经重列）</w:t>
      </w:r>
    </w:p>
    <w:tbl>
      <w:tblPr>
        <w:tblW w:w="0" w:type="auto"/>
        <w:jc w:val="left"/>
        <w:tblInd w:w="487" w:type="dxa"/>
        <w:tblLayout w:type="fixed"/>
        <w:tblCellMar>
          <w:top w:w="0" w:type="dxa"/>
          <w:left w:w="0" w:type="dxa"/>
          <w:bottom w:w="0" w:type="dxa"/>
          <w:right w:w="0" w:type="dxa"/>
        </w:tblCellMar>
        <w:tblLook w:val="01E0"/>
      </w:tblPr>
      <w:tblGrid>
        <w:gridCol w:w="1534"/>
        <w:gridCol w:w="269"/>
        <w:gridCol w:w="1537"/>
        <w:gridCol w:w="133"/>
        <w:gridCol w:w="1818"/>
        <w:gridCol w:w="84"/>
        <w:gridCol w:w="1828"/>
        <w:gridCol w:w="70"/>
        <w:gridCol w:w="1792"/>
      </w:tblGrid>
      <w:tr>
        <w:trPr>
          <w:trHeight w:val="275" w:hRule="exact"/>
        </w:trPr>
        <w:tc>
          <w:tcPr>
            <w:tcW w:w="1803" w:type="dxa"/>
            <w:gridSpan w:val="2"/>
            <w:tcBorders>
              <w:top w:val="nil" w:sz="6" w:space="0" w:color="auto"/>
              <w:left w:val="nil" w:sz="6" w:space="0" w:color="auto"/>
              <w:bottom w:val="nil" w:sz="6" w:space="0" w:color="auto"/>
              <w:right w:val="nil" w:sz="6" w:space="0" w:color="auto"/>
            </w:tcBorders>
          </w:tcPr>
          <w:p>
            <w:pPr/>
          </w:p>
        </w:tc>
        <w:tc>
          <w:tcPr>
            <w:tcW w:w="1537" w:type="dxa"/>
            <w:tcBorders>
              <w:top w:val="single" w:sz="6" w:space="0" w:color="000000"/>
              <w:left w:val="nil" w:sz="6" w:space="0" w:color="auto"/>
              <w:bottom w:val="single" w:sz="6" w:space="0" w:color="000000"/>
              <w:right w:val="nil" w:sz="6" w:space="0" w:color="auto"/>
            </w:tcBorders>
          </w:tcPr>
          <w:p>
            <w:pPr>
              <w:pStyle w:val="TableParagraph"/>
              <w:spacing w:line="230" w:lineRule="exact"/>
              <w:ind w:right="25"/>
              <w:jc w:val="right"/>
              <w:rPr>
                <w:rFonts w:ascii="宋体" w:hAnsi="宋体" w:cs="宋体" w:eastAsia="宋体" w:hint="default"/>
                <w:sz w:val="20"/>
                <w:szCs w:val="20"/>
              </w:rPr>
            </w:pPr>
            <w:r>
              <w:rPr>
                <w:rFonts w:ascii="宋体" w:hAnsi="宋体" w:cs="宋体" w:eastAsia="宋体" w:hint="default"/>
                <w:spacing w:val="-1"/>
                <w:sz w:val="20"/>
                <w:szCs w:val="20"/>
              </w:rPr>
              <w:t>主营业务收入</w:t>
            </w:r>
          </w:p>
        </w:tc>
        <w:tc>
          <w:tcPr>
            <w:tcW w:w="133" w:type="dxa"/>
            <w:tcBorders>
              <w:top w:val="single" w:sz="6" w:space="0" w:color="000000"/>
              <w:left w:val="nil" w:sz="6" w:space="0" w:color="auto"/>
              <w:bottom w:val="nil" w:sz="6" w:space="0" w:color="auto"/>
              <w:right w:val="nil" w:sz="6" w:space="0" w:color="auto"/>
            </w:tcBorders>
          </w:tcPr>
          <w:p>
            <w:pPr/>
          </w:p>
        </w:tc>
        <w:tc>
          <w:tcPr>
            <w:tcW w:w="1818" w:type="dxa"/>
            <w:tcBorders>
              <w:top w:val="single" w:sz="6" w:space="0" w:color="000000"/>
              <w:left w:val="nil" w:sz="6" w:space="0" w:color="auto"/>
              <w:bottom w:val="single" w:sz="6" w:space="0" w:color="000000"/>
              <w:right w:val="nil" w:sz="6" w:space="0" w:color="auto"/>
            </w:tcBorders>
          </w:tcPr>
          <w:p>
            <w:pPr>
              <w:pStyle w:val="TableParagraph"/>
              <w:spacing w:line="230" w:lineRule="exact"/>
              <w:ind w:right="25"/>
              <w:jc w:val="right"/>
              <w:rPr>
                <w:rFonts w:ascii="宋体" w:hAnsi="宋体" w:cs="宋体" w:eastAsia="宋体" w:hint="default"/>
                <w:sz w:val="20"/>
                <w:szCs w:val="20"/>
              </w:rPr>
            </w:pPr>
            <w:r>
              <w:rPr>
                <w:rFonts w:ascii="宋体" w:hAnsi="宋体" w:cs="宋体" w:eastAsia="宋体" w:hint="default"/>
                <w:spacing w:val="-1"/>
                <w:sz w:val="20"/>
                <w:szCs w:val="20"/>
              </w:rPr>
              <w:t>主营业务成本</w:t>
            </w:r>
          </w:p>
        </w:tc>
        <w:tc>
          <w:tcPr>
            <w:tcW w:w="1981" w:type="dxa"/>
            <w:gridSpan w:val="3"/>
            <w:tcBorders>
              <w:top w:val="single" w:sz="6" w:space="0" w:color="000000"/>
              <w:left w:val="nil" w:sz="6" w:space="0" w:color="auto"/>
              <w:bottom w:val="single" w:sz="6" w:space="0" w:color="000000"/>
              <w:right w:val="nil" w:sz="6" w:space="0" w:color="auto"/>
            </w:tcBorders>
          </w:tcPr>
          <w:p>
            <w:pPr>
              <w:pStyle w:val="TableParagraph"/>
              <w:spacing w:line="230" w:lineRule="exact"/>
              <w:ind w:left="684"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792" w:type="dxa"/>
            <w:tcBorders>
              <w:top w:val="single" w:sz="6" w:space="0" w:color="000000"/>
              <w:left w:val="nil" w:sz="6" w:space="0" w:color="auto"/>
              <w:bottom w:val="single" w:sz="6" w:space="0" w:color="000000"/>
              <w:right w:val="nil" w:sz="6" w:space="0" w:color="auto"/>
            </w:tcBorders>
          </w:tcPr>
          <w:p>
            <w:pPr>
              <w:pStyle w:val="TableParagraph"/>
              <w:spacing w:line="230" w:lineRule="exact"/>
              <w:ind w:right="122"/>
              <w:jc w:val="right"/>
              <w:rPr>
                <w:rFonts w:ascii="宋体" w:hAnsi="宋体" w:cs="宋体" w:eastAsia="宋体" w:hint="default"/>
                <w:sz w:val="20"/>
                <w:szCs w:val="20"/>
              </w:rPr>
            </w:pPr>
            <w:r>
              <w:rPr>
                <w:rFonts w:ascii="宋体" w:hAnsi="宋体" w:cs="宋体" w:eastAsia="宋体" w:hint="default"/>
                <w:spacing w:val="-1"/>
                <w:sz w:val="20"/>
                <w:szCs w:val="20"/>
              </w:rPr>
              <w:t>主营业务成本</w:t>
            </w:r>
          </w:p>
        </w:tc>
      </w:tr>
      <w:tr>
        <w:trPr>
          <w:trHeight w:val="649" w:hRule="exact"/>
        </w:trPr>
        <w:tc>
          <w:tcPr>
            <w:tcW w:w="18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57" w:right="0"/>
              <w:jc w:val="left"/>
              <w:rPr>
                <w:rFonts w:ascii="宋体" w:hAnsi="宋体" w:cs="宋体" w:eastAsia="宋体" w:hint="default"/>
                <w:sz w:val="20"/>
                <w:szCs w:val="20"/>
              </w:rPr>
            </w:pPr>
            <w:r>
              <w:rPr>
                <w:rFonts w:ascii="宋体" w:hAnsi="宋体" w:cs="宋体" w:eastAsia="宋体" w:hint="default"/>
                <w:sz w:val="20"/>
                <w:szCs w:val="20"/>
              </w:rPr>
              <w:t>电信行业</w:t>
            </w:r>
          </w:p>
        </w:tc>
        <w:tc>
          <w:tcPr>
            <w:tcW w:w="1537"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4"/>
              <w:jc w:val="right"/>
              <w:rPr>
                <w:rFonts w:ascii="Arial" w:hAnsi="Arial" w:cs="Arial" w:eastAsia="Arial" w:hint="default"/>
                <w:sz w:val="20"/>
                <w:szCs w:val="20"/>
              </w:rPr>
            </w:pPr>
            <w:r>
              <w:rPr>
                <w:rFonts w:ascii="Arial"/>
                <w:spacing w:val="-1"/>
                <w:sz w:val="20"/>
              </w:rPr>
              <w:t>191,771,195,792</w:t>
            </w:r>
          </w:p>
        </w:tc>
        <w:tc>
          <w:tcPr>
            <w:tcW w:w="133" w:type="dxa"/>
            <w:tcBorders>
              <w:top w:val="nil" w:sz="6" w:space="0" w:color="auto"/>
              <w:left w:val="nil" w:sz="6" w:space="0" w:color="auto"/>
              <w:bottom w:val="nil" w:sz="6" w:space="0" w:color="auto"/>
              <w:right w:val="nil" w:sz="6" w:space="0" w:color="auto"/>
            </w:tcBorders>
          </w:tcPr>
          <w:p>
            <w:pPr/>
          </w:p>
        </w:tc>
        <w:tc>
          <w:tcPr>
            <w:tcW w:w="1818"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4"/>
              <w:jc w:val="right"/>
              <w:rPr>
                <w:rFonts w:ascii="Arial" w:hAnsi="Arial" w:cs="Arial" w:eastAsia="Arial" w:hint="default"/>
                <w:sz w:val="20"/>
                <w:szCs w:val="20"/>
              </w:rPr>
            </w:pPr>
            <w:r>
              <w:rPr>
                <w:rFonts w:ascii="Arial"/>
                <w:spacing w:val="-1"/>
                <w:sz w:val="20"/>
              </w:rPr>
              <w:t>124,675,115,433</w:t>
            </w:r>
          </w:p>
        </w:tc>
        <w:tc>
          <w:tcPr>
            <w:tcW w:w="1981" w:type="dxa"/>
            <w:gridSpan w:val="3"/>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55" w:right="0"/>
              <w:jc w:val="left"/>
              <w:rPr>
                <w:rFonts w:ascii="Arial" w:hAnsi="Arial" w:cs="Arial" w:eastAsia="Arial" w:hint="default"/>
                <w:sz w:val="20"/>
                <w:szCs w:val="20"/>
              </w:rPr>
            </w:pPr>
            <w:r>
              <w:rPr>
                <w:rFonts w:ascii="Arial"/>
                <w:sz w:val="20"/>
              </w:rPr>
              <w:t>168,782,205,427</w:t>
            </w:r>
          </w:p>
        </w:tc>
        <w:tc>
          <w:tcPr>
            <w:tcW w:w="1792"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81"/>
              <w:jc w:val="right"/>
              <w:rPr>
                <w:rFonts w:ascii="Arial" w:hAnsi="Arial" w:cs="Arial" w:eastAsia="Arial" w:hint="default"/>
                <w:sz w:val="20"/>
                <w:szCs w:val="20"/>
              </w:rPr>
            </w:pPr>
            <w:r>
              <w:rPr>
                <w:rFonts w:ascii="Arial"/>
                <w:spacing w:val="-1"/>
                <w:sz w:val="20"/>
              </w:rPr>
              <w:t>113,075,632,447</w:t>
            </w:r>
          </w:p>
        </w:tc>
      </w:tr>
      <w:tr>
        <w:trPr>
          <w:trHeight w:val="526" w:hRule="exact"/>
        </w:trPr>
        <w:tc>
          <w:tcPr>
            <w:tcW w:w="18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按产品分析如下：</w:t>
            </w:r>
          </w:p>
        </w:tc>
        <w:tc>
          <w:tcPr>
            <w:tcW w:w="1537" w:type="dxa"/>
            <w:tcBorders>
              <w:top w:val="single" w:sz="17" w:space="0" w:color="000000"/>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818" w:type="dxa"/>
            <w:tcBorders>
              <w:top w:val="single" w:sz="17" w:space="0" w:color="000000"/>
              <w:left w:val="nil" w:sz="6" w:space="0" w:color="auto"/>
              <w:bottom w:val="nil" w:sz="6" w:space="0" w:color="auto"/>
              <w:right w:val="nil" w:sz="6" w:space="0" w:color="auto"/>
            </w:tcBorders>
          </w:tcPr>
          <w:p>
            <w:pPr/>
          </w:p>
        </w:tc>
        <w:tc>
          <w:tcPr>
            <w:tcW w:w="1981" w:type="dxa"/>
            <w:gridSpan w:val="3"/>
            <w:tcBorders>
              <w:top w:val="single" w:sz="17" w:space="0" w:color="000000"/>
              <w:left w:val="nil" w:sz="6" w:space="0" w:color="auto"/>
              <w:bottom w:val="nil" w:sz="6" w:space="0" w:color="auto"/>
              <w:right w:val="nil" w:sz="6" w:space="0" w:color="auto"/>
            </w:tcBorders>
          </w:tcPr>
          <w:p>
            <w:pPr/>
          </w:p>
        </w:tc>
        <w:tc>
          <w:tcPr>
            <w:tcW w:w="1792" w:type="dxa"/>
            <w:tcBorders>
              <w:top w:val="single" w:sz="17" w:space="0" w:color="000000"/>
              <w:left w:val="nil" w:sz="6" w:space="0" w:color="auto"/>
              <w:bottom w:val="nil" w:sz="6" w:space="0" w:color="auto"/>
              <w:right w:val="nil" w:sz="6" w:space="0" w:color="auto"/>
            </w:tcBorders>
          </w:tcPr>
          <w:p>
            <w:pPr/>
          </w:p>
        </w:tc>
      </w:tr>
      <w:tr>
        <w:trPr>
          <w:trHeight w:val="552" w:hRule="exact"/>
        </w:trPr>
        <w:tc>
          <w:tcPr>
            <w:tcW w:w="9064"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tabs>
                <w:tab w:pos="6271" w:val="left" w:leader="none"/>
              </w:tabs>
              <w:spacing w:line="240" w:lineRule="auto"/>
              <w:ind w:left="295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tab/>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年度（经重列）</w:t>
            </w:r>
          </w:p>
        </w:tc>
      </w:tr>
      <w:tr>
        <w:trPr>
          <w:trHeight w:val="275" w:hRule="exact"/>
        </w:trPr>
        <w:tc>
          <w:tcPr>
            <w:tcW w:w="1534" w:type="dxa"/>
            <w:tcBorders>
              <w:top w:val="nil" w:sz="6" w:space="0" w:color="auto"/>
              <w:left w:val="nil" w:sz="6" w:space="0" w:color="auto"/>
              <w:bottom w:val="nil" w:sz="6" w:space="0" w:color="auto"/>
              <w:right w:val="nil" w:sz="6" w:space="0" w:color="auto"/>
            </w:tcBorders>
          </w:tcPr>
          <w:p>
            <w:pPr/>
          </w:p>
        </w:tc>
        <w:tc>
          <w:tcPr>
            <w:tcW w:w="1806" w:type="dxa"/>
            <w:gridSpan w:val="2"/>
            <w:tcBorders>
              <w:top w:val="single" w:sz="6" w:space="0" w:color="000000"/>
              <w:left w:val="nil" w:sz="6" w:space="0" w:color="auto"/>
              <w:bottom w:val="single" w:sz="6" w:space="0" w:color="000000"/>
              <w:right w:val="nil" w:sz="6" w:space="0" w:color="auto"/>
            </w:tcBorders>
          </w:tcPr>
          <w:p>
            <w:pPr>
              <w:pStyle w:val="TableParagraph"/>
              <w:spacing w:line="231" w:lineRule="exact"/>
              <w:ind w:left="563"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33" w:type="dxa"/>
            <w:tcBorders>
              <w:top w:val="single" w:sz="6" w:space="0" w:color="000000"/>
              <w:left w:val="nil" w:sz="6" w:space="0" w:color="auto"/>
              <w:bottom w:val="nil" w:sz="6" w:space="0" w:color="auto"/>
              <w:right w:val="nil" w:sz="6" w:space="0" w:color="auto"/>
            </w:tcBorders>
          </w:tcPr>
          <w:p>
            <w:pPr/>
          </w:p>
        </w:tc>
        <w:tc>
          <w:tcPr>
            <w:tcW w:w="1818" w:type="dxa"/>
            <w:tcBorders>
              <w:top w:val="single" w:sz="6" w:space="0" w:color="000000"/>
              <w:left w:val="nil" w:sz="6" w:space="0" w:color="auto"/>
              <w:bottom w:val="single" w:sz="6" w:space="0" w:color="000000"/>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hAnsi="宋体" w:cs="宋体" w:eastAsia="宋体" w:hint="default"/>
                <w:spacing w:val="-1"/>
                <w:sz w:val="20"/>
                <w:szCs w:val="20"/>
              </w:rPr>
              <w:t>主营业务成本</w:t>
            </w:r>
          </w:p>
        </w:tc>
        <w:tc>
          <w:tcPr>
            <w:tcW w:w="84" w:type="dxa"/>
            <w:tcBorders>
              <w:top w:val="nil" w:sz="6" w:space="0" w:color="auto"/>
              <w:left w:val="nil" w:sz="6" w:space="0" w:color="auto"/>
              <w:bottom w:val="nil" w:sz="6" w:space="0" w:color="auto"/>
              <w:right w:val="nil" w:sz="6" w:space="0" w:color="auto"/>
            </w:tcBorders>
          </w:tcPr>
          <w:p>
            <w:pPr/>
          </w:p>
        </w:tc>
        <w:tc>
          <w:tcPr>
            <w:tcW w:w="1828" w:type="dxa"/>
            <w:tcBorders>
              <w:top w:val="single" w:sz="6" w:space="0" w:color="000000"/>
              <w:left w:val="nil" w:sz="6" w:space="0" w:color="auto"/>
              <w:bottom w:val="single" w:sz="6" w:space="0" w:color="000000"/>
              <w:right w:val="nil" w:sz="6" w:space="0" w:color="auto"/>
            </w:tcBorders>
          </w:tcPr>
          <w:p>
            <w:pPr>
              <w:pStyle w:val="TableParagraph"/>
              <w:spacing w:line="231" w:lineRule="exact"/>
              <w:ind w:right="40"/>
              <w:jc w:val="right"/>
              <w:rPr>
                <w:rFonts w:ascii="宋体" w:hAnsi="宋体" w:cs="宋体" w:eastAsia="宋体" w:hint="default"/>
                <w:sz w:val="20"/>
                <w:szCs w:val="20"/>
              </w:rPr>
            </w:pPr>
            <w:r>
              <w:rPr>
                <w:rFonts w:ascii="宋体" w:hAnsi="宋体" w:cs="宋体" w:eastAsia="宋体" w:hint="default"/>
                <w:spacing w:val="-1"/>
                <w:sz w:val="20"/>
                <w:szCs w:val="20"/>
              </w:rPr>
              <w:t>主营业务收入</w:t>
            </w:r>
          </w:p>
        </w:tc>
        <w:tc>
          <w:tcPr>
            <w:tcW w:w="70" w:type="dxa"/>
            <w:tcBorders>
              <w:top w:val="single" w:sz="6" w:space="0" w:color="000000"/>
              <w:left w:val="nil" w:sz="6" w:space="0" w:color="auto"/>
              <w:bottom w:val="nil" w:sz="6" w:space="0" w:color="auto"/>
              <w:right w:val="nil" w:sz="6" w:space="0" w:color="auto"/>
            </w:tcBorders>
          </w:tcPr>
          <w:p>
            <w:pPr/>
          </w:p>
        </w:tc>
        <w:tc>
          <w:tcPr>
            <w:tcW w:w="1792" w:type="dxa"/>
            <w:tcBorders>
              <w:top w:val="single" w:sz="6" w:space="0" w:color="000000"/>
              <w:left w:val="nil" w:sz="6" w:space="0" w:color="auto"/>
              <w:bottom w:val="single" w:sz="6" w:space="0" w:color="000000"/>
              <w:right w:val="nil" w:sz="6" w:space="0" w:color="auto"/>
            </w:tcBorders>
          </w:tcPr>
          <w:p>
            <w:pPr>
              <w:pStyle w:val="TableParagraph"/>
              <w:spacing w:line="231" w:lineRule="exact"/>
              <w:ind w:right="38"/>
              <w:jc w:val="right"/>
              <w:rPr>
                <w:rFonts w:ascii="宋体" w:hAnsi="宋体" w:cs="宋体" w:eastAsia="宋体" w:hint="default"/>
                <w:sz w:val="20"/>
                <w:szCs w:val="20"/>
              </w:rPr>
            </w:pPr>
            <w:r>
              <w:rPr>
                <w:rFonts w:ascii="宋体" w:hAnsi="宋体" w:cs="宋体" w:eastAsia="宋体" w:hint="default"/>
                <w:spacing w:val="-1"/>
                <w:sz w:val="20"/>
                <w:szCs w:val="20"/>
              </w:rPr>
              <w:t>主营业务成本</w:t>
            </w:r>
          </w:p>
        </w:tc>
      </w:tr>
      <w:tr>
        <w:trPr>
          <w:trHeight w:val="562"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7" w:right="0"/>
              <w:jc w:val="left"/>
              <w:rPr>
                <w:rFonts w:ascii="宋体" w:hAnsi="宋体" w:cs="宋体" w:eastAsia="宋体" w:hint="default"/>
                <w:sz w:val="20"/>
                <w:szCs w:val="20"/>
              </w:rPr>
            </w:pPr>
            <w:r>
              <w:rPr>
                <w:rFonts w:ascii="宋体" w:hAnsi="宋体" w:cs="宋体" w:eastAsia="宋体" w:hint="default"/>
                <w:sz w:val="20"/>
                <w:szCs w:val="20"/>
              </w:rPr>
              <w:t>移动业务</w:t>
            </w:r>
          </w:p>
        </w:tc>
        <w:tc>
          <w:tcPr>
            <w:tcW w:w="1806"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15" w:right="0"/>
              <w:jc w:val="left"/>
              <w:rPr>
                <w:rFonts w:ascii="Arial" w:hAnsi="Arial" w:cs="Arial" w:eastAsia="Arial" w:hint="default"/>
                <w:sz w:val="20"/>
                <w:szCs w:val="20"/>
              </w:rPr>
            </w:pPr>
            <w:r>
              <w:rPr>
                <w:rFonts w:ascii="Arial"/>
                <w:sz w:val="20"/>
              </w:rPr>
              <w:t>106,542,046,949</w:t>
            </w:r>
          </w:p>
        </w:tc>
        <w:tc>
          <w:tcPr>
            <w:tcW w:w="133" w:type="dxa"/>
            <w:tcBorders>
              <w:top w:val="nil" w:sz="6" w:space="0" w:color="auto"/>
              <w:left w:val="nil" w:sz="6" w:space="0" w:color="auto"/>
              <w:bottom w:val="nil" w:sz="6" w:space="0" w:color="auto"/>
              <w:right w:val="nil" w:sz="6" w:space="0" w:color="auto"/>
            </w:tcBorders>
          </w:tcPr>
          <w:p>
            <w:pPr/>
          </w:p>
        </w:tc>
        <w:tc>
          <w:tcPr>
            <w:tcW w:w="181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9"/>
              <w:jc w:val="right"/>
              <w:rPr>
                <w:rFonts w:ascii="Arial" w:hAnsi="Arial" w:cs="Arial" w:eastAsia="Arial" w:hint="default"/>
                <w:sz w:val="20"/>
                <w:szCs w:val="20"/>
              </w:rPr>
            </w:pPr>
            <w:r>
              <w:rPr>
                <w:rFonts w:ascii="Arial"/>
                <w:spacing w:val="-1"/>
                <w:sz w:val="20"/>
              </w:rPr>
              <w:t>47,991,615,916</w:t>
            </w:r>
          </w:p>
        </w:tc>
        <w:tc>
          <w:tcPr>
            <w:tcW w:w="84" w:type="dxa"/>
            <w:tcBorders>
              <w:top w:val="nil" w:sz="6" w:space="0" w:color="auto"/>
              <w:left w:val="nil" w:sz="6" w:space="0" w:color="auto"/>
              <w:bottom w:val="nil" w:sz="6" w:space="0" w:color="auto"/>
              <w:right w:val="nil" w:sz="6" w:space="0" w:color="auto"/>
            </w:tcBorders>
          </w:tcPr>
          <w:p>
            <w:pPr/>
          </w:p>
        </w:tc>
        <w:tc>
          <w:tcPr>
            <w:tcW w:w="182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76"/>
              <w:jc w:val="right"/>
              <w:rPr>
                <w:rFonts w:ascii="Arial" w:hAnsi="Arial" w:cs="Arial" w:eastAsia="Arial" w:hint="default"/>
                <w:sz w:val="20"/>
                <w:szCs w:val="20"/>
              </w:rPr>
            </w:pPr>
            <w:r>
              <w:rPr>
                <w:rFonts w:ascii="Arial"/>
                <w:spacing w:val="-1"/>
                <w:sz w:val="20"/>
              </w:rPr>
              <w:t>84,805,967,176</w:t>
            </w:r>
          </w:p>
        </w:tc>
        <w:tc>
          <w:tcPr>
            <w:tcW w:w="70" w:type="dxa"/>
            <w:tcBorders>
              <w:top w:val="nil" w:sz="6" w:space="0" w:color="auto"/>
              <w:left w:val="nil" w:sz="6" w:space="0" w:color="auto"/>
              <w:bottom w:val="nil" w:sz="6" w:space="0" w:color="auto"/>
              <w:right w:val="nil" w:sz="6" w:space="0" w:color="auto"/>
            </w:tcBorders>
          </w:tcPr>
          <w:p>
            <w:pPr/>
          </w:p>
        </w:tc>
        <w:tc>
          <w:tcPr>
            <w:tcW w:w="179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Arial" w:hAnsi="Arial" w:cs="Arial" w:eastAsia="Arial" w:hint="default"/>
                <w:sz w:val="20"/>
                <w:szCs w:val="20"/>
              </w:rPr>
            </w:pPr>
            <w:r>
              <w:rPr>
                <w:rFonts w:ascii="Arial"/>
                <w:spacing w:val="-1"/>
                <w:sz w:val="20"/>
              </w:rPr>
              <w:t>40,881,363,294</w:t>
            </w:r>
          </w:p>
        </w:tc>
      </w:tr>
      <w:tr>
        <w:trPr>
          <w:trHeight w:val="259"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宋体" w:hAnsi="宋体" w:cs="宋体" w:eastAsia="宋体" w:hint="default"/>
                <w:sz w:val="20"/>
                <w:szCs w:val="20"/>
              </w:rPr>
            </w:pPr>
            <w:r>
              <w:rPr>
                <w:rFonts w:ascii="宋体" w:hAnsi="宋体" w:cs="宋体" w:eastAsia="宋体" w:hint="default"/>
                <w:sz w:val="20"/>
                <w:szCs w:val="20"/>
              </w:rPr>
              <w:t>固网业务</w:t>
            </w:r>
          </w:p>
        </w:tc>
        <w:tc>
          <w:tcPr>
            <w:tcW w:w="18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327" w:right="0"/>
              <w:jc w:val="left"/>
              <w:rPr>
                <w:rFonts w:ascii="Arial" w:hAnsi="Arial" w:cs="Arial" w:eastAsia="Arial" w:hint="default"/>
                <w:sz w:val="20"/>
                <w:szCs w:val="20"/>
              </w:rPr>
            </w:pPr>
            <w:r>
              <w:rPr>
                <w:rFonts w:ascii="Arial"/>
                <w:sz w:val="20"/>
              </w:rPr>
              <w:t>88,796,212,575</w:t>
            </w:r>
          </w:p>
        </w:tc>
        <w:tc>
          <w:tcPr>
            <w:tcW w:w="133"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9"/>
              <w:jc w:val="right"/>
              <w:rPr>
                <w:rFonts w:ascii="Arial" w:hAnsi="Arial" w:cs="Arial" w:eastAsia="Arial" w:hint="default"/>
                <w:sz w:val="20"/>
                <w:szCs w:val="20"/>
              </w:rPr>
            </w:pPr>
            <w:r>
              <w:rPr>
                <w:rFonts w:ascii="Arial"/>
                <w:spacing w:val="-1"/>
                <w:sz w:val="20"/>
              </w:rPr>
              <w:t>43,856,865,096</w:t>
            </w:r>
          </w:p>
        </w:tc>
        <w:tc>
          <w:tcPr>
            <w:tcW w:w="84"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20"/>
                <w:szCs w:val="20"/>
              </w:rPr>
            </w:pPr>
            <w:r>
              <w:rPr>
                <w:rFonts w:ascii="Arial"/>
                <w:spacing w:val="-1"/>
                <w:sz w:val="20"/>
              </w:rPr>
              <w:t>86,610,537,205</w:t>
            </w:r>
          </w:p>
        </w:tc>
        <w:tc>
          <w:tcPr>
            <w:tcW w:w="70"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4"/>
              <w:jc w:val="right"/>
              <w:rPr>
                <w:rFonts w:ascii="Arial" w:hAnsi="Arial" w:cs="Arial" w:eastAsia="Arial" w:hint="default"/>
                <w:sz w:val="20"/>
                <w:szCs w:val="20"/>
              </w:rPr>
            </w:pPr>
            <w:r>
              <w:rPr>
                <w:rFonts w:ascii="Arial"/>
                <w:spacing w:val="-1"/>
                <w:sz w:val="20"/>
              </w:rPr>
              <w:t>43,232,249,120</w:t>
            </w:r>
          </w:p>
        </w:tc>
      </w:tr>
      <w:tr>
        <w:trPr>
          <w:trHeight w:val="259"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宋体" w:hAnsi="宋体" w:cs="宋体" w:eastAsia="宋体" w:hint="default"/>
                <w:sz w:val="20"/>
                <w:szCs w:val="20"/>
              </w:rPr>
            </w:pPr>
            <w:r>
              <w:rPr>
                <w:rFonts w:ascii="宋体" w:hAnsi="宋体" w:cs="宋体" w:eastAsia="宋体" w:hint="default"/>
                <w:sz w:val="20"/>
                <w:szCs w:val="20"/>
              </w:rPr>
              <w:t>不可分摊项目</w:t>
            </w:r>
          </w:p>
        </w:tc>
        <w:tc>
          <w:tcPr>
            <w:tcW w:w="18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37" w:right="0"/>
              <w:jc w:val="left"/>
              <w:rPr>
                <w:rFonts w:ascii="Arial" w:hAnsi="Arial" w:cs="Arial" w:eastAsia="Arial" w:hint="default"/>
                <w:sz w:val="20"/>
                <w:szCs w:val="20"/>
              </w:rPr>
            </w:pPr>
            <w:r>
              <w:rPr>
                <w:rFonts w:ascii="Arial"/>
                <w:sz w:val="20"/>
              </w:rPr>
              <w:t>1,818,898,838</w:t>
            </w:r>
          </w:p>
        </w:tc>
        <w:tc>
          <w:tcPr>
            <w:tcW w:w="133"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9"/>
              <w:jc w:val="right"/>
              <w:rPr>
                <w:rFonts w:ascii="Arial" w:hAnsi="Arial" w:cs="Arial" w:eastAsia="Arial" w:hint="default"/>
                <w:sz w:val="20"/>
                <w:szCs w:val="20"/>
              </w:rPr>
            </w:pPr>
            <w:r>
              <w:rPr>
                <w:rFonts w:ascii="Arial"/>
                <w:spacing w:val="-1"/>
                <w:sz w:val="20"/>
              </w:rPr>
              <w:t>38,046,608,661</w:t>
            </w:r>
          </w:p>
        </w:tc>
        <w:tc>
          <w:tcPr>
            <w:tcW w:w="84"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20"/>
                <w:szCs w:val="20"/>
              </w:rPr>
            </w:pPr>
            <w:r>
              <w:rPr>
                <w:rFonts w:ascii="Arial"/>
                <w:spacing w:val="-1"/>
                <w:sz w:val="20"/>
              </w:rPr>
              <w:t>2,545,553,574</w:t>
            </w:r>
          </w:p>
        </w:tc>
        <w:tc>
          <w:tcPr>
            <w:tcW w:w="70"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20"/>
                <w:szCs w:val="20"/>
              </w:rPr>
            </w:pPr>
            <w:r>
              <w:rPr>
                <w:rFonts w:ascii="Arial"/>
                <w:spacing w:val="-1"/>
                <w:sz w:val="20"/>
              </w:rPr>
              <w:t>33,912,356,178</w:t>
            </w:r>
          </w:p>
        </w:tc>
      </w:tr>
      <w:tr>
        <w:trPr>
          <w:trHeight w:val="382"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宋体" w:hAnsi="宋体" w:cs="宋体" w:eastAsia="宋体" w:hint="default"/>
                <w:sz w:val="20"/>
                <w:szCs w:val="20"/>
              </w:rPr>
            </w:pPr>
            <w:r>
              <w:rPr>
                <w:rFonts w:ascii="宋体" w:hAnsi="宋体" w:cs="宋体" w:eastAsia="宋体" w:hint="default"/>
                <w:sz w:val="20"/>
                <w:szCs w:val="20"/>
              </w:rPr>
              <w:t>抵销</w:t>
            </w:r>
          </w:p>
        </w:tc>
        <w:tc>
          <w:tcPr>
            <w:tcW w:w="1806" w:type="dxa"/>
            <w:gridSpan w:val="2"/>
            <w:tcBorders>
              <w:top w:val="nil" w:sz="6" w:space="0" w:color="auto"/>
              <w:left w:val="nil" w:sz="6" w:space="0" w:color="auto"/>
              <w:bottom w:val="nil" w:sz="6" w:space="0" w:color="auto"/>
              <w:right w:val="nil" w:sz="6" w:space="0" w:color="auto"/>
            </w:tcBorders>
          </w:tcPr>
          <w:p>
            <w:pPr>
              <w:pStyle w:val="TableParagraph"/>
              <w:tabs>
                <w:tab w:pos="370" w:val="left" w:leader="none"/>
              </w:tabs>
              <w:spacing w:line="240" w:lineRule="auto" w:before="15"/>
              <w:ind w:left="1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(5,385,962,570)</w:t>
            </w:r>
            <w:r>
              <w:rPr>
                <w:rFonts w:ascii="Arial"/>
                <w:sz w:val="20"/>
              </w:rPr>
            </w:r>
          </w:p>
        </w:tc>
        <w:tc>
          <w:tcPr>
            <w:tcW w:w="133"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15"/>
              <w:ind w:left="-15" w:right="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(5,219,974,240)</w:t>
            </w:r>
            <w:r>
              <w:rPr>
                <w:rFonts w:ascii="Arial"/>
                <w:spacing w:val="-1"/>
                <w:sz w:val="20"/>
              </w:rPr>
            </w:r>
          </w:p>
        </w:tc>
        <w:tc>
          <w:tcPr>
            <w:tcW w:w="84"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tabs>
                <w:tab w:pos="402" w:val="left" w:leader="none"/>
              </w:tabs>
              <w:spacing w:line="240" w:lineRule="auto" w:before="15"/>
              <w:ind w:right="1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(5,179,852,528)</w:t>
            </w:r>
            <w:r>
              <w:rPr>
                <w:rFonts w:ascii="Arial"/>
                <w:spacing w:val="-1"/>
                <w:sz w:val="20"/>
              </w:rPr>
            </w:r>
            <w:r>
              <w:rPr>
                <w:rFonts w:ascii="Arial"/>
                <w:sz w:val="20"/>
              </w:rPr>
            </w:r>
          </w:p>
        </w:tc>
        <w:tc>
          <w:tcPr>
            <w:tcW w:w="70"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tabs>
                <w:tab w:pos="282" w:val="left" w:leader="none"/>
              </w:tabs>
              <w:spacing w:line="240" w:lineRule="auto" w:before="15"/>
              <w:ind w:right="3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2"/>
                <w:sz w:val="20"/>
                <w:u w:val="single" w:color="000000"/>
              </w:rPr>
              <w:t>(4,950,336,145)</w:t>
            </w:r>
            <w:r>
              <w:rPr>
                <w:rFonts w:ascii="Arial"/>
                <w:spacing w:val="-2"/>
                <w:sz w:val="20"/>
              </w:rPr>
            </w:r>
            <w:r>
              <w:rPr>
                <w:rFonts w:ascii="Arial"/>
                <w:sz w:val="20"/>
              </w:rPr>
            </w:r>
          </w:p>
        </w:tc>
      </w:tr>
      <w:tr>
        <w:trPr>
          <w:trHeight w:val="395"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06"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38"/>
              <w:ind w:left="215" w:right="0"/>
              <w:jc w:val="left"/>
              <w:rPr>
                <w:rFonts w:ascii="Arial" w:hAnsi="Arial" w:cs="Arial" w:eastAsia="Arial" w:hint="default"/>
                <w:sz w:val="20"/>
                <w:szCs w:val="20"/>
              </w:rPr>
            </w:pPr>
            <w:r>
              <w:rPr>
                <w:rFonts w:ascii="Arial"/>
                <w:sz w:val="20"/>
              </w:rPr>
              <w:t>191,771,195,792</w:t>
            </w:r>
          </w:p>
        </w:tc>
        <w:tc>
          <w:tcPr>
            <w:tcW w:w="133"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19"/>
              <w:jc w:val="right"/>
              <w:rPr>
                <w:rFonts w:ascii="Arial" w:hAnsi="Arial" w:cs="Arial" w:eastAsia="Arial" w:hint="default"/>
                <w:sz w:val="20"/>
                <w:szCs w:val="20"/>
              </w:rPr>
            </w:pPr>
            <w:r>
              <w:rPr>
                <w:rFonts w:ascii="Arial"/>
                <w:spacing w:val="-1"/>
                <w:sz w:val="20"/>
              </w:rPr>
              <w:t>124,675,115,433</w:t>
            </w:r>
          </w:p>
        </w:tc>
        <w:tc>
          <w:tcPr>
            <w:tcW w:w="84"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76"/>
              <w:jc w:val="right"/>
              <w:rPr>
                <w:rFonts w:ascii="Arial" w:hAnsi="Arial" w:cs="Arial" w:eastAsia="Arial" w:hint="default"/>
                <w:sz w:val="20"/>
                <w:szCs w:val="20"/>
              </w:rPr>
            </w:pPr>
            <w:r>
              <w:rPr>
                <w:rFonts w:ascii="Arial"/>
                <w:spacing w:val="-1"/>
                <w:sz w:val="20"/>
              </w:rPr>
              <w:t>168,782,205,427</w:t>
            </w:r>
          </w:p>
        </w:tc>
        <w:tc>
          <w:tcPr>
            <w:tcW w:w="70"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03"/>
              <w:jc w:val="right"/>
              <w:rPr>
                <w:rFonts w:ascii="Arial" w:hAnsi="Arial" w:cs="Arial" w:eastAsia="Arial" w:hint="default"/>
                <w:sz w:val="20"/>
                <w:szCs w:val="20"/>
              </w:rPr>
            </w:pPr>
            <w:r>
              <w:rPr>
                <w:rFonts w:ascii="Arial"/>
                <w:spacing w:val="-1"/>
                <w:sz w:val="20"/>
              </w:rPr>
              <w:t>113,075,632,447</w:t>
            </w:r>
          </w:p>
        </w:tc>
      </w:tr>
    </w:tbl>
    <w:p>
      <w:pPr>
        <w:spacing w:after="0" w:line="240" w:lineRule="auto"/>
        <w:jc w:val="right"/>
        <w:rPr>
          <w:rFonts w:ascii="Arial" w:hAnsi="Arial" w:cs="Arial" w:eastAsia="Arial" w:hint="default"/>
          <w:sz w:val="20"/>
          <w:szCs w:val="20"/>
        </w:rPr>
        <w:sectPr>
          <w:headerReference w:type="default" r:id="rId122"/>
          <w:pgSz w:w="11900" w:h="16840"/>
          <w:pgMar w:header="1189" w:footer="752" w:top="3600" w:bottom="940" w:left="1280" w:right="960"/>
        </w:sectPr>
      </w:pPr>
    </w:p>
    <w:p>
      <w:pPr>
        <w:spacing w:line="240" w:lineRule="auto" w:before="11"/>
        <w:rPr>
          <w:rFonts w:ascii="宋体" w:hAnsi="宋体" w:cs="宋体" w:eastAsia="宋体" w:hint="default"/>
          <w:sz w:val="16"/>
          <w:szCs w:val="16"/>
        </w:rPr>
      </w:pPr>
    </w:p>
    <w:p>
      <w:pPr>
        <w:pStyle w:val="BodyText"/>
        <w:spacing w:line="424" w:lineRule="auto" w:before="31"/>
        <w:ind w:left="536" w:right="4084" w:hanging="435"/>
        <w:jc w:val="left"/>
      </w:pPr>
      <w:r>
        <w:rPr>
          <w:rFonts w:ascii="Arial" w:hAnsi="Arial" w:cs="Arial" w:eastAsia="Arial" w:hint="default"/>
        </w:rPr>
        <w:t>(a)</w:t>
      </w:r>
      <w:r>
        <w:rPr>
          <w:rFonts w:ascii="Arial" w:hAnsi="Arial" w:cs="Arial" w:eastAsia="Arial" w:hint="default"/>
          <w:spacing w:val="25"/>
        </w:rPr>
        <w:t> </w:t>
      </w:r>
      <w:r>
        <w:rPr/>
        <w:t>主营业务收入和主营业务成本（续）</w:t>
      </w:r>
      <w:r>
        <w:rPr>
          <w:w w:val="99"/>
        </w:rPr>
        <w:t> </w:t>
      </w:r>
      <w:r>
        <w:rPr/>
        <w:t>按地区分析如下：</w:t>
      </w:r>
    </w:p>
    <w:p>
      <w:pPr>
        <w:pStyle w:val="BodyText"/>
        <w:spacing w:line="284" w:lineRule="exact" w:before="111"/>
        <w:ind w:left="536" w:right="224"/>
        <w:jc w:val="left"/>
      </w:pPr>
      <w:r>
        <w:rPr/>
        <w:t>本集团主要服务用户都在中国内地。在本集团来自外部客户的收入中，其他地区收入在本集团</w:t>
      </w:r>
      <w:r>
        <w:rPr>
          <w:w w:val="99"/>
        </w:rPr>
        <w:t> </w:t>
      </w:r>
      <w:r>
        <w:rPr/>
        <w:t>收入中并不重大。</w:t>
      </w:r>
    </w:p>
    <w:p>
      <w:pPr>
        <w:spacing w:line="240" w:lineRule="auto" w:before="12"/>
        <w:rPr>
          <w:rFonts w:ascii="宋体" w:hAnsi="宋体" w:cs="宋体" w:eastAsia="宋体" w:hint="default"/>
          <w:sz w:val="18"/>
          <w:szCs w:val="18"/>
        </w:rPr>
      </w:pPr>
    </w:p>
    <w:p>
      <w:pPr>
        <w:pStyle w:val="BodyText"/>
        <w:spacing w:line="240" w:lineRule="auto"/>
        <w:ind w:left="102" w:right="0"/>
        <w:jc w:val="left"/>
      </w:pPr>
      <w:r>
        <w:rPr>
          <w:rFonts w:ascii="Arial" w:hAnsi="Arial" w:cs="Arial" w:eastAsia="Arial" w:hint="default"/>
        </w:rPr>
        <w:t>(b) </w:t>
      </w:r>
      <w:r>
        <w:rPr>
          <w:rFonts w:ascii="Arial" w:hAnsi="Arial" w:cs="Arial" w:eastAsia="Arial" w:hint="default"/>
          <w:spacing w:val="24"/>
        </w:rPr>
        <w:t> </w:t>
      </w:r>
      <w:r>
        <w:rPr/>
        <w:t>本集团前五名客户的营业收入情况</w:t>
      </w:r>
    </w:p>
    <w:p>
      <w:pPr>
        <w:spacing w:line="240" w:lineRule="auto" w:before="3"/>
        <w:rPr>
          <w:rFonts w:ascii="宋体" w:hAnsi="宋体" w:cs="宋体" w:eastAsia="宋体" w:hint="default"/>
          <w:sz w:val="20"/>
          <w:szCs w:val="20"/>
        </w:rPr>
      </w:pPr>
    </w:p>
    <w:p>
      <w:pPr>
        <w:pStyle w:val="BodyText"/>
        <w:spacing w:line="284" w:lineRule="exact"/>
        <w:ind w:left="522" w:right="105" w:hanging="1"/>
        <w:jc w:val="left"/>
      </w:pPr>
      <w:r>
        <w:rPr/>
        <w:t>本集团前五名客户营业收入的总额约人民币</w:t>
      </w:r>
      <w:r>
        <w:rPr>
          <w:spacing w:val="-56"/>
        </w:rPr>
        <w:t> </w:t>
      </w:r>
      <w:r>
        <w:rPr>
          <w:rFonts w:ascii="Arial" w:hAnsi="Arial" w:cs="Arial" w:eastAsia="Arial" w:hint="default"/>
        </w:rPr>
        <w:t>143.60</w:t>
      </w:r>
      <w:r>
        <w:rPr>
          <w:rFonts w:ascii="Arial" w:hAnsi="Arial" w:cs="Arial" w:eastAsia="Arial" w:hint="default"/>
          <w:spacing w:val="-7"/>
        </w:rPr>
        <w:t> </w:t>
      </w:r>
      <w:r>
        <w:rPr>
          <w:spacing w:val="-10"/>
        </w:rPr>
        <w:t>亿元（</w:t>
      </w:r>
      <w:r>
        <w:rPr>
          <w:rFonts w:ascii="Arial" w:hAnsi="Arial" w:cs="Arial" w:eastAsia="Arial" w:hint="default"/>
          <w:spacing w:val="-10"/>
        </w:rPr>
        <w:t>2010</w:t>
      </w:r>
      <w:r>
        <w:rPr>
          <w:rFonts w:ascii="Arial" w:hAnsi="Arial" w:cs="Arial" w:eastAsia="Arial" w:hint="default"/>
          <w:spacing w:val="-7"/>
        </w:rPr>
        <w:t> </w:t>
      </w:r>
      <w:r>
        <w:rPr>
          <w:spacing w:val="-10"/>
        </w:rPr>
        <w:t>年度：约人民币</w:t>
      </w:r>
      <w:r>
        <w:rPr>
          <w:spacing w:val="-56"/>
        </w:rPr>
        <w:t> </w:t>
      </w:r>
      <w:r>
        <w:rPr>
          <w:rFonts w:ascii="Arial" w:hAnsi="Arial" w:cs="Arial" w:eastAsia="Arial" w:hint="default"/>
        </w:rPr>
        <w:t>144.48</w:t>
      </w:r>
      <w:r>
        <w:rPr>
          <w:rFonts w:ascii="Arial" w:hAnsi="Arial" w:cs="Arial" w:eastAsia="Arial" w:hint="default"/>
          <w:spacing w:val="-7"/>
        </w:rPr>
        <w:t> </w:t>
      </w:r>
      <w:r>
        <w:rPr>
          <w:spacing w:val="-18"/>
        </w:rPr>
        <w:t>亿元），</w:t>
      </w:r>
      <w:r>
        <w:rPr>
          <w:w w:val="99"/>
        </w:rPr>
        <w:t> </w:t>
      </w:r>
      <w:r>
        <w:rPr/>
        <w:t>占本集团全部营业收入的比例为</w:t>
      </w:r>
      <w:r>
        <w:rPr>
          <w:spacing w:val="-58"/>
        </w:rPr>
        <w:t> </w:t>
      </w:r>
      <w:r>
        <w:rPr>
          <w:rFonts w:ascii="Arial" w:hAnsi="Arial" w:cs="Arial" w:eastAsia="Arial" w:hint="default"/>
        </w:rPr>
        <w:t>6.7%</w:t>
      </w:r>
      <w:r>
        <w:rPr/>
        <w:t>（</w:t>
      </w:r>
      <w:r>
        <w:rPr>
          <w:rFonts w:ascii="Arial" w:hAnsi="Arial" w:cs="Arial" w:eastAsia="Arial" w:hint="default"/>
        </w:rPr>
        <w:t>2010</w:t>
      </w:r>
      <w:r>
        <w:rPr>
          <w:rFonts w:ascii="Arial" w:hAnsi="Arial" w:cs="Arial" w:eastAsia="Arial" w:hint="default"/>
          <w:spacing w:val="-9"/>
        </w:rPr>
        <w:t> </w:t>
      </w:r>
      <w:r>
        <w:rPr/>
        <w:t>年度：</w:t>
      </w:r>
      <w:r>
        <w:rPr>
          <w:rFonts w:ascii="Arial" w:hAnsi="Arial" w:cs="Arial" w:eastAsia="Arial" w:hint="default"/>
        </w:rPr>
        <w:t>8.2%</w:t>
      </w:r>
      <w:r>
        <w:rPr/>
        <w:t>），具体情况如下：</w:t>
      </w:r>
    </w:p>
    <w:p>
      <w:pPr>
        <w:spacing w:line="240" w:lineRule="auto" w:before="10"/>
        <w:rPr>
          <w:rFonts w:ascii="宋体" w:hAnsi="宋体" w:cs="宋体" w:eastAsia="宋体" w:hint="default"/>
          <w:sz w:val="14"/>
          <w:szCs w:val="14"/>
        </w:rPr>
      </w:pPr>
    </w:p>
    <w:tbl>
      <w:tblPr>
        <w:tblW w:w="0" w:type="auto"/>
        <w:jc w:val="left"/>
        <w:tblInd w:w="510" w:type="dxa"/>
        <w:tblLayout w:type="fixed"/>
        <w:tblCellMar>
          <w:top w:w="0" w:type="dxa"/>
          <w:left w:w="0" w:type="dxa"/>
          <w:bottom w:w="0" w:type="dxa"/>
          <w:right w:w="0" w:type="dxa"/>
        </w:tblCellMar>
        <w:tblLook w:val="01E0"/>
      </w:tblPr>
      <w:tblGrid>
        <w:gridCol w:w="4431"/>
        <w:gridCol w:w="2119"/>
        <w:gridCol w:w="221"/>
        <w:gridCol w:w="2206"/>
      </w:tblGrid>
      <w:tr>
        <w:trPr>
          <w:trHeight w:val="646" w:hRule="exact"/>
        </w:trPr>
        <w:tc>
          <w:tcPr>
            <w:tcW w:w="443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22"/>
                <w:szCs w:val="22"/>
              </w:rPr>
            </w:pPr>
            <w:r>
              <w:rPr>
                <w:rFonts w:ascii="宋体" w:hAnsi="宋体" w:cs="宋体" w:eastAsia="宋体" w:hint="default"/>
                <w:w w:val="95"/>
                <w:sz w:val="22"/>
                <w:szCs w:val="22"/>
              </w:rPr>
              <w:t>营业收入</w:t>
            </w:r>
            <w:r>
              <w:rPr>
                <w:rFonts w:ascii="宋体" w:hAnsi="宋体" w:cs="宋体" w:eastAsia="宋体" w:hint="default"/>
                <w:sz w:val="22"/>
                <w:szCs w:val="22"/>
              </w:rPr>
            </w:r>
          </w:p>
        </w:tc>
        <w:tc>
          <w:tcPr>
            <w:tcW w:w="221"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6" w:space="0" w:color="000000"/>
              <w:right w:val="nil" w:sz="6" w:space="0" w:color="auto"/>
            </w:tcBorders>
          </w:tcPr>
          <w:p>
            <w:pPr>
              <w:pStyle w:val="TableParagraph"/>
              <w:spacing w:line="286" w:lineRule="exact" w:before="60"/>
              <w:ind w:left="621" w:right="139" w:hanging="318"/>
              <w:jc w:val="left"/>
              <w:rPr>
                <w:rFonts w:ascii="Arial" w:hAnsi="Arial" w:cs="Arial" w:eastAsia="Arial" w:hint="default"/>
                <w:sz w:val="22"/>
                <w:szCs w:val="22"/>
              </w:rPr>
            </w:pPr>
            <w:r>
              <w:rPr>
                <w:rFonts w:ascii="宋体" w:hAnsi="宋体" w:cs="宋体" w:eastAsia="宋体" w:hint="default"/>
                <w:sz w:val="22"/>
                <w:szCs w:val="22"/>
              </w:rPr>
              <w:t>占本集团全部营业</w:t>
            </w:r>
            <w:r>
              <w:rPr>
                <w:rFonts w:ascii="宋体" w:hAnsi="宋体" w:cs="宋体" w:eastAsia="宋体" w:hint="default"/>
                <w:w w:val="99"/>
                <w:sz w:val="22"/>
                <w:szCs w:val="22"/>
              </w:rPr>
              <w:t> </w:t>
            </w:r>
            <w:r>
              <w:rPr>
                <w:rFonts w:ascii="宋体" w:hAnsi="宋体" w:cs="宋体" w:eastAsia="宋体" w:hint="default"/>
                <w:sz w:val="22"/>
                <w:szCs w:val="22"/>
              </w:rPr>
              <w:t>收入的比例</w:t>
            </w:r>
            <w:r>
              <w:rPr>
                <w:rFonts w:ascii="Arial" w:hAnsi="Arial" w:cs="Arial" w:eastAsia="Arial" w:hint="default"/>
                <w:sz w:val="22"/>
                <w:szCs w:val="22"/>
              </w:rPr>
              <w:t>(%)</w:t>
            </w:r>
          </w:p>
        </w:tc>
      </w:tr>
      <w:tr>
        <w:trPr>
          <w:trHeight w:val="558"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第一名公司</w:t>
            </w:r>
          </w:p>
        </w:tc>
        <w:tc>
          <w:tcPr>
            <w:tcW w:w="211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9"/>
              <w:jc w:val="right"/>
              <w:rPr>
                <w:rFonts w:ascii="Arial" w:hAnsi="Arial" w:cs="Arial" w:eastAsia="Arial" w:hint="default"/>
                <w:sz w:val="22"/>
                <w:szCs w:val="22"/>
              </w:rPr>
            </w:pPr>
            <w:r>
              <w:rPr>
                <w:rFonts w:ascii="Arial"/>
                <w:spacing w:val="-1"/>
                <w:sz w:val="22"/>
              </w:rPr>
              <w:t>11,321,174,017</w:t>
            </w:r>
          </w:p>
        </w:tc>
        <w:tc>
          <w:tcPr>
            <w:tcW w:w="221" w:type="dxa"/>
            <w:tcBorders>
              <w:top w:val="nil" w:sz="6" w:space="0" w:color="auto"/>
              <w:left w:val="nil" w:sz="6" w:space="0" w:color="auto"/>
              <w:bottom w:val="nil" w:sz="6" w:space="0" w:color="auto"/>
              <w:right w:val="nil" w:sz="6" w:space="0" w:color="auto"/>
            </w:tcBorders>
          </w:tcPr>
          <w:p>
            <w:pPr/>
          </w:p>
        </w:tc>
        <w:tc>
          <w:tcPr>
            <w:tcW w:w="220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0"/>
              <w:jc w:val="right"/>
              <w:rPr>
                <w:rFonts w:ascii="Arial" w:hAnsi="Arial" w:cs="Arial" w:eastAsia="Arial" w:hint="default"/>
                <w:sz w:val="22"/>
                <w:szCs w:val="22"/>
              </w:rPr>
            </w:pPr>
            <w:r>
              <w:rPr>
                <w:rFonts w:ascii="Arial"/>
                <w:w w:val="95"/>
                <w:sz w:val="22"/>
              </w:rPr>
              <w:t>5.3%</w:t>
            </w:r>
            <w:r>
              <w:rPr>
                <w:rFonts w:ascii="Arial"/>
                <w:sz w:val="22"/>
              </w:rPr>
            </w:r>
          </w:p>
        </w:tc>
      </w:tr>
      <w:tr>
        <w:trPr>
          <w:trHeight w:val="285"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第二名公司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spacing w:val="-1"/>
                <w:sz w:val="22"/>
              </w:rPr>
              <w:t>2,401,406,300</w:t>
            </w:r>
          </w:p>
        </w:tc>
        <w:tc>
          <w:tcPr>
            <w:tcW w:w="221"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0"/>
              <w:jc w:val="right"/>
              <w:rPr>
                <w:rFonts w:ascii="Arial" w:hAnsi="Arial" w:cs="Arial" w:eastAsia="Arial" w:hint="default"/>
                <w:sz w:val="22"/>
                <w:szCs w:val="22"/>
              </w:rPr>
            </w:pPr>
            <w:r>
              <w:rPr>
                <w:rFonts w:ascii="Arial"/>
                <w:w w:val="95"/>
                <w:sz w:val="22"/>
              </w:rPr>
              <w:t>1.1%</w:t>
            </w:r>
            <w:r>
              <w:rPr>
                <w:rFonts w:ascii="Arial"/>
                <w:sz w:val="22"/>
              </w:rPr>
            </w:r>
          </w:p>
        </w:tc>
      </w:tr>
      <w:tr>
        <w:trPr>
          <w:trHeight w:val="285"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第三名公司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246,792,753</w:t>
            </w:r>
            <w:r>
              <w:rPr>
                <w:rFonts w:ascii="Arial"/>
                <w:sz w:val="22"/>
              </w:rPr>
            </w:r>
          </w:p>
        </w:tc>
        <w:tc>
          <w:tcPr>
            <w:tcW w:w="221"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0"/>
              <w:jc w:val="right"/>
              <w:rPr>
                <w:rFonts w:ascii="Arial" w:hAnsi="Arial" w:cs="Arial" w:eastAsia="Arial" w:hint="default"/>
                <w:sz w:val="22"/>
                <w:szCs w:val="22"/>
              </w:rPr>
            </w:pPr>
            <w:r>
              <w:rPr>
                <w:rFonts w:ascii="Arial"/>
                <w:w w:val="95"/>
                <w:sz w:val="22"/>
              </w:rPr>
              <w:t>0.1%</w:t>
            </w:r>
            <w:r>
              <w:rPr>
                <w:rFonts w:ascii="Arial"/>
                <w:sz w:val="22"/>
              </w:rPr>
            </w:r>
          </w:p>
        </w:tc>
      </w:tr>
      <w:tr>
        <w:trPr>
          <w:trHeight w:val="286"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第四名公司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225,526,801</w:t>
            </w:r>
            <w:r>
              <w:rPr>
                <w:rFonts w:ascii="Arial"/>
                <w:sz w:val="22"/>
              </w:rPr>
            </w:r>
          </w:p>
        </w:tc>
        <w:tc>
          <w:tcPr>
            <w:tcW w:w="221"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0"/>
              <w:jc w:val="right"/>
              <w:rPr>
                <w:rFonts w:ascii="Arial" w:hAnsi="Arial" w:cs="Arial" w:eastAsia="Arial" w:hint="default"/>
                <w:sz w:val="22"/>
                <w:szCs w:val="22"/>
              </w:rPr>
            </w:pPr>
            <w:r>
              <w:rPr>
                <w:rFonts w:ascii="Arial"/>
                <w:w w:val="95"/>
                <w:sz w:val="22"/>
              </w:rPr>
              <w:t>0.1%</w:t>
            </w:r>
            <w:r>
              <w:rPr>
                <w:rFonts w:ascii="Arial"/>
                <w:sz w:val="22"/>
              </w:rPr>
            </w:r>
          </w:p>
        </w:tc>
      </w:tr>
      <w:tr>
        <w:trPr>
          <w:trHeight w:val="419"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第五名公司</w:t>
            </w:r>
          </w:p>
        </w:tc>
        <w:tc>
          <w:tcPr>
            <w:tcW w:w="2119" w:type="dxa"/>
            <w:tcBorders>
              <w:top w:val="nil" w:sz="6" w:space="0" w:color="auto"/>
              <w:left w:val="nil" w:sz="6" w:space="0" w:color="auto"/>
              <w:bottom w:val="nil" w:sz="6" w:space="0" w:color="auto"/>
              <w:right w:val="nil" w:sz="6" w:space="0" w:color="auto"/>
            </w:tcBorders>
          </w:tcPr>
          <w:p>
            <w:pPr>
              <w:pStyle w:val="TableParagraph"/>
              <w:tabs>
                <w:tab w:pos="770" w:val="left" w:leader="none"/>
                <w:tab w:pos="210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165,467,972</w:t>
            </w:r>
            <w:r>
              <w:rPr>
                <w:rFonts w:ascii="Arial"/>
                <w:sz w:val="22"/>
                <w:u w:val="single" w:color="000000"/>
              </w:rPr>
              <w:tab/>
            </w:r>
            <w:r>
              <w:rPr>
                <w:rFonts w:ascii="Arial"/>
                <w:sz w:val="22"/>
              </w:rPr>
            </w:r>
          </w:p>
        </w:tc>
        <w:tc>
          <w:tcPr>
            <w:tcW w:w="221"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Style w:val="TableParagraph"/>
              <w:tabs>
                <w:tab w:pos="1547" w:val="left" w:leader="none"/>
                <w:tab w:pos="2156"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0.1%</w:t>
            </w:r>
            <w:r>
              <w:rPr>
                <w:rFonts w:ascii="Arial"/>
                <w:sz w:val="22"/>
                <w:u w:val="single" w:color="000000"/>
              </w:rPr>
              <w:tab/>
            </w:r>
            <w:r>
              <w:rPr>
                <w:rFonts w:ascii="Arial"/>
                <w:sz w:val="22"/>
              </w:rPr>
            </w:r>
          </w:p>
        </w:tc>
      </w:tr>
      <w:tr>
        <w:trPr>
          <w:trHeight w:val="430"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1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9"/>
              <w:jc w:val="right"/>
              <w:rPr>
                <w:rFonts w:ascii="Arial" w:hAnsi="Arial" w:cs="Arial" w:eastAsia="Arial" w:hint="default"/>
                <w:sz w:val="22"/>
                <w:szCs w:val="22"/>
              </w:rPr>
            </w:pPr>
            <w:r>
              <w:rPr>
                <w:rFonts w:ascii="Arial"/>
                <w:spacing w:val="-1"/>
                <w:sz w:val="22"/>
              </w:rPr>
              <w:t>14,360,367,843</w:t>
            </w:r>
          </w:p>
        </w:tc>
        <w:tc>
          <w:tcPr>
            <w:tcW w:w="221"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41"/>
              <w:jc w:val="right"/>
              <w:rPr>
                <w:rFonts w:ascii="Arial" w:hAnsi="Arial" w:cs="Arial" w:eastAsia="Arial" w:hint="default"/>
                <w:sz w:val="22"/>
                <w:szCs w:val="22"/>
              </w:rPr>
            </w:pPr>
            <w:r>
              <w:rPr>
                <w:rFonts w:ascii="Arial"/>
                <w:w w:val="95"/>
                <w:sz w:val="22"/>
              </w:rPr>
              <w:t>6.7%</w:t>
            </w:r>
            <w:r>
              <w:rPr>
                <w:rFonts w:ascii="Arial"/>
                <w:sz w:val="22"/>
              </w:rPr>
            </w:r>
          </w:p>
        </w:tc>
      </w:tr>
    </w:tbl>
    <w:p>
      <w:pPr>
        <w:spacing w:line="240" w:lineRule="auto" w:before="7"/>
        <w:rPr>
          <w:rFonts w:ascii="宋体" w:hAnsi="宋体" w:cs="宋体" w:eastAsia="宋体" w:hint="default"/>
          <w:sz w:val="12"/>
          <w:szCs w:val="12"/>
        </w:rPr>
      </w:pPr>
    </w:p>
    <w:p>
      <w:pPr>
        <w:pStyle w:val="BodyText"/>
        <w:spacing w:line="240" w:lineRule="auto" w:before="31"/>
        <w:ind w:left="102" w:right="0"/>
        <w:jc w:val="left"/>
      </w:pPr>
      <w:r>
        <w:rPr>
          <w:rFonts w:ascii="Arial" w:hAnsi="Arial" w:cs="Arial" w:eastAsia="Arial" w:hint="default"/>
        </w:rPr>
        <w:t>36</w:t>
      </w:r>
      <w:r>
        <w:rPr/>
        <w:t>、营业税金及附加</w:t>
      </w:r>
    </w:p>
    <w:p>
      <w:pPr>
        <w:spacing w:line="240" w:lineRule="auto" w:before="13"/>
        <w:rPr>
          <w:rFonts w:ascii="宋体" w:hAnsi="宋体" w:cs="宋体" w:eastAsia="宋体" w:hint="default"/>
          <w:sz w:val="17"/>
          <w:szCs w:val="17"/>
        </w:rPr>
      </w:pPr>
    </w:p>
    <w:p>
      <w:pPr>
        <w:pStyle w:val="BodyText"/>
        <w:tabs>
          <w:tab w:pos="6695" w:val="left" w:leader="none"/>
          <w:tab w:pos="8376" w:val="left" w:leader="none"/>
        </w:tabs>
        <w:spacing w:line="302" w:lineRule="exact"/>
        <w:ind w:left="5021" w:right="0"/>
        <w:jc w:val="left"/>
      </w:pPr>
      <w:r>
        <w:rPr>
          <w:w w:val="95"/>
        </w:rPr>
        <w:t>计缴标准</w:t>
        <w:tab/>
      </w:r>
      <w:r>
        <w:rPr>
          <w:rFonts w:ascii="Arial" w:hAnsi="Arial" w:cs="Arial" w:eastAsia="Arial" w:hint="default"/>
        </w:rPr>
        <w:t>2011</w:t>
      </w:r>
      <w:r>
        <w:rPr>
          <w:rFonts w:ascii="Arial" w:hAnsi="Arial" w:cs="Arial" w:eastAsia="Arial" w:hint="default"/>
          <w:spacing w:val="-8"/>
        </w:rPr>
        <w:t> </w:t>
      </w:r>
      <w:r>
        <w:rPr/>
        <w:t>年度</w:t>
        <w:tab/>
      </w:r>
      <w:r>
        <w:rPr>
          <w:rFonts w:ascii="Arial" w:hAnsi="Arial" w:cs="Arial" w:eastAsia="Arial" w:hint="default"/>
        </w:rPr>
        <w:t>2010</w:t>
      </w:r>
      <w:r>
        <w:rPr>
          <w:rFonts w:ascii="Arial" w:hAnsi="Arial" w:cs="Arial" w:eastAsia="Arial" w:hint="default"/>
          <w:spacing w:val="-8"/>
        </w:rPr>
        <w:t> </w:t>
      </w:r>
      <w:r>
        <w:rPr/>
        <w:t>年度</w:t>
      </w:r>
    </w:p>
    <w:p>
      <w:pPr>
        <w:pStyle w:val="BodyText"/>
        <w:spacing w:line="283" w:lineRule="exact"/>
        <w:ind w:left="0" w:right="336"/>
        <w:jc w:val="right"/>
      </w:pPr>
      <w:r>
        <w:rPr/>
        <w:pict>
          <v:group style="position:absolute;margin-left:256.739990pt;margin-top:1.298818pt;width:104pt;height:.1pt;mso-position-horizontal-relative:page;mso-position-vertical-relative:paragraph;z-index:7408" coordorigin="5135,26" coordsize="2080,2">
            <v:shape style="position:absolute;left:5135;top:26;width:2080;height:2" coordorigin="5135,26" coordsize="2080,0" path="m5135,26l7214,26e" filled="false" stroked="true" strokeweight=".72pt" strokecolor="#000000">
              <v:path arrowok="t"/>
            </v:shape>
            <w10:wrap type="none"/>
          </v:group>
        </w:pict>
      </w:r>
      <w:r>
        <w:rPr/>
        <w:pict>
          <v:group style="position:absolute;margin-left:367.5pt;margin-top:1.298818pt;width:82.15pt;height:.1pt;mso-position-horizontal-relative:page;mso-position-vertical-relative:paragraph;z-index:7432" coordorigin="7350,26" coordsize="1643,2">
            <v:shape style="position:absolute;left:7350;top:26;width:1643;height:2" coordorigin="7350,26" coordsize="1643,0" path="m7350,26l8993,26e" filled="false" stroked="true" strokeweight=".72pt" strokecolor="#000000">
              <v:path arrowok="t"/>
            </v:shape>
            <w10:wrap type="none"/>
          </v:group>
        </w:pict>
      </w:r>
      <w:r>
        <w:rPr/>
        <w:pict>
          <v:group style="position:absolute;margin-left:456.839996pt;margin-top:1.298818pt;width:79.4pt;height:.1pt;mso-position-horizontal-relative:page;mso-position-vertical-relative:paragraph;z-index:-816856" coordorigin="9137,26" coordsize="1588,2">
            <v:shape style="position:absolute;left:9137;top:26;width:1588;height:2" coordorigin="9137,26" coordsize="1588,0" path="m9137,26l10724,26e" filled="false" stroked="true" strokeweight=".72pt" strokecolor="#000000">
              <v:path arrowok="t"/>
            </v:shape>
            <w10:wrap type="none"/>
          </v:group>
        </w:pict>
      </w:r>
      <w:r>
        <w:rPr>
          <w:w w:val="95"/>
        </w:rPr>
        <w:t>（经重列）</w:t>
      </w:r>
      <w:r>
        <w:rPr/>
      </w:r>
    </w:p>
    <w:p>
      <w:pPr>
        <w:pStyle w:val="BodyText"/>
        <w:tabs>
          <w:tab w:pos="3854" w:val="left" w:leader="none"/>
          <w:tab w:pos="6239" w:val="left" w:leader="none"/>
          <w:tab w:pos="7928" w:val="left" w:leader="none"/>
        </w:tabs>
        <w:spacing w:line="303" w:lineRule="exact"/>
        <w:ind w:left="570" w:right="0"/>
        <w:jc w:val="left"/>
        <w:rPr>
          <w:rFonts w:ascii="Arial" w:hAnsi="Arial" w:cs="Arial" w:eastAsia="Arial" w:hint="default"/>
        </w:rPr>
      </w:pPr>
      <w:r>
        <w:rPr>
          <w:w w:val="95"/>
          <w:position w:val="2"/>
        </w:rPr>
        <w:t>营业税</w:t>
        <w:tab/>
      </w:r>
      <w:r>
        <w:rPr>
          <w:position w:val="2"/>
        </w:rPr>
        <w:t>应税收入的</w:t>
      </w:r>
      <w:r>
        <w:rPr>
          <w:spacing w:val="-75"/>
          <w:position w:val="2"/>
        </w:rPr>
        <w:t> </w:t>
      </w:r>
      <w:r>
        <w:rPr>
          <w:rFonts w:ascii="Arial" w:hAnsi="Arial" w:cs="Arial" w:eastAsia="Arial" w:hint="default"/>
          <w:position w:val="2"/>
        </w:rPr>
        <w:t>3%</w:t>
      </w:r>
      <w:r>
        <w:rPr>
          <w:position w:val="2"/>
        </w:rPr>
        <w:t>或</w:t>
      </w:r>
      <w:r>
        <w:rPr>
          <w:spacing w:val="-76"/>
          <w:position w:val="2"/>
        </w:rPr>
        <w:t> </w:t>
      </w:r>
      <w:r>
        <w:rPr>
          <w:rFonts w:ascii="Arial" w:hAnsi="Arial" w:cs="Arial" w:eastAsia="Arial" w:hint="default"/>
          <w:position w:val="2"/>
        </w:rPr>
        <w:t>5%</w:t>
        <w:tab/>
      </w:r>
      <w:r>
        <w:rPr>
          <w:rFonts w:ascii="Arial" w:hAnsi="Arial" w:cs="Arial" w:eastAsia="Arial" w:hint="default"/>
          <w:spacing w:val="-1"/>
        </w:rPr>
        <w:t>5,661,801,435</w:t>
        <w:tab/>
        <w:t>4,780,964,712</w:t>
      </w:r>
    </w:p>
    <w:p>
      <w:pPr>
        <w:pStyle w:val="BodyText"/>
        <w:spacing w:line="270" w:lineRule="exact"/>
        <w:ind w:left="4592" w:right="3848"/>
        <w:jc w:val="center"/>
      </w:pPr>
      <w:r>
        <w:rPr/>
        <w:t>应缴营业税及</w:t>
      </w:r>
    </w:p>
    <w:p>
      <w:pPr>
        <w:spacing w:after="0" w:line="270" w:lineRule="exact"/>
        <w:jc w:val="center"/>
        <w:sectPr>
          <w:pgSz w:w="11900" w:h="16840"/>
          <w:pgMar w:header="1189" w:footer="752" w:top="3600" w:bottom="940" w:left="1280" w:right="820"/>
        </w:sectPr>
      </w:pPr>
    </w:p>
    <w:p>
      <w:pPr>
        <w:pStyle w:val="BodyText"/>
        <w:spacing w:line="286" w:lineRule="exact"/>
        <w:ind w:left="570" w:right="0"/>
        <w:jc w:val="left"/>
      </w:pPr>
      <w:r>
        <w:rPr>
          <w:w w:val="95"/>
        </w:rPr>
        <w:t>城市维护建设税及教育费附加等</w:t>
      </w:r>
      <w:r>
        <w:rPr/>
      </w:r>
    </w:p>
    <w:p>
      <w:pPr>
        <w:pStyle w:val="BodyText"/>
        <w:tabs>
          <w:tab w:pos="2436" w:val="left" w:leader="none"/>
          <w:tab w:pos="4246" w:val="left" w:leader="none"/>
          <w:tab w:pos="5457" w:val="left" w:leader="none"/>
        </w:tabs>
        <w:spacing w:line="317" w:lineRule="exact"/>
        <w:ind w:left="570" w:right="0"/>
        <w:jc w:val="left"/>
        <w:rPr>
          <w:rFonts w:ascii="Arial" w:hAnsi="Arial" w:cs="Arial" w:eastAsia="Arial" w:hint="default"/>
        </w:rPr>
      </w:pPr>
      <w:r>
        <w:rPr/>
        <w:br w:type="column"/>
      </w:r>
      <w:r>
        <w:rPr>
          <w:position w:val="2"/>
        </w:rPr>
        <w:t>增值税的</w:t>
      </w:r>
      <w:r>
        <w:rPr>
          <w:spacing w:val="-57"/>
          <w:position w:val="2"/>
        </w:rPr>
        <w:t> </w:t>
      </w:r>
      <w:r>
        <w:rPr>
          <w:rFonts w:ascii="Arial" w:hAnsi="Arial" w:cs="Arial" w:eastAsia="Arial" w:hint="default"/>
          <w:position w:val="2"/>
        </w:rPr>
        <w:t>10%</w:t>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689,826,733</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92,416,607</w:t>
        <w:tab/>
      </w:r>
      <w:r>
        <w:rPr>
          <w:rFonts w:ascii="Arial" w:hAnsi="Arial" w:cs="Arial" w:eastAsia="Arial" w:hint="default"/>
        </w:rPr>
      </w:r>
    </w:p>
    <w:p>
      <w:pPr>
        <w:spacing w:after="0" w:line="317" w:lineRule="exact"/>
        <w:jc w:val="left"/>
        <w:rPr>
          <w:rFonts w:ascii="Arial" w:hAnsi="Arial" w:cs="Arial" w:eastAsia="Arial" w:hint="default"/>
        </w:rPr>
        <w:sectPr>
          <w:type w:val="continuous"/>
          <w:pgSz w:w="11900" w:h="16840"/>
          <w:pgMar w:top="1600" w:bottom="280" w:left="1280" w:right="820"/>
          <w:cols w:num="2" w:equalWidth="0">
            <w:col w:w="3650" w:space="336"/>
            <w:col w:w="5814"/>
          </w:cols>
        </w:sectPr>
      </w:pPr>
    </w:p>
    <w:p>
      <w:pPr>
        <w:spacing w:line="240" w:lineRule="auto" w:before="7"/>
        <w:rPr>
          <w:rFonts w:ascii="Arial" w:hAnsi="Arial" w:cs="Arial" w:eastAsia="Arial" w:hint="default"/>
          <w:sz w:val="17"/>
          <w:szCs w:val="17"/>
        </w:rPr>
      </w:pPr>
    </w:p>
    <w:p>
      <w:pPr>
        <w:pStyle w:val="BodyText"/>
        <w:tabs>
          <w:tab w:pos="6239" w:val="left" w:leader="none"/>
          <w:tab w:pos="7928" w:val="left" w:leader="none"/>
        </w:tabs>
        <w:spacing w:line="240" w:lineRule="auto" w:before="27"/>
        <w:ind w:left="570" w:right="0"/>
        <w:jc w:val="left"/>
        <w:rPr>
          <w:rFonts w:ascii="Arial" w:hAnsi="Arial" w:cs="Arial" w:eastAsia="Arial" w:hint="default"/>
        </w:rPr>
      </w:pPr>
      <w:r>
        <w:rPr>
          <w:w w:val="95"/>
          <w:position w:val="2"/>
        </w:rPr>
        <w:t>合计</w:t>
        <w:tab/>
      </w:r>
      <w:r>
        <w:rPr>
          <w:rFonts w:ascii="Arial" w:hAnsi="Arial" w:cs="Arial" w:eastAsia="Arial" w:hint="default"/>
          <w:spacing w:val="-1"/>
        </w:rPr>
        <w:t>6,351,628,168</w:t>
        <w:tab/>
        <w:t>4,873,381,319</w:t>
      </w:r>
    </w:p>
    <w:p>
      <w:pPr>
        <w:spacing w:line="43" w:lineRule="exact"/>
        <w:ind w:left="6048" w:right="0" w:firstLine="0"/>
        <w:rPr>
          <w:rFonts w:ascii="Arial" w:hAnsi="Arial" w:cs="Arial" w:eastAsia="Arial" w:hint="default"/>
          <w:sz w:val="4"/>
          <w:szCs w:val="4"/>
        </w:rPr>
      </w:pPr>
      <w:r>
        <w:rPr>
          <w:rFonts w:ascii="Arial"/>
          <w:position w:val="0"/>
          <w:sz w:val="4"/>
        </w:rPr>
        <w:pict>
          <v:group style="width:83.6pt;height:2.2pt;mso-position-horizontal-relative:char;mso-position-vertical-relative:line" coordorigin="0,0" coordsize="1672,44">
            <v:group style="position:absolute;left:7;top:36;width:1658;height:2" coordorigin="7,36" coordsize="1658,2">
              <v:shape style="position:absolute;left:7;top:36;width:1658;height:2" coordorigin="7,36" coordsize="1658,0" path="m7,36l1664,36e" filled="false" stroked="true" strokeweight=".72pt" strokecolor="#000000">
                <v:path arrowok="t"/>
              </v:shape>
            </v:group>
            <v:group style="position:absolute;left:7;top:7;width:1658;height:2" coordorigin="7,7" coordsize="1658,2">
              <v:shape style="position:absolute;left:7;top:7;width:1658;height:2" coordorigin="7,7" coordsize="1658,0" path="m7,7l1664,7e" filled="false" stroked="true" strokeweight=".72pt" strokecolor="#000000">
                <v:path arrowok="t"/>
              </v:shape>
            </v:group>
          </v:group>
        </w:pict>
      </w:r>
      <w:r>
        <w:rPr>
          <w:rFonts w:ascii="Arial"/>
          <w:position w:val="0"/>
          <w:sz w:val="4"/>
        </w:rPr>
      </w:r>
      <w:r>
        <w:rPr>
          <w:rFonts w:ascii="Times New Roman"/>
          <w:spacing w:val="99"/>
          <w:position w:val="0"/>
          <w:sz w:val="4"/>
        </w:rPr>
        <w:t> </w:t>
      </w:r>
      <w:r>
        <w:rPr>
          <w:rFonts w:ascii="Arial"/>
          <w:spacing w:val="99"/>
          <w:position w:val="0"/>
          <w:sz w:val="4"/>
        </w:rPr>
        <w:pict>
          <v:group style="width:80.850pt;height:2.2pt;mso-position-horizontal-relative:char;mso-position-vertical-relative:line" coordorigin="0,0" coordsize="1617,44">
            <v:group style="position:absolute;left:7;top:36;width:1602;height:2" coordorigin="7,36" coordsize="1602,2">
              <v:shape style="position:absolute;left:7;top:36;width:1602;height:2" coordorigin="7,36" coordsize="1602,0" path="m7,36l1609,36e" filled="false" stroked="true" strokeweight=".72pt" strokecolor="#000000">
                <v:path arrowok="t"/>
              </v:shape>
            </v:group>
            <v:group style="position:absolute;left:7;top:7;width:1602;height:2" coordorigin="7,7" coordsize="1602,2">
              <v:shape style="position:absolute;left:7;top:7;width:1602;height:2" coordorigin="7,7" coordsize="1602,0" path="m7,7l1609,7e" filled="false" stroked="true" strokeweight=".72pt" strokecolor="#000000">
                <v:path arrowok="t"/>
              </v:shape>
            </v:group>
          </v:group>
        </w:pict>
      </w:r>
      <w:r>
        <w:rPr>
          <w:rFonts w:ascii="Arial"/>
          <w:spacing w:val="99"/>
          <w:position w:val="0"/>
          <w:sz w:val="4"/>
        </w:rPr>
      </w:r>
    </w:p>
    <w:p>
      <w:pPr>
        <w:spacing w:after="0" w:line="43" w:lineRule="exact"/>
        <w:rPr>
          <w:rFonts w:ascii="Arial" w:hAnsi="Arial" w:cs="Arial" w:eastAsia="Arial" w:hint="default"/>
          <w:sz w:val="4"/>
          <w:szCs w:val="4"/>
        </w:rPr>
        <w:sectPr>
          <w:type w:val="continuous"/>
          <w:pgSz w:w="11900" w:h="16840"/>
          <w:pgMar w:top="1600" w:bottom="280" w:left="1280" w:right="820"/>
        </w:sectPr>
      </w:pPr>
    </w:p>
    <w:p>
      <w:pPr>
        <w:spacing w:line="240" w:lineRule="auto" w:before="9"/>
        <w:rPr>
          <w:rFonts w:ascii="Times New Roman" w:hAnsi="Times New Roman" w:cs="Times New Roman" w:eastAsia="Times New Roman"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818"/>
        <w:gridCol w:w="2258"/>
        <w:gridCol w:w="191"/>
        <w:gridCol w:w="2266"/>
      </w:tblGrid>
      <w:tr>
        <w:trPr>
          <w:trHeight w:val="551"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503" w:right="0"/>
              <w:jc w:val="left"/>
              <w:rPr>
                <w:rFonts w:ascii="宋体" w:hAnsi="宋体" w:cs="宋体" w:eastAsia="宋体" w:hint="default"/>
                <w:sz w:val="22"/>
                <w:szCs w:val="22"/>
              </w:rPr>
            </w:pPr>
            <w:r>
              <w:rPr>
                <w:rFonts w:ascii="宋体" w:hAnsi="宋体" w:cs="宋体" w:eastAsia="宋体" w:hint="default"/>
                <w:sz w:val="22"/>
                <w:szCs w:val="22"/>
              </w:rPr>
              <w:t>销售渠道费用</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82"/>
              <w:jc w:val="right"/>
              <w:rPr>
                <w:rFonts w:ascii="Arial" w:hAnsi="Arial" w:cs="Arial" w:eastAsia="Arial" w:hint="default"/>
                <w:sz w:val="22"/>
                <w:szCs w:val="22"/>
              </w:rPr>
            </w:pPr>
            <w:r>
              <w:rPr>
                <w:rFonts w:ascii="Arial"/>
                <w:spacing w:val="-1"/>
                <w:sz w:val="22"/>
              </w:rPr>
              <w:t>17,457,384,811</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20" w:lineRule="exact"/>
              <w:ind w:left="599" w:right="0" w:firstLine="447"/>
              <w:jc w:val="left"/>
              <w:rPr>
                <w:rFonts w:ascii="宋体" w:hAnsi="宋体" w:cs="宋体" w:eastAsia="宋体" w:hint="default"/>
                <w:sz w:val="22"/>
                <w:szCs w:val="22"/>
              </w:rPr>
            </w:pPr>
            <w:r>
              <w:rPr>
                <w:rFonts w:ascii="宋体" w:hAnsi="宋体" w:cs="宋体" w:eastAsia="宋体" w:hint="default"/>
                <w:sz w:val="22"/>
                <w:szCs w:val="22"/>
              </w:rPr>
              <w:t>（经重列）</w:t>
            </w:r>
          </w:p>
          <w:p>
            <w:pPr>
              <w:pStyle w:val="TableParagraph"/>
              <w:spacing w:line="240" w:lineRule="auto" w:before="64"/>
              <w:ind w:left="599" w:right="0"/>
              <w:jc w:val="left"/>
              <w:rPr>
                <w:rFonts w:ascii="Arial" w:hAnsi="Arial" w:cs="Arial" w:eastAsia="Arial" w:hint="default"/>
                <w:sz w:val="22"/>
                <w:szCs w:val="22"/>
              </w:rPr>
            </w:pPr>
            <w:r>
              <w:rPr>
                <w:rFonts w:ascii="Arial"/>
                <w:sz w:val="22"/>
              </w:rPr>
              <w:t>13,776,034,274</w:t>
            </w:r>
          </w:p>
        </w:tc>
      </w:tr>
      <w:tr>
        <w:trPr>
          <w:trHeight w:val="286"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广告及业务宣传费等</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spacing w:val="-1"/>
                <w:sz w:val="22"/>
              </w:rPr>
              <w:t>4,271,261,041</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22" w:right="0"/>
              <w:jc w:val="left"/>
              <w:rPr>
                <w:rFonts w:ascii="Arial" w:hAnsi="Arial" w:cs="Arial" w:eastAsia="Arial" w:hint="default"/>
                <w:sz w:val="22"/>
                <w:szCs w:val="22"/>
              </w:rPr>
            </w:pPr>
            <w:r>
              <w:rPr>
                <w:rFonts w:ascii="Arial"/>
                <w:sz w:val="22"/>
              </w:rPr>
              <w:t>3,933,095,403</w:t>
            </w:r>
          </w:p>
        </w:tc>
      </w:tr>
      <w:tr>
        <w:trPr>
          <w:trHeight w:val="284"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用户保有成本及客服成本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22"/>
                <w:szCs w:val="22"/>
              </w:rPr>
            </w:pPr>
            <w:r>
              <w:rPr>
                <w:rFonts w:ascii="Arial"/>
                <w:spacing w:val="-1"/>
                <w:sz w:val="22"/>
              </w:rPr>
              <w:t>3,414,364,981</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22" w:right="0"/>
              <w:jc w:val="left"/>
              <w:rPr>
                <w:rFonts w:ascii="Arial" w:hAnsi="Arial" w:cs="Arial" w:eastAsia="Arial" w:hint="default"/>
                <w:sz w:val="22"/>
                <w:szCs w:val="22"/>
              </w:rPr>
            </w:pPr>
            <w:r>
              <w:rPr>
                <w:rFonts w:ascii="Arial"/>
                <w:sz w:val="22"/>
              </w:rPr>
              <w:t>2,809,984,698</w:t>
            </w:r>
          </w:p>
        </w:tc>
      </w:tr>
      <w:tr>
        <w:trPr>
          <w:trHeight w:val="286"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固网业务客户接入成本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spacing w:val="-1"/>
                <w:sz w:val="22"/>
              </w:rPr>
              <w:t>2,576,789,234</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22" w:right="0"/>
              <w:jc w:val="left"/>
              <w:rPr>
                <w:rFonts w:ascii="Arial" w:hAnsi="Arial" w:cs="Arial" w:eastAsia="Arial" w:hint="default"/>
                <w:sz w:val="22"/>
                <w:szCs w:val="22"/>
              </w:rPr>
            </w:pPr>
            <w:r>
              <w:rPr>
                <w:rFonts w:ascii="Arial"/>
                <w:sz w:val="22"/>
              </w:rPr>
              <w:t>2,434,510,814</w:t>
            </w:r>
          </w:p>
        </w:tc>
      </w:tr>
      <w:tr>
        <w:trPr>
          <w:trHeight w:val="419"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固网业务用户获取成本</w:t>
            </w:r>
          </w:p>
        </w:tc>
        <w:tc>
          <w:tcPr>
            <w:tcW w:w="2258" w:type="dxa"/>
            <w:tcBorders>
              <w:top w:val="nil" w:sz="6" w:space="0" w:color="auto"/>
              <w:left w:val="nil" w:sz="6" w:space="0" w:color="auto"/>
              <w:bottom w:val="nil" w:sz="6" w:space="0" w:color="auto"/>
              <w:right w:val="nil" w:sz="6" w:space="0" w:color="auto"/>
            </w:tcBorders>
          </w:tcPr>
          <w:p>
            <w:pPr>
              <w:pStyle w:val="TableParagraph"/>
              <w:tabs>
                <w:tab w:pos="753" w:val="left" w:leader="none"/>
                <w:tab w:pos="224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1,030,890,776</w:t>
              <w:tab/>
            </w:r>
            <w:r>
              <w:rPr>
                <w:rFonts w:ascii="Arial"/>
                <w:spacing w:val="-1"/>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905" w:val="left" w:leader="none"/>
                <w:tab w:pos="2230"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781,117,597</w:t>
              <w:tab/>
            </w:r>
            <w:r>
              <w:rPr>
                <w:rFonts w:ascii="Arial"/>
                <w:sz w:val="22"/>
              </w:rPr>
            </w:r>
          </w:p>
        </w:tc>
      </w:tr>
      <w:tr>
        <w:trPr>
          <w:trHeight w:val="430"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2"/>
              <w:jc w:val="right"/>
              <w:rPr>
                <w:rFonts w:ascii="Arial" w:hAnsi="Arial" w:cs="Arial" w:eastAsia="Arial" w:hint="default"/>
                <w:sz w:val="22"/>
                <w:szCs w:val="22"/>
              </w:rPr>
            </w:pPr>
            <w:r>
              <w:rPr>
                <w:rFonts w:ascii="Arial"/>
                <w:spacing w:val="-1"/>
                <w:sz w:val="22"/>
              </w:rPr>
              <w:t>28,750,690,843</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599" w:right="0"/>
              <w:jc w:val="left"/>
              <w:rPr>
                <w:rFonts w:ascii="Arial" w:hAnsi="Arial" w:cs="Arial" w:eastAsia="Arial" w:hint="default"/>
                <w:sz w:val="22"/>
                <w:szCs w:val="22"/>
              </w:rPr>
            </w:pPr>
            <w:r>
              <w:rPr>
                <w:rFonts w:ascii="Arial"/>
                <w:sz w:val="22"/>
              </w:rPr>
              <w:t>23,734,742,786</w:t>
            </w:r>
          </w:p>
        </w:tc>
      </w:tr>
      <w:tr>
        <w:trPr>
          <w:trHeight w:val="691"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38</w:t>
            </w:r>
            <w:r>
              <w:rPr>
                <w:rFonts w:ascii="宋体" w:hAnsi="宋体" w:cs="宋体" w:eastAsia="宋体" w:hint="default"/>
                <w:sz w:val="22"/>
                <w:szCs w:val="22"/>
              </w:rPr>
              <w:t>、管理费用</w:t>
            </w:r>
          </w:p>
        </w:tc>
        <w:tc>
          <w:tcPr>
            <w:tcW w:w="2258" w:type="dxa"/>
            <w:tcBorders>
              <w:top w:val="single" w:sz="17" w:space="0" w:color="000000"/>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single" w:sz="17" w:space="0" w:color="000000"/>
              <w:left w:val="nil" w:sz="6" w:space="0" w:color="auto"/>
              <w:bottom w:val="nil" w:sz="6" w:space="0" w:color="auto"/>
              <w:right w:val="nil" w:sz="6" w:space="0" w:color="auto"/>
            </w:tcBorders>
          </w:tcPr>
          <w:p>
            <w:pPr/>
          </w:p>
        </w:tc>
      </w:tr>
      <w:tr>
        <w:trPr>
          <w:trHeight w:val="415" w:hRule="exact"/>
        </w:trPr>
        <w:tc>
          <w:tcPr>
            <w:tcW w:w="4818"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31"/>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left="1164"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292" w:hRule="exact"/>
        </w:trPr>
        <w:tc>
          <w:tcPr>
            <w:tcW w:w="4818" w:type="dxa"/>
            <w:tcBorders>
              <w:top w:val="nil" w:sz="6" w:space="0" w:color="auto"/>
              <w:left w:val="nil" w:sz="6" w:space="0" w:color="auto"/>
              <w:bottom w:val="nil" w:sz="6" w:space="0" w:color="auto"/>
              <w:right w:val="nil" w:sz="6" w:space="0" w:color="auto"/>
            </w:tcBorders>
          </w:tcPr>
          <w:p>
            <w:pPr/>
          </w:p>
        </w:tc>
        <w:tc>
          <w:tcPr>
            <w:tcW w:w="2258" w:type="dxa"/>
            <w:tcBorders>
              <w:top w:val="single" w:sz="6" w:space="0" w:color="000000"/>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single" w:sz="6" w:space="0" w:color="000000"/>
              <w:left w:val="nil" w:sz="6" w:space="0" w:color="auto"/>
              <w:bottom w:val="nil" w:sz="6" w:space="0" w:color="auto"/>
              <w:right w:val="nil" w:sz="6" w:space="0" w:color="auto"/>
            </w:tcBorders>
          </w:tcPr>
          <w:p>
            <w:pPr>
              <w:pStyle w:val="TableParagraph"/>
              <w:spacing w:line="252" w:lineRule="exact"/>
              <w:ind w:left="1074" w:right="0"/>
              <w:jc w:val="left"/>
              <w:rPr>
                <w:rFonts w:ascii="宋体" w:hAnsi="宋体" w:cs="宋体" w:eastAsia="宋体" w:hint="default"/>
                <w:sz w:val="22"/>
                <w:szCs w:val="22"/>
              </w:rPr>
            </w:pPr>
            <w:r>
              <w:rPr>
                <w:rFonts w:ascii="宋体" w:hAnsi="宋体" w:cs="宋体" w:eastAsia="宋体" w:hint="default"/>
                <w:sz w:val="22"/>
                <w:szCs w:val="22"/>
              </w:rPr>
              <w:t>（经重列）</w:t>
            </w:r>
          </w:p>
        </w:tc>
      </w:tr>
      <w:tr>
        <w:trPr>
          <w:trHeight w:val="299"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53" w:lineRule="exact"/>
              <w:ind w:left="503"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2"/>
              <w:jc w:val="right"/>
              <w:rPr>
                <w:rFonts w:ascii="Arial" w:hAnsi="Arial" w:cs="Arial" w:eastAsia="Arial" w:hint="default"/>
                <w:sz w:val="22"/>
                <w:szCs w:val="22"/>
              </w:rPr>
            </w:pPr>
            <w:r>
              <w:rPr>
                <w:rFonts w:ascii="Arial"/>
                <w:spacing w:val="-1"/>
                <w:sz w:val="22"/>
              </w:rPr>
              <w:t>8,498,095,490</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22" w:right="0"/>
              <w:jc w:val="left"/>
              <w:rPr>
                <w:rFonts w:ascii="Arial" w:hAnsi="Arial" w:cs="Arial" w:eastAsia="Arial" w:hint="default"/>
                <w:sz w:val="22"/>
                <w:szCs w:val="22"/>
              </w:rPr>
            </w:pPr>
            <w:r>
              <w:rPr>
                <w:rFonts w:ascii="Arial"/>
                <w:sz w:val="22"/>
              </w:rPr>
              <w:t>7,498,025,809</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办公及交通费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spacing w:val="-1"/>
                <w:sz w:val="22"/>
              </w:rPr>
              <w:t>2,929,646,625</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22" w:right="0"/>
              <w:jc w:val="left"/>
              <w:rPr>
                <w:rFonts w:ascii="Arial" w:hAnsi="Arial" w:cs="Arial" w:eastAsia="Arial" w:hint="default"/>
                <w:sz w:val="22"/>
                <w:szCs w:val="22"/>
              </w:rPr>
            </w:pPr>
            <w:r>
              <w:rPr>
                <w:rFonts w:ascii="Arial"/>
                <w:sz w:val="22"/>
              </w:rPr>
              <w:t>2,718,395,488</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spacing w:val="-1"/>
                <w:sz w:val="22"/>
              </w:rPr>
              <w:t>2,977,795,327</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22" w:right="0"/>
              <w:jc w:val="left"/>
              <w:rPr>
                <w:rFonts w:ascii="Arial" w:hAnsi="Arial" w:cs="Arial" w:eastAsia="Arial" w:hint="default"/>
                <w:sz w:val="22"/>
                <w:szCs w:val="22"/>
              </w:rPr>
            </w:pPr>
            <w:r>
              <w:rPr>
                <w:rFonts w:ascii="Arial"/>
                <w:sz w:val="22"/>
              </w:rPr>
              <w:t>2,454,562,824</w:t>
            </w:r>
          </w:p>
        </w:tc>
      </w:tr>
      <w:tr>
        <w:trPr>
          <w:trHeight w:val="286"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w w:val="95"/>
                <w:sz w:val="22"/>
              </w:rPr>
              <w:t>277,273,964</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5" w:right="0"/>
              <w:jc w:val="left"/>
              <w:rPr>
                <w:rFonts w:ascii="Arial" w:hAnsi="Arial" w:cs="Arial" w:eastAsia="Arial" w:hint="default"/>
                <w:sz w:val="22"/>
                <w:szCs w:val="22"/>
              </w:rPr>
            </w:pPr>
            <w:r>
              <w:rPr>
                <w:rFonts w:ascii="Arial"/>
                <w:sz w:val="22"/>
              </w:rPr>
              <w:t>273,499,802</w:t>
            </w:r>
          </w:p>
        </w:tc>
      </w:tr>
      <w:tr>
        <w:trPr>
          <w:trHeight w:val="286"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水电取暖费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w w:val="95"/>
                <w:sz w:val="22"/>
              </w:rPr>
              <w:t>567,372,266</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5" w:right="0"/>
              <w:jc w:val="left"/>
              <w:rPr>
                <w:rFonts w:ascii="Arial" w:hAnsi="Arial" w:cs="Arial" w:eastAsia="Arial" w:hint="default"/>
                <w:sz w:val="22"/>
                <w:szCs w:val="22"/>
              </w:rPr>
            </w:pPr>
            <w:r>
              <w:rPr>
                <w:rFonts w:ascii="Arial"/>
                <w:sz w:val="22"/>
              </w:rPr>
              <w:t>535,509,305</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房屋租赁费用</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w w:val="95"/>
                <w:sz w:val="22"/>
              </w:rPr>
              <w:t>918,888,711</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5" w:right="0"/>
              <w:jc w:val="left"/>
              <w:rPr>
                <w:rFonts w:ascii="Arial" w:hAnsi="Arial" w:cs="Arial" w:eastAsia="Arial" w:hint="default"/>
                <w:sz w:val="22"/>
                <w:szCs w:val="22"/>
              </w:rPr>
            </w:pPr>
            <w:r>
              <w:rPr>
                <w:rFonts w:ascii="Arial"/>
                <w:sz w:val="22"/>
              </w:rPr>
              <w:t>832,905,302</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其他税费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w w:val="95"/>
                <w:sz w:val="22"/>
              </w:rPr>
              <w:t>964,799,310</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5" w:right="0"/>
              <w:jc w:val="left"/>
              <w:rPr>
                <w:rFonts w:ascii="Arial" w:hAnsi="Arial" w:cs="Arial" w:eastAsia="Arial" w:hint="default"/>
                <w:sz w:val="22"/>
                <w:szCs w:val="22"/>
              </w:rPr>
            </w:pPr>
            <w:r>
              <w:rPr>
                <w:rFonts w:ascii="Arial"/>
                <w:sz w:val="22"/>
              </w:rPr>
              <w:t>847,225,001</w:t>
            </w:r>
          </w:p>
        </w:tc>
      </w:tr>
      <w:tr>
        <w:trPr>
          <w:trHeight w:val="286"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专业服务及咨询费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w w:val="95"/>
                <w:sz w:val="22"/>
              </w:rPr>
              <w:t>139,552,441</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5" w:right="0"/>
              <w:jc w:val="left"/>
              <w:rPr>
                <w:rFonts w:ascii="Arial" w:hAnsi="Arial" w:cs="Arial" w:eastAsia="Arial" w:hint="default"/>
                <w:sz w:val="22"/>
                <w:szCs w:val="22"/>
              </w:rPr>
            </w:pPr>
            <w:r>
              <w:rPr>
                <w:rFonts w:ascii="Arial"/>
                <w:sz w:val="22"/>
              </w:rPr>
              <w:t>144,557,475</w:t>
            </w:r>
          </w:p>
        </w:tc>
      </w:tr>
      <w:tr>
        <w:trPr>
          <w:trHeight w:val="286"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以股份支付为基础的员工薪酬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17,356,207</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26" w:right="0"/>
              <w:jc w:val="left"/>
              <w:rPr>
                <w:rFonts w:ascii="Arial" w:hAnsi="Arial" w:cs="Arial" w:eastAsia="Arial" w:hint="default"/>
                <w:sz w:val="22"/>
                <w:szCs w:val="22"/>
              </w:rPr>
            </w:pPr>
            <w:r>
              <w:rPr>
                <w:rFonts w:ascii="Arial"/>
                <w:sz w:val="22"/>
              </w:rPr>
              <w:t>56,928,031</w:t>
            </w:r>
          </w:p>
        </w:tc>
      </w:tr>
      <w:tr>
        <w:trPr>
          <w:trHeight w:val="419"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58" w:type="dxa"/>
            <w:tcBorders>
              <w:top w:val="nil" w:sz="6" w:space="0" w:color="auto"/>
              <w:left w:val="nil" w:sz="6" w:space="0" w:color="auto"/>
              <w:bottom w:val="nil" w:sz="6" w:space="0" w:color="auto"/>
              <w:right w:val="nil" w:sz="6" w:space="0" w:color="auto"/>
            </w:tcBorders>
          </w:tcPr>
          <w:p>
            <w:pPr>
              <w:pStyle w:val="TableParagraph"/>
              <w:tabs>
                <w:tab w:pos="937" w:val="left" w:leader="none"/>
                <w:tab w:pos="224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908,957,371</w:t>
            </w:r>
            <w:r>
              <w:rPr>
                <w:rFonts w:ascii="Arial"/>
                <w:sz w:val="22"/>
                <w:u w:val="single" w:color="000000"/>
              </w:rPr>
              <w:tab/>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905" w:val="left" w:leader="none"/>
                <w:tab w:pos="2230"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761,664,245</w:t>
              <w:tab/>
            </w:r>
            <w:r>
              <w:rPr>
                <w:rFonts w:ascii="Arial"/>
                <w:sz w:val="22"/>
              </w:rPr>
            </w:r>
          </w:p>
        </w:tc>
      </w:tr>
      <w:tr>
        <w:trPr>
          <w:trHeight w:val="430"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2"/>
              <w:jc w:val="right"/>
              <w:rPr>
                <w:rFonts w:ascii="Arial" w:hAnsi="Arial" w:cs="Arial" w:eastAsia="Arial" w:hint="default"/>
                <w:sz w:val="22"/>
                <w:szCs w:val="22"/>
              </w:rPr>
            </w:pPr>
            <w:r>
              <w:rPr>
                <w:rFonts w:ascii="Arial"/>
                <w:spacing w:val="-1"/>
                <w:sz w:val="22"/>
              </w:rPr>
              <w:t>18,199,737,712</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599" w:right="0"/>
              <w:jc w:val="left"/>
              <w:rPr>
                <w:rFonts w:ascii="Arial" w:hAnsi="Arial" w:cs="Arial" w:eastAsia="Arial" w:hint="default"/>
                <w:sz w:val="22"/>
                <w:szCs w:val="22"/>
              </w:rPr>
            </w:pPr>
            <w:r>
              <w:rPr>
                <w:rFonts w:ascii="Arial"/>
                <w:sz w:val="22"/>
              </w:rPr>
              <w:t>16,123,273,282</w:t>
            </w:r>
          </w:p>
        </w:tc>
      </w:tr>
    </w:tbl>
    <w:p>
      <w:pPr>
        <w:spacing w:after="0" w:line="240" w:lineRule="auto"/>
        <w:jc w:val="left"/>
        <w:rPr>
          <w:rFonts w:ascii="Arial" w:hAnsi="Arial" w:cs="Arial" w:eastAsia="Arial" w:hint="default"/>
          <w:sz w:val="22"/>
          <w:szCs w:val="22"/>
        </w:rPr>
        <w:sectPr>
          <w:headerReference w:type="default" r:id="rId123"/>
          <w:pgSz w:w="11900" w:h="16840"/>
          <w:pgMar w:header="1189" w:footer="752" w:top="4180" w:bottom="940" w:left="1240" w:right="900"/>
        </w:sectPr>
      </w:pPr>
    </w:p>
    <w:p>
      <w:pPr>
        <w:pStyle w:val="BodyText"/>
        <w:spacing w:line="252" w:lineRule="exact"/>
        <w:ind w:left="0" w:right="152"/>
        <w:jc w:val="right"/>
      </w:pPr>
      <w:r>
        <w:rPr>
          <w:w w:val="95"/>
        </w:rPr>
        <w:t>（经重列）</w:t>
      </w:r>
      <w:r>
        <w:rPr/>
      </w:r>
    </w:p>
    <w:p>
      <w:pPr>
        <w:spacing w:line="240" w:lineRule="auto" w:before="1"/>
        <w:rPr>
          <w:rFonts w:ascii="宋体" w:hAnsi="宋体" w:cs="宋体" w:eastAsia="宋体" w:hint="default"/>
          <w:sz w:val="3"/>
          <w:szCs w:val="3"/>
        </w:rPr>
      </w:pPr>
    </w:p>
    <w:tbl>
      <w:tblPr>
        <w:tblW w:w="0" w:type="auto"/>
        <w:jc w:val="left"/>
        <w:tblInd w:w="516" w:type="dxa"/>
        <w:tblLayout w:type="fixed"/>
        <w:tblCellMar>
          <w:top w:w="0" w:type="dxa"/>
          <w:left w:w="0" w:type="dxa"/>
          <w:bottom w:w="0" w:type="dxa"/>
          <w:right w:w="0" w:type="dxa"/>
        </w:tblCellMar>
        <w:tblLook w:val="01E0"/>
      </w:tblPr>
      <w:tblGrid>
        <w:gridCol w:w="4369"/>
        <w:gridCol w:w="2258"/>
        <w:gridCol w:w="191"/>
        <w:gridCol w:w="2266"/>
      </w:tblGrid>
      <w:tr>
        <w:trPr>
          <w:trHeight w:val="292"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24"/>
              <w:jc w:val="right"/>
              <w:rPr>
                <w:rFonts w:ascii="Arial" w:hAnsi="Arial" w:cs="Arial" w:eastAsia="Arial" w:hint="default"/>
                <w:sz w:val="22"/>
                <w:szCs w:val="22"/>
              </w:rPr>
            </w:pPr>
            <w:r>
              <w:rPr>
                <w:rFonts w:ascii="Arial"/>
                <w:spacing w:val="-1"/>
                <w:sz w:val="22"/>
              </w:rPr>
              <w:t>3,484,213,442</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2"/>
              <w:jc w:val="right"/>
              <w:rPr>
                <w:rFonts w:ascii="Arial" w:hAnsi="Arial" w:cs="Arial" w:eastAsia="Arial" w:hint="default"/>
                <w:sz w:val="22"/>
                <w:szCs w:val="22"/>
              </w:rPr>
            </w:pPr>
            <w:r>
              <w:rPr>
                <w:rFonts w:ascii="Arial"/>
                <w:spacing w:val="-1"/>
                <w:sz w:val="22"/>
              </w:rPr>
              <w:t>2,713,392,240</w:t>
            </w:r>
          </w:p>
        </w:tc>
      </w:tr>
      <w:tr>
        <w:trPr>
          <w:trHeight w:val="419"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减：资本化利息</w:t>
            </w:r>
          </w:p>
        </w:tc>
        <w:tc>
          <w:tcPr>
            <w:tcW w:w="2258" w:type="dxa"/>
            <w:tcBorders>
              <w:top w:val="nil" w:sz="6" w:space="0" w:color="auto"/>
              <w:left w:val="nil" w:sz="6" w:space="0" w:color="auto"/>
              <w:bottom w:val="nil" w:sz="6" w:space="0" w:color="auto"/>
              <w:right w:val="nil" w:sz="6" w:space="0" w:color="auto"/>
            </w:tcBorders>
          </w:tcPr>
          <w:p>
            <w:pPr>
              <w:pStyle w:val="TableParagraph"/>
              <w:tabs>
                <w:tab w:pos="637" w:val="left" w:leader="none"/>
              </w:tabs>
              <w:spacing w:line="240" w:lineRule="auto" w:before="17"/>
              <w:ind w:right="5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(1,150,973,645)</w:t>
            </w:r>
            <w:r>
              <w:rPr>
                <w:rFonts w:ascii="Arial"/>
                <w:w w:val="95"/>
                <w:sz w:val="22"/>
              </w:rPr>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820" w:val="left" w:leader="none"/>
              </w:tabs>
              <w:spacing w:line="240" w:lineRule="auto" w:before="17"/>
              <w:ind w:right="5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(803,830,587)</w:t>
            </w:r>
            <w:r>
              <w:rPr>
                <w:rFonts w:ascii="Arial"/>
                <w:w w:val="95"/>
                <w:sz w:val="22"/>
              </w:rPr>
            </w:r>
            <w:r>
              <w:rPr>
                <w:rFonts w:ascii="Arial"/>
                <w:sz w:val="22"/>
              </w:rPr>
            </w:r>
          </w:p>
        </w:tc>
      </w:tr>
      <w:tr>
        <w:trPr>
          <w:trHeight w:val="419"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净利息支出</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24"/>
              <w:jc w:val="right"/>
              <w:rPr>
                <w:rFonts w:ascii="Arial" w:hAnsi="Arial" w:cs="Arial" w:eastAsia="Arial" w:hint="default"/>
                <w:sz w:val="22"/>
                <w:szCs w:val="22"/>
              </w:rPr>
            </w:pPr>
            <w:r>
              <w:rPr>
                <w:rFonts w:ascii="Arial"/>
                <w:spacing w:val="-1"/>
                <w:sz w:val="22"/>
              </w:rPr>
              <w:t>2,333,239,797</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1"/>
              <w:jc w:val="right"/>
              <w:rPr>
                <w:rFonts w:ascii="Arial" w:hAnsi="Arial" w:cs="Arial" w:eastAsia="Arial" w:hint="default"/>
                <w:sz w:val="22"/>
                <w:szCs w:val="22"/>
              </w:rPr>
            </w:pPr>
            <w:r>
              <w:rPr>
                <w:rFonts w:ascii="Arial"/>
                <w:spacing w:val="-1"/>
                <w:sz w:val="22"/>
              </w:rPr>
              <w:t>1,909,561,653</w:t>
            </w:r>
          </w:p>
        </w:tc>
      </w:tr>
      <w:tr>
        <w:trPr>
          <w:trHeight w:val="285"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
              <w:jc w:val="right"/>
              <w:rPr>
                <w:rFonts w:ascii="Arial" w:hAnsi="Arial" w:cs="Arial" w:eastAsia="Arial" w:hint="default"/>
                <w:sz w:val="22"/>
                <w:szCs w:val="22"/>
              </w:rPr>
            </w:pPr>
            <w:r>
              <w:rPr>
                <w:rFonts w:ascii="Arial"/>
                <w:w w:val="95"/>
                <w:sz w:val="22"/>
              </w:rPr>
              <w:t>(230,951,115)</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8"/>
              <w:jc w:val="right"/>
              <w:rPr>
                <w:rFonts w:ascii="Arial" w:hAnsi="Arial" w:cs="Arial" w:eastAsia="Arial" w:hint="default"/>
                <w:sz w:val="22"/>
                <w:szCs w:val="22"/>
              </w:rPr>
            </w:pPr>
            <w:r>
              <w:rPr>
                <w:rFonts w:ascii="Arial"/>
                <w:w w:val="95"/>
                <w:sz w:val="22"/>
              </w:rPr>
              <w:t>(144,120,991)</w:t>
            </w:r>
            <w:r>
              <w:rPr>
                <w:rFonts w:ascii="Arial"/>
                <w:sz w:val="22"/>
              </w:rPr>
            </w:r>
          </w:p>
        </w:tc>
      </w:tr>
      <w:tr>
        <w:trPr>
          <w:trHeight w:val="285"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39" w:lineRule="exact"/>
              <w:ind w:left="497" w:right="0"/>
              <w:jc w:val="left"/>
              <w:rPr>
                <w:rFonts w:ascii="宋体" w:hAnsi="宋体" w:cs="宋体" w:eastAsia="宋体" w:hint="default"/>
                <w:sz w:val="22"/>
                <w:szCs w:val="22"/>
              </w:rPr>
            </w:pPr>
            <w:r>
              <w:rPr>
                <w:rFonts w:ascii="宋体" w:hAnsi="宋体" w:cs="宋体" w:eastAsia="宋体" w:hint="default"/>
                <w:sz w:val="22"/>
                <w:szCs w:val="22"/>
              </w:rPr>
              <w:t>汇兑净收益</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
              <w:jc w:val="right"/>
              <w:rPr>
                <w:rFonts w:ascii="Arial" w:hAnsi="Arial" w:cs="Arial" w:eastAsia="Arial" w:hint="default"/>
                <w:sz w:val="22"/>
                <w:szCs w:val="22"/>
              </w:rPr>
            </w:pPr>
            <w:r>
              <w:rPr>
                <w:rFonts w:ascii="Arial"/>
                <w:w w:val="95"/>
                <w:sz w:val="22"/>
              </w:rPr>
              <w:t>(1,206,660,450)</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8"/>
              <w:jc w:val="right"/>
              <w:rPr>
                <w:rFonts w:ascii="Arial" w:hAnsi="Arial" w:cs="Arial" w:eastAsia="Arial" w:hint="default"/>
                <w:sz w:val="22"/>
                <w:szCs w:val="22"/>
              </w:rPr>
            </w:pPr>
            <w:r>
              <w:rPr>
                <w:rFonts w:ascii="Arial"/>
                <w:w w:val="95"/>
                <w:sz w:val="22"/>
              </w:rPr>
              <w:t>(368,130,570)</w:t>
            </w:r>
            <w:r>
              <w:rPr>
                <w:rFonts w:ascii="Arial"/>
                <w:sz w:val="22"/>
              </w:rPr>
            </w:r>
          </w:p>
        </w:tc>
      </w:tr>
      <w:tr>
        <w:trPr>
          <w:trHeight w:val="419"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金融机构手续费及其他</w:t>
            </w:r>
          </w:p>
        </w:tc>
        <w:tc>
          <w:tcPr>
            <w:tcW w:w="2258" w:type="dxa"/>
            <w:tcBorders>
              <w:top w:val="nil" w:sz="6" w:space="0" w:color="auto"/>
              <w:left w:val="nil" w:sz="6" w:space="0" w:color="auto"/>
              <w:bottom w:val="nil" w:sz="6" w:space="0" w:color="auto"/>
              <w:right w:val="nil" w:sz="6" w:space="0" w:color="auto"/>
            </w:tcBorders>
          </w:tcPr>
          <w:p>
            <w:pPr>
              <w:pStyle w:val="TableParagraph"/>
              <w:tabs>
                <w:tab w:pos="895" w:val="left" w:leader="none"/>
                <w:tab w:pos="224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347,454,455</w:t>
            </w:r>
            <w:r>
              <w:rPr>
                <w:rFonts w:ascii="Arial"/>
                <w:sz w:val="22"/>
                <w:u w:val="single" w:color="000000"/>
              </w:rPr>
              <w:tab/>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895" w:val="left" w:leader="none"/>
                <w:tab w:pos="2216"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226,693,032</w:t>
            </w:r>
            <w:r>
              <w:rPr>
                <w:rFonts w:ascii="Arial"/>
                <w:sz w:val="22"/>
                <w:u w:val="single" w:color="000000"/>
              </w:rPr>
              <w:tab/>
            </w:r>
            <w:r>
              <w:rPr>
                <w:rFonts w:ascii="Arial"/>
                <w:sz w:val="22"/>
              </w:rPr>
            </w:r>
          </w:p>
        </w:tc>
      </w:tr>
      <w:tr>
        <w:trPr>
          <w:trHeight w:val="430"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4"/>
              <w:jc w:val="right"/>
              <w:rPr>
                <w:rFonts w:ascii="Arial" w:hAnsi="Arial" w:cs="Arial" w:eastAsia="Arial" w:hint="default"/>
                <w:sz w:val="22"/>
                <w:szCs w:val="22"/>
              </w:rPr>
            </w:pPr>
            <w:r>
              <w:rPr>
                <w:rFonts w:ascii="Arial"/>
                <w:spacing w:val="-1"/>
                <w:sz w:val="22"/>
              </w:rPr>
              <w:t>1,243,082,687</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31"/>
              <w:jc w:val="right"/>
              <w:rPr>
                <w:rFonts w:ascii="Arial" w:hAnsi="Arial" w:cs="Arial" w:eastAsia="Arial" w:hint="default"/>
                <w:sz w:val="22"/>
                <w:szCs w:val="22"/>
              </w:rPr>
            </w:pPr>
            <w:r>
              <w:rPr>
                <w:rFonts w:ascii="Arial"/>
                <w:spacing w:val="-1"/>
                <w:sz w:val="22"/>
              </w:rPr>
              <w:t>1,624,003,124</w:t>
            </w:r>
          </w:p>
        </w:tc>
      </w:tr>
    </w:tbl>
    <w:p>
      <w:pPr>
        <w:spacing w:line="240" w:lineRule="auto" w:before="7"/>
        <w:rPr>
          <w:rFonts w:ascii="宋体" w:hAnsi="宋体" w:cs="宋体" w:eastAsia="宋体" w:hint="default"/>
          <w:sz w:val="12"/>
          <w:szCs w:val="12"/>
        </w:rPr>
      </w:pPr>
    </w:p>
    <w:p>
      <w:pPr>
        <w:pStyle w:val="BodyText"/>
        <w:spacing w:line="295" w:lineRule="exact" w:before="31"/>
        <w:ind w:left="552" w:right="0"/>
        <w:jc w:val="left"/>
      </w:pPr>
      <w:r>
        <w:rPr/>
        <w:t>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日，应收利息款项约人民币</w:t>
      </w:r>
      <w:r>
        <w:rPr>
          <w:spacing w:val="-57"/>
        </w:rPr>
        <w:t> </w:t>
      </w:r>
      <w:r>
        <w:rPr>
          <w:rFonts w:ascii="Arial" w:hAnsi="Arial" w:cs="Arial" w:eastAsia="Arial" w:hint="default"/>
        </w:rPr>
        <w:t>158.33</w:t>
      </w:r>
      <w:r>
        <w:rPr>
          <w:rFonts w:ascii="Arial" w:hAnsi="Arial" w:cs="Arial" w:eastAsia="Arial" w:hint="default"/>
          <w:spacing w:val="-9"/>
        </w:rPr>
        <w:t> </w:t>
      </w:r>
      <w:r>
        <w:rPr>
          <w:spacing w:val="-4"/>
        </w:rPr>
        <w:t>万元（</w:t>
      </w:r>
      <w:r>
        <w:rPr>
          <w:rFonts w:ascii="Arial" w:hAnsi="Arial" w:cs="Arial" w:eastAsia="Arial" w:hint="default"/>
          <w:spacing w:val="-4"/>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spacing w:val="-4"/>
        </w:rPr>
        <w:t>日：约人民币</w:t>
      </w:r>
    </w:p>
    <w:p>
      <w:pPr>
        <w:pStyle w:val="BodyText"/>
        <w:spacing w:line="295" w:lineRule="exact"/>
        <w:ind w:left="552" w:right="0"/>
        <w:jc w:val="left"/>
      </w:pPr>
      <w:r>
        <w:rPr>
          <w:rFonts w:ascii="Arial" w:hAnsi="Arial" w:cs="Arial" w:eastAsia="Arial" w:hint="default"/>
        </w:rPr>
        <w:t>165.41</w:t>
      </w:r>
      <w:r>
        <w:rPr>
          <w:rFonts w:ascii="Arial" w:hAnsi="Arial" w:cs="Arial" w:eastAsia="Arial" w:hint="default"/>
          <w:spacing w:val="-9"/>
        </w:rPr>
        <w:t> </w:t>
      </w:r>
      <w:r>
        <w:rPr/>
        <w:t>万元）。</w:t>
      </w:r>
    </w:p>
    <w:p>
      <w:pPr>
        <w:spacing w:line="240" w:lineRule="auto" w:before="13"/>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40</w:t>
      </w:r>
      <w:r>
        <w:rPr/>
        <w:t>、投资收益</w:t>
      </w:r>
    </w:p>
    <w:p>
      <w:pPr>
        <w:spacing w:line="240" w:lineRule="auto" w:before="6"/>
        <w:rPr>
          <w:rFonts w:ascii="宋体" w:hAnsi="宋体" w:cs="宋体" w:eastAsia="宋体" w:hint="default"/>
          <w:sz w:val="15"/>
          <w:szCs w:val="15"/>
        </w:rPr>
      </w:pPr>
    </w:p>
    <w:tbl>
      <w:tblPr>
        <w:tblW w:w="0" w:type="auto"/>
        <w:jc w:val="left"/>
        <w:tblInd w:w="517" w:type="dxa"/>
        <w:tblLayout w:type="fixed"/>
        <w:tblCellMar>
          <w:top w:w="0" w:type="dxa"/>
          <w:left w:w="0" w:type="dxa"/>
          <w:bottom w:w="0" w:type="dxa"/>
          <w:right w:w="0" w:type="dxa"/>
        </w:tblCellMar>
        <w:tblLook w:val="01E0"/>
      </w:tblPr>
      <w:tblGrid>
        <w:gridCol w:w="4359"/>
        <w:gridCol w:w="2290"/>
        <w:gridCol w:w="222"/>
        <w:gridCol w:w="2167"/>
      </w:tblGrid>
      <w:tr>
        <w:trPr>
          <w:trHeight w:val="361" w:hRule="exact"/>
        </w:trPr>
        <w:tc>
          <w:tcPr>
            <w:tcW w:w="4359"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1216"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2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4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6" w:right="0"/>
              <w:jc w:val="left"/>
              <w:rPr>
                <w:rFonts w:ascii="宋体" w:hAnsi="宋体" w:cs="宋体" w:eastAsia="宋体" w:hint="default"/>
                <w:sz w:val="22"/>
                <w:szCs w:val="22"/>
              </w:rPr>
            </w:pPr>
            <w:r>
              <w:rPr>
                <w:rFonts w:ascii="宋体" w:hAnsi="宋体" w:cs="宋体" w:eastAsia="宋体" w:hint="default"/>
                <w:sz w:val="22"/>
                <w:szCs w:val="22"/>
              </w:rPr>
              <w:t>持有可供出售金融资产期间取得的股利收益</w:t>
            </w:r>
          </w:p>
        </w:tc>
        <w:tc>
          <w:tcPr>
            <w:tcW w:w="229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41" w:right="0"/>
              <w:jc w:val="left"/>
              <w:rPr>
                <w:rFonts w:ascii="Arial" w:hAnsi="Arial" w:cs="Arial" w:eastAsia="Arial" w:hint="default"/>
                <w:sz w:val="22"/>
                <w:szCs w:val="22"/>
              </w:rPr>
            </w:pPr>
            <w:r>
              <w:rPr>
                <w:rFonts w:ascii="Arial"/>
                <w:sz w:val="22"/>
              </w:rPr>
              <w:t>867,488,912</w:t>
            </w:r>
          </w:p>
        </w:tc>
        <w:tc>
          <w:tcPr>
            <w:tcW w:w="222" w:type="dxa"/>
            <w:tcBorders>
              <w:top w:val="nil" w:sz="6" w:space="0" w:color="auto"/>
              <w:left w:val="nil" w:sz="6" w:space="0" w:color="auto"/>
              <w:bottom w:val="nil" w:sz="6" w:space="0" w:color="auto"/>
              <w:right w:val="nil" w:sz="6" w:space="0" w:color="auto"/>
            </w:tcBorders>
          </w:tcPr>
          <w:p>
            <w:pPr/>
          </w:p>
        </w:tc>
        <w:tc>
          <w:tcPr>
            <w:tcW w:w="216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8"/>
              <w:jc w:val="right"/>
              <w:rPr>
                <w:rFonts w:ascii="Arial" w:hAnsi="Arial" w:cs="Arial" w:eastAsia="Arial" w:hint="default"/>
                <w:sz w:val="22"/>
                <w:szCs w:val="22"/>
              </w:rPr>
            </w:pPr>
            <w:r>
              <w:rPr>
                <w:rFonts w:ascii="Arial"/>
                <w:w w:val="95"/>
                <w:sz w:val="22"/>
              </w:rPr>
              <w:t>484,749,959</w:t>
            </w:r>
            <w:r>
              <w:rPr>
                <w:rFonts w:ascii="Arial"/>
                <w:sz w:val="22"/>
              </w:rPr>
            </w:r>
          </w:p>
        </w:tc>
      </w:tr>
      <w:tr>
        <w:trPr>
          <w:trHeight w:val="286"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39" w:lineRule="exact"/>
              <w:ind w:left="46"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权益法核算的长期股权投资损失</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12" w:right="0"/>
              <w:jc w:val="left"/>
              <w:rPr>
                <w:rFonts w:ascii="Arial" w:hAnsi="Arial" w:cs="Arial" w:eastAsia="Arial" w:hint="default"/>
                <w:sz w:val="22"/>
                <w:szCs w:val="22"/>
              </w:rPr>
            </w:pPr>
            <w:r>
              <w:rPr>
                <w:rFonts w:ascii="Arial"/>
                <w:sz w:val="22"/>
              </w:rPr>
              <w:t>(1,248,336)</w:t>
            </w:r>
          </w:p>
        </w:tc>
        <w:tc>
          <w:tcPr>
            <w:tcW w:w="22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(16,447)</w:t>
            </w:r>
            <w:r>
              <w:rPr>
                <w:rFonts w:ascii="Arial"/>
                <w:sz w:val="22"/>
              </w:rPr>
            </w:r>
          </w:p>
        </w:tc>
      </w:tr>
      <w:tr>
        <w:trPr>
          <w:trHeight w:val="419"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39" w:lineRule="exact"/>
              <w:ind w:left="4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90" w:type="dxa"/>
            <w:tcBorders>
              <w:top w:val="nil" w:sz="6" w:space="0" w:color="auto"/>
              <w:left w:val="nil" w:sz="6" w:space="0" w:color="auto"/>
              <w:bottom w:val="nil" w:sz="6" w:space="0" w:color="auto"/>
              <w:right w:val="nil" w:sz="6" w:space="0" w:color="auto"/>
            </w:tcBorders>
          </w:tcPr>
          <w:p>
            <w:pPr>
              <w:pStyle w:val="TableParagraph"/>
              <w:tabs>
                <w:tab w:pos="2091" w:val="left" w:leader="none"/>
                <w:tab w:pos="2289"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2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tabs>
                <w:tab w:pos="1113" w:val="left" w:leader="none"/>
                <w:tab w:pos="2117"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(106,753)</w:t>
            </w:r>
            <w:r>
              <w:rPr>
                <w:rFonts w:ascii="Arial"/>
                <w:sz w:val="22"/>
                <w:u w:val="single" w:color="000000"/>
              </w:rPr>
              <w:tab/>
            </w:r>
            <w:r>
              <w:rPr>
                <w:rFonts w:ascii="Arial"/>
                <w:sz w:val="22"/>
              </w:rPr>
            </w:r>
          </w:p>
        </w:tc>
      </w:tr>
      <w:tr>
        <w:trPr>
          <w:trHeight w:val="43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9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942" w:right="0"/>
              <w:jc w:val="left"/>
              <w:rPr>
                <w:rFonts w:ascii="Arial" w:hAnsi="Arial" w:cs="Arial" w:eastAsia="Arial" w:hint="default"/>
                <w:sz w:val="22"/>
                <w:szCs w:val="22"/>
              </w:rPr>
            </w:pPr>
            <w:r>
              <w:rPr>
                <w:rFonts w:ascii="Arial"/>
                <w:sz w:val="22"/>
              </w:rPr>
              <w:t>866,240,576</w:t>
            </w:r>
          </w:p>
        </w:tc>
        <w:tc>
          <w:tcPr>
            <w:tcW w:w="22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68"/>
              <w:jc w:val="right"/>
              <w:rPr>
                <w:rFonts w:ascii="Arial" w:hAnsi="Arial" w:cs="Arial" w:eastAsia="Arial" w:hint="default"/>
                <w:sz w:val="22"/>
                <w:szCs w:val="22"/>
              </w:rPr>
            </w:pPr>
            <w:r>
              <w:rPr>
                <w:rFonts w:ascii="Arial"/>
                <w:w w:val="95"/>
                <w:sz w:val="22"/>
              </w:rPr>
              <w:t>484,626,759</w:t>
            </w:r>
            <w:r>
              <w:rPr>
                <w:rFonts w:ascii="Arial"/>
                <w:sz w:val="22"/>
              </w:rPr>
            </w:r>
          </w:p>
        </w:tc>
      </w:tr>
      <w:tr>
        <w:trPr>
          <w:trHeight w:val="65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2"/>
                <w:szCs w:val="22"/>
              </w:rPr>
              <w:t>本集团不存在投资收益汇回的重大限制</w:t>
            </w:r>
            <w:r>
              <w:rPr>
                <w:rFonts w:ascii="宋体" w:hAnsi="宋体" w:cs="宋体" w:eastAsia="宋体" w:hint="default"/>
                <w:sz w:val="24"/>
                <w:szCs w:val="24"/>
              </w:rPr>
              <w:t>。</w:t>
            </w:r>
          </w:p>
        </w:tc>
        <w:tc>
          <w:tcPr>
            <w:tcW w:w="2290" w:type="dxa"/>
            <w:tcBorders>
              <w:top w:val="single" w:sz="17" w:space="0" w:color="000000"/>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2167" w:type="dxa"/>
            <w:tcBorders>
              <w:top w:val="single" w:sz="17" w:space="0" w:color="000000"/>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0"/>
          <w:szCs w:val="10"/>
        </w:rPr>
      </w:pPr>
    </w:p>
    <w:p>
      <w:pPr>
        <w:pStyle w:val="BodyText"/>
        <w:spacing w:line="424" w:lineRule="auto" w:before="31"/>
        <w:ind w:left="102" w:right="1298" w:firstLine="450"/>
        <w:jc w:val="left"/>
      </w:pPr>
      <w:r>
        <w:rPr/>
        <w:t>无权益法核算的长期股权投资投资收益占本集团利润总额</w:t>
      </w:r>
      <w:r>
        <w:rPr>
          <w:spacing w:val="-58"/>
        </w:rPr>
        <w:t> </w:t>
      </w:r>
      <w:r>
        <w:rPr>
          <w:rFonts w:ascii="Arial" w:hAnsi="Arial" w:cs="Arial" w:eastAsia="Arial" w:hint="default"/>
        </w:rPr>
        <w:t>5%</w:t>
      </w:r>
      <w:r>
        <w:rPr/>
        <w:t>以上的被投资单位。</w:t>
      </w:r>
      <w:r>
        <w:rPr>
          <w:w w:val="99"/>
        </w:rPr>
        <w:t> </w:t>
      </w:r>
      <w:r>
        <w:rPr>
          <w:rFonts w:ascii="Arial" w:hAnsi="Arial" w:cs="Arial" w:eastAsia="Arial" w:hint="default"/>
        </w:rPr>
        <w:t>41</w:t>
      </w:r>
      <w:r>
        <w:rPr/>
        <w:t>、资产减值损失</w:t>
      </w:r>
    </w:p>
    <w:tbl>
      <w:tblPr>
        <w:tblW w:w="0" w:type="auto"/>
        <w:jc w:val="left"/>
        <w:tblInd w:w="516" w:type="dxa"/>
        <w:tblLayout w:type="fixed"/>
        <w:tblCellMar>
          <w:top w:w="0" w:type="dxa"/>
          <w:left w:w="0" w:type="dxa"/>
          <w:bottom w:w="0" w:type="dxa"/>
          <w:right w:w="0" w:type="dxa"/>
        </w:tblCellMar>
        <w:tblLook w:val="01E0"/>
      </w:tblPr>
      <w:tblGrid>
        <w:gridCol w:w="4369"/>
        <w:gridCol w:w="2258"/>
        <w:gridCol w:w="191"/>
        <w:gridCol w:w="2266"/>
      </w:tblGrid>
      <w:tr>
        <w:trPr>
          <w:trHeight w:val="361" w:hRule="exact"/>
        </w:trPr>
        <w:tc>
          <w:tcPr>
            <w:tcW w:w="4369" w:type="dxa"/>
            <w:vMerge w:val="restart"/>
            <w:tcBorders>
              <w:top w:val="nil" w:sz="6" w:space="0" w:color="auto"/>
              <w:left w:val="nil" w:sz="6" w:space="0" w:color="auto"/>
              <w:right w:val="nil" w:sz="6" w:space="0" w:color="auto"/>
            </w:tcBorders>
          </w:tcPr>
          <w:p>
            <w:pPr/>
          </w:p>
        </w:tc>
        <w:tc>
          <w:tcPr>
            <w:tcW w:w="2258"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8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1164"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292" w:hRule="exact"/>
        </w:trPr>
        <w:tc>
          <w:tcPr>
            <w:tcW w:w="4369" w:type="dxa"/>
            <w:vMerge/>
            <w:tcBorders>
              <w:left w:val="nil" w:sz="6" w:space="0" w:color="auto"/>
              <w:bottom w:val="nil" w:sz="6" w:space="0" w:color="auto"/>
              <w:right w:val="nil" w:sz="6" w:space="0" w:color="auto"/>
            </w:tcBorders>
          </w:tcPr>
          <w:p>
            <w:pPr/>
          </w:p>
        </w:tc>
        <w:tc>
          <w:tcPr>
            <w:tcW w:w="2258" w:type="dxa"/>
            <w:tcBorders>
              <w:top w:val="single" w:sz="6" w:space="0" w:color="000000"/>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single" w:sz="6" w:space="0" w:color="000000"/>
              <w:left w:val="nil" w:sz="6" w:space="0" w:color="auto"/>
              <w:bottom w:val="nil" w:sz="6" w:space="0" w:color="auto"/>
              <w:right w:val="nil" w:sz="6" w:space="0" w:color="auto"/>
            </w:tcBorders>
          </w:tcPr>
          <w:p>
            <w:pPr>
              <w:pStyle w:val="TableParagraph"/>
              <w:spacing w:line="253" w:lineRule="exact"/>
              <w:ind w:left="1047" w:right="0"/>
              <w:jc w:val="left"/>
              <w:rPr>
                <w:rFonts w:ascii="宋体" w:hAnsi="宋体" w:cs="宋体" w:eastAsia="宋体" w:hint="default"/>
                <w:sz w:val="22"/>
                <w:szCs w:val="22"/>
              </w:rPr>
            </w:pPr>
            <w:r>
              <w:rPr>
                <w:rFonts w:ascii="宋体" w:hAnsi="宋体" w:cs="宋体" w:eastAsia="宋体" w:hint="default"/>
                <w:sz w:val="22"/>
                <w:szCs w:val="22"/>
              </w:rPr>
              <w:t>（经重列）</w:t>
            </w:r>
          </w:p>
        </w:tc>
      </w:tr>
      <w:tr>
        <w:trPr>
          <w:trHeight w:val="298"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8"/>
              <w:jc w:val="right"/>
              <w:rPr>
                <w:rFonts w:ascii="Arial" w:hAnsi="Arial" w:cs="Arial" w:eastAsia="Arial" w:hint="default"/>
                <w:sz w:val="22"/>
                <w:szCs w:val="22"/>
              </w:rPr>
            </w:pPr>
            <w:r>
              <w:rPr>
                <w:rFonts w:ascii="Arial"/>
                <w:spacing w:val="-1"/>
                <w:sz w:val="22"/>
              </w:rPr>
              <w:t>2,644,621,956</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26" w:right="0"/>
              <w:jc w:val="left"/>
              <w:rPr>
                <w:rFonts w:ascii="Arial" w:hAnsi="Arial" w:cs="Arial" w:eastAsia="Arial" w:hint="default"/>
                <w:sz w:val="22"/>
                <w:szCs w:val="22"/>
              </w:rPr>
            </w:pPr>
            <w:r>
              <w:rPr>
                <w:rFonts w:ascii="Arial"/>
                <w:sz w:val="22"/>
              </w:rPr>
              <w:t>2,582,861,914</w:t>
            </w:r>
          </w:p>
        </w:tc>
      </w:tr>
      <w:tr>
        <w:trPr>
          <w:trHeight w:val="286"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存货跌价准备</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7"/>
              <w:jc w:val="right"/>
              <w:rPr>
                <w:rFonts w:ascii="Arial" w:hAnsi="Arial" w:cs="Arial" w:eastAsia="Arial" w:hint="default"/>
                <w:sz w:val="22"/>
                <w:szCs w:val="22"/>
              </w:rPr>
            </w:pPr>
            <w:r>
              <w:rPr>
                <w:rFonts w:ascii="Arial"/>
                <w:w w:val="95"/>
                <w:sz w:val="22"/>
              </w:rPr>
              <w:t>126,591,113</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31" w:right="0"/>
              <w:jc w:val="left"/>
              <w:rPr>
                <w:rFonts w:ascii="Arial" w:hAnsi="Arial" w:cs="Arial" w:eastAsia="Arial" w:hint="default"/>
                <w:sz w:val="22"/>
                <w:szCs w:val="22"/>
              </w:rPr>
            </w:pPr>
            <w:r>
              <w:rPr>
                <w:rFonts w:ascii="Arial"/>
                <w:sz w:val="22"/>
              </w:rPr>
              <w:t>81,069,367</w:t>
            </w:r>
          </w:p>
        </w:tc>
      </w:tr>
      <w:tr>
        <w:trPr>
          <w:trHeight w:val="293"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固定资产减值准备</w:t>
            </w:r>
          </w:p>
        </w:tc>
        <w:tc>
          <w:tcPr>
            <w:tcW w:w="2258" w:type="dxa"/>
            <w:tcBorders>
              <w:top w:val="nil" w:sz="6" w:space="0" w:color="auto"/>
              <w:left w:val="nil" w:sz="6" w:space="0" w:color="auto"/>
              <w:bottom w:val="nil" w:sz="6" w:space="0" w:color="auto"/>
              <w:right w:val="nil" w:sz="6" w:space="0" w:color="auto"/>
            </w:tcBorders>
          </w:tcPr>
          <w:p>
            <w:pPr>
              <w:pStyle w:val="TableParagraph"/>
              <w:tabs>
                <w:tab w:pos="2030" w:val="left" w:leader="none"/>
                <w:tab w:pos="224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1154" w:val="left" w:leader="none"/>
                <w:tab w:pos="2230"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3,720,989</w:t>
              <w:tab/>
            </w:r>
            <w:r>
              <w:rPr>
                <w:rFonts w:ascii="Arial"/>
                <w:sz w:val="22"/>
              </w:rPr>
            </w:r>
          </w:p>
        </w:tc>
      </w:tr>
      <w:tr>
        <w:trPr>
          <w:trHeight w:val="305"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8"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23"/>
              <w:jc w:val="right"/>
              <w:rPr>
                <w:rFonts w:ascii="Arial" w:hAnsi="Arial" w:cs="Arial" w:eastAsia="Arial" w:hint="default"/>
                <w:sz w:val="22"/>
                <w:szCs w:val="22"/>
              </w:rPr>
            </w:pPr>
            <w:r>
              <w:rPr>
                <w:rFonts w:ascii="Arial"/>
                <w:spacing w:val="-1"/>
                <w:sz w:val="22"/>
              </w:rPr>
              <w:t>2,771,213,069</w:t>
            </w:r>
          </w:p>
        </w:tc>
        <w:tc>
          <w:tcPr>
            <w:tcW w:w="191"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left="727" w:right="0"/>
              <w:jc w:val="left"/>
              <w:rPr>
                <w:rFonts w:ascii="Arial" w:hAnsi="Arial" w:cs="Arial" w:eastAsia="Arial" w:hint="default"/>
                <w:sz w:val="22"/>
                <w:szCs w:val="22"/>
              </w:rPr>
            </w:pPr>
            <w:r>
              <w:rPr>
                <w:rFonts w:ascii="Arial"/>
                <w:sz w:val="22"/>
              </w:rPr>
              <w:t>2,667,652,270</w:t>
            </w:r>
          </w:p>
        </w:tc>
      </w:tr>
    </w:tbl>
    <w:p>
      <w:pPr>
        <w:spacing w:after="0" w:line="240" w:lineRule="auto"/>
        <w:jc w:val="left"/>
        <w:rPr>
          <w:rFonts w:ascii="Arial" w:hAnsi="Arial" w:cs="Arial" w:eastAsia="Arial" w:hint="default"/>
          <w:sz w:val="22"/>
          <w:szCs w:val="22"/>
        </w:rPr>
        <w:sectPr>
          <w:headerReference w:type="default" r:id="rId124"/>
          <w:pgSz w:w="11900" w:h="16840"/>
          <w:pgMar w:header="1189" w:footer="752" w:top="4180" w:bottom="940" w:left="1280" w:right="900"/>
        </w:sectPr>
      </w:pPr>
    </w:p>
    <w:p>
      <w:pPr>
        <w:spacing w:line="240" w:lineRule="auto" w:before="1"/>
        <w:rPr>
          <w:rFonts w:ascii="宋体" w:hAnsi="宋体" w:cs="宋体" w:eastAsia="宋体" w:hint="default"/>
          <w:sz w:val="3"/>
          <w:szCs w:val="3"/>
        </w:rPr>
      </w:pPr>
    </w:p>
    <w:tbl>
      <w:tblPr>
        <w:tblW w:w="0" w:type="auto"/>
        <w:jc w:val="left"/>
        <w:tblInd w:w="650" w:type="dxa"/>
        <w:tblLayout w:type="fixed"/>
        <w:tblCellMar>
          <w:top w:w="0" w:type="dxa"/>
          <w:left w:w="0" w:type="dxa"/>
          <w:bottom w:w="0" w:type="dxa"/>
          <w:right w:w="0" w:type="dxa"/>
        </w:tblCellMar>
        <w:tblLook w:val="01E0"/>
      </w:tblPr>
      <w:tblGrid>
        <w:gridCol w:w="3216"/>
        <w:gridCol w:w="1800"/>
        <w:gridCol w:w="1760"/>
        <w:gridCol w:w="2121"/>
      </w:tblGrid>
      <w:tr>
        <w:trPr>
          <w:trHeight w:val="290" w:hRule="exact"/>
        </w:trPr>
        <w:tc>
          <w:tcPr>
            <w:tcW w:w="3216" w:type="dxa"/>
            <w:vMerge w:val="restart"/>
            <w:tcBorders>
              <w:top w:val="nil" w:sz="6" w:space="0" w:color="auto"/>
              <w:left w:val="nil" w:sz="6" w:space="0" w:color="auto"/>
              <w:right w:val="nil" w:sz="6" w:space="0" w:color="auto"/>
            </w:tcBorders>
          </w:tcPr>
          <w:p>
            <w:pPr/>
          </w:p>
        </w:tc>
        <w:tc>
          <w:tcPr>
            <w:tcW w:w="1800" w:type="dxa"/>
            <w:tcBorders>
              <w:top w:val="nil" w:sz="6" w:space="0" w:color="auto"/>
              <w:left w:val="nil" w:sz="6" w:space="0" w:color="auto"/>
              <w:bottom w:val="single" w:sz="6" w:space="0" w:color="000000"/>
              <w:right w:val="nil" w:sz="6" w:space="0" w:color="auto"/>
            </w:tcBorders>
          </w:tcPr>
          <w:p>
            <w:pPr>
              <w:pStyle w:val="TableParagraph"/>
              <w:spacing w:line="265" w:lineRule="exact"/>
              <w:ind w:right="96"/>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760" w:type="dxa"/>
            <w:tcBorders>
              <w:top w:val="nil" w:sz="6" w:space="0" w:color="auto"/>
              <w:left w:val="nil" w:sz="6" w:space="0" w:color="auto"/>
              <w:bottom w:val="single" w:sz="6" w:space="0" w:color="000000"/>
              <w:right w:val="nil" w:sz="6" w:space="0" w:color="auto"/>
            </w:tcBorders>
          </w:tcPr>
          <w:p>
            <w:pPr>
              <w:pStyle w:val="TableParagraph"/>
              <w:spacing w:line="265" w:lineRule="exact"/>
              <w:ind w:right="117"/>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121" w:type="dxa"/>
            <w:tcBorders>
              <w:top w:val="nil" w:sz="6" w:space="0" w:color="auto"/>
              <w:left w:val="nil" w:sz="6" w:space="0" w:color="auto"/>
              <w:bottom w:val="single" w:sz="6" w:space="0" w:color="000000"/>
              <w:right w:val="nil" w:sz="6" w:space="0" w:color="auto"/>
            </w:tcBorders>
          </w:tcPr>
          <w:p>
            <w:pPr>
              <w:pStyle w:val="TableParagraph"/>
              <w:spacing w:line="249" w:lineRule="exact"/>
              <w:ind w:right="27"/>
              <w:jc w:val="right"/>
              <w:rPr>
                <w:rFonts w:ascii="宋体" w:hAnsi="宋体" w:cs="宋体" w:eastAsia="宋体" w:hint="default"/>
                <w:sz w:val="22"/>
                <w:szCs w:val="22"/>
              </w:rPr>
            </w:pPr>
            <w:r>
              <w:rPr>
                <w:rFonts w:ascii="宋体" w:hAnsi="宋体" w:cs="宋体" w:eastAsia="宋体" w:hint="default"/>
                <w:w w:val="95"/>
                <w:sz w:val="22"/>
                <w:szCs w:val="22"/>
              </w:rPr>
              <w:t>非经常性损益的金额</w:t>
            </w:r>
            <w:r>
              <w:rPr>
                <w:rFonts w:ascii="宋体" w:hAnsi="宋体" w:cs="宋体" w:eastAsia="宋体" w:hint="default"/>
                <w:sz w:val="22"/>
                <w:szCs w:val="22"/>
              </w:rPr>
            </w:r>
          </w:p>
        </w:tc>
      </w:tr>
      <w:tr>
        <w:trPr>
          <w:trHeight w:val="292" w:hRule="exact"/>
        </w:trPr>
        <w:tc>
          <w:tcPr>
            <w:tcW w:w="3216" w:type="dxa"/>
            <w:vMerge/>
            <w:tcBorders>
              <w:left w:val="nil" w:sz="6" w:space="0" w:color="auto"/>
              <w:bottom w:val="nil" w:sz="6" w:space="0" w:color="auto"/>
              <w:right w:val="nil" w:sz="6" w:space="0" w:color="auto"/>
            </w:tcBorders>
          </w:tcPr>
          <w:p>
            <w:pPr/>
          </w:p>
        </w:tc>
        <w:tc>
          <w:tcPr>
            <w:tcW w:w="1800" w:type="dxa"/>
            <w:tcBorders>
              <w:top w:val="single" w:sz="6" w:space="0" w:color="000000"/>
              <w:left w:val="nil" w:sz="6" w:space="0" w:color="auto"/>
              <w:bottom w:val="nil" w:sz="6" w:space="0" w:color="auto"/>
              <w:right w:val="nil" w:sz="6" w:space="0" w:color="auto"/>
            </w:tcBorders>
          </w:tcPr>
          <w:p>
            <w:pPr/>
          </w:p>
        </w:tc>
        <w:tc>
          <w:tcPr>
            <w:tcW w:w="1760" w:type="dxa"/>
            <w:tcBorders>
              <w:top w:val="single" w:sz="6" w:space="0" w:color="000000"/>
              <w:left w:val="nil" w:sz="6" w:space="0" w:color="auto"/>
              <w:bottom w:val="nil" w:sz="6" w:space="0" w:color="auto"/>
              <w:right w:val="nil" w:sz="6" w:space="0" w:color="auto"/>
            </w:tcBorders>
          </w:tcPr>
          <w:p>
            <w:pPr>
              <w:pStyle w:val="TableParagraph"/>
              <w:spacing w:line="252" w:lineRule="exact"/>
              <w:ind w:right="57"/>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c>
          <w:tcPr>
            <w:tcW w:w="2121" w:type="dxa"/>
            <w:tcBorders>
              <w:top w:val="single" w:sz="6" w:space="0" w:color="000000"/>
              <w:left w:val="nil" w:sz="6" w:space="0" w:color="auto"/>
              <w:bottom w:val="nil" w:sz="6" w:space="0" w:color="auto"/>
              <w:right w:val="nil" w:sz="6" w:space="0" w:color="auto"/>
            </w:tcBorders>
          </w:tcPr>
          <w:p>
            <w:pPr/>
          </w:p>
        </w:tc>
      </w:tr>
      <w:tr>
        <w:trPr>
          <w:trHeight w:val="294" w:hRule="exact"/>
        </w:trPr>
        <w:tc>
          <w:tcPr>
            <w:tcW w:w="3216" w:type="dxa"/>
            <w:tcBorders>
              <w:top w:val="nil" w:sz="6" w:space="0" w:color="auto"/>
              <w:left w:val="nil" w:sz="6" w:space="0" w:color="auto"/>
              <w:bottom w:val="single" w:sz="6" w:space="0" w:color="000000"/>
              <w:right w:val="nil" w:sz="6" w:space="0" w:color="auto"/>
            </w:tcBorders>
          </w:tcPr>
          <w:p>
            <w:pPr>
              <w:pStyle w:val="TableParagraph"/>
              <w:spacing w:line="268" w:lineRule="exact"/>
              <w:ind w:left="48" w:right="0"/>
              <w:jc w:val="left"/>
              <w:rPr>
                <w:rFonts w:ascii="宋体" w:hAnsi="宋体" w:cs="宋体" w:eastAsia="宋体" w:hint="default"/>
                <w:sz w:val="22"/>
                <w:szCs w:val="22"/>
              </w:rPr>
            </w:pPr>
            <w:r>
              <w:rPr>
                <w:rFonts w:ascii="宋体" w:hAnsi="宋体" w:cs="宋体" w:eastAsia="宋体" w:hint="default"/>
                <w:sz w:val="22"/>
                <w:szCs w:val="22"/>
              </w:rPr>
              <w:t>非流动资产处置利得（注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1800"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49" w:right="0"/>
              <w:jc w:val="left"/>
              <w:rPr>
                <w:rFonts w:ascii="Arial" w:hAnsi="Arial" w:cs="Arial" w:eastAsia="Arial" w:hint="default"/>
                <w:sz w:val="22"/>
                <w:szCs w:val="22"/>
              </w:rPr>
            </w:pPr>
            <w:r>
              <w:rPr>
                <w:rFonts w:ascii="Arial"/>
                <w:sz w:val="22"/>
              </w:rPr>
              <w:t>1,173,883,362</w:t>
            </w:r>
          </w:p>
        </w:tc>
        <w:tc>
          <w:tcPr>
            <w:tcW w:w="1760"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78" w:right="0"/>
              <w:jc w:val="left"/>
              <w:rPr>
                <w:rFonts w:ascii="Arial" w:hAnsi="Arial" w:cs="Arial" w:eastAsia="Arial" w:hint="default"/>
                <w:sz w:val="22"/>
                <w:szCs w:val="22"/>
              </w:rPr>
            </w:pPr>
            <w:r>
              <w:rPr>
                <w:rFonts w:ascii="Arial"/>
                <w:sz w:val="22"/>
              </w:rPr>
              <w:t>213,084,256</w:t>
            </w:r>
          </w:p>
        </w:tc>
        <w:tc>
          <w:tcPr>
            <w:tcW w:w="2121"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08"/>
              <w:jc w:val="right"/>
              <w:rPr>
                <w:rFonts w:ascii="Arial" w:hAnsi="Arial" w:cs="Arial" w:eastAsia="Arial" w:hint="default"/>
                <w:sz w:val="22"/>
                <w:szCs w:val="22"/>
              </w:rPr>
            </w:pPr>
            <w:r>
              <w:rPr>
                <w:rFonts w:ascii="Arial"/>
                <w:spacing w:val="-1"/>
                <w:sz w:val="22"/>
              </w:rPr>
              <w:t>1,173,883,362</w:t>
            </w:r>
          </w:p>
        </w:tc>
      </w:tr>
      <w:tr>
        <w:trPr>
          <w:trHeight w:val="305" w:hRule="exact"/>
        </w:trPr>
        <w:tc>
          <w:tcPr>
            <w:tcW w:w="3216" w:type="dxa"/>
            <w:tcBorders>
              <w:top w:val="single" w:sz="6" w:space="0" w:color="000000"/>
              <w:left w:val="single" w:sz="6" w:space="0" w:color="000000"/>
              <w:bottom w:val="nil" w:sz="6" w:space="0" w:color="auto"/>
              <w:right w:val="nil" w:sz="6" w:space="0" w:color="auto"/>
            </w:tcBorders>
          </w:tcPr>
          <w:p>
            <w:pPr>
              <w:pStyle w:val="TableParagraph"/>
              <w:spacing w:line="252" w:lineRule="exact"/>
              <w:ind w:left="47"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1800"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249" w:right="0"/>
              <w:jc w:val="left"/>
              <w:rPr>
                <w:rFonts w:ascii="Arial" w:hAnsi="Arial" w:cs="Arial" w:eastAsia="Arial" w:hint="default"/>
                <w:sz w:val="22"/>
                <w:szCs w:val="22"/>
              </w:rPr>
            </w:pPr>
            <w:r>
              <w:rPr>
                <w:rFonts w:ascii="Arial"/>
                <w:sz w:val="22"/>
              </w:rPr>
              <w:t>1,167,570,831</w:t>
            </w:r>
          </w:p>
        </w:tc>
        <w:tc>
          <w:tcPr>
            <w:tcW w:w="1760"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78" w:right="0"/>
              <w:jc w:val="left"/>
              <w:rPr>
                <w:rFonts w:ascii="Arial" w:hAnsi="Arial" w:cs="Arial" w:eastAsia="Arial" w:hint="default"/>
                <w:sz w:val="22"/>
                <w:szCs w:val="22"/>
              </w:rPr>
            </w:pPr>
            <w:r>
              <w:rPr>
                <w:rFonts w:ascii="Arial"/>
                <w:sz w:val="22"/>
              </w:rPr>
              <w:t>198,080,302</w:t>
            </w:r>
          </w:p>
        </w:tc>
        <w:tc>
          <w:tcPr>
            <w:tcW w:w="2121"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spacing w:val="-1"/>
                <w:sz w:val="22"/>
              </w:rPr>
              <w:t>1,167,570,831</w:t>
            </w:r>
          </w:p>
        </w:tc>
      </w:tr>
      <w:tr>
        <w:trPr>
          <w:trHeight w:val="281" w:hRule="exact"/>
        </w:trPr>
        <w:tc>
          <w:tcPr>
            <w:tcW w:w="3216" w:type="dxa"/>
            <w:tcBorders>
              <w:top w:val="nil" w:sz="6" w:space="0" w:color="auto"/>
              <w:left w:val="single" w:sz="6" w:space="0" w:color="000000"/>
              <w:bottom w:val="single" w:sz="6" w:space="0" w:color="000000"/>
              <w:right w:val="nil" w:sz="6" w:space="0" w:color="auto"/>
            </w:tcBorders>
          </w:tcPr>
          <w:p>
            <w:pPr>
              <w:pStyle w:val="TableParagraph"/>
              <w:spacing w:line="239" w:lineRule="exact"/>
              <w:ind w:left="723" w:right="0"/>
              <w:jc w:val="left"/>
              <w:rPr>
                <w:rFonts w:ascii="宋体" w:hAnsi="宋体" w:cs="宋体" w:eastAsia="宋体" w:hint="default"/>
                <w:sz w:val="22"/>
                <w:szCs w:val="22"/>
              </w:rPr>
            </w:pPr>
            <w:r>
              <w:rPr>
                <w:rFonts w:ascii="宋体" w:hAnsi="宋体" w:cs="宋体" w:eastAsia="宋体" w:hint="default"/>
                <w:sz w:val="22"/>
                <w:szCs w:val="22"/>
              </w:rPr>
              <w:t>无形资产处置利得</w:t>
            </w:r>
          </w:p>
        </w:tc>
        <w:tc>
          <w:tcPr>
            <w:tcW w:w="1800"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142"/>
              <w:jc w:val="right"/>
              <w:rPr>
                <w:rFonts w:ascii="Arial" w:hAnsi="Arial" w:cs="Arial" w:eastAsia="Arial" w:hint="default"/>
                <w:sz w:val="22"/>
                <w:szCs w:val="22"/>
              </w:rPr>
            </w:pPr>
            <w:r>
              <w:rPr>
                <w:rFonts w:ascii="Arial"/>
                <w:w w:val="95"/>
                <w:sz w:val="22"/>
              </w:rPr>
              <w:t>6,312,531</w:t>
            </w:r>
            <w:r>
              <w:rPr>
                <w:rFonts w:ascii="Arial"/>
                <w:sz w:val="22"/>
              </w:rPr>
            </w:r>
          </w:p>
        </w:tc>
        <w:tc>
          <w:tcPr>
            <w:tcW w:w="1760"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156"/>
              <w:jc w:val="right"/>
              <w:rPr>
                <w:rFonts w:ascii="Arial" w:hAnsi="Arial" w:cs="Arial" w:eastAsia="Arial" w:hint="default"/>
                <w:sz w:val="22"/>
                <w:szCs w:val="22"/>
              </w:rPr>
            </w:pPr>
            <w:r>
              <w:rPr>
                <w:rFonts w:ascii="Arial"/>
                <w:w w:val="95"/>
                <w:sz w:val="22"/>
              </w:rPr>
              <w:t>15,003,954</w:t>
            </w:r>
            <w:r>
              <w:rPr>
                <w:rFonts w:ascii="Arial"/>
                <w:sz w:val="22"/>
              </w:rPr>
            </w:r>
          </w:p>
        </w:tc>
        <w:tc>
          <w:tcPr>
            <w:tcW w:w="2121"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right="100"/>
              <w:jc w:val="right"/>
              <w:rPr>
                <w:rFonts w:ascii="Arial" w:hAnsi="Arial" w:cs="Arial" w:eastAsia="Arial" w:hint="default"/>
                <w:sz w:val="22"/>
                <w:szCs w:val="22"/>
              </w:rPr>
            </w:pPr>
            <w:r>
              <w:rPr>
                <w:rFonts w:ascii="Arial"/>
                <w:w w:val="95"/>
                <w:sz w:val="22"/>
              </w:rPr>
              <w:t>6,312,531</w:t>
            </w:r>
            <w:r>
              <w:rPr>
                <w:rFonts w:ascii="Arial"/>
                <w:sz w:val="22"/>
              </w:rPr>
            </w:r>
          </w:p>
        </w:tc>
      </w:tr>
      <w:tr>
        <w:trPr>
          <w:trHeight w:val="305" w:hRule="exact"/>
        </w:trPr>
        <w:tc>
          <w:tcPr>
            <w:tcW w:w="3216" w:type="dxa"/>
            <w:tcBorders>
              <w:top w:val="single" w:sz="6" w:space="0" w:color="000000"/>
              <w:left w:val="nil" w:sz="6" w:space="0" w:color="auto"/>
              <w:bottom w:val="nil" w:sz="6" w:space="0" w:color="auto"/>
              <w:right w:val="nil" w:sz="6" w:space="0" w:color="auto"/>
            </w:tcBorders>
          </w:tcPr>
          <w:p>
            <w:pPr>
              <w:pStyle w:val="TableParagraph"/>
              <w:spacing w:line="252" w:lineRule="exact"/>
              <w:ind w:left="48" w:right="0"/>
              <w:jc w:val="left"/>
              <w:rPr>
                <w:rFonts w:ascii="宋体" w:hAnsi="宋体" w:cs="宋体" w:eastAsia="宋体" w:hint="default"/>
                <w:sz w:val="22"/>
                <w:szCs w:val="22"/>
              </w:rPr>
            </w:pPr>
            <w:r>
              <w:rPr>
                <w:rFonts w:ascii="宋体" w:hAnsi="宋体" w:cs="宋体" w:eastAsia="宋体" w:hint="default"/>
                <w:sz w:val="22"/>
                <w:szCs w:val="22"/>
              </w:rPr>
              <w:t>违约赔款收入</w:t>
            </w:r>
          </w:p>
        </w:tc>
        <w:tc>
          <w:tcPr>
            <w:tcW w:w="1800"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141"/>
              <w:jc w:val="right"/>
              <w:rPr>
                <w:rFonts w:ascii="Arial" w:hAnsi="Arial" w:cs="Arial" w:eastAsia="Arial" w:hint="default"/>
                <w:sz w:val="22"/>
                <w:szCs w:val="22"/>
              </w:rPr>
            </w:pPr>
            <w:r>
              <w:rPr>
                <w:rFonts w:ascii="Arial"/>
                <w:w w:val="95"/>
                <w:sz w:val="22"/>
              </w:rPr>
              <w:t>283,366,673</w:t>
            </w:r>
            <w:r>
              <w:rPr>
                <w:rFonts w:ascii="Arial"/>
                <w:sz w:val="22"/>
              </w:rPr>
            </w:r>
          </w:p>
        </w:tc>
        <w:tc>
          <w:tcPr>
            <w:tcW w:w="1760"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78" w:right="0"/>
              <w:jc w:val="left"/>
              <w:rPr>
                <w:rFonts w:ascii="Arial" w:hAnsi="Arial" w:cs="Arial" w:eastAsia="Arial" w:hint="default"/>
                <w:sz w:val="22"/>
                <w:szCs w:val="22"/>
              </w:rPr>
            </w:pPr>
            <w:r>
              <w:rPr>
                <w:rFonts w:ascii="Arial"/>
                <w:sz w:val="22"/>
              </w:rPr>
              <w:t>230,181,345</w:t>
            </w:r>
          </w:p>
        </w:tc>
        <w:tc>
          <w:tcPr>
            <w:tcW w:w="2121"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22"/>
                <w:szCs w:val="22"/>
              </w:rPr>
            </w:pPr>
            <w:r>
              <w:rPr>
                <w:rFonts w:ascii="Arial"/>
                <w:w w:val="95"/>
                <w:sz w:val="22"/>
              </w:rPr>
              <w:t>283,366,673</w:t>
            </w:r>
            <w:r>
              <w:rPr>
                <w:rFonts w:ascii="Arial"/>
                <w:sz w:val="22"/>
              </w:rPr>
            </w:r>
          </w:p>
        </w:tc>
      </w:tr>
      <w:tr>
        <w:trPr>
          <w:trHeight w:val="286"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55" w:lineRule="exact"/>
              <w:ind w:left="48" w:right="0"/>
              <w:jc w:val="left"/>
              <w:rPr>
                <w:rFonts w:ascii="宋体" w:hAnsi="宋体" w:cs="宋体" w:eastAsia="宋体" w:hint="default"/>
                <w:sz w:val="22"/>
                <w:szCs w:val="22"/>
              </w:rPr>
            </w:pPr>
            <w:r>
              <w:rPr>
                <w:rFonts w:ascii="宋体" w:hAnsi="宋体" w:cs="宋体" w:eastAsia="宋体" w:hint="default"/>
                <w:sz w:val="22"/>
                <w:szCs w:val="22"/>
              </w:rPr>
              <w:t>无法支付的应付账款（注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1"/>
              <w:jc w:val="right"/>
              <w:rPr>
                <w:rFonts w:ascii="Arial" w:hAnsi="Arial" w:cs="Arial" w:eastAsia="Arial" w:hint="default"/>
                <w:sz w:val="22"/>
                <w:szCs w:val="22"/>
              </w:rPr>
            </w:pPr>
            <w:r>
              <w:rPr>
                <w:rFonts w:ascii="Arial"/>
                <w:w w:val="95"/>
                <w:sz w:val="22"/>
              </w:rPr>
              <w:t>124,970,378</w:t>
            </w:r>
            <w:r>
              <w:rPr>
                <w:rFonts w:ascii="Arial"/>
                <w:sz w:val="22"/>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8" w:right="0"/>
              <w:jc w:val="left"/>
              <w:rPr>
                <w:rFonts w:ascii="Arial" w:hAnsi="Arial" w:cs="Arial" w:eastAsia="Arial" w:hint="default"/>
                <w:sz w:val="22"/>
                <w:szCs w:val="22"/>
              </w:rPr>
            </w:pPr>
            <w:r>
              <w:rPr>
                <w:rFonts w:ascii="Arial"/>
                <w:sz w:val="22"/>
              </w:rPr>
              <w:t>353,113,139</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124,970,378</w:t>
            </w:r>
            <w:r>
              <w:rPr>
                <w:rFonts w:ascii="Arial"/>
                <w:sz w:val="22"/>
              </w:rPr>
            </w:r>
          </w:p>
        </w:tc>
      </w:tr>
      <w:tr>
        <w:trPr>
          <w:trHeight w:val="285"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55" w:lineRule="exact"/>
              <w:ind w:left="48" w:right="0"/>
              <w:jc w:val="left"/>
              <w:rPr>
                <w:rFonts w:ascii="宋体" w:hAnsi="宋体" w:cs="宋体" w:eastAsia="宋体" w:hint="default"/>
                <w:sz w:val="22"/>
                <w:szCs w:val="22"/>
              </w:rPr>
            </w:pPr>
            <w:r>
              <w:rPr>
                <w:rFonts w:ascii="宋体" w:hAnsi="宋体" w:cs="宋体" w:eastAsia="宋体" w:hint="default"/>
                <w:sz w:val="22"/>
                <w:szCs w:val="22"/>
              </w:rPr>
              <w:t>政府补助（注</w:t>
            </w:r>
            <w:r>
              <w:rPr>
                <w:rFonts w:ascii="宋体" w:hAnsi="宋体" w:cs="宋体" w:eastAsia="宋体" w:hint="default"/>
                <w:spacing w:val="-57"/>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1"/>
              <w:jc w:val="right"/>
              <w:rPr>
                <w:rFonts w:ascii="Arial" w:hAnsi="Arial" w:cs="Arial" w:eastAsia="Arial" w:hint="default"/>
                <w:sz w:val="22"/>
                <w:szCs w:val="22"/>
              </w:rPr>
            </w:pPr>
            <w:r>
              <w:rPr>
                <w:rFonts w:ascii="Arial"/>
                <w:w w:val="95"/>
                <w:sz w:val="22"/>
              </w:rPr>
              <w:t>118,003,663</w:t>
            </w:r>
            <w:r>
              <w:rPr>
                <w:rFonts w:ascii="Arial"/>
                <w:sz w:val="22"/>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8" w:right="0"/>
              <w:jc w:val="left"/>
              <w:rPr>
                <w:rFonts w:ascii="Arial" w:hAnsi="Arial" w:cs="Arial" w:eastAsia="Arial" w:hint="default"/>
                <w:sz w:val="22"/>
                <w:szCs w:val="22"/>
              </w:rPr>
            </w:pPr>
            <w:r>
              <w:rPr>
                <w:rFonts w:ascii="Arial"/>
                <w:sz w:val="22"/>
              </w:rPr>
              <w:t>111,673,793</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118,003,663</w:t>
            </w:r>
            <w:r>
              <w:rPr>
                <w:rFonts w:ascii="Arial"/>
                <w:sz w:val="22"/>
              </w:rPr>
            </w:r>
          </w:p>
        </w:tc>
      </w:tr>
      <w:tr>
        <w:trPr>
          <w:trHeight w:val="365"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39" w:lineRule="exact"/>
              <w:ind w:left="4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800" w:type="dxa"/>
            <w:tcBorders>
              <w:top w:val="nil" w:sz="6" w:space="0" w:color="auto"/>
              <w:left w:val="nil" w:sz="6" w:space="0" w:color="auto"/>
              <w:bottom w:val="nil" w:sz="6" w:space="0" w:color="auto"/>
              <w:right w:val="nil" w:sz="6" w:space="0" w:color="auto"/>
            </w:tcBorders>
          </w:tcPr>
          <w:p>
            <w:pPr>
              <w:pStyle w:val="TableParagraph"/>
              <w:tabs>
                <w:tab w:pos="433" w:val="left" w:leader="none"/>
                <w:tab w:pos="1745" w:val="left" w:leader="none"/>
              </w:tabs>
              <w:spacing w:line="240" w:lineRule="auto" w:before="17"/>
              <w:ind w:right="5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174,225,618</w:t>
            </w:r>
            <w:r>
              <w:rPr>
                <w:rFonts w:ascii="Arial"/>
                <w:sz w:val="22"/>
                <w:u w:val="single" w:color="000000"/>
              </w:rPr>
              <w:tab/>
            </w:r>
            <w:r>
              <w:rPr>
                <w:rFonts w:ascii="Arial"/>
                <w:sz w:val="22"/>
              </w:rPr>
            </w:r>
          </w:p>
        </w:tc>
        <w:tc>
          <w:tcPr>
            <w:tcW w:w="1760" w:type="dxa"/>
            <w:tcBorders>
              <w:top w:val="nil" w:sz="6" w:space="0" w:color="auto"/>
              <w:left w:val="nil" w:sz="6" w:space="0" w:color="auto"/>
              <w:bottom w:val="nil" w:sz="6" w:space="0" w:color="auto"/>
              <w:right w:val="nil" w:sz="6" w:space="0" w:color="auto"/>
            </w:tcBorders>
          </w:tcPr>
          <w:p>
            <w:pPr>
              <w:pStyle w:val="TableParagraph"/>
              <w:tabs>
                <w:tab w:pos="324" w:val="left" w:leader="none"/>
                <w:tab w:pos="1646" w:val="left" w:leader="none"/>
              </w:tabs>
              <w:spacing w:line="240" w:lineRule="auto" w:before="17"/>
              <w:ind w:right="5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152,116,616</w:t>
            </w:r>
            <w:r>
              <w:rPr>
                <w:rFonts w:ascii="Arial"/>
                <w:sz w:val="22"/>
                <w:u w:val="single" w:color="000000"/>
              </w:rPr>
              <w:tab/>
            </w:r>
            <w:r>
              <w:rPr>
                <w:rFonts w:ascii="Arial"/>
                <w:sz w:val="22"/>
              </w:rPr>
            </w:r>
          </w:p>
        </w:tc>
        <w:tc>
          <w:tcPr>
            <w:tcW w:w="2121" w:type="dxa"/>
            <w:tcBorders>
              <w:top w:val="nil" w:sz="6" w:space="0" w:color="auto"/>
              <w:left w:val="nil" w:sz="6" w:space="0" w:color="auto"/>
              <w:bottom w:val="nil" w:sz="6" w:space="0" w:color="auto"/>
              <w:right w:val="nil" w:sz="6" w:space="0" w:color="auto"/>
            </w:tcBorders>
          </w:tcPr>
          <w:p>
            <w:pPr>
              <w:pStyle w:val="TableParagraph"/>
              <w:tabs>
                <w:tab w:pos="728" w:val="left" w:leader="none"/>
                <w:tab w:pos="206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174,225,618</w:t>
            </w:r>
            <w:r>
              <w:rPr>
                <w:rFonts w:ascii="Arial"/>
                <w:sz w:val="22"/>
                <w:u w:val="single" w:color="000000"/>
              </w:rPr>
              <w:tab/>
            </w:r>
            <w:r>
              <w:rPr>
                <w:rFonts w:ascii="Arial"/>
                <w:sz w:val="22"/>
              </w:rPr>
            </w:r>
          </w:p>
        </w:tc>
      </w:tr>
    </w:tbl>
    <w:p>
      <w:pPr>
        <w:spacing w:line="240" w:lineRule="auto" w:before="3"/>
        <w:rPr>
          <w:rFonts w:ascii="宋体" w:hAnsi="宋体" w:cs="宋体" w:eastAsia="宋体" w:hint="default"/>
          <w:sz w:val="8"/>
          <w:szCs w:val="8"/>
        </w:rPr>
      </w:pPr>
    </w:p>
    <w:p>
      <w:pPr>
        <w:pStyle w:val="BodyText"/>
        <w:tabs>
          <w:tab w:pos="4123" w:val="left" w:leader="none"/>
          <w:tab w:pos="5869" w:val="left" w:leader="none"/>
          <w:tab w:pos="8038" w:val="left" w:leader="none"/>
        </w:tabs>
        <w:spacing w:line="240" w:lineRule="auto" w:before="27"/>
        <w:ind w:left="706" w:right="97"/>
        <w:jc w:val="left"/>
        <w:rPr>
          <w:rFonts w:ascii="Arial" w:hAnsi="Arial" w:cs="Arial" w:eastAsia="Arial" w:hint="default"/>
        </w:rPr>
      </w:pPr>
      <w:r>
        <w:rPr>
          <w:w w:val="95"/>
          <w:position w:val="2"/>
        </w:rPr>
        <w:t>合计</w:t>
        <w:tab/>
      </w:r>
      <w:r>
        <w:rPr>
          <w:rFonts w:ascii="Arial" w:hAnsi="Arial" w:cs="Arial" w:eastAsia="Arial" w:hint="default"/>
          <w:spacing w:val="-1"/>
        </w:rPr>
        <w:t>1,874,449,694</w:t>
        <w:tab/>
        <w:t>1,060,169,149</w:t>
        <w:tab/>
        <w:t>1,874,449,694</w:t>
      </w:r>
    </w:p>
    <w:p>
      <w:pPr>
        <w:spacing w:line="43" w:lineRule="exact"/>
        <w:ind w:left="3852" w:right="0" w:firstLine="0"/>
        <w:rPr>
          <w:rFonts w:ascii="Arial" w:hAnsi="Arial" w:cs="Arial" w:eastAsia="Arial" w:hint="default"/>
          <w:sz w:val="4"/>
          <w:szCs w:val="4"/>
        </w:rPr>
      </w:pPr>
      <w:r>
        <w:rPr>
          <w:rFonts w:ascii="Arial"/>
          <w:position w:val="0"/>
          <w:sz w:val="4"/>
        </w:rPr>
        <w:pict>
          <v:group style="width:88.75pt;height:2.2pt;mso-position-horizontal-relative:char;mso-position-vertical-relative:line" coordorigin="0,0" coordsize="1775,44">
            <v:group style="position:absolute;left:7;top:36;width:1761;height:2" coordorigin="7,36" coordsize="1761,2">
              <v:shape style="position:absolute;left:7;top:36;width:1761;height:2" coordorigin="7,36" coordsize="1761,0" path="m7,36l1768,36e" filled="false" stroked="true" strokeweight=".72pt" strokecolor="#000000">
                <v:path arrowok="t"/>
              </v:shape>
            </v:group>
            <v:group style="position:absolute;left:7;top:7;width:1761;height:2" coordorigin="7,7" coordsize="1761,2">
              <v:shape style="position:absolute;left:7;top:7;width:1761;height:2" coordorigin="7,7" coordsize="1761,0" path="m7,7l1768,7e" filled="false" stroked="true" strokeweight=".72pt" strokecolor="#000000">
                <v:path arrowok="t"/>
              </v:shape>
            </v:group>
          </v:group>
        </w:pict>
      </w:r>
      <w:r>
        <w:rPr>
          <w:rFonts w:ascii="Arial"/>
          <w:position w:val="0"/>
          <w:sz w:val="4"/>
        </w:rPr>
      </w:r>
      <w:r>
        <w:rPr>
          <w:rFonts w:ascii="Times New Roman"/>
          <w:spacing w:val="64"/>
          <w:position w:val="0"/>
          <w:sz w:val="4"/>
        </w:rPr>
        <w:t> </w:t>
      </w:r>
      <w:r>
        <w:rPr>
          <w:rFonts w:ascii="Arial"/>
          <w:spacing w:val="64"/>
          <w:position w:val="0"/>
          <w:sz w:val="4"/>
        </w:rPr>
        <w:pict>
          <v:group style="width:83.8pt;height:2.2pt;mso-position-horizontal-relative:char;mso-position-vertical-relative:line" coordorigin="0,0" coordsize="1676,44">
            <v:group style="position:absolute;left:7;top:36;width:1661;height:2" coordorigin="7,36" coordsize="1661,2">
              <v:shape style="position:absolute;left:7;top:36;width:1661;height:2" coordorigin="7,36" coordsize="1661,0" path="m7,36l1668,36e" filled="false" stroked="true" strokeweight=".72pt" strokecolor="#000000">
                <v:path arrowok="t"/>
              </v:shape>
            </v:group>
            <v:group style="position:absolute;left:7;top:7;width:1661;height:2" coordorigin="7,7" coordsize="1661,2">
              <v:shape style="position:absolute;left:7;top:7;width:1661;height:2" coordorigin="7,7" coordsize="1661,0" path="m7,7l1668,7e" filled="false" stroked="true" strokeweight=".72pt" strokecolor="#000000">
                <v:path arrowok="t"/>
              </v:shape>
            </v:group>
          </v:group>
        </w:pict>
      </w:r>
      <w:r>
        <w:rPr>
          <w:rFonts w:ascii="Arial"/>
          <w:spacing w:val="64"/>
          <w:position w:val="0"/>
          <w:sz w:val="4"/>
        </w:rPr>
      </w:r>
      <w:r>
        <w:rPr>
          <w:rFonts w:ascii="Times New Roman"/>
          <w:spacing w:val="74"/>
          <w:position w:val="0"/>
          <w:sz w:val="4"/>
        </w:rPr>
        <w:t> </w:t>
      </w:r>
      <w:r>
        <w:rPr>
          <w:rFonts w:ascii="Arial"/>
          <w:spacing w:val="74"/>
          <w:position w:val="0"/>
          <w:sz w:val="4"/>
        </w:rPr>
        <w:pict>
          <v:group style="width:104.55pt;height:2.2pt;mso-position-horizontal-relative:char;mso-position-vertical-relative:line" coordorigin="0,0" coordsize="2091,44">
            <v:group style="position:absolute;left:7;top:36;width:2076;height:2" coordorigin="7,36" coordsize="2076,2">
              <v:shape style="position:absolute;left:7;top:36;width:2076;height:2" coordorigin="7,36" coordsize="2076,0" path="m7,36l2083,36e" filled="false" stroked="true" strokeweight=".72pt" strokecolor="#000000">
                <v:path arrowok="t"/>
              </v:shape>
            </v:group>
            <v:group style="position:absolute;left:7;top:7;width:2076;height:2" coordorigin="7,7" coordsize="2076,2">
              <v:shape style="position:absolute;left:7;top:7;width:2076;height:2" coordorigin="7,7" coordsize="2076,0" path="m7,7l2083,7e" filled="false" stroked="true" strokeweight=".72pt" strokecolor="#000000">
                <v:path arrowok="t"/>
              </v:shape>
            </v:group>
          </v:group>
        </w:pict>
      </w:r>
      <w:r>
        <w:rPr>
          <w:rFonts w:ascii="Arial"/>
          <w:spacing w:val="74"/>
          <w:position w:val="0"/>
          <w:sz w:val="4"/>
        </w:rPr>
      </w:r>
    </w:p>
    <w:p>
      <w:pPr>
        <w:spacing w:line="240" w:lineRule="auto" w:before="5"/>
        <w:rPr>
          <w:rFonts w:ascii="Arial" w:hAnsi="Arial" w:cs="Arial" w:eastAsia="Arial" w:hint="default"/>
          <w:sz w:val="16"/>
          <w:szCs w:val="16"/>
        </w:rPr>
      </w:pPr>
    </w:p>
    <w:p>
      <w:pPr>
        <w:pStyle w:val="BodyText"/>
        <w:spacing w:line="286" w:lineRule="exact" w:before="60"/>
        <w:ind w:left="1236" w:right="181" w:hanging="645"/>
        <w:jc w:val="left"/>
      </w:pPr>
      <w:r>
        <w:rPr/>
        <w:t>注</w:t>
      </w:r>
      <w:r>
        <w:rPr>
          <w:spacing w:val="-38"/>
        </w:rPr>
        <w:t> </w:t>
      </w:r>
      <w:r>
        <w:rPr>
          <w:rFonts w:ascii="Arial" w:hAnsi="Arial" w:cs="Arial" w:eastAsia="Arial" w:hint="default"/>
        </w:rPr>
        <w:t>1</w:t>
      </w:r>
      <w:r>
        <w:rPr/>
        <w:t>：于</w:t>
      </w:r>
      <w:r>
        <w:rPr>
          <w:spacing w:val="-38"/>
        </w:rPr>
        <w:t> </w:t>
      </w:r>
      <w:r>
        <w:rPr>
          <w:rFonts w:ascii="Arial" w:hAnsi="Arial" w:cs="Arial" w:eastAsia="Arial" w:hint="default"/>
        </w:rPr>
        <w:t>2011</w:t>
      </w:r>
      <w:r>
        <w:rPr>
          <w:rFonts w:ascii="Arial" w:hAnsi="Arial" w:cs="Arial" w:eastAsia="Arial" w:hint="default"/>
          <w:spacing w:val="11"/>
        </w:rPr>
        <w:t> </w:t>
      </w:r>
      <w:r>
        <w:rPr/>
        <w:t>年度，本集团对已达到使用期限或无使用价值的固定资产及无形资产进行了处</w:t>
      </w:r>
      <w:r>
        <w:rPr>
          <w:w w:val="99"/>
        </w:rPr>
        <w:t> </w:t>
      </w:r>
      <w:r>
        <w:rPr/>
        <w:t>置。</w:t>
      </w:r>
    </w:p>
    <w:p>
      <w:pPr>
        <w:spacing w:line="240" w:lineRule="auto" w:before="4"/>
        <w:rPr>
          <w:rFonts w:ascii="宋体" w:hAnsi="宋体" w:cs="宋体" w:eastAsia="宋体" w:hint="default"/>
          <w:sz w:val="19"/>
          <w:szCs w:val="19"/>
        </w:rPr>
      </w:pPr>
    </w:p>
    <w:p>
      <w:pPr>
        <w:pStyle w:val="BodyText"/>
        <w:spacing w:line="286" w:lineRule="exact"/>
        <w:ind w:left="1236" w:right="181" w:hanging="645"/>
        <w:jc w:val="left"/>
      </w:pPr>
      <w:r>
        <w:rPr/>
        <w:t>注</w:t>
      </w:r>
      <w:r>
        <w:rPr>
          <w:spacing w:val="-38"/>
        </w:rPr>
        <w:t> </w:t>
      </w:r>
      <w:r>
        <w:rPr>
          <w:rFonts w:ascii="Arial" w:hAnsi="Arial" w:cs="Arial" w:eastAsia="Arial" w:hint="default"/>
        </w:rPr>
        <w:t>2</w:t>
      </w:r>
      <w:r>
        <w:rPr/>
        <w:t>：于</w:t>
      </w:r>
      <w:r>
        <w:rPr>
          <w:spacing w:val="-38"/>
        </w:rPr>
        <w:t> </w:t>
      </w:r>
      <w:r>
        <w:rPr>
          <w:rFonts w:ascii="Arial" w:hAnsi="Arial" w:cs="Arial" w:eastAsia="Arial" w:hint="default"/>
        </w:rPr>
        <w:t>2011</w:t>
      </w:r>
      <w:r>
        <w:rPr>
          <w:rFonts w:ascii="Arial" w:hAnsi="Arial" w:cs="Arial" w:eastAsia="Arial" w:hint="default"/>
          <w:spacing w:val="11"/>
        </w:rPr>
        <w:t> </w:t>
      </w:r>
      <w:r>
        <w:rPr/>
        <w:t>年度，本集团对账龄较长且已无法支付的应付款项进行清理后转入营业外收入</w:t>
      </w:r>
      <w:r>
        <w:rPr>
          <w:w w:val="99"/>
        </w:rPr>
        <w:t> </w:t>
      </w:r>
      <w:r>
        <w:rPr/>
        <w:t>约人民币</w:t>
      </w:r>
      <w:r>
        <w:rPr>
          <w:spacing w:val="-57"/>
        </w:rPr>
        <w:t> </w:t>
      </w:r>
      <w:r>
        <w:rPr>
          <w:rFonts w:ascii="Arial" w:hAnsi="Arial" w:cs="Arial" w:eastAsia="Arial" w:hint="default"/>
        </w:rPr>
        <w:t>1.25</w:t>
      </w:r>
      <w:r>
        <w:rPr>
          <w:rFonts w:ascii="Arial" w:hAnsi="Arial" w:cs="Arial" w:eastAsia="Arial" w:hint="default"/>
          <w:spacing w:val="-8"/>
        </w:rPr>
        <w:t> </w:t>
      </w:r>
      <w:r>
        <w:rPr/>
        <w:t>亿元（</w:t>
      </w:r>
      <w:r>
        <w:rPr>
          <w:rFonts w:ascii="Arial" w:hAnsi="Arial" w:cs="Arial" w:eastAsia="Arial" w:hint="default"/>
        </w:rPr>
        <w:t>2010</w:t>
      </w:r>
      <w:r>
        <w:rPr>
          <w:rFonts w:ascii="Arial" w:hAnsi="Arial" w:cs="Arial" w:eastAsia="Arial" w:hint="default"/>
          <w:spacing w:val="-8"/>
        </w:rPr>
        <w:t> </w:t>
      </w:r>
      <w:r>
        <w:rPr/>
        <w:t>年度：约人民币</w:t>
      </w:r>
      <w:r>
        <w:rPr>
          <w:spacing w:val="-57"/>
        </w:rPr>
        <w:t> </w:t>
      </w:r>
      <w:r>
        <w:rPr>
          <w:rFonts w:ascii="Arial" w:hAnsi="Arial" w:cs="Arial" w:eastAsia="Arial" w:hint="default"/>
        </w:rPr>
        <w:t>3.53</w:t>
      </w:r>
      <w:r>
        <w:rPr>
          <w:rFonts w:ascii="Arial" w:hAnsi="Arial" w:cs="Arial" w:eastAsia="Arial" w:hint="default"/>
          <w:spacing w:val="-8"/>
        </w:rPr>
        <w:t> </w:t>
      </w:r>
      <w:r>
        <w:rPr/>
        <w:t>亿元）。</w:t>
      </w:r>
    </w:p>
    <w:p>
      <w:pPr>
        <w:spacing w:line="240" w:lineRule="auto" w:before="8"/>
        <w:rPr>
          <w:rFonts w:ascii="宋体" w:hAnsi="宋体" w:cs="宋体" w:eastAsia="宋体" w:hint="default"/>
          <w:sz w:val="14"/>
          <w:szCs w:val="14"/>
        </w:rPr>
      </w:pPr>
    </w:p>
    <w:tbl>
      <w:tblPr>
        <w:tblW w:w="0" w:type="auto"/>
        <w:jc w:val="left"/>
        <w:tblInd w:w="556" w:type="dxa"/>
        <w:tblLayout w:type="fixed"/>
        <w:tblCellMar>
          <w:top w:w="0" w:type="dxa"/>
          <w:left w:w="0" w:type="dxa"/>
          <w:bottom w:w="0" w:type="dxa"/>
          <w:right w:w="0" w:type="dxa"/>
        </w:tblCellMar>
        <w:tblLook w:val="01E0"/>
      </w:tblPr>
      <w:tblGrid>
        <w:gridCol w:w="1827"/>
        <w:gridCol w:w="610"/>
        <w:gridCol w:w="1099"/>
        <w:gridCol w:w="238"/>
        <w:gridCol w:w="1582"/>
        <w:gridCol w:w="238"/>
        <w:gridCol w:w="3416"/>
      </w:tblGrid>
      <w:tr>
        <w:trPr>
          <w:trHeight w:val="873" w:hRule="exact"/>
        </w:trPr>
        <w:tc>
          <w:tcPr>
            <w:tcW w:w="2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8"/>
                <w:sz w:val="22"/>
                <w:szCs w:val="22"/>
              </w:rPr>
              <w:t> </w:t>
            </w:r>
            <w:r>
              <w:rPr>
                <w:rFonts w:ascii="Arial" w:hAnsi="Arial" w:cs="Arial" w:eastAsia="Arial" w:hint="default"/>
                <w:sz w:val="22"/>
                <w:szCs w:val="22"/>
              </w:rPr>
              <w:t>3</w:t>
            </w:r>
            <w:r>
              <w:rPr>
                <w:rFonts w:ascii="宋体" w:hAnsi="宋体" w:cs="宋体" w:eastAsia="宋体" w:hint="default"/>
                <w:sz w:val="22"/>
                <w:szCs w:val="22"/>
              </w:rPr>
              <w:t>：政府补助明细</w:t>
            </w:r>
          </w:p>
        </w:tc>
        <w:tc>
          <w:tcPr>
            <w:tcW w:w="1099"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238" w:type="dxa"/>
            <w:tcBorders>
              <w:top w:val="nil" w:sz="6" w:space="0" w:color="auto"/>
              <w:left w:val="nil" w:sz="6" w:space="0" w:color="auto"/>
              <w:bottom w:val="nil" w:sz="6" w:space="0" w:color="auto"/>
              <w:right w:val="nil" w:sz="6" w:space="0" w:color="auto"/>
            </w:tcBorders>
          </w:tcPr>
          <w:p>
            <w:pPr/>
          </w:p>
        </w:tc>
        <w:tc>
          <w:tcPr>
            <w:tcW w:w="341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08" w:hRule="exact"/>
        </w:trPr>
        <w:tc>
          <w:tcPr>
            <w:tcW w:w="2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20"/>
                <w:szCs w:val="20"/>
              </w:rPr>
            </w:pPr>
            <w:r>
              <w:rPr>
                <w:rFonts w:ascii="宋体" w:hAnsi="宋体" w:cs="宋体" w:eastAsia="宋体" w:hint="default"/>
                <w:sz w:val="20"/>
                <w:szCs w:val="20"/>
              </w:rPr>
              <w:t>电信服务补贴</w:t>
            </w:r>
          </w:p>
        </w:tc>
        <w:tc>
          <w:tcPr>
            <w:tcW w:w="109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116"/>
              <w:jc w:val="right"/>
              <w:rPr>
                <w:rFonts w:ascii="Arial" w:hAnsi="Arial" w:cs="Arial" w:eastAsia="Arial" w:hint="default"/>
                <w:sz w:val="20"/>
                <w:szCs w:val="20"/>
              </w:rPr>
            </w:pPr>
            <w:r>
              <w:rPr>
                <w:rFonts w:ascii="Arial"/>
                <w:spacing w:val="-1"/>
                <w:sz w:val="20"/>
              </w:rPr>
              <w:t>42,000,000</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5"/>
              <w:jc w:val="right"/>
              <w:rPr>
                <w:rFonts w:ascii="Arial" w:hAnsi="Arial" w:cs="Arial" w:eastAsia="Arial" w:hint="default"/>
                <w:sz w:val="20"/>
                <w:szCs w:val="20"/>
              </w:rPr>
            </w:pPr>
            <w:r>
              <w:rPr>
                <w:rFonts w:ascii="Arial"/>
                <w:spacing w:val="-1"/>
                <w:sz w:val="20"/>
              </w:rPr>
              <w:t>43,233,000</w:t>
            </w:r>
          </w:p>
        </w:tc>
        <w:tc>
          <w:tcPr>
            <w:tcW w:w="238" w:type="dxa"/>
            <w:tcBorders>
              <w:top w:val="nil" w:sz="6" w:space="0" w:color="auto"/>
              <w:left w:val="nil" w:sz="6" w:space="0" w:color="auto"/>
              <w:bottom w:val="nil" w:sz="6" w:space="0" w:color="auto"/>
              <w:right w:val="nil" w:sz="6" w:space="0" w:color="auto"/>
            </w:tcBorders>
          </w:tcPr>
          <w:p>
            <w:pPr/>
          </w:p>
        </w:tc>
        <w:tc>
          <w:tcPr>
            <w:tcW w:w="3416"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20"/>
                <w:szCs w:val="20"/>
              </w:rPr>
            </w:pPr>
            <w:r>
              <w:rPr>
                <w:rFonts w:ascii="宋体" w:hAnsi="宋体" w:cs="宋体" w:eastAsia="宋体" w:hint="default"/>
                <w:sz w:val="20"/>
                <w:szCs w:val="20"/>
              </w:rPr>
              <w:t>村村通电信服务补贴</w:t>
            </w:r>
          </w:p>
        </w:tc>
      </w:tr>
      <w:tr>
        <w:trPr>
          <w:trHeight w:val="259" w:hRule="exact"/>
        </w:trPr>
        <w:tc>
          <w:tcPr>
            <w:tcW w:w="2437" w:type="dxa"/>
            <w:gridSpan w:val="2"/>
            <w:tcBorders>
              <w:top w:val="nil" w:sz="6" w:space="0" w:color="auto"/>
              <w:left w:val="nil" w:sz="6" w:space="0" w:color="auto"/>
              <w:bottom w:val="nil" w:sz="6" w:space="0" w:color="auto"/>
              <w:right w:val="nil" w:sz="6" w:space="0" w:color="auto"/>
            </w:tcBorders>
          </w:tcPr>
          <w:p>
            <w:pPr>
              <w:pStyle w:val="TableParagraph"/>
              <w:spacing w:line="218" w:lineRule="exact"/>
              <w:ind w:left="41" w:right="0"/>
              <w:jc w:val="left"/>
              <w:rPr>
                <w:rFonts w:ascii="宋体" w:hAnsi="宋体" w:cs="宋体" w:eastAsia="宋体" w:hint="default"/>
                <w:sz w:val="20"/>
                <w:szCs w:val="20"/>
              </w:rPr>
            </w:pPr>
            <w:r>
              <w:rPr>
                <w:rFonts w:ascii="宋体" w:hAnsi="宋体" w:cs="宋体" w:eastAsia="宋体" w:hint="default"/>
                <w:sz w:val="20"/>
                <w:szCs w:val="20"/>
              </w:rPr>
              <w:t>增值税退税（注）</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 w:right="116"/>
              <w:jc w:val="right"/>
              <w:rPr>
                <w:rFonts w:ascii="Arial" w:hAnsi="Arial" w:cs="Arial" w:eastAsia="Arial" w:hint="default"/>
                <w:sz w:val="20"/>
                <w:szCs w:val="20"/>
              </w:rPr>
            </w:pPr>
            <w:r>
              <w:rPr>
                <w:rFonts w:ascii="Arial"/>
                <w:spacing w:val="-1"/>
                <w:sz w:val="20"/>
              </w:rPr>
              <w:t>25,181,540</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20"/>
                <w:szCs w:val="20"/>
              </w:rPr>
            </w:pPr>
            <w:r>
              <w:rPr>
                <w:rFonts w:ascii="Arial"/>
                <w:spacing w:val="-1"/>
                <w:sz w:val="20"/>
              </w:rPr>
              <w:t>26,951,640</w:t>
            </w:r>
          </w:p>
        </w:tc>
        <w:tc>
          <w:tcPr>
            <w:tcW w:w="238" w:type="dxa"/>
            <w:tcBorders>
              <w:top w:val="nil" w:sz="6" w:space="0" w:color="auto"/>
              <w:left w:val="nil" w:sz="6" w:space="0" w:color="auto"/>
              <w:bottom w:val="nil" w:sz="6" w:space="0" w:color="auto"/>
              <w:right w:val="nil" w:sz="6" w:space="0" w:color="auto"/>
            </w:tcBorders>
          </w:tcPr>
          <w:p>
            <w:pPr/>
          </w:p>
        </w:tc>
        <w:tc>
          <w:tcPr>
            <w:tcW w:w="3416" w:type="dxa"/>
            <w:tcBorders>
              <w:top w:val="nil" w:sz="6" w:space="0" w:color="auto"/>
              <w:left w:val="nil" w:sz="6" w:space="0" w:color="auto"/>
              <w:bottom w:val="nil" w:sz="6" w:space="0" w:color="auto"/>
              <w:right w:val="nil" w:sz="6" w:space="0" w:color="auto"/>
            </w:tcBorders>
          </w:tcPr>
          <w:p>
            <w:pPr>
              <w:pStyle w:val="TableParagraph"/>
              <w:spacing w:line="218" w:lineRule="exact"/>
              <w:ind w:left="109" w:right="0"/>
              <w:jc w:val="left"/>
              <w:rPr>
                <w:rFonts w:ascii="宋体" w:hAnsi="宋体" w:cs="宋体" w:eastAsia="宋体" w:hint="default"/>
                <w:sz w:val="20"/>
                <w:szCs w:val="20"/>
              </w:rPr>
            </w:pPr>
            <w:r>
              <w:rPr>
                <w:rFonts w:ascii="宋体" w:hAnsi="宋体" w:cs="宋体" w:eastAsia="宋体" w:hint="default"/>
                <w:sz w:val="20"/>
                <w:szCs w:val="20"/>
              </w:rPr>
              <w:t>软件销售的增值税即征即退</w:t>
            </w:r>
          </w:p>
        </w:tc>
      </w:tr>
      <w:tr>
        <w:trPr>
          <w:trHeight w:val="507" w:hRule="exact"/>
        </w:trPr>
        <w:tc>
          <w:tcPr>
            <w:tcW w:w="2437"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41" w:right="0"/>
              <w:jc w:val="left"/>
              <w:rPr>
                <w:rFonts w:ascii="宋体" w:hAnsi="宋体" w:cs="宋体" w:eastAsia="宋体" w:hint="default"/>
                <w:sz w:val="20"/>
                <w:szCs w:val="20"/>
              </w:rPr>
            </w:pPr>
            <w:r>
              <w:rPr>
                <w:rFonts w:ascii="宋体" w:hAnsi="宋体" w:cs="宋体" w:eastAsia="宋体" w:hint="default"/>
                <w:sz w:val="20"/>
                <w:szCs w:val="20"/>
              </w:rPr>
              <w:t>战备应急补贴</w:t>
            </w:r>
          </w:p>
          <w:p>
            <w:pPr>
              <w:pStyle w:val="TableParagraph"/>
              <w:spacing w:line="260" w:lineRule="exact"/>
              <w:ind w:left="41" w:right="0"/>
              <w:jc w:val="left"/>
              <w:rPr>
                <w:rFonts w:ascii="宋体" w:hAnsi="宋体" w:cs="宋体" w:eastAsia="宋体" w:hint="default"/>
                <w:sz w:val="20"/>
                <w:szCs w:val="20"/>
              </w:rPr>
            </w:pPr>
            <w:r>
              <w:rPr>
                <w:rFonts w:ascii="宋体" w:hAnsi="宋体" w:cs="宋体" w:eastAsia="宋体" w:hint="default"/>
                <w:spacing w:val="11"/>
                <w:sz w:val="20"/>
                <w:szCs w:val="20"/>
              </w:rPr>
              <w:t>信息化村和宽带小</w:t>
            </w:r>
            <w:r>
              <w:rPr>
                <w:rFonts w:ascii="宋体" w:hAnsi="宋体" w:cs="宋体" w:eastAsia="宋体" w:hint="default"/>
                <w:sz w:val="20"/>
                <w:szCs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 w:right="116"/>
              <w:jc w:val="right"/>
              <w:rPr>
                <w:rFonts w:ascii="Arial" w:hAnsi="Arial" w:cs="Arial" w:eastAsia="Arial" w:hint="default"/>
                <w:sz w:val="20"/>
                <w:szCs w:val="20"/>
              </w:rPr>
            </w:pPr>
            <w:r>
              <w:rPr>
                <w:rFonts w:ascii="Arial"/>
                <w:spacing w:val="-1"/>
                <w:sz w:val="20"/>
              </w:rPr>
              <w:t>19,800,000</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20"/>
                <w:szCs w:val="20"/>
              </w:rPr>
            </w:pPr>
            <w:r>
              <w:rPr>
                <w:rFonts w:ascii="Arial"/>
                <w:spacing w:val="-1"/>
                <w:sz w:val="20"/>
              </w:rPr>
              <w:t>19,850,000</w:t>
            </w:r>
          </w:p>
        </w:tc>
        <w:tc>
          <w:tcPr>
            <w:tcW w:w="238" w:type="dxa"/>
            <w:tcBorders>
              <w:top w:val="nil" w:sz="6" w:space="0" w:color="auto"/>
              <w:left w:val="nil" w:sz="6" w:space="0" w:color="auto"/>
              <w:bottom w:val="nil" w:sz="6" w:space="0" w:color="auto"/>
              <w:right w:val="nil" w:sz="6" w:space="0" w:color="auto"/>
            </w:tcBorders>
          </w:tcPr>
          <w:p>
            <w:pPr/>
          </w:p>
        </w:tc>
        <w:tc>
          <w:tcPr>
            <w:tcW w:w="3416" w:type="dxa"/>
            <w:tcBorders>
              <w:top w:val="nil" w:sz="6" w:space="0" w:color="auto"/>
              <w:left w:val="nil" w:sz="6" w:space="0" w:color="auto"/>
              <w:bottom w:val="nil" w:sz="6" w:space="0" w:color="auto"/>
              <w:right w:val="nil" w:sz="6" w:space="0" w:color="auto"/>
            </w:tcBorders>
          </w:tcPr>
          <w:p>
            <w:pPr>
              <w:pStyle w:val="TableParagraph"/>
              <w:spacing w:line="217" w:lineRule="exact"/>
              <w:ind w:left="109" w:right="0"/>
              <w:jc w:val="left"/>
              <w:rPr>
                <w:rFonts w:ascii="宋体" w:hAnsi="宋体" w:cs="宋体" w:eastAsia="宋体" w:hint="default"/>
                <w:sz w:val="20"/>
                <w:szCs w:val="20"/>
              </w:rPr>
            </w:pPr>
            <w:r>
              <w:rPr>
                <w:rFonts w:ascii="宋体" w:hAnsi="宋体" w:cs="宋体" w:eastAsia="宋体" w:hint="default"/>
                <w:sz w:val="20"/>
                <w:szCs w:val="20"/>
              </w:rPr>
              <w:t>战备应急通信运营维护专项经费</w:t>
            </w:r>
          </w:p>
          <w:p>
            <w:pPr>
              <w:pStyle w:val="TableParagraph"/>
              <w:spacing w:line="260" w:lineRule="exact"/>
              <w:ind w:left="109" w:right="0"/>
              <w:jc w:val="left"/>
              <w:rPr>
                <w:rFonts w:ascii="宋体" w:hAnsi="宋体" w:cs="宋体" w:eastAsia="宋体" w:hint="default"/>
                <w:sz w:val="20"/>
                <w:szCs w:val="20"/>
              </w:rPr>
            </w:pPr>
            <w:r>
              <w:rPr>
                <w:rFonts w:ascii="宋体" w:hAnsi="宋体" w:cs="宋体" w:eastAsia="宋体" w:hint="default"/>
                <w:sz w:val="20"/>
                <w:szCs w:val="20"/>
              </w:rPr>
              <w:t>北京市经济和信息化委员会拨付信息</w:t>
            </w:r>
          </w:p>
        </w:tc>
      </w:tr>
      <w:tr>
        <w:trPr>
          <w:trHeight w:val="271" w:hRule="exact"/>
        </w:trPr>
        <w:tc>
          <w:tcPr>
            <w:tcW w:w="3535" w:type="dxa"/>
            <w:gridSpan w:val="3"/>
            <w:tcBorders>
              <w:top w:val="nil" w:sz="6" w:space="0" w:color="auto"/>
              <w:left w:val="nil" w:sz="6" w:space="0" w:color="auto"/>
              <w:bottom w:val="nil" w:sz="6" w:space="0" w:color="auto"/>
              <w:right w:val="nil" w:sz="6" w:space="0" w:color="auto"/>
            </w:tcBorders>
          </w:tcPr>
          <w:p>
            <w:pPr>
              <w:pStyle w:val="TableParagraph"/>
              <w:tabs>
                <w:tab w:pos="2527" w:val="left" w:leader="none"/>
              </w:tabs>
              <w:spacing w:line="257" w:lineRule="exact"/>
              <w:ind w:left="256" w:right="0"/>
              <w:jc w:val="left"/>
              <w:rPr>
                <w:rFonts w:ascii="Arial" w:hAnsi="Arial" w:cs="Arial" w:eastAsia="Arial" w:hint="default"/>
                <w:sz w:val="20"/>
                <w:szCs w:val="20"/>
              </w:rPr>
            </w:pPr>
            <w:r>
              <w:rPr>
                <w:rFonts w:ascii="宋体" w:hAnsi="宋体" w:cs="宋体" w:eastAsia="宋体" w:hint="default"/>
                <w:position w:val="1"/>
                <w:sz w:val="20"/>
                <w:szCs w:val="20"/>
              </w:rPr>
              <w:t>区补贴</w:t>
              <w:tab/>
            </w:r>
            <w:r>
              <w:rPr>
                <w:rFonts w:ascii="Arial" w:hAnsi="Arial" w:cs="Arial" w:eastAsia="Arial" w:hint="default"/>
                <w:sz w:val="20"/>
                <w:szCs w:val="20"/>
              </w:rPr>
              <w:t>5,431,150</w:t>
            </w:r>
          </w:p>
        </w:tc>
        <w:tc>
          <w:tcPr>
            <w:tcW w:w="18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right="146"/>
              <w:jc w:val="right"/>
              <w:rPr>
                <w:rFonts w:ascii="Arial" w:hAnsi="Arial" w:cs="Arial" w:eastAsia="Arial" w:hint="default"/>
                <w:sz w:val="20"/>
                <w:szCs w:val="20"/>
              </w:rPr>
            </w:pPr>
            <w:r>
              <w:rPr>
                <w:rFonts w:ascii="Arial"/>
                <w:w w:val="100"/>
                <w:sz w:val="20"/>
              </w:rPr>
              <w:t>-</w:t>
            </w:r>
          </w:p>
        </w:tc>
        <w:tc>
          <w:tcPr>
            <w:tcW w:w="3654"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346" w:right="0"/>
              <w:jc w:val="left"/>
              <w:rPr>
                <w:rFonts w:ascii="宋体" w:hAnsi="宋体" w:cs="宋体" w:eastAsia="宋体" w:hint="default"/>
                <w:sz w:val="20"/>
                <w:szCs w:val="20"/>
              </w:rPr>
            </w:pPr>
            <w:r>
              <w:rPr>
                <w:rFonts w:ascii="宋体" w:hAnsi="宋体" w:cs="宋体" w:eastAsia="宋体" w:hint="default"/>
                <w:sz w:val="20"/>
                <w:szCs w:val="20"/>
              </w:rPr>
              <w:t>化村和宽带小区政府补助</w:t>
            </w:r>
          </w:p>
        </w:tc>
      </w:tr>
      <w:tr>
        <w:trPr>
          <w:trHeight w:val="248" w:hRule="exact"/>
        </w:trPr>
        <w:tc>
          <w:tcPr>
            <w:tcW w:w="1827" w:type="dxa"/>
            <w:tcBorders>
              <w:top w:val="nil" w:sz="6" w:space="0" w:color="auto"/>
              <w:left w:val="nil" w:sz="6" w:space="0" w:color="auto"/>
              <w:bottom w:val="nil" w:sz="6" w:space="0" w:color="auto"/>
              <w:right w:val="nil" w:sz="6" w:space="0" w:color="auto"/>
            </w:tcBorders>
          </w:tcPr>
          <w:p>
            <w:pPr/>
          </w:p>
        </w:tc>
        <w:tc>
          <w:tcPr>
            <w:tcW w:w="1709" w:type="dxa"/>
            <w:gridSpan w:val="2"/>
            <w:tcBorders>
              <w:top w:val="nil" w:sz="6" w:space="0" w:color="auto"/>
              <w:left w:val="nil" w:sz="6" w:space="0" w:color="auto"/>
              <w:bottom w:val="nil" w:sz="6" w:space="0" w:color="auto"/>
              <w:right w:val="nil" w:sz="6" w:space="0" w:color="auto"/>
            </w:tcBorders>
          </w:tcPr>
          <w:p>
            <w:pPr/>
          </w:p>
        </w:tc>
        <w:tc>
          <w:tcPr>
            <w:tcW w:w="1819" w:type="dxa"/>
            <w:gridSpan w:val="2"/>
            <w:tcBorders>
              <w:top w:val="nil" w:sz="6" w:space="0" w:color="auto"/>
              <w:left w:val="nil" w:sz="6" w:space="0" w:color="auto"/>
              <w:bottom w:val="nil" w:sz="6" w:space="0" w:color="auto"/>
              <w:right w:val="nil" w:sz="6" w:space="0" w:color="auto"/>
            </w:tcBorders>
          </w:tcPr>
          <w:p>
            <w:pPr/>
          </w:p>
        </w:tc>
        <w:tc>
          <w:tcPr>
            <w:tcW w:w="3654"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346" w:right="0"/>
              <w:jc w:val="left"/>
              <w:rPr>
                <w:rFonts w:ascii="宋体" w:hAnsi="宋体" w:cs="宋体" w:eastAsia="宋体" w:hint="default"/>
                <w:sz w:val="20"/>
                <w:szCs w:val="20"/>
              </w:rPr>
            </w:pPr>
            <w:r>
              <w:rPr>
                <w:rFonts w:ascii="宋体" w:hAnsi="宋体" w:cs="宋体" w:eastAsia="宋体" w:hint="default"/>
                <w:sz w:val="20"/>
                <w:szCs w:val="20"/>
              </w:rPr>
              <w:t>内蒙古包头市财政局拨付开发区扶持</w:t>
            </w:r>
          </w:p>
        </w:tc>
      </w:tr>
      <w:tr>
        <w:trPr>
          <w:trHeight w:val="270"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30" w:lineRule="exact"/>
              <w:ind w:left="40" w:right="0"/>
              <w:jc w:val="left"/>
              <w:rPr>
                <w:rFonts w:ascii="宋体" w:hAnsi="宋体" w:cs="宋体" w:eastAsia="宋体" w:hint="default"/>
                <w:sz w:val="20"/>
                <w:szCs w:val="20"/>
              </w:rPr>
            </w:pPr>
            <w:r>
              <w:rPr>
                <w:rFonts w:ascii="宋体" w:hAnsi="宋体" w:cs="宋体" w:eastAsia="宋体" w:hint="default"/>
                <w:sz w:val="20"/>
                <w:szCs w:val="20"/>
              </w:rPr>
              <w:t>开发区扶持补贴</w:t>
            </w:r>
          </w:p>
        </w:tc>
        <w:tc>
          <w:tcPr>
            <w:tcW w:w="17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700" w:right="0"/>
              <w:jc w:val="left"/>
              <w:rPr>
                <w:rFonts w:ascii="Arial" w:hAnsi="Arial" w:cs="Arial" w:eastAsia="Arial" w:hint="default"/>
                <w:sz w:val="20"/>
                <w:szCs w:val="20"/>
              </w:rPr>
            </w:pPr>
            <w:r>
              <w:rPr>
                <w:rFonts w:ascii="Arial"/>
                <w:sz w:val="20"/>
              </w:rPr>
              <w:t>3,502,953</w:t>
            </w:r>
          </w:p>
        </w:tc>
        <w:tc>
          <w:tcPr>
            <w:tcW w:w="18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right="146"/>
              <w:jc w:val="right"/>
              <w:rPr>
                <w:rFonts w:ascii="Arial" w:hAnsi="Arial" w:cs="Arial" w:eastAsia="Arial" w:hint="default"/>
                <w:sz w:val="20"/>
                <w:szCs w:val="20"/>
              </w:rPr>
            </w:pPr>
            <w:r>
              <w:rPr>
                <w:rFonts w:ascii="Arial"/>
                <w:w w:val="100"/>
                <w:sz w:val="20"/>
              </w:rPr>
              <w:t>-</w:t>
            </w:r>
          </w:p>
        </w:tc>
        <w:tc>
          <w:tcPr>
            <w:tcW w:w="3654"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346" w:right="0"/>
              <w:jc w:val="left"/>
              <w:rPr>
                <w:rFonts w:ascii="宋体" w:hAnsi="宋体" w:cs="宋体" w:eastAsia="宋体" w:hint="default"/>
                <w:sz w:val="20"/>
                <w:szCs w:val="20"/>
              </w:rPr>
            </w:pPr>
            <w:r>
              <w:rPr>
                <w:rFonts w:ascii="宋体" w:hAnsi="宋体" w:cs="宋体" w:eastAsia="宋体" w:hint="default"/>
                <w:sz w:val="20"/>
                <w:szCs w:val="20"/>
              </w:rPr>
              <w:t>资金</w:t>
            </w:r>
          </w:p>
        </w:tc>
      </w:tr>
      <w:tr>
        <w:trPr>
          <w:trHeight w:val="260"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19" w:lineRule="exact"/>
              <w:ind w:left="40" w:right="0"/>
              <w:jc w:val="left"/>
              <w:rPr>
                <w:rFonts w:ascii="宋体" w:hAnsi="宋体" w:cs="宋体" w:eastAsia="宋体" w:hint="default"/>
                <w:sz w:val="20"/>
                <w:szCs w:val="20"/>
              </w:rPr>
            </w:pPr>
            <w:r>
              <w:rPr>
                <w:rFonts w:ascii="宋体" w:hAnsi="宋体" w:cs="宋体" w:eastAsia="宋体" w:hint="default"/>
                <w:sz w:val="20"/>
                <w:szCs w:val="20"/>
              </w:rPr>
              <w:t>高技术产业补贴</w:t>
            </w:r>
          </w:p>
        </w:tc>
        <w:tc>
          <w:tcPr>
            <w:tcW w:w="17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155"/>
              <w:jc w:val="right"/>
              <w:rPr>
                <w:rFonts w:ascii="Arial" w:hAnsi="Arial" w:cs="Arial" w:eastAsia="Arial" w:hint="default"/>
                <w:sz w:val="20"/>
                <w:szCs w:val="20"/>
              </w:rPr>
            </w:pPr>
            <w:r>
              <w:rPr>
                <w:rFonts w:ascii="Arial"/>
                <w:w w:val="100"/>
                <w:sz w:val="20"/>
              </w:rPr>
              <w:t>-</w:t>
            </w:r>
          </w:p>
        </w:tc>
        <w:tc>
          <w:tcPr>
            <w:tcW w:w="18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82" w:right="0"/>
              <w:jc w:val="left"/>
              <w:rPr>
                <w:rFonts w:ascii="Arial" w:hAnsi="Arial" w:cs="Arial" w:eastAsia="Arial" w:hint="default"/>
                <w:sz w:val="20"/>
                <w:szCs w:val="20"/>
              </w:rPr>
            </w:pPr>
            <w:r>
              <w:rPr>
                <w:rFonts w:ascii="Arial"/>
                <w:sz w:val="20"/>
              </w:rPr>
              <w:t>9,113,671</w:t>
            </w:r>
          </w:p>
        </w:tc>
        <w:tc>
          <w:tcPr>
            <w:tcW w:w="3654"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346" w:right="0"/>
              <w:jc w:val="left"/>
              <w:rPr>
                <w:rFonts w:ascii="宋体" w:hAnsi="宋体" w:cs="宋体" w:eastAsia="宋体" w:hint="default"/>
                <w:sz w:val="20"/>
                <w:szCs w:val="20"/>
              </w:rPr>
            </w:pPr>
            <w:r>
              <w:rPr>
                <w:rFonts w:ascii="宋体" w:hAnsi="宋体" w:cs="宋体" w:eastAsia="宋体" w:hint="default"/>
                <w:sz w:val="20"/>
                <w:szCs w:val="20"/>
              </w:rPr>
              <w:t>国债专项高技术产业补助</w:t>
            </w:r>
          </w:p>
        </w:tc>
      </w:tr>
      <w:tr>
        <w:trPr>
          <w:trHeight w:val="382"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18" w:lineRule="exact"/>
              <w:ind w:left="4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09" w:type="dxa"/>
            <w:gridSpan w:val="2"/>
            <w:tcBorders>
              <w:top w:val="nil" w:sz="6" w:space="0" w:color="auto"/>
              <w:left w:val="nil" w:sz="6" w:space="0" w:color="auto"/>
              <w:bottom w:val="nil" w:sz="6" w:space="0" w:color="auto"/>
              <w:right w:val="nil" w:sz="6" w:space="0" w:color="auto"/>
            </w:tcBorders>
          </w:tcPr>
          <w:p>
            <w:pPr>
              <w:pStyle w:val="TableParagraph"/>
              <w:tabs>
                <w:tab w:pos="589" w:val="left" w:leader="none"/>
                <w:tab w:pos="1708" w:val="left" w:leader="none"/>
              </w:tabs>
              <w:spacing w:line="240" w:lineRule="auto" w:before="15"/>
              <w:ind w:left="1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22,088,020</w:t>
              <w:tab/>
            </w:r>
            <w:r>
              <w:rPr>
                <w:rFonts w:ascii="Arial"/>
                <w:sz w:val="20"/>
              </w:rPr>
            </w:r>
          </w:p>
        </w:tc>
        <w:tc>
          <w:tcPr>
            <w:tcW w:w="1819" w:type="dxa"/>
            <w:gridSpan w:val="2"/>
            <w:tcBorders>
              <w:top w:val="nil" w:sz="6" w:space="0" w:color="auto"/>
              <w:left w:val="nil" w:sz="6" w:space="0" w:color="auto"/>
              <w:bottom w:val="nil" w:sz="6" w:space="0" w:color="auto"/>
              <w:right w:val="nil" w:sz="6" w:space="0" w:color="auto"/>
            </w:tcBorders>
          </w:tcPr>
          <w:p>
            <w:pPr>
              <w:pStyle w:val="TableParagraph"/>
              <w:tabs>
                <w:tab w:pos="670" w:val="left" w:leader="none"/>
                <w:tab w:pos="1819" w:val="left" w:leader="none"/>
              </w:tabs>
              <w:spacing w:line="240" w:lineRule="auto" w:before="15"/>
              <w:ind w:left="23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12,525,482</w:t>
              <w:tab/>
            </w:r>
            <w:r>
              <w:rPr>
                <w:rFonts w:ascii="Arial"/>
                <w:sz w:val="20"/>
              </w:rPr>
            </w:r>
          </w:p>
        </w:tc>
        <w:tc>
          <w:tcPr>
            <w:tcW w:w="3654" w:type="dxa"/>
            <w:gridSpan w:val="2"/>
            <w:tcBorders>
              <w:top w:val="nil" w:sz="6" w:space="0" w:color="auto"/>
              <w:left w:val="nil" w:sz="6" w:space="0" w:color="auto"/>
              <w:bottom w:val="nil" w:sz="6" w:space="0" w:color="auto"/>
              <w:right w:val="nil" w:sz="6" w:space="0" w:color="auto"/>
            </w:tcBorders>
          </w:tcPr>
          <w:p>
            <w:pPr>
              <w:pStyle w:val="TableParagraph"/>
              <w:spacing w:line="218" w:lineRule="exact"/>
              <w:ind w:left="346" w:right="0"/>
              <w:jc w:val="left"/>
              <w:rPr>
                <w:rFonts w:ascii="宋体" w:hAnsi="宋体" w:cs="宋体" w:eastAsia="宋体" w:hint="default"/>
                <w:sz w:val="20"/>
                <w:szCs w:val="20"/>
              </w:rPr>
            </w:pPr>
            <w:r>
              <w:rPr>
                <w:rFonts w:ascii="宋体" w:hAnsi="宋体" w:cs="宋体" w:eastAsia="宋体" w:hint="default"/>
                <w:sz w:val="20"/>
                <w:szCs w:val="20"/>
              </w:rPr>
              <w:t>其他</w:t>
            </w:r>
          </w:p>
        </w:tc>
      </w:tr>
      <w:tr>
        <w:trPr>
          <w:trHeight w:val="394"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09"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38"/>
              <w:ind w:left="477" w:right="0"/>
              <w:jc w:val="left"/>
              <w:rPr>
                <w:rFonts w:ascii="Arial" w:hAnsi="Arial" w:cs="Arial" w:eastAsia="Arial" w:hint="default"/>
                <w:sz w:val="20"/>
                <w:szCs w:val="20"/>
              </w:rPr>
            </w:pPr>
            <w:r>
              <w:rPr>
                <w:rFonts w:ascii="Arial"/>
                <w:sz w:val="20"/>
              </w:rPr>
              <w:t>118,003,663</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44"/>
              <w:jc w:val="right"/>
              <w:rPr>
                <w:rFonts w:ascii="Arial" w:hAnsi="Arial" w:cs="Arial" w:eastAsia="Arial" w:hint="default"/>
                <w:sz w:val="20"/>
                <w:szCs w:val="20"/>
              </w:rPr>
            </w:pPr>
            <w:r>
              <w:rPr>
                <w:rFonts w:ascii="Arial"/>
                <w:spacing w:val="-1"/>
                <w:sz w:val="20"/>
              </w:rPr>
              <w:t>111,673,793</w:t>
            </w:r>
          </w:p>
        </w:tc>
        <w:tc>
          <w:tcPr>
            <w:tcW w:w="3654" w:type="dxa"/>
            <w:gridSpan w:val="2"/>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2"/>
          <w:szCs w:val="12"/>
        </w:rPr>
      </w:pPr>
    </w:p>
    <w:p>
      <w:pPr>
        <w:pStyle w:val="BodyText"/>
        <w:spacing w:line="295" w:lineRule="exact" w:before="31"/>
        <w:ind w:left="606" w:right="97"/>
        <w:jc w:val="left"/>
      </w:pPr>
      <w:r>
        <w:rPr/>
        <w:t>注：于</w:t>
      </w:r>
      <w:r>
        <w:rPr>
          <w:spacing w:val="-57"/>
        </w:rPr>
        <w:t> </w:t>
      </w:r>
      <w:r>
        <w:rPr>
          <w:rFonts w:ascii="Arial" w:hAnsi="Arial" w:cs="Arial" w:eastAsia="Arial" w:hint="default"/>
        </w:rPr>
        <w:t>2011</w:t>
      </w:r>
      <w:r>
        <w:rPr>
          <w:rFonts w:ascii="Arial" w:hAnsi="Arial" w:cs="Arial" w:eastAsia="Arial" w:hint="default"/>
          <w:spacing w:val="-8"/>
        </w:rPr>
        <w:t> </w:t>
      </w:r>
      <w:r>
        <w:rPr/>
        <w:t>年度，本公司子公司联通兴业根据《中华人民共和国增值税暂行条例》享受软件</w:t>
      </w:r>
    </w:p>
    <w:p>
      <w:pPr>
        <w:pStyle w:val="BodyText"/>
        <w:spacing w:line="295" w:lineRule="exact"/>
        <w:ind w:left="1068" w:right="0"/>
        <w:jc w:val="left"/>
      </w:pPr>
      <w:r>
        <w:rPr/>
        <w:t>销售的增值税即征即退优惠政策收到主管税务机关返还的增值税款约人民币</w:t>
      </w:r>
      <w:r>
        <w:rPr>
          <w:spacing w:val="-58"/>
        </w:rPr>
        <w:t> </w:t>
      </w:r>
      <w:r>
        <w:rPr>
          <w:rFonts w:ascii="Arial" w:hAnsi="Arial" w:cs="Arial" w:eastAsia="Arial" w:hint="default"/>
        </w:rPr>
        <w:t>2,518</w:t>
      </w:r>
      <w:r>
        <w:rPr>
          <w:rFonts w:ascii="Arial" w:hAnsi="Arial" w:cs="Arial" w:eastAsia="Arial" w:hint="default"/>
          <w:spacing w:val="-9"/>
        </w:rPr>
        <w:t> </w:t>
      </w:r>
      <w:r>
        <w:rPr/>
        <w:t>万元。</w:t>
      </w:r>
    </w:p>
    <w:p>
      <w:pPr>
        <w:spacing w:after="0" w:line="295" w:lineRule="exact"/>
        <w:jc w:val="left"/>
        <w:sectPr>
          <w:headerReference w:type="default" r:id="rId125"/>
          <w:pgSz w:w="11900" w:h="16840"/>
          <w:pgMar w:header="1189" w:footer="752" w:top="4120" w:bottom="940" w:left="1280" w:right="860"/>
        </w:sectPr>
      </w:pPr>
    </w:p>
    <w:tbl>
      <w:tblPr>
        <w:tblW w:w="0" w:type="auto"/>
        <w:jc w:val="left"/>
        <w:tblInd w:w="542" w:type="dxa"/>
        <w:tblLayout w:type="fixed"/>
        <w:tblCellMar>
          <w:top w:w="0" w:type="dxa"/>
          <w:left w:w="0" w:type="dxa"/>
          <w:bottom w:w="0" w:type="dxa"/>
          <w:right w:w="0" w:type="dxa"/>
        </w:tblCellMar>
        <w:tblLook w:val="01E0"/>
      </w:tblPr>
      <w:tblGrid>
        <w:gridCol w:w="2990"/>
        <w:gridCol w:w="1756"/>
        <w:gridCol w:w="235"/>
        <w:gridCol w:w="1573"/>
        <w:gridCol w:w="244"/>
        <w:gridCol w:w="2222"/>
      </w:tblGrid>
      <w:tr>
        <w:trPr>
          <w:trHeight w:val="261" w:hRule="exact"/>
        </w:trPr>
        <w:tc>
          <w:tcPr>
            <w:tcW w:w="2990" w:type="dxa"/>
            <w:vMerge w:val="restart"/>
            <w:tcBorders>
              <w:top w:val="nil" w:sz="6" w:space="0" w:color="auto"/>
              <w:left w:val="nil" w:sz="6" w:space="0" w:color="auto"/>
              <w:right w:val="nil" w:sz="6" w:space="0" w:color="auto"/>
            </w:tcBorders>
          </w:tcPr>
          <w:p>
            <w:pPr/>
          </w:p>
        </w:tc>
        <w:tc>
          <w:tcPr>
            <w:tcW w:w="1756" w:type="dxa"/>
            <w:tcBorders>
              <w:top w:val="nil" w:sz="6" w:space="0" w:color="auto"/>
              <w:left w:val="nil" w:sz="6" w:space="0" w:color="auto"/>
              <w:bottom w:val="single" w:sz="6" w:space="0" w:color="000000"/>
              <w:right w:val="nil" w:sz="6" w:space="0" w:color="auto"/>
            </w:tcBorders>
          </w:tcPr>
          <w:p>
            <w:pPr>
              <w:pStyle w:val="TableParagraph"/>
              <w:spacing w:line="235" w:lineRule="exact"/>
              <w:ind w:right="10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35"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single" w:sz="6" w:space="0" w:color="000000"/>
              <w:right w:val="nil" w:sz="6" w:space="0" w:color="auto"/>
            </w:tcBorders>
          </w:tcPr>
          <w:p>
            <w:pPr>
              <w:pStyle w:val="TableParagraph"/>
              <w:spacing w:line="235" w:lineRule="exact"/>
              <w:ind w:left="482"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44"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single" w:sz="6" w:space="0" w:color="000000"/>
              <w:right w:val="nil" w:sz="6" w:space="0" w:color="auto"/>
            </w:tcBorders>
          </w:tcPr>
          <w:p>
            <w:pPr>
              <w:pStyle w:val="TableParagraph"/>
              <w:spacing w:line="220" w:lineRule="exact"/>
              <w:ind w:left="135" w:right="0"/>
              <w:jc w:val="left"/>
              <w:rPr>
                <w:rFonts w:ascii="宋体" w:hAnsi="宋体" w:cs="宋体" w:eastAsia="宋体" w:hint="default"/>
                <w:sz w:val="22"/>
                <w:szCs w:val="22"/>
              </w:rPr>
            </w:pPr>
            <w:r>
              <w:rPr>
                <w:rFonts w:ascii="宋体" w:hAnsi="宋体" w:cs="宋体" w:eastAsia="宋体" w:hint="default"/>
                <w:sz w:val="22"/>
                <w:szCs w:val="22"/>
              </w:rPr>
              <w:t>非经常性损益的金额</w:t>
            </w:r>
          </w:p>
        </w:tc>
      </w:tr>
      <w:tr>
        <w:trPr>
          <w:trHeight w:val="292" w:hRule="exact"/>
        </w:trPr>
        <w:tc>
          <w:tcPr>
            <w:tcW w:w="2990" w:type="dxa"/>
            <w:vMerge/>
            <w:tcBorders>
              <w:left w:val="nil" w:sz="6" w:space="0" w:color="auto"/>
              <w:bottom w:val="nil" w:sz="6" w:space="0" w:color="auto"/>
              <w:right w:val="nil" w:sz="6" w:space="0" w:color="auto"/>
            </w:tcBorders>
          </w:tcPr>
          <w:p>
            <w:pPr/>
          </w:p>
        </w:tc>
        <w:tc>
          <w:tcPr>
            <w:tcW w:w="1756" w:type="dxa"/>
            <w:tcBorders>
              <w:top w:val="single" w:sz="6"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73" w:type="dxa"/>
            <w:tcBorders>
              <w:top w:val="single" w:sz="6" w:space="0" w:color="000000"/>
              <w:left w:val="nil" w:sz="6" w:space="0" w:color="auto"/>
              <w:bottom w:val="nil" w:sz="6" w:space="0" w:color="auto"/>
              <w:right w:val="nil" w:sz="6" w:space="0" w:color="auto"/>
            </w:tcBorders>
          </w:tcPr>
          <w:p>
            <w:pPr>
              <w:pStyle w:val="TableParagraph"/>
              <w:spacing w:line="253" w:lineRule="exact"/>
              <w:ind w:left="366" w:right="0"/>
              <w:jc w:val="left"/>
              <w:rPr>
                <w:rFonts w:ascii="宋体" w:hAnsi="宋体" w:cs="宋体" w:eastAsia="宋体" w:hint="default"/>
                <w:sz w:val="22"/>
                <w:szCs w:val="22"/>
              </w:rPr>
            </w:pPr>
            <w:r>
              <w:rPr>
                <w:rFonts w:ascii="宋体" w:hAnsi="宋体" w:cs="宋体" w:eastAsia="宋体" w:hint="default"/>
                <w:sz w:val="22"/>
                <w:szCs w:val="22"/>
              </w:rPr>
              <w:t>（经重列）</w:t>
            </w:r>
          </w:p>
        </w:tc>
        <w:tc>
          <w:tcPr>
            <w:tcW w:w="244" w:type="dxa"/>
            <w:tcBorders>
              <w:top w:val="nil" w:sz="6" w:space="0" w:color="auto"/>
              <w:left w:val="nil" w:sz="6" w:space="0" w:color="auto"/>
              <w:bottom w:val="nil" w:sz="6" w:space="0" w:color="auto"/>
              <w:right w:val="nil" w:sz="6" w:space="0" w:color="auto"/>
            </w:tcBorders>
          </w:tcPr>
          <w:p>
            <w:pPr/>
          </w:p>
        </w:tc>
        <w:tc>
          <w:tcPr>
            <w:tcW w:w="2222" w:type="dxa"/>
            <w:tcBorders>
              <w:top w:val="single" w:sz="6" w:space="0" w:color="000000"/>
              <w:left w:val="nil" w:sz="6" w:space="0" w:color="auto"/>
              <w:bottom w:val="nil" w:sz="6" w:space="0" w:color="auto"/>
              <w:right w:val="nil" w:sz="6" w:space="0" w:color="auto"/>
            </w:tcBorders>
          </w:tcPr>
          <w:p>
            <w:pPr/>
          </w:p>
        </w:tc>
      </w:tr>
      <w:tr>
        <w:trPr>
          <w:trHeight w:val="293" w:hRule="exact"/>
        </w:trPr>
        <w:tc>
          <w:tcPr>
            <w:tcW w:w="2990" w:type="dxa"/>
            <w:tcBorders>
              <w:top w:val="nil" w:sz="6" w:space="0" w:color="auto"/>
              <w:left w:val="nil" w:sz="6" w:space="0" w:color="auto"/>
              <w:bottom w:val="single" w:sz="6" w:space="0" w:color="000000"/>
              <w:right w:val="nil" w:sz="6" w:space="0" w:color="auto"/>
            </w:tcBorders>
          </w:tcPr>
          <w:p>
            <w:pPr>
              <w:pStyle w:val="TableParagraph"/>
              <w:spacing w:line="252" w:lineRule="exact"/>
              <w:ind w:left="15"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756" w:type="dxa"/>
            <w:tcBorders>
              <w:top w:val="nil" w:sz="6" w:space="0" w:color="auto"/>
              <w:left w:val="nil" w:sz="6" w:space="0" w:color="auto"/>
              <w:bottom w:val="single" w:sz="6" w:space="0" w:color="000000"/>
              <w:right w:val="nil" w:sz="6" w:space="0" w:color="auto"/>
            </w:tcBorders>
          </w:tcPr>
          <w:p>
            <w:pPr>
              <w:pStyle w:val="TableParagraph"/>
              <w:spacing w:line="240" w:lineRule="auto" w:before="30"/>
              <w:ind w:left="352" w:right="0"/>
              <w:jc w:val="left"/>
              <w:rPr>
                <w:rFonts w:ascii="Arial" w:hAnsi="Arial" w:cs="Arial" w:eastAsia="Arial" w:hint="default"/>
                <w:sz w:val="22"/>
                <w:szCs w:val="22"/>
              </w:rPr>
            </w:pPr>
            <w:r>
              <w:rPr>
                <w:rFonts w:ascii="Arial"/>
                <w:sz w:val="22"/>
              </w:rPr>
              <w:t>740,422,684</w:t>
            </w:r>
          </w:p>
        </w:tc>
        <w:tc>
          <w:tcPr>
            <w:tcW w:w="235" w:type="dxa"/>
            <w:tcBorders>
              <w:top w:val="nil" w:sz="6" w:space="0" w:color="auto"/>
              <w:left w:val="nil" w:sz="6" w:space="0" w:color="auto"/>
              <w:bottom w:val="single" w:sz="6" w:space="0" w:color="000000"/>
              <w:right w:val="nil" w:sz="6" w:space="0" w:color="auto"/>
            </w:tcBorders>
          </w:tcPr>
          <w:p>
            <w:pPr/>
          </w:p>
        </w:tc>
        <w:tc>
          <w:tcPr>
            <w:tcW w:w="1573" w:type="dxa"/>
            <w:tcBorders>
              <w:top w:val="nil" w:sz="6" w:space="0" w:color="auto"/>
              <w:left w:val="nil" w:sz="6" w:space="0" w:color="auto"/>
              <w:bottom w:val="single" w:sz="6" w:space="0" w:color="000000"/>
              <w:right w:val="nil" w:sz="6" w:space="0" w:color="auto"/>
            </w:tcBorders>
          </w:tcPr>
          <w:p>
            <w:pPr>
              <w:pStyle w:val="TableParagraph"/>
              <w:spacing w:line="240" w:lineRule="auto" w:before="30"/>
              <w:ind w:left="218" w:right="0"/>
              <w:jc w:val="left"/>
              <w:rPr>
                <w:rFonts w:ascii="Arial" w:hAnsi="Arial" w:cs="Arial" w:eastAsia="Arial" w:hint="default"/>
                <w:sz w:val="22"/>
                <w:szCs w:val="22"/>
              </w:rPr>
            </w:pPr>
            <w:r>
              <w:rPr>
                <w:rFonts w:ascii="Arial"/>
                <w:sz w:val="22"/>
              </w:rPr>
              <w:t>213,201,281</w:t>
            </w:r>
          </w:p>
        </w:tc>
        <w:tc>
          <w:tcPr>
            <w:tcW w:w="244" w:type="dxa"/>
            <w:tcBorders>
              <w:top w:val="nil" w:sz="6" w:space="0" w:color="auto"/>
              <w:left w:val="nil" w:sz="6" w:space="0" w:color="auto"/>
              <w:bottom w:val="single" w:sz="6" w:space="0" w:color="000000"/>
              <w:right w:val="nil" w:sz="6" w:space="0" w:color="auto"/>
            </w:tcBorders>
          </w:tcPr>
          <w:p>
            <w:pPr/>
          </w:p>
        </w:tc>
        <w:tc>
          <w:tcPr>
            <w:tcW w:w="2222" w:type="dxa"/>
            <w:tcBorders>
              <w:top w:val="nil" w:sz="6" w:space="0" w:color="auto"/>
              <w:left w:val="nil" w:sz="6" w:space="0" w:color="auto"/>
              <w:bottom w:val="single" w:sz="6" w:space="0" w:color="000000"/>
              <w:right w:val="nil" w:sz="6" w:space="0" w:color="auto"/>
            </w:tcBorders>
          </w:tcPr>
          <w:p>
            <w:pPr>
              <w:pStyle w:val="TableParagraph"/>
              <w:spacing w:line="240" w:lineRule="auto" w:before="30"/>
              <w:ind w:left="873" w:right="0"/>
              <w:jc w:val="left"/>
              <w:rPr>
                <w:rFonts w:ascii="Arial" w:hAnsi="Arial" w:cs="Arial" w:eastAsia="Arial" w:hint="default"/>
                <w:sz w:val="22"/>
                <w:szCs w:val="22"/>
              </w:rPr>
            </w:pPr>
            <w:r>
              <w:rPr>
                <w:rFonts w:ascii="Arial"/>
                <w:sz w:val="22"/>
              </w:rPr>
              <w:t>740,422,684</w:t>
            </w:r>
          </w:p>
        </w:tc>
      </w:tr>
      <w:tr>
        <w:trPr>
          <w:trHeight w:val="305" w:hRule="exact"/>
        </w:trPr>
        <w:tc>
          <w:tcPr>
            <w:tcW w:w="2990" w:type="dxa"/>
            <w:tcBorders>
              <w:top w:val="single" w:sz="6" w:space="0" w:color="000000"/>
              <w:left w:val="single" w:sz="6" w:space="0" w:color="000000"/>
              <w:bottom w:val="nil" w:sz="6" w:space="0" w:color="auto"/>
              <w:right w:val="nil" w:sz="6" w:space="0" w:color="auto"/>
            </w:tcBorders>
          </w:tcPr>
          <w:p>
            <w:pPr>
              <w:pStyle w:val="TableParagraph"/>
              <w:spacing w:line="253" w:lineRule="exact"/>
              <w:ind w:left="8"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756"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52" w:right="0"/>
              <w:jc w:val="left"/>
              <w:rPr>
                <w:rFonts w:ascii="Arial" w:hAnsi="Arial" w:cs="Arial" w:eastAsia="Arial" w:hint="default"/>
                <w:sz w:val="22"/>
                <w:szCs w:val="22"/>
              </w:rPr>
            </w:pPr>
            <w:r>
              <w:rPr>
                <w:rFonts w:ascii="Arial"/>
                <w:sz w:val="22"/>
              </w:rPr>
              <w:t>738,484,295</w:t>
            </w:r>
          </w:p>
        </w:tc>
        <w:tc>
          <w:tcPr>
            <w:tcW w:w="235" w:type="dxa"/>
            <w:tcBorders>
              <w:top w:val="single" w:sz="6" w:space="0" w:color="000000"/>
              <w:left w:val="nil" w:sz="6" w:space="0" w:color="auto"/>
              <w:bottom w:val="nil" w:sz="6" w:space="0" w:color="auto"/>
              <w:right w:val="nil" w:sz="6" w:space="0" w:color="auto"/>
            </w:tcBorders>
          </w:tcPr>
          <w:p>
            <w:pPr/>
          </w:p>
        </w:tc>
        <w:tc>
          <w:tcPr>
            <w:tcW w:w="1573"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218" w:right="0"/>
              <w:jc w:val="left"/>
              <w:rPr>
                <w:rFonts w:ascii="Arial" w:hAnsi="Arial" w:cs="Arial" w:eastAsia="Arial" w:hint="default"/>
                <w:sz w:val="22"/>
                <w:szCs w:val="22"/>
              </w:rPr>
            </w:pPr>
            <w:r>
              <w:rPr>
                <w:rFonts w:ascii="Arial"/>
                <w:sz w:val="22"/>
              </w:rPr>
              <w:t>212,471,371</w:t>
            </w:r>
          </w:p>
        </w:tc>
        <w:tc>
          <w:tcPr>
            <w:tcW w:w="244" w:type="dxa"/>
            <w:tcBorders>
              <w:top w:val="single" w:sz="6" w:space="0" w:color="000000"/>
              <w:left w:val="nil" w:sz="6" w:space="0" w:color="auto"/>
              <w:bottom w:val="nil" w:sz="6" w:space="0" w:color="auto"/>
              <w:right w:val="nil" w:sz="6" w:space="0" w:color="auto"/>
            </w:tcBorders>
          </w:tcPr>
          <w:p>
            <w:pPr/>
          </w:p>
        </w:tc>
        <w:tc>
          <w:tcPr>
            <w:tcW w:w="2222"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873" w:right="0"/>
              <w:jc w:val="left"/>
              <w:rPr>
                <w:rFonts w:ascii="Arial" w:hAnsi="Arial" w:cs="Arial" w:eastAsia="Arial" w:hint="default"/>
                <w:sz w:val="22"/>
                <w:szCs w:val="22"/>
              </w:rPr>
            </w:pPr>
            <w:r>
              <w:rPr>
                <w:rFonts w:ascii="Arial"/>
                <w:sz w:val="22"/>
              </w:rPr>
              <w:t>738,484,295</w:t>
            </w:r>
          </w:p>
        </w:tc>
      </w:tr>
      <w:tr>
        <w:trPr>
          <w:trHeight w:val="281" w:hRule="exact"/>
        </w:trPr>
        <w:tc>
          <w:tcPr>
            <w:tcW w:w="2990" w:type="dxa"/>
            <w:tcBorders>
              <w:top w:val="nil" w:sz="6" w:space="0" w:color="auto"/>
              <w:left w:val="single" w:sz="6" w:space="0" w:color="000000"/>
              <w:bottom w:val="single" w:sz="6" w:space="0" w:color="000000"/>
              <w:right w:val="nil" w:sz="6" w:space="0" w:color="auto"/>
            </w:tcBorders>
          </w:tcPr>
          <w:p>
            <w:pPr>
              <w:pStyle w:val="TableParagraph"/>
              <w:spacing w:line="239" w:lineRule="exact"/>
              <w:ind w:left="666" w:right="0"/>
              <w:jc w:val="left"/>
              <w:rPr>
                <w:rFonts w:ascii="宋体" w:hAnsi="宋体" w:cs="宋体" w:eastAsia="宋体" w:hint="default"/>
                <w:sz w:val="22"/>
                <w:szCs w:val="22"/>
              </w:rPr>
            </w:pPr>
            <w:r>
              <w:rPr>
                <w:rFonts w:ascii="宋体" w:hAnsi="宋体" w:cs="宋体" w:eastAsia="宋体" w:hint="default"/>
                <w:sz w:val="22"/>
                <w:szCs w:val="22"/>
              </w:rPr>
              <w:t>无形资产处置损失</w:t>
            </w:r>
          </w:p>
        </w:tc>
        <w:tc>
          <w:tcPr>
            <w:tcW w:w="1756"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596" w:right="0"/>
              <w:jc w:val="left"/>
              <w:rPr>
                <w:rFonts w:ascii="Arial" w:hAnsi="Arial" w:cs="Arial" w:eastAsia="Arial" w:hint="default"/>
                <w:sz w:val="22"/>
                <w:szCs w:val="22"/>
              </w:rPr>
            </w:pPr>
            <w:r>
              <w:rPr>
                <w:rFonts w:ascii="Arial"/>
                <w:sz w:val="22"/>
              </w:rPr>
              <w:t>1,938,389</w:t>
            </w:r>
          </w:p>
        </w:tc>
        <w:tc>
          <w:tcPr>
            <w:tcW w:w="235" w:type="dxa"/>
            <w:tcBorders>
              <w:top w:val="nil" w:sz="6" w:space="0" w:color="auto"/>
              <w:left w:val="nil" w:sz="6" w:space="0" w:color="auto"/>
              <w:bottom w:val="single" w:sz="6" w:space="0" w:color="000000"/>
              <w:right w:val="nil" w:sz="6" w:space="0" w:color="auto"/>
            </w:tcBorders>
          </w:tcPr>
          <w:p>
            <w:pPr/>
          </w:p>
        </w:tc>
        <w:tc>
          <w:tcPr>
            <w:tcW w:w="1573"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645" w:right="0"/>
              <w:jc w:val="left"/>
              <w:rPr>
                <w:rFonts w:ascii="Arial" w:hAnsi="Arial" w:cs="Arial" w:eastAsia="Arial" w:hint="default"/>
                <w:sz w:val="22"/>
                <w:szCs w:val="22"/>
              </w:rPr>
            </w:pPr>
            <w:r>
              <w:rPr>
                <w:rFonts w:ascii="Arial"/>
                <w:sz w:val="22"/>
              </w:rPr>
              <w:t>729,910</w:t>
            </w:r>
          </w:p>
        </w:tc>
        <w:tc>
          <w:tcPr>
            <w:tcW w:w="244" w:type="dxa"/>
            <w:tcBorders>
              <w:top w:val="nil" w:sz="6" w:space="0" w:color="auto"/>
              <w:left w:val="nil" w:sz="6" w:space="0" w:color="auto"/>
              <w:bottom w:val="single" w:sz="6" w:space="0" w:color="000000"/>
              <w:right w:val="nil" w:sz="6" w:space="0" w:color="auto"/>
            </w:tcBorders>
          </w:tcPr>
          <w:p>
            <w:pPr/>
          </w:p>
        </w:tc>
        <w:tc>
          <w:tcPr>
            <w:tcW w:w="2222"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1116" w:right="0"/>
              <w:jc w:val="left"/>
              <w:rPr>
                <w:rFonts w:ascii="Arial" w:hAnsi="Arial" w:cs="Arial" w:eastAsia="Arial" w:hint="default"/>
                <w:sz w:val="22"/>
                <w:szCs w:val="22"/>
              </w:rPr>
            </w:pPr>
            <w:r>
              <w:rPr>
                <w:rFonts w:ascii="Arial"/>
                <w:sz w:val="22"/>
              </w:rPr>
              <w:t>1,938,389</w:t>
            </w:r>
          </w:p>
        </w:tc>
      </w:tr>
      <w:tr>
        <w:trPr>
          <w:trHeight w:val="306" w:hRule="exact"/>
        </w:trPr>
        <w:tc>
          <w:tcPr>
            <w:tcW w:w="2990" w:type="dxa"/>
            <w:tcBorders>
              <w:top w:val="single" w:sz="6" w:space="0" w:color="000000"/>
              <w:left w:val="nil" w:sz="6" w:space="0" w:color="auto"/>
              <w:bottom w:val="nil" w:sz="6" w:space="0" w:color="auto"/>
              <w:right w:val="nil" w:sz="6" w:space="0" w:color="auto"/>
            </w:tcBorders>
          </w:tcPr>
          <w:p>
            <w:pPr>
              <w:pStyle w:val="TableParagraph"/>
              <w:spacing w:line="253" w:lineRule="exact"/>
              <w:ind w:left="15" w:right="0"/>
              <w:jc w:val="left"/>
              <w:rPr>
                <w:rFonts w:ascii="宋体" w:hAnsi="宋体" w:cs="宋体" w:eastAsia="宋体" w:hint="default"/>
                <w:sz w:val="22"/>
                <w:szCs w:val="22"/>
              </w:rPr>
            </w:pPr>
            <w:r>
              <w:rPr>
                <w:rFonts w:ascii="宋体" w:hAnsi="宋体" w:cs="宋体" w:eastAsia="宋体" w:hint="default"/>
                <w:sz w:val="22"/>
                <w:szCs w:val="22"/>
              </w:rPr>
              <w:t>违约赔偿支出</w:t>
            </w:r>
          </w:p>
        </w:tc>
        <w:tc>
          <w:tcPr>
            <w:tcW w:w="1756"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473" w:right="0"/>
              <w:jc w:val="left"/>
              <w:rPr>
                <w:rFonts w:ascii="Arial" w:hAnsi="Arial" w:cs="Arial" w:eastAsia="Arial" w:hint="default"/>
                <w:sz w:val="22"/>
                <w:szCs w:val="22"/>
              </w:rPr>
            </w:pPr>
            <w:r>
              <w:rPr>
                <w:rFonts w:ascii="Arial"/>
                <w:sz w:val="22"/>
              </w:rPr>
              <w:t>17,113,815</w:t>
            </w:r>
          </w:p>
        </w:tc>
        <w:tc>
          <w:tcPr>
            <w:tcW w:w="235" w:type="dxa"/>
            <w:tcBorders>
              <w:top w:val="single" w:sz="6" w:space="0" w:color="000000"/>
              <w:left w:val="nil" w:sz="6" w:space="0" w:color="auto"/>
              <w:bottom w:val="nil" w:sz="6" w:space="0" w:color="auto"/>
              <w:right w:val="nil" w:sz="6" w:space="0" w:color="auto"/>
            </w:tcBorders>
          </w:tcPr>
          <w:p>
            <w:pPr/>
          </w:p>
        </w:tc>
        <w:tc>
          <w:tcPr>
            <w:tcW w:w="1573"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339" w:right="0"/>
              <w:jc w:val="left"/>
              <w:rPr>
                <w:rFonts w:ascii="Arial" w:hAnsi="Arial" w:cs="Arial" w:eastAsia="Arial" w:hint="default"/>
                <w:sz w:val="22"/>
                <w:szCs w:val="22"/>
              </w:rPr>
            </w:pPr>
            <w:r>
              <w:rPr>
                <w:rFonts w:ascii="Arial"/>
                <w:sz w:val="22"/>
              </w:rPr>
              <w:t>25,852,128</w:t>
            </w:r>
          </w:p>
        </w:tc>
        <w:tc>
          <w:tcPr>
            <w:tcW w:w="244" w:type="dxa"/>
            <w:tcBorders>
              <w:top w:val="single" w:sz="6" w:space="0" w:color="000000"/>
              <w:left w:val="nil" w:sz="6" w:space="0" w:color="auto"/>
              <w:bottom w:val="nil" w:sz="6" w:space="0" w:color="auto"/>
              <w:right w:val="nil" w:sz="6" w:space="0" w:color="auto"/>
            </w:tcBorders>
          </w:tcPr>
          <w:p>
            <w:pPr/>
          </w:p>
        </w:tc>
        <w:tc>
          <w:tcPr>
            <w:tcW w:w="2222"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994" w:right="0"/>
              <w:jc w:val="left"/>
              <w:rPr>
                <w:rFonts w:ascii="Arial" w:hAnsi="Arial" w:cs="Arial" w:eastAsia="Arial" w:hint="default"/>
                <w:sz w:val="22"/>
                <w:szCs w:val="22"/>
              </w:rPr>
            </w:pPr>
            <w:r>
              <w:rPr>
                <w:rFonts w:ascii="Arial"/>
                <w:sz w:val="22"/>
              </w:rPr>
              <w:t>17,113,815</w:t>
            </w:r>
          </w:p>
        </w:tc>
      </w:tr>
      <w:tr>
        <w:trPr>
          <w:trHeight w:val="285"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39" w:lineRule="exact"/>
              <w:ind w:left="15" w:right="0"/>
              <w:jc w:val="left"/>
              <w:rPr>
                <w:rFonts w:ascii="宋体" w:hAnsi="宋体" w:cs="宋体" w:eastAsia="宋体" w:hint="default"/>
                <w:sz w:val="22"/>
                <w:szCs w:val="22"/>
              </w:rPr>
            </w:pPr>
            <w:r>
              <w:rPr>
                <w:rFonts w:ascii="宋体" w:hAnsi="宋体" w:cs="宋体" w:eastAsia="宋体" w:hint="default"/>
                <w:sz w:val="22"/>
                <w:szCs w:val="22"/>
              </w:rPr>
              <w:t>捐赠支出</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96" w:right="0"/>
              <w:jc w:val="left"/>
              <w:rPr>
                <w:rFonts w:ascii="Arial" w:hAnsi="Arial" w:cs="Arial" w:eastAsia="Arial" w:hint="default"/>
                <w:sz w:val="22"/>
                <w:szCs w:val="22"/>
              </w:rPr>
            </w:pPr>
            <w:r>
              <w:rPr>
                <w:rFonts w:ascii="Arial"/>
                <w:sz w:val="22"/>
              </w:rPr>
              <w:t>7,253,765</w:t>
            </w:r>
          </w:p>
        </w:tc>
        <w:tc>
          <w:tcPr>
            <w:tcW w:w="235"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61" w:right="0"/>
              <w:jc w:val="left"/>
              <w:rPr>
                <w:rFonts w:ascii="Arial" w:hAnsi="Arial" w:cs="Arial" w:eastAsia="Arial" w:hint="default"/>
                <w:sz w:val="22"/>
                <w:szCs w:val="22"/>
              </w:rPr>
            </w:pPr>
            <w:r>
              <w:rPr>
                <w:rFonts w:ascii="Arial"/>
                <w:sz w:val="22"/>
              </w:rPr>
              <w:t>6,544,541</w:t>
            </w:r>
          </w:p>
        </w:tc>
        <w:tc>
          <w:tcPr>
            <w:tcW w:w="244"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16" w:right="0"/>
              <w:jc w:val="left"/>
              <w:rPr>
                <w:rFonts w:ascii="Arial" w:hAnsi="Arial" w:cs="Arial" w:eastAsia="Arial" w:hint="default"/>
                <w:sz w:val="22"/>
                <w:szCs w:val="22"/>
              </w:rPr>
            </w:pPr>
            <w:r>
              <w:rPr>
                <w:rFonts w:ascii="Arial"/>
                <w:sz w:val="22"/>
              </w:rPr>
              <w:t>7,253,765</w:t>
            </w:r>
          </w:p>
        </w:tc>
      </w:tr>
      <w:tr>
        <w:trPr>
          <w:trHeight w:val="366"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39" w:lineRule="exact"/>
              <w:ind w:left="1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756" w:type="dxa"/>
            <w:tcBorders>
              <w:top w:val="nil" w:sz="6" w:space="0" w:color="auto"/>
              <w:left w:val="nil" w:sz="6" w:space="0" w:color="auto"/>
              <w:bottom w:val="nil" w:sz="6" w:space="0" w:color="auto"/>
              <w:right w:val="nil" w:sz="6" w:space="0" w:color="auto"/>
            </w:tcBorders>
          </w:tcPr>
          <w:p>
            <w:pPr>
              <w:pStyle w:val="TableParagraph"/>
              <w:tabs>
                <w:tab w:pos="473" w:val="left" w:leader="none"/>
                <w:tab w:pos="1755"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99,994,483</w:t>
            </w:r>
            <w:r>
              <w:rPr>
                <w:rFonts w:ascii="Arial"/>
                <w:sz w:val="22"/>
                <w:u w:val="single" w:color="000000"/>
              </w:rPr>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tabs>
                <w:tab w:pos="339" w:val="left" w:leader="none"/>
                <w:tab w:pos="1573"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84,594,912</w:t>
              <w:tab/>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tabs>
                <w:tab w:pos="994" w:val="left" w:leader="none"/>
                <w:tab w:pos="2222" w:val="left" w:leader="none"/>
              </w:tabs>
              <w:spacing w:line="240" w:lineRule="auto" w:before="17"/>
              <w:ind w:right="-1"/>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99,994,483</w:t>
              <w:tab/>
            </w:r>
            <w:r>
              <w:rPr>
                <w:rFonts w:ascii="Arial"/>
                <w:sz w:val="22"/>
              </w:rPr>
            </w:r>
          </w:p>
        </w:tc>
      </w:tr>
    </w:tbl>
    <w:p>
      <w:pPr>
        <w:spacing w:line="240" w:lineRule="auto" w:before="3"/>
        <w:rPr>
          <w:rFonts w:ascii="宋体" w:hAnsi="宋体" w:cs="宋体" w:eastAsia="宋体" w:hint="default"/>
          <w:sz w:val="8"/>
          <w:szCs w:val="8"/>
        </w:rPr>
      </w:pPr>
    </w:p>
    <w:p>
      <w:pPr>
        <w:pStyle w:val="BodyText"/>
        <w:tabs>
          <w:tab w:pos="3893" w:val="left" w:leader="none"/>
          <w:tab w:pos="5749" w:val="left" w:leader="none"/>
          <w:tab w:pos="8220" w:val="left" w:leader="none"/>
        </w:tabs>
        <w:spacing w:line="240" w:lineRule="auto" w:before="27"/>
        <w:ind w:left="565" w:right="0"/>
        <w:jc w:val="left"/>
        <w:rPr>
          <w:rFonts w:ascii="Arial" w:hAnsi="Arial" w:cs="Arial" w:eastAsia="Arial" w:hint="default"/>
        </w:rPr>
      </w:pPr>
      <w:r>
        <w:rPr>
          <w:w w:val="95"/>
          <w:position w:val="2"/>
        </w:rPr>
        <w:t>合计</w:t>
        <w:tab/>
      </w:r>
      <w:r>
        <w:rPr>
          <w:rFonts w:ascii="Arial" w:hAnsi="Arial" w:cs="Arial" w:eastAsia="Arial" w:hint="default"/>
          <w:w w:val="95"/>
        </w:rPr>
        <w:t>864,784,747</w:t>
        <w:tab/>
        <w:t>330,192,862</w:t>
        <w:tab/>
      </w:r>
      <w:r>
        <w:rPr>
          <w:rFonts w:ascii="Arial" w:hAnsi="Arial" w:cs="Arial" w:eastAsia="Arial" w:hint="default"/>
        </w:rPr>
        <w:t>864,784,747</w:t>
      </w:r>
    </w:p>
    <w:p>
      <w:pPr>
        <w:tabs>
          <w:tab w:pos="5509" w:val="left" w:leader="none"/>
          <w:tab w:pos="7326" w:val="left" w:leader="none"/>
        </w:tabs>
        <w:spacing w:line="43" w:lineRule="exact"/>
        <w:ind w:left="3518" w:right="0" w:firstLine="0"/>
        <w:rPr>
          <w:rFonts w:ascii="Arial" w:hAnsi="Arial" w:cs="Arial" w:eastAsia="Arial" w:hint="default"/>
          <w:sz w:val="4"/>
          <w:szCs w:val="4"/>
        </w:rPr>
      </w:pPr>
      <w:r>
        <w:rPr>
          <w:rFonts w:ascii="Arial"/>
          <w:position w:val="0"/>
          <w:sz w:val="4"/>
        </w:rPr>
        <w:pict>
          <v:group style="width:89.25pt;height:2.2pt;mso-position-horizontal-relative:char;mso-position-vertical-relative:line" coordorigin="0,0" coordsize="1785,44">
            <v:group style="position:absolute;left:7;top:36;width:1770;height:2" coordorigin="7,36" coordsize="1770,2">
              <v:shape style="position:absolute;left:7;top:36;width:1770;height:2" coordorigin="7,36" coordsize="1770,0" path="m7,36l1777,36e" filled="false" stroked="true" strokeweight=".72003pt" strokecolor="#000000">
                <v:path arrowok="t"/>
              </v:shape>
            </v:group>
            <v:group style="position:absolute;left:7;top:7;width:1770;height:2" coordorigin="7,7" coordsize="1770,2">
              <v:shape style="position:absolute;left:7;top:7;width:1770;height:2" coordorigin="7,7" coordsize="1770,0" path="m7,7l1777,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80.1pt;height:2.2pt;mso-position-horizontal-relative:char;mso-position-vertical-relative:line" coordorigin="0,0" coordsize="1602,44">
            <v:group style="position:absolute;left:7;top:36;width:1588;height:2" coordorigin="7,36" coordsize="1588,2">
              <v:shape style="position:absolute;left:7;top:36;width:1588;height:2" coordorigin="7,36" coordsize="1588,0" path="m7,36l1595,36e" filled="false" stroked="true" strokeweight=".72003pt" strokecolor="#000000">
                <v:path arrowok="t"/>
              </v:shape>
            </v:group>
            <v:group style="position:absolute;left:7;top:7;width:1588;height:2" coordorigin="7,7" coordsize="1588,2">
              <v:shape style="position:absolute;left:7;top:7;width:1588;height:2" coordorigin="7,7" coordsize="1588,0" path="m7,7l1595,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12.6pt;height:2.2pt;mso-position-horizontal-relative:char;mso-position-vertical-relative:line" coordorigin="0,0" coordsize="2252,44">
            <v:group style="position:absolute;left:7;top:36;width:2237;height:2" coordorigin="7,36" coordsize="2237,2">
              <v:shape style="position:absolute;left:7;top:36;width:2237;height:2" coordorigin="7,36" coordsize="2237,0" path="m7,36l2244,36e" filled="false" stroked="true" strokeweight=".72003pt" strokecolor="#000000">
                <v:path arrowok="t"/>
              </v:shape>
            </v:group>
            <v:group style="position:absolute;left:7;top:7;width:2237;height:2" coordorigin="7,7" coordsize="2237,2">
              <v:shape style="position:absolute;left:7;top:7;width:2237;height:2" coordorigin="7,7" coordsize="2237,0" path="m7,7l2244,7e" filled="false" stroked="true" strokeweight=".72pt" strokecolor="#000000">
                <v:path arrowok="t"/>
              </v:shape>
            </v:group>
          </v:group>
        </w:pict>
      </w:r>
      <w:r>
        <w:rPr>
          <w:rFonts w:ascii="Arial"/>
          <w:position w:val="0"/>
          <w:sz w:val="4"/>
        </w:rPr>
      </w:r>
    </w:p>
    <w:p>
      <w:pPr>
        <w:spacing w:line="240" w:lineRule="auto" w:before="6"/>
        <w:rPr>
          <w:rFonts w:ascii="Arial" w:hAnsi="Arial" w:cs="Arial" w:eastAsia="Arial" w:hint="default"/>
          <w:sz w:val="10"/>
          <w:szCs w:val="10"/>
        </w:rPr>
      </w:pPr>
    </w:p>
    <w:p>
      <w:pPr>
        <w:pStyle w:val="BodyText"/>
        <w:spacing w:line="240" w:lineRule="auto" w:before="31"/>
        <w:ind w:left="102" w:right="0"/>
        <w:jc w:val="left"/>
      </w:pPr>
      <w:r>
        <w:rPr>
          <w:rFonts w:ascii="Arial" w:hAnsi="Arial" w:cs="Arial" w:eastAsia="Arial" w:hint="default"/>
        </w:rPr>
        <w:t>44</w:t>
      </w:r>
      <w:r>
        <w:rPr/>
        <w:t>、所得税</w:t>
      </w:r>
    </w:p>
    <w:p>
      <w:pPr>
        <w:spacing w:line="240" w:lineRule="auto" w:before="3"/>
        <w:rPr>
          <w:rFonts w:ascii="宋体" w:hAnsi="宋体" w:cs="宋体" w:eastAsia="宋体" w:hint="default"/>
          <w:sz w:val="10"/>
          <w:szCs w:val="10"/>
        </w:rPr>
      </w:pPr>
    </w:p>
    <w:tbl>
      <w:tblPr>
        <w:tblW w:w="0" w:type="auto"/>
        <w:jc w:val="left"/>
        <w:tblInd w:w="516" w:type="dxa"/>
        <w:tblLayout w:type="fixed"/>
        <w:tblCellMar>
          <w:top w:w="0" w:type="dxa"/>
          <w:left w:w="0" w:type="dxa"/>
          <w:bottom w:w="0" w:type="dxa"/>
          <w:right w:w="0" w:type="dxa"/>
        </w:tblCellMar>
        <w:tblLook w:val="01E0"/>
      </w:tblPr>
      <w:tblGrid>
        <w:gridCol w:w="5562"/>
        <w:gridCol w:w="1638"/>
        <w:gridCol w:w="154"/>
        <w:gridCol w:w="1735"/>
      </w:tblGrid>
      <w:tr>
        <w:trPr>
          <w:trHeight w:val="361" w:hRule="exact"/>
        </w:trPr>
        <w:tc>
          <w:tcPr>
            <w:tcW w:w="7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10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54"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15"/>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305" w:hRule="exact"/>
        </w:trPr>
        <w:tc>
          <w:tcPr>
            <w:tcW w:w="7200" w:type="dxa"/>
            <w:gridSpan w:val="2"/>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735" w:type="dxa"/>
            <w:tcBorders>
              <w:top w:val="single" w:sz="6" w:space="0" w:color="000000"/>
              <w:left w:val="nil" w:sz="6" w:space="0" w:color="auto"/>
              <w:bottom w:val="nil" w:sz="6" w:space="0" w:color="auto"/>
              <w:right w:val="nil" w:sz="6" w:space="0" w:color="auto"/>
            </w:tcBorders>
          </w:tcPr>
          <w:p>
            <w:pPr>
              <w:pStyle w:val="TableParagraph"/>
              <w:spacing w:line="252" w:lineRule="exact"/>
              <w:ind w:right="116"/>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86" w:hRule="exact"/>
        </w:trPr>
        <w:tc>
          <w:tcPr>
            <w:tcW w:w="7200" w:type="dxa"/>
            <w:gridSpan w:val="2"/>
            <w:tcBorders>
              <w:top w:val="nil" w:sz="6" w:space="0" w:color="auto"/>
              <w:left w:val="nil" w:sz="6" w:space="0" w:color="auto"/>
              <w:bottom w:val="nil" w:sz="6" w:space="0" w:color="auto"/>
              <w:right w:val="nil" w:sz="6" w:space="0" w:color="auto"/>
            </w:tcBorders>
          </w:tcPr>
          <w:p>
            <w:pPr>
              <w:pStyle w:val="TableParagraph"/>
              <w:tabs>
                <w:tab w:pos="5887" w:val="left" w:leader="none"/>
              </w:tabs>
              <w:spacing w:line="271" w:lineRule="exact"/>
              <w:ind w:left="35" w:right="0"/>
              <w:jc w:val="left"/>
              <w:rPr>
                <w:rFonts w:ascii="Arial" w:hAnsi="Arial" w:cs="Arial" w:eastAsia="Arial" w:hint="default"/>
                <w:sz w:val="22"/>
                <w:szCs w:val="22"/>
              </w:rPr>
            </w:pPr>
            <w:r>
              <w:rPr>
                <w:rFonts w:ascii="宋体" w:hAnsi="宋体" w:cs="宋体" w:eastAsia="宋体" w:hint="default"/>
                <w:w w:val="95"/>
                <w:position w:val="2"/>
                <w:sz w:val="22"/>
                <w:szCs w:val="22"/>
              </w:rPr>
              <w:t>当期所得税</w:t>
              <w:tab/>
            </w:r>
            <w:r>
              <w:rPr>
                <w:rFonts w:ascii="Arial" w:hAnsi="Arial" w:cs="Arial" w:eastAsia="Arial" w:hint="default"/>
                <w:sz w:val="22"/>
                <w:szCs w:val="22"/>
              </w:rPr>
              <w:t>870,707,974</w:t>
            </w:r>
          </w:p>
        </w:tc>
        <w:tc>
          <w:tcPr>
            <w:tcW w:w="154"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4"/>
              <w:jc w:val="right"/>
              <w:rPr>
                <w:rFonts w:ascii="Arial" w:hAnsi="Arial" w:cs="Arial" w:eastAsia="Arial" w:hint="default"/>
                <w:sz w:val="22"/>
                <w:szCs w:val="22"/>
              </w:rPr>
            </w:pPr>
            <w:r>
              <w:rPr>
                <w:rFonts w:ascii="Arial"/>
                <w:w w:val="95"/>
                <w:sz w:val="22"/>
              </w:rPr>
              <w:t>356,079,784</w:t>
            </w:r>
            <w:r>
              <w:rPr>
                <w:rFonts w:ascii="Arial"/>
                <w:sz w:val="22"/>
              </w:rPr>
            </w:r>
          </w:p>
        </w:tc>
      </w:tr>
      <w:tr>
        <w:trPr>
          <w:trHeight w:val="419" w:hRule="exact"/>
        </w:trPr>
        <w:tc>
          <w:tcPr>
            <w:tcW w:w="5562"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22"/>
                <w:szCs w:val="22"/>
              </w:rPr>
            </w:pPr>
            <w:r>
              <w:rPr>
                <w:rFonts w:ascii="宋体" w:hAnsi="宋体" w:cs="宋体" w:eastAsia="宋体" w:hint="default"/>
                <w:sz w:val="22"/>
                <w:szCs w:val="22"/>
              </w:rPr>
              <w:t>加：递延所得税</w:t>
            </w:r>
          </w:p>
        </w:tc>
        <w:tc>
          <w:tcPr>
            <w:tcW w:w="1638" w:type="dxa"/>
            <w:tcBorders>
              <w:top w:val="nil" w:sz="6" w:space="0" w:color="auto"/>
              <w:left w:val="nil" w:sz="6" w:space="0" w:color="auto"/>
              <w:bottom w:val="nil" w:sz="6" w:space="0" w:color="auto"/>
              <w:right w:val="nil" w:sz="6" w:space="0" w:color="auto"/>
            </w:tcBorders>
          </w:tcPr>
          <w:p>
            <w:pPr>
              <w:pStyle w:val="TableParagraph"/>
              <w:tabs>
                <w:tab w:pos="325" w:val="left" w:leader="none"/>
                <w:tab w:pos="1637" w:val="left" w:leader="none"/>
              </w:tabs>
              <w:spacing w:line="251" w:lineRule="exact"/>
              <w:ind w:right="0"/>
              <w:jc w:val="center"/>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605,367,457</w:t>
              <w:tab/>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tabs>
                <w:tab w:pos="414" w:val="left" w:leader="none"/>
                <w:tab w:pos="1700" w:val="left" w:leader="none"/>
              </w:tabs>
              <w:spacing w:line="251" w:lineRule="exact"/>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624,041,494</w:t>
            </w:r>
            <w:r>
              <w:rPr>
                <w:rFonts w:ascii="Arial"/>
                <w:sz w:val="22"/>
                <w:u w:val="single" w:color="000000"/>
              </w:rPr>
              <w:tab/>
            </w:r>
            <w:r>
              <w:rPr>
                <w:rFonts w:ascii="Arial"/>
                <w:sz w:val="22"/>
              </w:rPr>
            </w:r>
          </w:p>
        </w:tc>
      </w:tr>
      <w:tr>
        <w:trPr>
          <w:trHeight w:val="430" w:hRule="exact"/>
        </w:trPr>
        <w:tc>
          <w:tcPr>
            <w:tcW w:w="55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3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51" w:right="0"/>
              <w:jc w:val="center"/>
              <w:rPr>
                <w:rFonts w:ascii="Arial" w:hAnsi="Arial" w:cs="Arial" w:eastAsia="Arial" w:hint="default"/>
                <w:sz w:val="22"/>
                <w:szCs w:val="22"/>
              </w:rPr>
            </w:pPr>
            <w:r>
              <w:rPr>
                <w:rFonts w:ascii="Arial"/>
                <w:sz w:val="22"/>
              </w:rPr>
              <w:t>1,476,075,431</w:t>
            </w:r>
          </w:p>
        </w:tc>
        <w:tc>
          <w:tcPr>
            <w:tcW w:w="154"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4"/>
              <w:jc w:val="right"/>
              <w:rPr>
                <w:rFonts w:ascii="Arial" w:hAnsi="Arial" w:cs="Arial" w:eastAsia="Arial" w:hint="default"/>
                <w:sz w:val="22"/>
                <w:szCs w:val="22"/>
              </w:rPr>
            </w:pPr>
            <w:r>
              <w:rPr>
                <w:rFonts w:ascii="Arial"/>
                <w:w w:val="95"/>
                <w:sz w:val="22"/>
              </w:rPr>
              <w:t>980,121,278</w:t>
            </w:r>
            <w:r>
              <w:rPr>
                <w:rFonts w:ascii="Arial"/>
                <w:sz w:val="22"/>
              </w:rPr>
            </w:r>
          </w:p>
        </w:tc>
      </w:tr>
    </w:tbl>
    <w:p>
      <w:pPr>
        <w:spacing w:line="240" w:lineRule="auto" w:before="2"/>
        <w:rPr>
          <w:rFonts w:ascii="宋体" w:hAnsi="宋体" w:cs="宋体" w:eastAsia="宋体" w:hint="default"/>
          <w:sz w:val="7"/>
          <w:szCs w:val="7"/>
        </w:rPr>
      </w:pPr>
    </w:p>
    <w:p>
      <w:pPr>
        <w:pStyle w:val="BodyText"/>
        <w:spacing w:line="240" w:lineRule="auto" w:before="31"/>
        <w:ind w:left="102" w:right="0"/>
        <w:jc w:val="left"/>
      </w:pPr>
      <w:r>
        <w:rPr>
          <w:rFonts w:ascii="Arial" w:hAnsi="Arial" w:cs="Arial" w:eastAsia="Arial" w:hint="default"/>
        </w:rPr>
        <w:t>(a) </w:t>
      </w:r>
      <w:r>
        <w:rPr>
          <w:rFonts w:ascii="Arial" w:hAnsi="Arial" w:cs="Arial" w:eastAsia="Arial" w:hint="default"/>
          <w:spacing w:val="23"/>
        </w:rPr>
        <w:t> </w:t>
      </w:r>
      <w:r>
        <w:rPr/>
        <w:t>按法定税率计算之所得税与实际所得税费用调整如下：</w:t>
      </w:r>
    </w:p>
    <w:p>
      <w:pPr>
        <w:spacing w:line="240" w:lineRule="auto" w:before="13"/>
        <w:rPr>
          <w:rFonts w:ascii="宋体" w:hAnsi="宋体" w:cs="宋体" w:eastAsia="宋体" w:hint="default"/>
          <w:sz w:val="13"/>
          <w:szCs w:val="13"/>
        </w:rPr>
      </w:pPr>
    </w:p>
    <w:tbl>
      <w:tblPr>
        <w:tblW w:w="0" w:type="auto"/>
        <w:jc w:val="left"/>
        <w:tblInd w:w="562" w:type="dxa"/>
        <w:tblLayout w:type="fixed"/>
        <w:tblCellMar>
          <w:top w:w="0" w:type="dxa"/>
          <w:left w:w="0" w:type="dxa"/>
          <w:bottom w:w="0" w:type="dxa"/>
          <w:right w:w="0" w:type="dxa"/>
        </w:tblCellMar>
        <w:tblLook w:val="01E0"/>
      </w:tblPr>
      <w:tblGrid>
        <w:gridCol w:w="5502"/>
        <w:gridCol w:w="1782"/>
        <w:gridCol w:w="1724"/>
      </w:tblGrid>
      <w:tr>
        <w:trPr>
          <w:trHeight w:val="353" w:hRule="exact"/>
        </w:trPr>
        <w:tc>
          <w:tcPr>
            <w:tcW w:w="550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45"/>
              <w:jc w:val="right"/>
              <w:rPr>
                <w:rFonts w:ascii="宋体" w:hAnsi="宋体" w:cs="宋体" w:eastAsia="宋体" w:hint="default"/>
                <w:sz w:val="22"/>
                <w:szCs w:val="22"/>
              </w:rPr>
            </w:pPr>
            <w:r>
              <w:rPr>
                <w:rFonts w:ascii="宋体" w:hAnsi="宋体" w:cs="宋体" w:eastAsia="宋体" w:hint="default"/>
                <w:w w:val="95"/>
                <w:sz w:val="22"/>
                <w:szCs w:val="22"/>
              </w:rPr>
              <w:t>注释</w:t>
            </w:r>
            <w:r>
              <w:rPr>
                <w:rFonts w:ascii="宋体" w:hAnsi="宋体" w:cs="宋体" w:eastAsia="宋体" w:hint="default"/>
                <w:sz w:val="22"/>
                <w:szCs w:val="22"/>
              </w:rPr>
            </w:r>
          </w:p>
        </w:tc>
        <w:tc>
          <w:tcPr>
            <w:tcW w:w="178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23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724"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19"/>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313" w:hRule="exact"/>
        </w:trPr>
        <w:tc>
          <w:tcPr>
            <w:tcW w:w="5502" w:type="dxa"/>
            <w:tcBorders>
              <w:top w:val="single" w:sz="6" w:space="0" w:color="000000"/>
              <w:left w:val="nil" w:sz="6" w:space="0" w:color="auto"/>
              <w:bottom w:val="nil" w:sz="6" w:space="0" w:color="auto"/>
              <w:right w:val="nil" w:sz="6" w:space="0" w:color="auto"/>
            </w:tcBorders>
          </w:tcPr>
          <w:p>
            <w:pPr/>
          </w:p>
        </w:tc>
        <w:tc>
          <w:tcPr>
            <w:tcW w:w="1782" w:type="dxa"/>
            <w:tcBorders>
              <w:top w:val="single" w:sz="6" w:space="0" w:color="000000"/>
              <w:left w:val="nil" w:sz="6" w:space="0" w:color="auto"/>
              <w:bottom w:val="nil" w:sz="6" w:space="0" w:color="auto"/>
              <w:right w:val="nil" w:sz="6" w:space="0" w:color="auto"/>
            </w:tcBorders>
          </w:tcPr>
          <w:p>
            <w:pPr/>
          </w:p>
        </w:tc>
        <w:tc>
          <w:tcPr>
            <w:tcW w:w="1724" w:type="dxa"/>
            <w:tcBorders>
              <w:top w:val="single" w:sz="6" w:space="0" w:color="000000"/>
              <w:left w:val="nil" w:sz="6" w:space="0" w:color="auto"/>
              <w:bottom w:val="nil" w:sz="6" w:space="0" w:color="auto"/>
              <w:right w:val="nil" w:sz="6" w:space="0" w:color="auto"/>
            </w:tcBorders>
          </w:tcPr>
          <w:p>
            <w:pPr>
              <w:pStyle w:val="TableParagraph"/>
              <w:spacing w:line="259" w:lineRule="exact"/>
              <w:ind w:right="83"/>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99" w:hRule="exact"/>
        </w:trPr>
        <w:tc>
          <w:tcPr>
            <w:tcW w:w="5502"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6"/>
              <w:jc w:val="right"/>
              <w:rPr>
                <w:rFonts w:ascii="Arial" w:hAnsi="Arial" w:cs="Arial" w:eastAsia="Arial" w:hint="default"/>
                <w:sz w:val="22"/>
                <w:szCs w:val="22"/>
              </w:rPr>
            </w:pPr>
            <w:r>
              <w:rPr>
                <w:rFonts w:ascii="Arial"/>
                <w:spacing w:val="-1"/>
                <w:sz w:val="22"/>
              </w:rPr>
              <w:t>5,664,040,816</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7"/>
              <w:jc w:val="right"/>
              <w:rPr>
                <w:rFonts w:ascii="Arial" w:hAnsi="Arial" w:cs="Arial" w:eastAsia="Arial" w:hint="default"/>
                <w:sz w:val="22"/>
                <w:szCs w:val="22"/>
              </w:rPr>
            </w:pPr>
            <w:r>
              <w:rPr>
                <w:rFonts w:ascii="Arial"/>
                <w:spacing w:val="-1"/>
                <w:sz w:val="22"/>
              </w:rPr>
              <w:t>4,671,754,013</w:t>
            </w:r>
          </w:p>
        </w:tc>
      </w:tr>
      <w:tr>
        <w:trPr>
          <w:trHeight w:val="353" w:hRule="exact"/>
        </w:trPr>
        <w:tc>
          <w:tcPr>
            <w:tcW w:w="5502" w:type="dxa"/>
            <w:tcBorders>
              <w:top w:val="nil" w:sz="6" w:space="0" w:color="auto"/>
              <w:left w:val="nil" w:sz="6" w:space="0" w:color="auto"/>
              <w:bottom w:val="nil" w:sz="6" w:space="0" w:color="auto"/>
              <w:right w:val="nil" w:sz="6" w:space="0" w:color="auto"/>
            </w:tcBorders>
          </w:tcPr>
          <w:p>
            <w:pPr>
              <w:pStyle w:val="TableParagraph"/>
              <w:spacing w:line="226" w:lineRule="exact"/>
              <w:ind w:left="-1" w:right="0"/>
              <w:jc w:val="left"/>
              <w:rPr>
                <w:rFonts w:ascii="宋体" w:hAnsi="宋体" w:cs="宋体" w:eastAsia="宋体" w:hint="default"/>
                <w:sz w:val="22"/>
                <w:szCs w:val="22"/>
              </w:rPr>
            </w:pPr>
            <w:r>
              <w:rPr>
                <w:rFonts w:ascii="宋体" w:hAnsi="宋体" w:cs="宋体" w:eastAsia="宋体" w:hint="default"/>
                <w:sz w:val="22"/>
                <w:szCs w:val="22"/>
              </w:rPr>
              <w:t>按法定税率计算之所得税</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26"/>
              <w:jc w:val="right"/>
              <w:rPr>
                <w:rFonts w:ascii="Arial" w:hAnsi="Arial" w:cs="Arial" w:eastAsia="Arial" w:hint="default"/>
                <w:sz w:val="22"/>
                <w:szCs w:val="22"/>
              </w:rPr>
            </w:pPr>
            <w:r>
              <w:rPr>
                <w:rFonts w:ascii="Arial"/>
                <w:spacing w:val="-1"/>
                <w:sz w:val="22"/>
              </w:rPr>
              <w:t>1,416,010,204</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7"/>
              <w:jc w:val="right"/>
              <w:rPr>
                <w:rFonts w:ascii="Arial" w:hAnsi="Arial" w:cs="Arial" w:eastAsia="Arial" w:hint="default"/>
                <w:sz w:val="22"/>
                <w:szCs w:val="22"/>
              </w:rPr>
            </w:pPr>
            <w:r>
              <w:rPr>
                <w:rFonts w:ascii="Arial"/>
                <w:spacing w:val="-1"/>
                <w:sz w:val="22"/>
              </w:rPr>
              <w:t>1,167,938,503</w:t>
            </w:r>
          </w:p>
        </w:tc>
      </w:tr>
    </w:tbl>
    <w:p>
      <w:pPr>
        <w:spacing w:line="240" w:lineRule="auto" w:before="0"/>
        <w:rPr>
          <w:rFonts w:ascii="宋体" w:hAnsi="宋体" w:cs="宋体" w:eastAsia="宋体" w:hint="default"/>
          <w:sz w:val="7"/>
          <w:szCs w:val="7"/>
        </w:rPr>
      </w:pPr>
    </w:p>
    <w:p>
      <w:pPr>
        <w:pStyle w:val="BodyText"/>
        <w:spacing w:line="240" w:lineRule="auto" w:before="31"/>
        <w:ind w:left="562" w:right="0"/>
        <w:jc w:val="left"/>
      </w:pPr>
      <w:r>
        <w:rPr/>
        <w:t>所得税影响调整：</w:t>
      </w:r>
    </w:p>
    <w:p>
      <w:pPr>
        <w:spacing w:line="240" w:lineRule="auto" w:before="10"/>
        <w:rPr>
          <w:rFonts w:ascii="宋体" w:hAnsi="宋体" w:cs="宋体" w:eastAsia="宋体" w:hint="default"/>
          <w:sz w:val="16"/>
          <w:szCs w:val="16"/>
        </w:rPr>
      </w:pPr>
    </w:p>
    <w:tbl>
      <w:tblPr>
        <w:tblW w:w="0" w:type="auto"/>
        <w:jc w:val="left"/>
        <w:tblInd w:w="527" w:type="dxa"/>
        <w:tblLayout w:type="fixed"/>
        <w:tblCellMar>
          <w:top w:w="0" w:type="dxa"/>
          <w:left w:w="0" w:type="dxa"/>
          <w:bottom w:w="0" w:type="dxa"/>
          <w:right w:w="0" w:type="dxa"/>
        </w:tblCellMar>
        <w:tblLook w:val="01E0"/>
      </w:tblPr>
      <w:tblGrid>
        <w:gridCol w:w="604"/>
        <w:gridCol w:w="4397"/>
        <w:gridCol w:w="426"/>
        <w:gridCol w:w="1847"/>
        <w:gridCol w:w="1789"/>
      </w:tblGrid>
      <w:tr>
        <w:trPr>
          <w:trHeight w:val="366"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
              <w:jc w:val="right"/>
              <w:rPr>
                <w:rFonts w:ascii="Arial" w:hAnsi="Arial" w:cs="Arial" w:eastAsia="Arial" w:hint="default"/>
                <w:sz w:val="22"/>
                <w:szCs w:val="22"/>
              </w:rPr>
            </w:pPr>
            <w:r>
              <w:rPr>
                <w:rFonts w:ascii="宋体" w:hAnsi="宋体" w:cs="宋体" w:eastAsia="宋体" w:hint="default"/>
                <w:w w:val="95"/>
                <w:sz w:val="22"/>
                <w:szCs w:val="22"/>
              </w:rPr>
              <w:t>加：</w:t>
            </w:r>
            <w:r>
              <w:rPr>
                <w:rFonts w:ascii="Arial" w:hAnsi="Arial" w:cs="Arial" w:eastAsia="Arial" w:hint="default"/>
                <w:w w:val="95"/>
                <w:sz w:val="22"/>
                <w:szCs w:val="22"/>
              </w:rPr>
              <w:t>-</w:t>
            </w:r>
            <w:r>
              <w:rPr>
                <w:rFonts w:ascii="Arial" w:hAnsi="Arial" w:cs="Arial" w:eastAsia="Arial" w:hint="default"/>
                <w:sz w:val="22"/>
                <w:szCs w:val="22"/>
              </w:rPr>
            </w:r>
          </w:p>
        </w:tc>
        <w:tc>
          <w:tcPr>
            <w:tcW w:w="439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4" w:right="0"/>
              <w:jc w:val="left"/>
              <w:rPr>
                <w:rFonts w:ascii="宋体" w:hAnsi="宋体" w:cs="宋体" w:eastAsia="宋体" w:hint="default"/>
                <w:sz w:val="22"/>
                <w:szCs w:val="22"/>
              </w:rPr>
            </w:pPr>
            <w:r>
              <w:rPr>
                <w:rFonts w:ascii="宋体" w:hAnsi="宋体" w:cs="宋体" w:eastAsia="宋体" w:hint="default"/>
                <w:sz w:val="22"/>
                <w:szCs w:val="22"/>
              </w:rPr>
              <w:t>不得扣除的成本、费用和损失</w:t>
            </w:r>
          </w:p>
        </w:tc>
        <w:tc>
          <w:tcPr>
            <w:tcW w:w="42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0"/>
              <w:jc w:val="right"/>
              <w:rPr>
                <w:rFonts w:ascii="Arial" w:hAnsi="Arial" w:cs="Arial" w:eastAsia="Arial" w:hint="default"/>
                <w:sz w:val="22"/>
                <w:szCs w:val="22"/>
              </w:rPr>
            </w:pPr>
            <w:r>
              <w:rPr>
                <w:rFonts w:ascii="Arial"/>
                <w:w w:val="95"/>
                <w:sz w:val="22"/>
              </w:rPr>
              <w:t>54,529,140</w:t>
            </w:r>
            <w:r>
              <w:rPr>
                <w:rFonts w:ascii="Arial"/>
                <w:sz w:val="22"/>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Arial" w:hAnsi="Arial" w:cs="Arial" w:eastAsia="Arial" w:hint="default"/>
                <w:sz w:val="22"/>
                <w:szCs w:val="22"/>
              </w:rPr>
            </w:pPr>
            <w:r>
              <w:rPr>
                <w:rFonts w:ascii="Arial"/>
                <w:w w:val="95"/>
                <w:sz w:val="22"/>
              </w:rPr>
              <w:t>52,477,889</w:t>
            </w:r>
            <w:r>
              <w:rPr>
                <w:rFonts w:ascii="Arial"/>
                <w:sz w:val="22"/>
              </w:rPr>
            </w:r>
          </w:p>
        </w:tc>
      </w:tr>
      <w:tr>
        <w:trPr>
          <w:trHeight w:val="285"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2"/>
              <w:jc w:val="right"/>
              <w:rPr>
                <w:rFonts w:ascii="Arial" w:hAnsi="Arial" w:cs="Arial" w:eastAsia="Arial" w:hint="default"/>
                <w:sz w:val="22"/>
                <w:szCs w:val="22"/>
              </w:rPr>
            </w:pPr>
            <w:r>
              <w:rPr>
                <w:rFonts w:ascii="Arial"/>
                <w:w w:val="99"/>
                <w:sz w:val="22"/>
              </w:rPr>
              <w:t>-</w:t>
            </w:r>
            <w:r>
              <w:rPr>
                <w:rFonts w:ascii="Arial"/>
                <w:sz w:val="22"/>
              </w:rPr>
            </w:r>
          </w:p>
        </w:tc>
        <w:tc>
          <w:tcPr>
            <w:tcW w:w="4397" w:type="dxa"/>
            <w:tcBorders>
              <w:top w:val="nil" w:sz="6" w:space="0" w:color="auto"/>
              <w:left w:val="nil" w:sz="6" w:space="0" w:color="auto"/>
              <w:bottom w:val="nil" w:sz="6" w:space="0" w:color="auto"/>
              <w:right w:val="nil" w:sz="6" w:space="0" w:color="auto"/>
            </w:tcBorders>
          </w:tcPr>
          <w:p>
            <w:pPr>
              <w:pStyle w:val="TableParagraph"/>
              <w:spacing w:line="239" w:lineRule="exact"/>
              <w:ind w:left="56" w:right="0"/>
              <w:jc w:val="left"/>
              <w:rPr>
                <w:rFonts w:ascii="宋体" w:hAnsi="宋体" w:cs="宋体" w:eastAsia="宋体" w:hint="default"/>
                <w:sz w:val="22"/>
                <w:szCs w:val="22"/>
              </w:rPr>
            </w:pPr>
            <w:r>
              <w:rPr>
                <w:rFonts w:ascii="宋体" w:hAnsi="宋体" w:cs="宋体" w:eastAsia="宋体" w:hint="default"/>
                <w:sz w:val="22"/>
                <w:szCs w:val="22"/>
              </w:rPr>
              <w:t>当期汇算清缴差异</w:t>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center"/>
              <w:rPr>
                <w:rFonts w:ascii="Arial" w:hAnsi="Arial" w:cs="Arial" w:eastAsia="Arial" w:hint="default"/>
                <w:sz w:val="22"/>
                <w:szCs w:val="22"/>
              </w:rPr>
            </w:pPr>
            <w:r>
              <w:rPr>
                <w:rFonts w:ascii="Arial"/>
                <w:sz w:val="22"/>
              </w:rPr>
              <w:t>(1)</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0"/>
              <w:jc w:val="right"/>
              <w:rPr>
                <w:rFonts w:ascii="Arial" w:hAnsi="Arial" w:cs="Arial" w:eastAsia="Arial" w:hint="default"/>
                <w:sz w:val="22"/>
                <w:szCs w:val="22"/>
              </w:rPr>
            </w:pPr>
            <w:r>
              <w:rPr>
                <w:rFonts w:ascii="Arial"/>
                <w:w w:val="95"/>
                <w:sz w:val="22"/>
              </w:rPr>
              <w:t>40,086,535</w:t>
            </w:r>
            <w:r>
              <w:rPr>
                <w:rFonts w:ascii="Arial"/>
                <w:sz w:val="22"/>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18,233,734</w:t>
            </w:r>
            <w:r>
              <w:rPr>
                <w:rFonts w:ascii="Arial"/>
                <w:sz w:val="22"/>
              </w:rPr>
            </w:r>
          </w:p>
        </w:tc>
      </w:tr>
      <w:tr>
        <w:trPr>
          <w:trHeight w:val="285"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right"/>
              <w:rPr>
                <w:rFonts w:ascii="Arial" w:hAnsi="Arial" w:cs="Arial" w:eastAsia="Arial" w:hint="default"/>
                <w:sz w:val="22"/>
                <w:szCs w:val="22"/>
              </w:rPr>
            </w:pPr>
            <w:r>
              <w:rPr>
                <w:rFonts w:ascii="Arial"/>
                <w:w w:val="99"/>
                <w:sz w:val="22"/>
              </w:rPr>
              <w:t>-</w:t>
            </w:r>
            <w:r>
              <w:rPr>
                <w:rFonts w:ascii="Arial"/>
                <w:sz w:val="22"/>
              </w:rPr>
            </w:r>
          </w:p>
        </w:tc>
        <w:tc>
          <w:tcPr>
            <w:tcW w:w="4397" w:type="dxa"/>
            <w:tcBorders>
              <w:top w:val="nil" w:sz="6" w:space="0" w:color="auto"/>
              <w:left w:val="nil" w:sz="6" w:space="0" w:color="auto"/>
              <w:bottom w:val="nil" w:sz="6" w:space="0" w:color="auto"/>
              <w:right w:val="nil" w:sz="6" w:space="0" w:color="auto"/>
            </w:tcBorders>
          </w:tcPr>
          <w:p>
            <w:pPr>
              <w:pStyle w:val="TableParagraph"/>
              <w:spacing w:line="239" w:lineRule="exact"/>
              <w:ind w:left="56" w:right="0"/>
              <w:jc w:val="left"/>
              <w:rPr>
                <w:rFonts w:ascii="宋体" w:hAnsi="宋体" w:cs="宋体" w:eastAsia="宋体" w:hint="default"/>
                <w:sz w:val="22"/>
                <w:szCs w:val="22"/>
              </w:rPr>
            </w:pPr>
            <w:r>
              <w:rPr>
                <w:rFonts w:ascii="宋体" w:hAnsi="宋体" w:cs="宋体" w:eastAsia="宋体" w:hint="default"/>
                <w:sz w:val="22"/>
                <w:szCs w:val="22"/>
              </w:rPr>
              <w:t>税务检查补缴税款</w:t>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center"/>
              <w:rPr>
                <w:rFonts w:ascii="Arial" w:hAnsi="Arial" w:cs="Arial" w:eastAsia="Arial" w:hint="default"/>
                <w:sz w:val="22"/>
                <w:szCs w:val="22"/>
              </w:rPr>
            </w:pPr>
            <w:r>
              <w:rPr>
                <w:rFonts w:ascii="Arial"/>
                <w:sz w:val="22"/>
              </w:rPr>
              <w:t>(2)</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0"/>
              <w:jc w:val="right"/>
              <w:rPr>
                <w:rFonts w:ascii="Arial" w:hAnsi="Arial" w:cs="Arial" w:eastAsia="Arial" w:hint="default"/>
                <w:sz w:val="22"/>
                <w:szCs w:val="22"/>
              </w:rPr>
            </w:pPr>
            <w:r>
              <w:rPr>
                <w:rFonts w:ascii="Arial"/>
                <w:w w:val="95"/>
                <w:sz w:val="22"/>
              </w:rPr>
              <w:t>76,783,499</w:t>
            </w:r>
            <w:r>
              <w:rPr>
                <w:rFonts w:ascii="Arial"/>
                <w:sz w:val="22"/>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12,776,641</w:t>
            </w:r>
            <w:r>
              <w:rPr>
                <w:rFonts w:ascii="Arial"/>
                <w:sz w:val="22"/>
              </w:rPr>
            </w:r>
          </w:p>
        </w:tc>
      </w:tr>
      <w:tr>
        <w:trPr>
          <w:trHeight w:val="286"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2"/>
              <w:jc w:val="right"/>
              <w:rPr>
                <w:rFonts w:ascii="Arial" w:hAnsi="Arial" w:cs="Arial" w:eastAsia="Arial" w:hint="default"/>
                <w:sz w:val="22"/>
                <w:szCs w:val="22"/>
              </w:rPr>
            </w:pPr>
            <w:r>
              <w:rPr>
                <w:rFonts w:ascii="Arial"/>
                <w:w w:val="99"/>
                <w:sz w:val="22"/>
              </w:rPr>
              <w:t>-</w:t>
            </w:r>
            <w:r>
              <w:rPr>
                <w:rFonts w:ascii="Arial"/>
                <w:sz w:val="22"/>
              </w:rPr>
            </w:r>
          </w:p>
        </w:tc>
        <w:tc>
          <w:tcPr>
            <w:tcW w:w="4397" w:type="dxa"/>
            <w:tcBorders>
              <w:top w:val="nil" w:sz="6" w:space="0" w:color="auto"/>
              <w:left w:val="nil" w:sz="6" w:space="0" w:color="auto"/>
              <w:bottom w:val="nil" w:sz="6" w:space="0" w:color="auto"/>
              <w:right w:val="nil" w:sz="6" w:space="0" w:color="auto"/>
            </w:tcBorders>
          </w:tcPr>
          <w:p>
            <w:pPr>
              <w:pStyle w:val="TableParagraph"/>
              <w:spacing w:line="239" w:lineRule="exact"/>
              <w:ind w:left="56" w:right="0"/>
              <w:jc w:val="left"/>
              <w:rPr>
                <w:rFonts w:ascii="宋体" w:hAnsi="宋体" w:cs="宋体" w:eastAsia="宋体" w:hint="default"/>
                <w:sz w:val="22"/>
                <w:szCs w:val="22"/>
              </w:rPr>
            </w:pPr>
            <w:r>
              <w:rPr>
                <w:rFonts w:ascii="宋体" w:hAnsi="宋体" w:cs="宋体" w:eastAsia="宋体" w:hint="default"/>
                <w:sz w:val="22"/>
                <w:szCs w:val="22"/>
              </w:rPr>
              <w:t>境外子公司利息收入被代扣代缴的所得税</w:t>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center"/>
              <w:rPr>
                <w:rFonts w:ascii="Arial" w:hAnsi="Arial" w:cs="Arial" w:eastAsia="Arial" w:hint="default"/>
                <w:sz w:val="22"/>
                <w:szCs w:val="22"/>
              </w:rPr>
            </w:pPr>
            <w:r>
              <w:rPr>
                <w:rFonts w:ascii="Arial"/>
                <w:sz w:val="22"/>
              </w:rPr>
              <w:t>(3)</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0"/>
              <w:jc w:val="right"/>
              <w:rPr>
                <w:rFonts w:ascii="Arial" w:hAnsi="Arial" w:cs="Arial" w:eastAsia="Arial" w:hint="default"/>
                <w:sz w:val="22"/>
                <w:szCs w:val="22"/>
              </w:rPr>
            </w:pPr>
            <w:r>
              <w:rPr>
                <w:rFonts w:ascii="Arial"/>
                <w:w w:val="95"/>
                <w:sz w:val="22"/>
              </w:rPr>
              <w:t>25,429,866</w:t>
            </w:r>
            <w:r>
              <w:rPr>
                <w:rFonts w:ascii="Arial"/>
                <w:sz w:val="22"/>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4"/>
              <w:jc w:val="right"/>
              <w:rPr>
                <w:rFonts w:ascii="Arial" w:hAnsi="Arial" w:cs="Arial" w:eastAsia="Arial" w:hint="default"/>
                <w:sz w:val="22"/>
                <w:szCs w:val="22"/>
              </w:rPr>
            </w:pPr>
            <w:r>
              <w:rPr>
                <w:rFonts w:ascii="Arial"/>
                <w:w w:val="99"/>
                <w:sz w:val="22"/>
              </w:rPr>
              <w:t>-</w:t>
            </w:r>
            <w:r>
              <w:rPr>
                <w:rFonts w:ascii="Arial"/>
                <w:sz w:val="22"/>
              </w:rPr>
            </w:r>
          </w:p>
        </w:tc>
      </w:tr>
      <w:tr>
        <w:trPr>
          <w:trHeight w:val="425"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2"/>
              <w:jc w:val="right"/>
              <w:rPr>
                <w:rFonts w:ascii="Arial" w:hAnsi="Arial" w:cs="Arial" w:eastAsia="Arial" w:hint="default"/>
                <w:sz w:val="22"/>
                <w:szCs w:val="22"/>
              </w:rPr>
            </w:pPr>
            <w:r>
              <w:rPr>
                <w:rFonts w:ascii="Arial"/>
                <w:w w:val="99"/>
                <w:sz w:val="22"/>
              </w:rPr>
              <w:t>-</w:t>
            </w:r>
            <w:r>
              <w:rPr>
                <w:rFonts w:ascii="Arial"/>
                <w:sz w:val="22"/>
              </w:rPr>
            </w:r>
          </w:p>
        </w:tc>
        <w:tc>
          <w:tcPr>
            <w:tcW w:w="4397" w:type="dxa"/>
            <w:tcBorders>
              <w:top w:val="nil" w:sz="6" w:space="0" w:color="auto"/>
              <w:left w:val="nil" w:sz="6" w:space="0" w:color="auto"/>
              <w:bottom w:val="nil" w:sz="6" w:space="0" w:color="auto"/>
              <w:right w:val="nil" w:sz="6" w:space="0" w:color="auto"/>
            </w:tcBorders>
          </w:tcPr>
          <w:p>
            <w:pPr>
              <w:pStyle w:val="TableParagraph"/>
              <w:spacing w:line="239" w:lineRule="exact"/>
              <w:ind w:left="5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42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0"/>
              <w:jc w:val="right"/>
              <w:rPr>
                <w:rFonts w:ascii="Arial" w:hAnsi="Arial" w:cs="Arial" w:eastAsia="Arial" w:hint="default"/>
                <w:sz w:val="22"/>
                <w:szCs w:val="22"/>
              </w:rPr>
            </w:pPr>
            <w:r>
              <w:rPr>
                <w:rFonts w:ascii="Arial"/>
                <w:w w:val="95"/>
                <w:sz w:val="22"/>
              </w:rPr>
              <w:t>25,468,583</w:t>
            </w:r>
            <w:r>
              <w:rPr>
                <w:rFonts w:ascii="Arial"/>
                <w:sz w:val="22"/>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2,810,850</w:t>
            </w:r>
            <w:r>
              <w:rPr>
                <w:rFonts w:ascii="Arial"/>
                <w:sz w:val="22"/>
              </w:rPr>
            </w:r>
          </w:p>
        </w:tc>
      </w:tr>
      <w:tr>
        <w:trPr>
          <w:trHeight w:val="412" w:hRule="exact"/>
        </w:trPr>
        <w:tc>
          <w:tcPr>
            <w:tcW w:w="5427" w:type="dxa"/>
            <w:gridSpan w:val="3"/>
            <w:tcBorders>
              <w:top w:val="nil" w:sz="6" w:space="0" w:color="auto"/>
              <w:left w:val="nil" w:sz="6" w:space="0" w:color="auto"/>
              <w:bottom w:val="nil" w:sz="6" w:space="0" w:color="auto"/>
              <w:right w:val="nil" w:sz="6" w:space="0" w:color="auto"/>
            </w:tcBorders>
          </w:tcPr>
          <w:p>
            <w:pPr>
              <w:pStyle w:val="TableParagraph"/>
              <w:tabs>
                <w:tab w:pos="5035" w:val="left" w:leader="none"/>
              </w:tabs>
              <w:spacing w:line="240" w:lineRule="auto" w:before="60"/>
              <w:ind w:left="35" w:right="0"/>
              <w:jc w:val="left"/>
              <w:rPr>
                <w:rFonts w:ascii="Arial" w:hAnsi="Arial" w:cs="Arial" w:eastAsia="Arial" w:hint="default"/>
                <w:sz w:val="22"/>
                <w:szCs w:val="22"/>
              </w:rPr>
            </w:pPr>
            <w:r>
              <w:rPr>
                <w:rFonts w:ascii="宋体" w:hAnsi="宋体" w:cs="宋体" w:eastAsia="宋体" w:hint="default"/>
                <w:position w:val="2"/>
                <w:sz w:val="22"/>
                <w:szCs w:val="22"/>
              </w:rPr>
              <w:t>减：</w:t>
            </w:r>
            <w:r>
              <w:rPr>
                <w:rFonts w:ascii="Arial" w:hAnsi="Arial" w:cs="Arial" w:eastAsia="Arial" w:hint="default"/>
                <w:position w:val="2"/>
                <w:sz w:val="22"/>
                <w:szCs w:val="22"/>
              </w:rPr>
              <w:t>-</w:t>
            </w:r>
            <w:r>
              <w:rPr>
                <w:rFonts w:ascii="Arial" w:hAnsi="Arial" w:cs="Arial" w:eastAsia="Arial" w:hint="default"/>
                <w:spacing w:val="46"/>
                <w:position w:val="2"/>
                <w:sz w:val="22"/>
                <w:szCs w:val="22"/>
              </w:rPr>
              <w:t> </w:t>
            </w:r>
            <w:r>
              <w:rPr>
                <w:rFonts w:ascii="宋体" w:hAnsi="宋体" w:cs="宋体" w:eastAsia="宋体" w:hint="default"/>
                <w:position w:val="2"/>
                <w:sz w:val="22"/>
                <w:szCs w:val="22"/>
              </w:rPr>
              <w:t>非应纳税收入</w:t>
              <w:tab/>
            </w:r>
            <w:r>
              <w:rPr>
                <w:rFonts w:ascii="Arial" w:hAnsi="Arial" w:cs="Arial" w:eastAsia="Arial" w:hint="default"/>
                <w:sz w:val="22"/>
                <w:szCs w:val="22"/>
              </w:rPr>
              <w:t>(4)</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7"/>
              <w:jc w:val="right"/>
              <w:rPr>
                <w:rFonts w:ascii="Arial" w:hAnsi="Arial" w:cs="Arial" w:eastAsia="Arial" w:hint="default"/>
                <w:sz w:val="22"/>
                <w:szCs w:val="22"/>
              </w:rPr>
            </w:pPr>
            <w:r>
              <w:rPr>
                <w:rFonts w:ascii="Arial"/>
                <w:w w:val="95"/>
                <w:sz w:val="22"/>
              </w:rPr>
              <w:t>(27,327,569)</w:t>
            </w:r>
            <w:r>
              <w:rPr>
                <w:rFonts w:ascii="Arial"/>
                <w:sz w:val="22"/>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2"/>
                <w:szCs w:val="22"/>
              </w:rPr>
            </w:pPr>
            <w:r>
              <w:rPr>
                <w:rFonts w:ascii="Arial"/>
                <w:w w:val="95"/>
                <w:sz w:val="22"/>
              </w:rPr>
              <w:t>(91,006,992)</w:t>
            </w:r>
            <w:r>
              <w:rPr>
                <w:rFonts w:ascii="Arial"/>
                <w:sz w:val="22"/>
              </w:rPr>
            </w:r>
          </w:p>
        </w:tc>
      </w:tr>
      <w:tr>
        <w:trPr>
          <w:trHeight w:val="428" w:hRule="exact"/>
        </w:trPr>
        <w:tc>
          <w:tcPr>
            <w:tcW w:w="5427" w:type="dxa"/>
            <w:gridSpan w:val="3"/>
            <w:tcBorders>
              <w:top w:val="nil" w:sz="6" w:space="0" w:color="auto"/>
              <w:left w:val="nil" w:sz="6" w:space="0" w:color="auto"/>
              <w:bottom w:val="nil" w:sz="6" w:space="0" w:color="auto"/>
              <w:right w:val="nil" w:sz="6" w:space="0" w:color="auto"/>
            </w:tcBorders>
          </w:tcPr>
          <w:p>
            <w:pPr>
              <w:pStyle w:val="TableParagraph"/>
              <w:tabs>
                <w:tab w:pos="5035" w:val="left" w:leader="none"/>
              </w:tabs>
              <w:spacing w:line="241" w:lineRule="exact"/>
              <w:ind w:left="449" w:right="0"/>
              <w:jc w:val="left"/>
              <w:rPr>
                <w:rFonts w:ascii="Arial" w:hAnsi="Arial" w:cs="Arial" w:eastAsia="Arial" w:hint="default"/>
                <w:sz w:val="22"/>
                <w:szCs w:val="22"/>
              </w:rPr>
            </w:pPr>
            <w:r>
              <w:rPr>
                <w:rFonts w:ascii="Arial" w:hAnsi="Arial" w:cs="Arial" w:eastAsia="Arial" w:hint="default"/>
                <w:position w:val="2"/>
                <w:sz w:val="22"/>
                <w:szCs w:val="22"/>
              </w:rPr>
              <w:t>-</w:t>
            </w:r>
            <w:r>
              <w:rPr>
                <w:rFonts w:ascii="Arial" w:hAnsi="Arial" w:cs="Arial" w:eastAsia="Arial" w:hint="default"/>
                <w:spacing w:val="47"/>
                <w:position w:val="2"/>
                <w:sz w:val="22"/>
                <w:szCs w:val="22"/>
              </w:rPr>
              <w:t> </w:t>
            </w:r>
            <w:r>
              <w:rPr>
                <w:rFonts w:ascii="宋体" w:hAnsi="宋体" w:cs="宋体" w:eastAsia="宋体" w:hint="default"/>
                <w:position w:val="2"/>
                <w:sz w:val="22"/>
                <w:szCs w:val="22"/>
              </w:rPr>
              <w:t>税率优惠之影响</w:t>
              <w:tab/>
            </w:r>
            <w:r>
              <w:rPr>
                <w:rFonts w:ascii="Arial" w:hAnsi="Arial" w:cs="Arial" w:eastAsia="Arial" w:hint="default"/>
                <w:sz w:val="22"/>
                <w:szCs w:val="22"/>
              </w:rPr>
              <w:t>(5)</w:t>
            </w:r>
          </w:p>
          <w:p>
            <w:pPr>
              <w:pStyle w:val="TableParagraph"/>
              <w:spacing w:line="228" w:lineRule="exact"/>
              <w:ind w:left="449"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7"/>
                <w:sz w:val="22"/>
                <w:szCs w:val="22"/>
              </w:rPr>
              <w:t> </w:t>
            </w:r>
            <w:r>
              <w:rPr>
                <w:rFonts w:ascii="宋体" w:hAnsi="宋体" w:cs="宋体" w:eastAsia="宋体" w:hint="default"/>
                <w:sz w:val="22"/>
                <w:szCs w:val="22"/>
              </w:rPr>
              <w:t>子公司可使用的以前年度税务亏损及获得的</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Arial" w:hAnsi="Arial" w:cs="Arial" w:eastAsia="Arial" w:hint="default"/>
                <w:sz w:val="22"/>
                <w:szCs w:val="22"/>
              </w:rPr>
            </w:pPr>
            <w:r>
              <w:rPr>
                <w:rFonts w:ascii="Arial"/>
                <w:w w:val="95"/>
                <w:sz w:val="22"/>
              </w:rPr>
              <w:t>(134,904,827)</w:t>
            </w:r>
            <w:r>
              <w:rPr>
                <w:rFonts w:ascii="Arial"/>
                <w:sz w:val="22"/>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2"/>
                <w:szCs w:val="22"/>
              </w:rPr>
            </w:pPr>
            <w:r>
              <w:rPr>
                <w:rFonts w:ascii="Arial"/>
                <w:w w:val="95"/>
                <w:sz w:val="22"/>
              </w:rPr>
              <w:t>(104,101,588)</w:t>
            </w:r>
            <w:r>
              <w:rPr>
                <w:rFonts w:ascii="Arial"/>
                <w:sz w:val="22"/>
              </w:rPr>
            </w:r>
          </w:p>
        </w:tc>
      </w:tr>
      <w:tr>
        <w:trPr>
          <w:trHeight w:val="495" w:hRule="exact"/>
        </w:trPr>
        <w:tc>
          <w:tcPr>
            <w:tcW w:w="5427" w:type="dxa"/>
            <w:gridSpan w:val="3"/>
            <w:tcBorders>
              <w:top w:val="nil" w:sz="6" w:space="0" w:color="auto"/>
              <w:left w:val="nil" w:sz="6" w:space="0" w:color="auto"/>
              <w:bottom w:val="nil" w:sz="6" w:space="0" w:color="auto"/>
              <w:right w:val="nil" w:sz="6" w:space="0" w:color="auto"/>
            </w:tcBorders>
          </w:tcPr>
          <w:p>
            <w:pPr>
              <w:pStyle w:val="TableParagraph"/>
              <w:tabs>
                <w:tab w:pos="5035" w:val="left" w:leader="none"/>
              </w:tabs>
              <w:spacing w:line="240" w:lineRule="auto" w:before="76"/>
              <w:ind w:left="853" w:right="0"/>
              <w:jc w:val="left"/>
              <w:rPr>
                <w:rFonts w:ascii="Arial" w:hAnsi="Arial" w:cs="Arial" w:eastAsia="Arial" w:hint="default"/>
                <w:sz w:val="22"/>
                <w:szCs w:val="22"/>
              </w:rPr>
            </w:pPr>
            <w:r>
              <w:rPr>
                <w:rFonts w:ascii="宋体" w:hAnsi="宋体" w:cs="宋体" w:eastAsia="宋体" w:hint="default"/>
                <w:w w:val="95"/>
                <w:position w:val="2"/>
                <w:sz w:val="22"/>
                <w:szCs w:val="22"/>
              </w:rPr>
              <w:t>退税</w:t>
              <w:tab/>
            </w:r>
            <w:r>
              <w:rPr>
                <w:rFonts w:ascii="Arial" w:hAnsi="Arial" w:cs="Arial" w:eastAsia="Arial" w:hint="default"/>
                <w:sz w:val="22"/>
                <w:szCs w:val="22"/>
              </w:rPr>
              <w:t>(6)</w:t>
            </w:r>
          </w:p>
        </w:tc>
        <w:tc>
          <w:tcPr>
            <w:tcW w:w="1847" w:type="dxa"/>
            <w:tcBorders>
              <w:top w:val="nil" w:sz="6" w:space="0" w:color="auto"/>
              <w:left w:val="nil" w:sz="6" w:space="0" w:color="auto"/>
              <w:bottom w:val="nil" w:sz="6" w:space="0" w:color="auto"/>
              <w:right w:val="nil" w:sz="6" w:space="0" w:color="auto"/>
            </w:tcBorders>
          </w:tcPr>
          <w:p>
            <w:pPr>
              <w:pStyle w:val="TableParagraph"/>
              <w:tabs>
                <w:tab w:pos="1468" w:val="left" w:leader="none"/>
                <w:tab w:pos="1640" w:val="left" w:leader="none"/>
              </w:tabs>
              <w:spacing w:line="240" w:lineRule="auto" w:before="147"/>
              <w:ind w:right="8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178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4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(79,007,759)</w:t>
            </w:r>
            <w:r>
              <w:rPr>
                <w:rFonts w:ascii="Arial"/>
                <w:w w:val="95"/>
                <w:sz w:val="22"/>
              </w:rPr>
            </w:r>
            <w:r>
              <w:rPr>
                <w:rFonts w:ascii="Arial"/>
                <w:sz w:val="22"/>
              </w:rPr>
            </w:r>
          </w:p>
        </w:tc>
      </w:tr>
    </w:tbl>
    <w:p>
      <w:pPr>
        <w:spacing w:line="240" w:lineRule="auto" w:before="3"/>
        <w:rPr>
          <w:rFonts w:ascii="宋体" w:hAnsi="宋体" w:cs="宋体" w:eastAsia="宋体" w:hint="default"/>
          <w:sz w:val="8"/>
          <w:szCs w:val="8"/>
        </w:rPr>
      </w:pPr>
    </w:p>
    <w:p>
      <w:pPr>
        <w:pStyle w:val="BodyText"/>
        <w:tabs>
          <w:tab w:pos="6211" w:val="left" w:leader="none"/>
          <w:tab w:pos="8258" w:val="left" w:leader="none"/>
        </w:tabs>
        <w:spacing w:line="240" w:lineRule="auto" w:before="27"/>
        <w:ind w:left="561" w:right="0"/>
        <w:jc w:val="left"/>
        <w:rPr>
          <w:rFonts w:ascii="Arial" w:hAnsi="Arial" w:cs="Arial" w:eastAsia="Arial" w:hint="default"/>
        </w:rPr>
      </w:pPr>
      <w:r>
        <w:rPr>
          <w:w w:val="95"/>
          <w:position w:val="2"/>
        </w:rPr>
        <w:t>所得税费用</w:t>
        <w:tab/>
      </w:r>
      <w:r>
        <w:rPr>
          <w:rFonts w:ascii="Arial" w:hAnsi="Arial" w:cs="Arial" w:eastAsia="Arial" w:hint="default"/>
          <w:spacing w:val="-1"/>
        </w:rPr>
        <w:t>1,476,075,431</w:t>
        <w:tab/>
      </w:r>
      <w:r>
        <w:rPr>
          <w:rFonts w:ascii="Arial" w:hAnsi="Arial" w:cs="Arial" w:eastAsia="Arial" w:hint="default"/>
        </w:rPr>
        <w:t>980,121,278</w:t>
      </w:r>
    </w:p>
    <w:p>
      <w:pPr>
        <w:spacing w:line="45" w:lineRule="exact"/>
        <w:ind w:left="560" w:right="0" w:firstLine="0"/>
        <w:rPr>
          <w:rFonts w:ascii="Arial" w:hAnsi="Arial" w:cs="Arial" w:eastAsia="Arial" w:hint="default"/>
          <w:sz w:val="4"/>
          <w:szCs w:val="4"/>
        </w:rPr>
      </w:pPr>
      <w:r>
        <w:rPr>
          <w:rFonts w:ascii="Arial" w:hAnsi="Arial" w:cs="Arial" w:eastAsia="Arial" w:hint="default"/>
          <w:position w:val="0"/>
          <w:sz w:val="4"/>
          <w:szCs w:val="4"/>
        </w:rPr>
        <w:pict>
          <v:group style="width:450.85pt;height:2.3pt;mso-position-horizontal-relative:char;mso-position-vertical-relative:line" coordorigin="0,0" coordsize="9017,46">
            <v:group style="position:absolute;left:1;top:1;width:7155;height:2" coordorigin="1,1" coordsize="7155,2">
              <v:shape style="position:absolute;left:1;top:1;width:7155;height:2" coordorigin="1,1" coordsize="7155,0" path="m1,1l7156,1e" filled="false" stroked="true" strokeweight=".12pt" strokecolor="#ffff9a">
                <v:path arrowok="t"/>
              </v:shape>
            </v:group>
            <v:group style="position:absolute;left:5501;top:38;width:1655;height:2" coordorigin="5501,38" coordsize="1655,2">
              <v:shape style="position:absolute;left:5501;top:38;width:1655;height:2" coordorigin="5501,38" coordsize="1655,0" path="m5501,38l7156,38e" filled="false" stroked="true" strokeweight=".72pt" strokecolor="#000000">
                <v:path arrowok="t"/>
              </v:shape>
            </v:group>
            <v:group style="position:absolute;left:5501;top:10;width:1655;height:2" coordorigin="5501,10" coordsize="1655,2">
              <v:shape style="position:absolute;left:5501;top:10;width:1655;height:2" coordorigin="5501,10" coordsize="1655,0" path="m5501,10l7156,10e" filled="false" stroked="true" strokeweight=".72pt" strokecolor="#000000">
                <v:path arrowok="t"/>
              </v:shape>
            </v:group>
            <v:group style="position:absolute;left:7156;top:1;width:1854;height:2" coordorigin="7156,1" coordsize="1854,2">
              <v:shape style="position:absolute;left:7156;top:1;width:1854;height:2" coordorigin="7156,1" coordsize="1854,0" path="m7156,1l9010,1e" filled="false" stroked="true" strokeweight=".12pt" strokecolor="#ffff9a">
                <v:path arrowok="t"/>
              </v:shape>
            </v:group>
            <v:group style="position:absolute;left:7309;top:38;width:1701;height:2" coordorigin="7309,38" coordsize="1701,2">
              <v:shape style="position:absolute;left:7309;top:38;width:1701;height:2" coordorigin="7309,38" coordsize="1701,0" path="m7309,38l9010,38e" filled="false" stroked="true" strokeweight=".72pt" strokecolor="#000000">
                <v:path arrowok="t"/>
              </v:shape>
            </v:group>
            <v:group style="position:absolute;left:7309;top:10;width:1701;height:2" coordorigin="7309,10" coordsize="1701,2">
              <v:shape style="position:absolute;left:7309;top:10;width:1701;height:2" coordorigin="7309,10" coordsize="1701,0" path="m7309,10l9010,10e" filled="false" stroked="true" strokeweight=".72pt" strokecolor="#000000">
                <v:path arrowok="t"/>
              </v:shape>
            </v:group>
          </v:group>
        </w:pict>
      </w:r>
      <w:r>
        <w:rPr>
          <w:rFonts w:ascii="Arial" w:hAnsi="Arial" w:cs="Arial" w:eastAsia="Arial" w:hint="default"/>
          <w:position w:val="0"/>
          <w:sz w:val="4"/>
          <w:szCs w:val="4"/>
        </w:rPr>
      </w:r>
    </w:p>
    <w:p>
      <w:pPr>
        <w:spacing w:after="0" w:line="45" w:lineRule="exact"/>
        <w:rPr>
          <w:rFonts w:ascii="Arial" w:hAnsi="Arial" w:cs="Arial" w:eastAsia="Arial" w:hint="default"/>
          <w:sz w:val="4"/>
          <w:szCs w:val="4"/>
        </w:rPr>
        <w:sectPr>
          <w:headerReference w:type="default" r:id="rId126"/>
          <w:pgSz w:w="11900" w:h="16840"/>
          <w:pgMar w:header="1189" w:footer="752" w:top="4120" w:bottom="940" w:left="1280" w:right="900"/>
        </w:sectPr>
      </w:pPr>
    </w:p>
    <w:p>
      <w:pPr>
        <w:spacing w:line="240" w:lineRule="auto" w:before="1"/>
        <w:rPr>
          <w:rFonts w:ascii="Arial" w:hAnsi="Arial" w:cs="Arial" w:eastAsia="Arial" w:hint="default"/>
          <w:sz w:val="18"/>
          <w:szCs w:val="18"/>
        </w:rPr>
      </w:pPr>
    </w:p>
    <w:p>
      <w:pPr>
        <w:pStyle w:val="BodyText"/>
        <w:spacing w:line="240" w:lineRule="auto" w:before="31"/>
        <w:ind w:left="102" w:right="97"/>
        <w:jc w:val="left"/>
      </w:pPr>
      <w:r>
        <w:rPr>
          <w:rFonts w:ascii="Arial" w:hAnsi="Arial" w:cs="Arial" w:eastAsia="Arial" w:hint="default"/>
        </w:rPr>
        <w:t>(a) </w:t>
      </w:r>
      <w:r>
        <w:rPr>
          <w:rFonts w:ascii="Arial" w:hAnsi="Arial" w:cs="Arial" w:eastAsia="Arial" w:hint="default"/>
          <w:spacing w:val="24"/>
        </w:rPr>
        <w:t> </w:t>
      </w:r>
      <w:r>
        <w:rPr/>
        <w:t>按法定税率计算之所得税与实际所得税费用调整如下（续）：</w:t>
      </w:r>
    </w:p>
    <w:p>
      <w:pPr>
        <w:spacing w:line="240" w:lineRule="auto" w:before="3"/>
        <w:rPr>
          <w:rFonts w:ascii="宋体" w:hAnsi="宋体" w:cs="宋体" w:eastAsia="宋体" w:hint="default"/>
          <w:sz w:val="20"/>
          <w:szCs w:val="20"/>
        </w:rPr>
      </w:pPr>
    </w:p>
    <w:p>
      <w:pPr>
        <w:pStyle w:val="BodyText"/>
        <w:spacing w:line="284" w:lineRule="exact"/>
        <w:ind w:left="522" w:right="125" w:hanging="406"/>
        <w:jc w:val="both"/>
      </w:pPr>
      <w:r>
        <w:rPr>
          <w:rFonts w:ascii="Arial" w:hAnsi="Arial" w:cs="Arial" w:eastAsia="Arial" w:hint="default"/>
        </w:rPr>
        <w:t>(1)</w:t>
      </w:r>
      <w:r>
        <w:rPr>
          <w:rFonts w:ascii="Arial" w:hAnsi="Arial" w:cs="Arial" w:eastAsia="Arial" w:hint="default"/>
          <w:spacing w:val="18"/>
        </w:rPr>
        <w:t> </w:t>
      </w:r>
      <w:r>
        <w:rPr/>
        <w:t>本集团在年度企业所得税汇算清缴时，因前期与税务机关就部分税前可抵扣项目的认定存在差</w:t>
      </w:r>
      <w:r>
        <w:rPr>
          <w:w w:val="99"/>
        </w:rPr>
        <w:t> </w:t>
      </w:r>
      <w:r>
        <w:rPr/>
        <w:t>异，经与主管税务机关确认后补缴企业所得税。</w:t>
      </w:r>
    </w:p>
    <w:p>
      <w:pPr>
        <w:spacing w:line="240" w:lineRule="auto" w:before="5"/>
        <w:rPr>
          <w:rFonts w:ascii="宋体" w:hAnsi="宋体" w:cs="宋体" w:eastAsia="宋体" w:hint="default"/>
          <w:sz w:val="19"/>
          <w:szCs w:val="19"/>
        </w:rPr>
      </w:pPr>
    </w:p>
    <w:p>
      <w:pPr>
        <w:pStyle w:val="BodyText"/>
        <w:spacing w:line="286" w:lineRule="exact"/>
        <w:ind w:left="522" w:right="138" w:hanging="421"/>
        <w:jc w:val="both"/>
      </w:pPr>
      <w:r>
        <w:rPr>
          <w:rFonts w:ascii="Arial" w:hAnsi="Arial" w:cs="Arial" w:eastAsia="Arial" w:hint="default"/>
        </w:rPr>
        <w:t>(2) </w:t>
      </w:r>
      <w:r>
        <w:rPr/>
        <w:t>于 </w:t>
      </w:r>
      <w:r>
        <w:rPr>
          <w:rFonts w:ascii="Arial" w:hAnsi="Arial" w:cs="Arial" w:eastAsia="Arial" w:hint="default"/>
        </w:rPr>
        <w:t>2011</w:t>
      </w:r>
      <w:r>
        <w:rPr>
          <w:rFonts w:ascii="Arial" w:hAnsi="Arial" w:cs="Arial" w:eastAsia="Arial" w:hint="default"/>
          <w:spacing w:val="20"/>
        </w:rPr>
        <w:t> </w:t>
      </w:r>
      <w:r>
        <w:rPr/>
        <w:t>年度本集团总部和部分分公司在主管财政、税务部门完成以前年度例行检查时发现一</w:t>
      </w:r>
      <w:r>
        <w:rPr>
          <w:w w:val="99"/>
        </w:rPr>
        <w:t> </w:t>
      </w:r>
      <w:r>
        <w:rPr/>
        <w:t>些已发生的费用项目无法在税前扣除。</w:t>
      </w:r>
    </w:p>
    <w:p>
      <w:pPr>
        <w:spacing w:line="240" w:lineRule="auto" w:before="3"/>
        <w:rPr>
          <w:rFonts w:ascii="宋体" w:hAnsi="宋体" w:cs="宋体" w:eastAsia="宋体" w:hint="default"/>
          <w:sz w:val="19"/>
          <w:szCs w:val="19"/>
        </w:rPr>
      </w:pPr>
    </w:p>
    <w:p>
      <w:pPr>
        <w:pStyle w:val="BodyText"/>
        <w:spacing w:line="286" w:lineRule="exact"/>
        <w:ind w:left="522" w:right="133" w:hanging="420"/>
        <w:jc w:val="both"/>
      </w:pPr>
      <w:r>
        <w:rPr>
          <w:rFonts w:ascii="Arial" w:hAnsi="Arial" w:cs="Arial" w:eastAsia="Arial" w:hint="default"/>
        </w:rPr>
        <w:t>(3)</w:t>
      </w:r>
      <w:r>
        <w:rPr>
          <w:rFonts w:ascii="Arial" w:hAnsi="Arial" w:cs="Arial" w:eastAsia="Arial" w:hint="default"/>
          <w:spacing w:val="27"/>
        </w:rPr>
        <w:t> </w:t>
      </w:r>
      <w:r>
        <w:rPr/>
        <w:t>亿迅公司为联通红筹公司在境外注册的全资子公司，因联通红筹公司被认定为中国居民企业，</w:t>
      </w:r>
      <w:r>
        <w:rPr>
          <w:w w:val="99"/>
        </w:rPr>
        <w:t> </w:t>
      </w:r>
      <w:r>
        <w:rPr/>
        <w:t>亿迅公司就收到的来源于联通红筹公司利息收入，需按照中国企业所得税法规定，由联通红筹</w:t>
      </w:r>
      <w:r>
        <w:rPr>
          <w:w w:val="99"/>
        </w:rPr>
        <w:t> </w:t>
      </w:r>
      <w:r>
        <w:rPr/>
        <w:t>公司代扣代缴所得税，并记录为亿迅公司所得税费用。</w:t>
      </w:r>
    </w:p>
    <w:p>
      <w:pPr>
        <w:spacing w:line="240" w:lineRule="auto" w:before="3"/>
        <w:rPr>
          <w:rFonts w:ascii="宋体" w:hAnsi="宋体" w:cs="宋体" w:eastAsia="宋体" w:hint="default"/>
          <w:sz w:val="19"/>
          <w:szCs w:val="19"/>
        </w:rPr>
      </w:pPr>
    </w:p>
    <w:p>
      <w:pPr>
        <w:pStyle w:val="BodyText"/>
        <w:spacing w:line="286" w:lineRule="exact"/>
        <w:ind w:left="522" w:right="138" w:hanging="420"/>
        <w:jc w:val="both"/>
      </w:pPr>
      <w:r>
        <w:rPr>
          <w:rFonts w:ascii="Arial" w:hAnsi="Arial" w:cs="Arial" w:eastAsia="Arial" w:hint="default"/>
        </w:rPr>
        <w:t>(4)</w:t>
      </w:r>
      <w:r>
        <w:rPr>
          <w:rFonts w:ascii="Arial" w:hAnsi="Arial" w:cs="Arial" w:eastAsia="Arial" w:hint="default"/>
          <w:spacing w:val="22"/>
        </w:rPr>
        <w:t> </w:t>
      </w:r>
      <w:r>
        <w:rPr/>
        <w:t>根据国家税务总局于原网通集团重组上市过程中就相关税务问题给予的批复及有关规定，原网</w:t>
      </w:r>
      <w:r>
        <w:rPr>
          <w:w w:val="99"/>
        </w:rPr>
        <w:t> </w:t>
      </w:r>
      <w:r>
        <w:rPr>
          <w:spacing w:val="5"/>
        </w:rPr>
        <w:t>通集团所属原网通运营公司每年从递延收益中转入营业收入的初装费收入以及部分装移机收</w:t>
      </w:r>
      <w:r>
        <w:rPr>
          <w:w w:val="99"/>
        </w:rPr>
        <w:t> </w:t>
      </w:r>
      <w:r>
        <w:rPr/>
        <w:t>入为免税收入。</w:t>
      </w:r>
    </w:p>
    <w:p>
      <w:pPr>
        <w:spacing w:line="240" w:lineRule="auto" w:before="3"/>
        <w:rPr>
          <w:rFonts w:ascii="宋体" w:hAnsi="宋体" w:cs="宋体" w:eastAsia="宋体" w:hint="default"/>
          <w:sz w:val="19"/>
          <w:szCs w:val="19"/>
        </w:rPr>
      </w:pPr>
    </w:p>
    <w:p>
      <w:pPr>
        <w:pStyle w:val="BodyText"/>
        <w:spacing w:line="286" w:lineRule="exact"/>
        <w:ind w:left="522" w:right="139" w:hanging="420"/>
        <w:jc w:val="both"/>
      </w:pPr>
      <w:r>
        <w:rPr>
          <w:rFonts w:ascii="Arial" w:hAnsi="Arial" w:cs="Arial" w:eastAsia="Arial" w:hint="default"/>
          <w:w w:val="99"/>
        </w:rPr>
        <w:t>(5)</w:t>
      </w:r>
      <w:r>
        <w:rPr>
          <w:rFonts w:ascii="Arial" w:hAnsi="Arial" w:cs="Arial" w:eastAsia="Arial" w:hint="default"/>
          <w:spacing w:val="29"/>
          <w:w w:val="99"/>
        </w:rPr>
        <w:t> </w:t>
      </w:r>
      <w:r>
        <w:rPr>
          <w:spacing w:val="-2"/>
          <w:w w:val="99"/>
        </w:rPr>
        <w:t>税率优惠之影响包括本集团中的若干子公司及分公司享受的优惠税率的影响，参见附注三</w:t>
      </w:r>
      <w:r>
        <w:rPr>
          <w:rFonts w:ascii="Arial" w:hAnsi="Arial" w:cs="Arial" w:eastAsia="Arial" w:hint="default"/>
          <w:spacing w:val="-2"/>
          <w:w w:val="99"/>
        </w:rPr>
        <w:t>(3)(b)</w:t>
      </w:r>
      <w:r>
        <w:rPr>
          <w:rFonts w:ascii="Arial" w:hAnsi="Arial" w:cs="Arial" w:eastAsia="Arial" w:hint="default"/>
          <w:w w:val="99"/>
        </w:rPr>
        <w:t> </w:t>
      </w:r>
      <w:r>
        <w:rPr/>
        <w:t>及附注三</w:t>
      </w:r>
      <w:r>
        <w:rPr>
          <w:rFonts w:ascii="Arial" w:hAnsi="Arial" w:cs="Arial" w:eastAsia="Arial" w:hint="default"/>
        </w:rPr>
        <w:t>(3)(c)</w:t>
      </w:r>
      <w:r>
        <w:rPr/>
        <w:t>。</w:t>
      </w:r>
    </w:p>
    <w:p>
      <w:pPr>
        <w:spacing w:line="240" w:lineRule="auto" w:before="2"/>
        <w:rPr>
          <w:rFonts w:ascii="宋体" w:hAnsi="宋体" w:cs="宋体" w:eastAsia="宋体" w:hint="default"/>
          <w:sz w:val="17"/>
          <w:szCs w:val="17"/>
        </w:rPr>
      </w:pPr>
    </w:p>
    <w:p>
      <w:pPr>
        <w:pStyle w:val="BodyText"/>
        <w:spacing w:line="295" w:lineRule="exact"/>
        <w:ind w:left="102" w:right="97"/>
        <w:jc w:val="left"/>
      </w:pPr>
      <w:r>
        <w:rPr>
          <w:rFonts w:ascii="Arial" w:hAnsi="Arial" w:cs="Arial" w:eastAsia="Arial" w:hint="default"/>
        </w:rPr>
        <w:t>(6)  </w:t>
      </w:r>
      <w:r>
        <w:rPr/>
        <w:t>根据财政部和国家税务总局的相关规定，联通信息导航之前身公司联通新国信于 </w:t>
      </w:r>
      <w:r>
        <w:rPr>
          <w:rFonts w:ascii="Arial" w:hAnsi="Arial" w:cs="Arial" w:eastAsia="Arial" w:hint="default"/>
        </w:rPr>
        <w:t>2010</w:t>
      </w:r>
      <w:r>
        <w:rPr>
          <w:rFonts w:ascii="Arial" w:hAnsi="Arial" w:cs="Arial" w:eastAsia="Arial" w:hint="default"/>
          <w:spacing w:val="20"/>
        </w:rPr>
        <w:t> </w:t>
      </w:r>
      <w:r>
        <w:rPr/>
        <w:t>年度取</w:t>
      </w:r>
    </w:p>
    <w:p>
      <w:pPr>
        <w:pStyle w:val="BodyText"/>
        <w:spacing w:line="285" w:lineRule="exact"/>
        <w:ind w:left="522" w:right="97"/>
        <w:jc w:val="left"/>
      </w:pPr>
      <w:r>
        <w:rPr/>
        <w:t>得主管税务机关返还其已缴纳的</w:t>
      </w:r>
      <w:r>
        <w:rPr>
          <w:spacing w:val="-44"/>
        </w:rPr>
        <w:t> </w:t>
      </w:r>
      <w:r>
        <w:rPr>
          <w:rFonts w:ascii="Arial" w:hAnsi="Arial" w:cs="Arial" w:eastAsia="Arial" w:hint="default"/>
        </w:rPr>
        <w:t>2009</w:t>
      </w:r>
      <w:r>
        <w:rPr>
          <w:rFonts w:ascii="Arial" w:hAnsi="Arial" w:cs="Arial" w:eastAsia="Arial" w:hint="default"/>
          <w:spacing w:val="5"/>
        </w:rPr>
        <w:t> </w:t>
      </w:r>
      <w:r>
        <w:rPr/>
        <w:t>年度企业所得税约人民币</w:t>
      </w:r>
      <w:r>
        <w:rPr>
          <w:spacing w:val="-44"/>
        </w:rPr>
        <w:t> </w:t>
      </w:r>
      <w:r>
        <w:rPr>
          <w:rFonts w:ascii="Arial" w:hAnsi="Arial" w:cs="Arial" w:eastAsia="Arial" w:hint="default"/>
        </w:rPr>
        <w:t>7,081</w:t>
      </w:r>
      <w:r>
        <w:rPr>
          <w:rFonts w:ascii="Arial" w:hAnsi="Arial" w:cs="Arial" w:eastAsia="Arial" w:hint="default"/>
          <w:spacing w:val="6"/>
        </w:rPr>
        <w:t> </w:t>
      </w:r>
      <w:r>
        <w:rPr/>
        <w:t>万元。另外，联通新国</w:t>
      </w:r>
    </w:p>
    <w:p>
      <w:pPr>
        <w:pStyle w:val="BodyText"/>
        <w:spacing w:line="285" w:lineRule="exact"/>
        <w:ind w:left="522" w:right="97"/>
        <w:jc w:val="left"/>
      </w:pPr>
      <w:r>
        <w:rPr/>
        <w:t>信因使用以前年度结转的可抵扣累计亏损约人民币</w:t>
      </w:r>
      <w:r>
        <w:rPr>
          <w:spacing w:val="-44"/>
        </w:rPr>
        <w:t> </w:t>
      </w:r>
      <w:r>
        <w:rPr>
          <w:rFonts w:ascii="Arial" w:hAnsi="Arial" w:cs="Arial" w:eastAsia="Arial" w:hint="default"/>
        </w:rPr>
        <w:t>3,279</w:t>
      </w:r>
      <w:r>
        <w:rPr>
          <w:rFonts w:ascii="Arial" w:hAnsi="Arial" w:cs="Arial" w:eastAsia="Arial" w:hint="default"/>
          <w:spacing w:val="6"/>
        </w:rPr>
        <w:t> </w:t>
      </w:r>
      <w:r>
        <w:rPr/>
        <w:t>万元而减少</w:t>
      </w:r>
      <w:r>
        <w:rPr>
          <w:spacing w:val="-43"/>
        </w:rPr>
        <w:t> </w:t>
      </w:r>
      <w:r>
        <w:rPr>
          <w:rFonts w:ascii="Arial" w:hAnsi="Arial" w:cs="Arial" w:eastAsia="Arial" w:hint="default"/>
        </w:rPr>
        <w:t>2010</w:t>
      </w:r>
      <w:r>
        <w:rPr>
          <w:rFonts w:ascii="Arial" w:hAnsi="Arial" w:cs="Arial" w:eastAsia="Arial" w:hint="default"/>
          <w:spacing w:val="5"/>
        </w:rPr>
        <w:t> </w:t>
      </w:r>
      <w:r>
        <w:rPr/>
        <w:t>年度企业所得税费</w:t>
      </w:r>
    </w:p>
    <w:p>
      <w:pPr>
        <w:pStyle w:val="BodyText"/>
        <w:spacing w:line="295" w:lineRule="exact"/>
        <w:ind w:left="522" w:right="97"/>
        <w:jc w:val="left"/>
      </w:pPr>
      <w:r>
        <w:rPr/>
        <w:t>用约人民币</w:t>
      </w:r>
      <w:r>
        <w:rPr>
          <w:spacing w:val="-56"/>
        </w:rPr>
        <w:t> </w:t>
      </w:r>
      <w:r>
        <w:rPr>
          <w:rFonts w:ascii="Arial" w:hAnsi="Arial" w:cs="Arial" w:eastAsia="Arial" w:hint="default"/>
        </w:rPr>
        <w:t>820</w:t>
      </w:r>
      <w:r>
        <w:rPr>
          <w:rFonts w:ascii="Arial" w:hAnsi="Arial" w:cs="Arial" w:eastAsia="Arial" w:hint="default"/>
          <w:spacing w:val="-8"/>
        </w:rPr>
        <w:t> </w:t>
      </w:r>
      <w:r>
        <w:rPr/>
        <w:t>万元。</w:t>
      </w:r>
    </w:p>
    <w:p>
      <w:pPr>
        <w:spacing w:line="240" w:lineRule="auto" w:before="13"/>
        <w:rPr>
          <w:rFonts w:ascii="宋体" w:hAnsi="宋体" w:cs="宋体" w:eastAsia="宋体" w:hint="default"/>
          <w:sz w:val="17"/>
          <w:szCs w:val="17"/>
        </w:rPr>
      </w:pPr>
    </w:p>
    <w:p>
      <w:pPr>
        <w:pStyle w:val="BodyText"/>
        <w:spacing w:line="240" w:lineRule="auto"/>
        <w:ind w:left="102" w:right="97"/>
        <w:jc w:val="left"/>
      </w:pPr>
      <w:r>
        <w:rPr>
          <w:rFonts w:ascii="Arial" w:hAnsi="Arial" w:cs="Arial" w:eastAsia="Arial" w:hint="default"/>
        </w:rPr>
        <w:t>(b) </w:t>
      </w:r>
      <w:r>
        <w:rPr>
          <w:rFonts w:ascii="Arial" w:hAnsi="Arial" w:cs="Arial" w:eastAsia="Arial" w:hint="default"/>
          <w:spacing w:val="25"/>
        </w:rPr>
        <w:t> </w:t>
      </w:r>
      <w:r>
        <w:rPr/>
        <w:t>递延所得税资产及负债的变动如下：</w:t>
      </w:r>
    </w:p>
    <w:p>
      <w:pPr>
        <w:spacing w:line="240" w:lineRule="auto" w:before="12"/>
        <w:rPr>
          <w:rFonts w:ascii="宋体" w:hAnsi="宋体" w:cs="宋体" w:eastAsia="宋体" w:hint="default"/>
          <w:sz w:val="17"/>
          <w:szCs w:val="17"/>
        </w:rPr>
      </w:pPr>
    </w:p>
    <w:p>
      <w:pPr>
        <w:pStyle w:val="BodyText"/>
        <w:tabs>
          <w:tab w:pos="8492" w:val="left" w:leader="none"/>
        </w:tabs>
        <w:spacing w:line="302" w:lineRule="exact"/>
        <w:ind w:left="6443" w:right="97"/>
        <w:jc w:val="left"/>
      </w:pPr>
      <w:r>
        <w:rPr>
          <w:rFonts w:ascii="Arial" w:hAnsi="Arial" w:cs="Arial" w:eastAsia="Arial" w:hint="default"/>
        </w:rPr>
        <w:t>2011</w:t>
      </w:r>
      <w:r>
        <w:rPr>
          <w:rFonts w:ascii="Arial" w:hAnsi="Arial" w:cs="Arial" w:eastAsia="Arial" w:hint="default"/>
          <w:spacing w:val="-8"/>
        </w:rPr>
        <w:t> </w:t>
      </w:r>
      <w:r>
        <w:rPr/>
        <w:t>年度</w:t>
        <w:tab/>
      </w:r>
      <w:r>
        <w:rPr>
          <w:rFonts w:ascii="Arial" w:hAnsi="Arial" w:cs="Arial" w:eastAsia="Arial" w:hint="default"/>
        </w:rPr>
        <w:t>2010</w:t>
      </w:r>
      <w:r>
        <w:rPr>
          <w:rFonts w:ascii="Arial" w:hAnsi="Arial" w:cs="Arial" w:eastAsia="Arial" w:hint="default"/>
          <w:spacing w:val="-8"/>
        </w:rPr>
        <w:t> </w:t>
      </w:r>
      <w:r>
        <w:rPr/>
        <w:t>年度</w:t>
      </w:r>
    </w:p>
    <w:p>
      <w:pPr>
        <w:pStyle w:val="BodyText"/>
        <w:tabs>
          <w:tab w:pos="8413" w:val="left" w:leader="none"/>
        </w:tabs>
        <w:spacing w:line="286" w:lineRule="exact"/>
        <w:ind w:left="551" w:right="97"/>
        <w:jc w:val="left"/>
      </w:pPr>
      <w:r>
        <w:rPr/>
        <w:pict>
          <v:group style="position:absolute;margin-left:348.119995pt;margin-top:1.363831pt;width:94.1pt;height:.1pt;mso-position-horizontal-relative:page;mso-position-vertical-relative:paragraph;z-index:-816616" coordorigin="6962,27" coordsize="1882,2">
            <v:shape style="position:absolute;left:6962;top:27;width:1882;height:2" coordorigin="6962,27" coordsize="1882,0" path="m6962,27l8844,27e" filled="false" stroked="true" strokeweight=".71997pt" strokecolor="#000000">
              <v:path arrowok="t"/>
            </v:shape>
            <w10:wrap type="none"/>
          </v:group>
        </w:pict>
      </w:r>
      <w:r>
        <w:rPr/>
        <w:pict>
          <v:group style="position:absolute;margin-left:451.619995pt;margin-top:1.363831pt;width:90.9pt;height:.1pt;mso-position-horizontal-relative:page;mso-position-vertical-relative:paragraph;z-index:-816592" coordorigin="9032,27" coordsize="1818,2">
            <v:shape style="position:absolute;left:9032;top:27;width:1818;height:2" coordorigin="9032,27" coordsize="1818,0" path="m9032,27l10850,27e" filled="false" stroked="true" strokeweight=".71997pt" strokecolor="#000000">
              <v:path arrowok="t"/>
            </v:shape>
            <w10:wrap type="none"/>
          </v:group>
        </w:pict>
      </w:r>
      <w:r>
        <w:rPr>
          <w:w w:val="95"/>
        </w:rPr>
        <w:t>递延所得税资产：</w:t>
        <w:tab/>
      </w:r>
      <w:r>
        <w:rPr/>
        <w:t>（经重列）</w:t>
      </w:r>
    </w:p>
    <w:p>
      <w:pPr>
        <w:spacing w:line="240" w:lineRule="auto" w:before="1"/>
        <w:rPr>
          <w:rFonts w:ascii="宋体" w:hAnsi="宋体" w:cs="宋体" w:eastAsia="宋体" w:hint="default"/>
          <w:sz w:val="3"/>
          <w:szCs w:val="3"/>
        </w:rPr>
      </w:pPr>
    </w:p>
    <w:tbl>
      <w:tblPr>
        <w:tblW w:w="0" w:type="auto"/>
        <w:jc w:val="left"/>
        <w:tblInd w:w="551" w:type="dxa"/>
        <w:tblLayout w:type="fixed"/>
        <w:tblCellMar>
          <w:top w:w="0" w:type="dxa"/>
          <w:left w:w="0" w:type="dxa"/>
          <w:bottom w:w="0" w:type="dxa"/>
          <w:right w:w="0" w:type="dxa"/>
        </w:tblCellMar>
        <w:tblLook w:val="01E0"/>
      </w:tblPr>
      <w:tblGrid>
        <w:gridCol w:w="5117"/>
        <w:gridCol w:w="1896"/>
        <w:gridCol w:w="181"/>
        <w:gridCol w:w="1825"/>
      </w:tblGrid>
      <w:tr>
        <w:trPr>
          <w:trHeight w:val="292" w:hRule="exact"/>
        </w:trPr>
        <w:tc>
          <w:tcPr>
            <w:tcW w:w="5117" w:type="dxa"/>
            <w:tcBorders>
              <w:top w:val="nil" w:sz="6" w:space="0" w:color="auto"/>
              <w:left w:val="nil" w:sz="6" w:space="0" w:color="auto"/>
              <w:bottom w:val="nil" w:sz="6" w:space="0" w:color="auto"/>
              <w:right w:val="nil" w:sz="6" w:space="0" w:color="auto"/>
            </w:tcBorders>
          </w:tcPr>
          <w:p>
            <w:pPr>
              <w:pStyle w:val="TableParagraph"/>
              <w:spacing w:line="246" w:lineRule="exact"/>
              <w:ind w:left="242" w:right="0"/>
              <w:jc w:val="left"/>
              <w:rPr>
                <w:rFonts w:ascii="宋体" w:hAnsi="宋体" w:cs="宋体" w:eastAsia="宋体" w:hint="default"/>
                <w:sz w:val="22"/>
                <w:szCs w:val="22"/>
              </w:rPr>
            </w:pPr>
            <w:r>
              <w:rPr>
                <w:rFonts w:ascii="宋体" w:hAnsi="宋体" w:cs="宋体" w:eastAsia="宋体" w:hint="default"/>
                <w:sz w:val="22"/>
                <w:szCs w:val="22"/>
              </w:rPr>
              <w:t>年初余额</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3" w:right="0"/>
              <w:jc w:val="left"/>
              <w:rPr>
                <w:rFonts w:ascii="Arial" w:hAnsi="Arial" w:cs="Arial" w:eastAsia="Arial" w:hint="default"/>
                <w:sz w:val="22"/>
                <w:szCs w:val="22"/>
              </w:rPr>
            </w:pPr>
            <w:r>
              <w:rPr>
                <w:rFonts w:ascii="Arial"/>
                <w:sz w:val="22"/>
              </w:rPr>
              <w:t>3,668,413,433</w:t>
            </w:r>
          </w:p>
        </w:tc>
        <w:tc>
          <w:tcPr>
            <w:tcW w:w="20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491" w:right="0"/>
              <w:jc w:val="left"/>
              <w:rPr>
                <w:rFonts w:ascii="Arial" w:hAnsi="Arial" w:cs="Arial" w:eastAsia="Arial" w:hint="default"/>
                <w:sz w:val="22"/>
                <w:szCs w:val="22"/>
              </w:rPr>
            </w:pPr>
            <w:r>
              <w:rPr>
                <w:rFonts w:ascii="Arial"/>
                <w:sz w:val="22"/>
              </w:rPr>
              <w:t>4,081,844,306</w:t>
            </w:r>
          </w:p>
        </w:tc>
      </w:tr>
      <w:tr>
        <w:trPr>
          <w:trHeight w:val="266" w:hRule="exact"/>
        </w:trPr>
        <w:tc>
          <w:tcPr>
            <w:tcW w:w="5117" w:type="dxa"/>
            <w:tcBorders>
              <w:top w:val="nil" w:sz="6" w:space="0" w:color="auto"/>
              <w:left w:val="nil" w:sz="6" w:space="0" w:color="auto"/>
              <w:bottom w:val="nil" w:sz="6" w:space="0" w:color="auto"/>
              <w:right w:val="nil" w:sz="6" w:space="0" w:color="auto"/>
            </w:tcBorders>
          </w:tcPr>
          <w:p>
            <w:pPr>
              <w:pStyle w:val="TableParagraph"/>
              <w:spacing w:line="239" w:lineRule="exact"/>
              <w:ind w:left="242"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
              <w:jc w:val="right"/>
              <w:rPr>
                <w:rFonts w:ascii="Arial" w:hAnsi="Arial" w:cs="Arial" w:eastAsia="Arial" w:hint="default"/>
                <w:sz w:val="22"/>
                <w:szCs w:val="22"/>
              </w:rPr>
            </w:pPr>
            <w:r>
              <w:rPr>
                <w:rFonts w:ascii="Arial"/>
                <w:w w:val="95"/>
                <w:sz w:val="22"/>
              </w:rPr>
              <w:t>(611,939,293)</w:t>
            </w:r>
            <w:r>
              <w:rPr>
                <w:rFonts w:ascii="Arial"/>
                <w:sz w:val="22"/>
              </w:rPr>
            </w:r>
          </w:p>
        </w:tc>
        <w:tc>
          <w:tcPr>
            <w:tcW w:w="20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601" w:right="0"/>
              <w:jc w:val="left"/>
              <w:rPr>
                <w:rFonts w:ascii="Arial" w:hAnsi="Arial" w:cs="Arial" w:eastAsia="Arial" w:hint="default"/>
                <w:sz w:val="22"/>
                <w:szCs w:val="22"/>
              </w:rPr>
            </w:pPr>
            <w:r>
              <w:rPr>
                <w:rFonts w:ascii="Arial"/>
                <w:sz w:val="22"/>
              </w:rPr>
              <w:t>(569,780,508)</w:t>
            </w:r>
          </w:p>
        </w:tc>
      </w:tr>
      <w:tr>
        <w:trPr>
          <w:trHeight w:val="439" w:hRule="exact"/>
        </w:trPr>
        <w:tc>
          <w:tcPr>
            <w:tcW w:w="9019" w:type="dxa"/>
            <w:gridSpan w:val="4"/>
            <w:tcBorders>
              <w:top w:val="nil" w:sz="6" w:space="0" w:color="auto"/>
              <w:left w:val="nil" w:sz="6" w:space="0" w:color="auto"/>
              <w:bottom w:val="nil" w:sz="6" w:space="0" w:color="auto"/>
              <w:right w:val="nil" w:sz="6" w:space="0" w:color="auto"/>
            </w:tcBorders>
          </w:tcPr>
          <w:p>
            <w:pPr>
              <w:pStyle w:val="TableParagraph"/>
              <w:tabs>
                <w:tab w:pos="5663" w:val="left" w:leader="none"/>
                <w:tab w:pos="7688" w:val="left" w:leader="none"/>
                <w:tab w:pos="9019" w:val="left" w:leader="none"/>
              </w:tabs>
              <w:spacing w:line="291" w:lineRule="exact"/>
              <w:ind w:left="242" w:right="0"/>
              <w:jc w:val="left"/>
              <w:rPr>
                <w:rFonts w:ascii="Arial" w:hAnsi="Arial" w:cs="Arial" w:eastAsia="Arial" w:hint="default"/>
                <w:sz w:val="22"/>
                <w:szCs w:val="22"/>
              </w:rPr>
            </w:pPr>
            <w:r>
              <w:rPr>
                <w:rFonts w:ascii="宋体" w:hAnsi="宋体" w:cs="宋体" w:eastAsia="宋体" w:hint="default"/>
                <w:w w:val="95"/>
                <w:position w:val="2"/>
                <w:sz w:val="22"/>
                <w:szCs w:val="22"/>
              </w:rPr>
              <w:t>可供出售金融资产公允价值变动对应的递延所得税</w:t>
            </w:r>
            <w:r>
              <w:rPr>
                <w:rFonts w:ascii="Arial" w:hAnsi="Arial" w:cs="Arial" w:eastAsia="Arial" w:hint="default"/>
                <w:w w:val="95"/>
                <w:sz w:val="22"/>
                <w:szCs w:val="22"/>
              </w:rPr>
            </w:r>
            <w:r>
              <w:rPr>
                <w:rFonts w:ascii="Arial" w:hAnsi="Arial" w:cs="Arial" w:eastAsia="Arial" w:hint="default"/>
                <w:w w:val="95"/>
                <w:sz w:val="22"/>
                <w:szCs w:val="22"/>
                <w:u w:val="single" w:color="000000"/>
              </w:rPr>
              <w:t> </w:t>
              <w:tab/>
              <w:t>654,070,055</w:t>
            </w:r>
            <w:r>
              <w:rPr>
                <w:rFonts w:ascii="Arial" w:hAnsi="Arial" w:cs="Arial" w:eastAsia="Arial" w:hint="default"/>
                <w:w w:val="95"/>
                <w:sz w:val="22"/>
                <w:szCs w:val="22"/>
              </w:rPr>
            </w:r>
            <w:r>
              <w:rPr>
                <w:rFonts w:ascii="Arial" w:hAnsi="Arial" w:cs="Arial" w:eastAsia="Arial" w:hint="default"/>
                <w:w w:val="95"/>
                <w:sz w:val="22"/>
                <w:szCs w:val="22"/>
                <w:u w:val="single" w:color="000000"/>
              </w:rPr>
              <w:t> </w:t>
              <w:tab/>
            </w:r>
            <w:r>
              <w:rPr>
                <w:rFonts w:ascii="Arial" w:hAnsi="Arial" w:cs="Arial" w:eastAsia="Arial" w:hint="default"/>
                <w:sz w:val="22"/>
                <w:szCs w:val="22"/>
                <w:u w:val="single" w:color="000000"/>
              </w:rPr>
              <w:t>156,349,635</w:t>
              <w:tab/>
            </w:r>
            <w:r>
              <w:rPr>
                <w:rFonts w:ascii="Arial" w:hAnsi="Arial" w:cs="Arial" w:eastAsia="Arial" w:hint="default"/>
                <w:sz w:val="22"/>
                <w:szCs w:val="22"/>
              </w:rPr>
            </w:r>
          </w:p>
        </w:tc>
      </w:tr>
      <w:tr>
        <w:trPr>
          <w:trHeight w:val="430" w:hRule="exact"/>
        </w:trPr>
        <w:tc>
          <w:tcPr>
            <w:tcW w:w="511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42" w:right="0"/>
              <w:jc w:val="left"/>
              <w:rPr>
                <w:rFonts w:ascii="宋体" w:hAnsi="宋体" w:cs="宋体" w:eastAsia="宋体" w:hint="default"/>
                <w:sz w:val="22"/>
                <w:szCs w:val="22"/>
              </w:rPr>
            </w:pPr>
            <w:r>
              <w:rPr>
                <w:rFonts w:ascii="宋体" w:hAnsi="宋体" w:cs="宋体" w:eastAsia="宋体" w:hint="default"/>
                <w:sz w:val="22"/>
                <w:szCs w:val="22"/>
              </w:rPr>
              <w:t>年末余额</w:t>
            </w:r>
          </w:p>
        </w:tc>
        <w:tc>
          <w:tcPr>
            <w:tcW w:w="189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363" w:right="0"/>
              <w:jc w:val="left"/>
              <w:rPr>
                <w:rFonts w:ascii="Arial" w:hAnsi="Arial" w:cs="Arial" w:eastAsia="Arial" w:hint="default"/>
                <w:sz w:val="22"/>
                <w:szCs w:val="22"/>
              </w:rPr>
            </w:pPr>
            <w:r>
              <w:rPr>
                <w:rFonts w:ascii="Arial"/>
                <w:sz w:val="22"/>
              </w:rPr>
              <w:t>3,710,544,195</w:t>
            </w:r>
          </w:p>
        </w:tc>
        <w:tc>
          <w:tcPr>
            <w:tcW w:w="181"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spacing w:val="-1"/>
                <w:sz w:val="22"/>
              </w:rPr>
              <w:t>3,668,413,433</w:t>
            </w:r>
          </w:p>
        </w:tc>
      </w:tr>
      <w:tr>
        <w:trPr>
          <w:trHeight w:val="494" w:hRule="exact"/>
        </w:trPr>
        <w:tc>
          <w:tcPr>
            <w:tcW w:w="5117" w:type="dxa"/>
            <w:tcBorders>
              <w:top w:val="nil" w:sz="6" w:space="0" w:color="auto"/>
              <w:left w:val="nil" w:sz="6" w:space="0" w:color="auto"/>
              <w:bottom w:val="nil" w:sz="6" w:space="0" w:color="auto"/>
              <w:right w:val="nil" w:sz="6" w:space="0" w:color="auto"/>
            </w:tcBorders>
          </w:tcPr>
          <w:p>
            <w:pPr/>
          </w:p>
        </w:tc>
        <w:tc>
          <w:tcPr>
            <w:tcW w:w="1896" w:type="dxa"/>
            <w:tcBorders>
              <w:top w:val="single" w:sz="17" w:space="0" w:color="000000"/>
              <w:left w:val="nil" w:sz="6" w:space="0" w:color="auto"/>
              <w:bottom w:val="single" w:sz="6" w:space="0" w:color="000000"/>
              <w:right w:val="nil" w:sz="6" w:space="0" w:color="auto"/>
            </w:tcBorders>
          </w:tcPr>
          <w:p>
            <w:pPr>
              <w:pStyle w:val="TableParagraph"/>
              <w:spacing w:line="240" w:lineRule="auto" w:before="144"/>
              <w:ind w:right="5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1" w:type="dxa"/>
            <w:tcBorders>
              <w:top w:val="nil" w:sz="6" w:space="0" w:color="auto"/>
              <w:left w:val="nil" w:sz="6" w:space="0" w:color="auto"/>
              <w:bottom w:val="nil" w:sz="6" w:space="0" w:color="auto"/>
              <w:right w:val="nil" w:sz="6" w:space="0" w:color="auto"/>
            </w:tcBorders>
          </w:tcPr>
          <w:p>
            <w:pPr/>
          </w:p>
        </w:tc>
        <w:tc>
          <w:tcPr>
            <w:tcW w:w="1825" w:type="dxa"/>
            <w:tcBorders>
              <w:top w:val="single" w:sz="17" w:space="0" w:color="000000"/>
              <w:left w:val="nil" w:sz="6" w:space="0" w:color="auto"/>
              <w:bottom w:val="single" w:sz="6" w:space="0" w:color="000000"/>
              <w:right w:val="nil" w:sz="6" w:space="0" w:color="auto"/>
            </w:tcBorders>
          </w:tcPr>
          <w:p>
            <w:pPr>
              <w:pStyle w:val="TableParagraph"/>
              <w:spacing w:line="240" w:lineRule="auto" w:before="144"/>
              <w:ind w:right="91"/>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91" w:hRule="exact"/>
        </w:trPr>
        <w:tc>
          <w:tcPr>
            <w:tcW w:w="5117"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left"/>
              <w:rPr>
                <w:rFonts w:ascii="宋体" w:hAnsi="宋体" w:cs="宋体" w:eastAsia="宋体" w:hint="default"/>
                <w:sz w:val="22"/>
                <w:szCs w:val="22"/>
              </w:rPr>
            </w:pPr>
            <w:r>
              <w:rPr>
                <w:rFonts w:ascii="宋体" w:hAnsi="宋体" w:cs="宋体" w:eastAsia="宋体" w:hint="default"/>
                <w:sz w:val="22"/>
                <w:szCs w:val="22"/>
              </w:rPr>
              <w:t>递延所得税负债：</w:t>
            </w:r>
          </w:p>
          <w:p>
            <w:pPr>
              <w:pStyle w:val="TableParagraph"/>
              <w:spacing w:line="287" w:lineRule="exact"/>
              <w:ind w:left="242" w:right="0"/>
              <w:jc w:val="left"/>
              <w:rPr>
                <w:rFonts w:ascii="宋体" w:hAnsi="宋体" w:cs="宋体" w:eastAsia="宋体" w:hint="default"/>
                <w:sz w:val="22"/>
                <w:szCs w:val="22"/>
              </w:rPr>
            </w:pPr>
            <w:r>
              <w:rPr>
                <w:rFonts w:ascii="宋体" w:hAnsi="宋体" w:cs="宋体" w:eastAsia="宋体" w:hint="default"/>
                <w:sz w:val="22"/>
                <w:szCs w:val="22"/>
              </w:rPr>
              <w:t>年初余额</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1"/>
              <w:jc w:val="right"/>
              <w:rPr>
                <w:rFonts w:ascii="Arial" w:hAnsi="Arial" w:cs="Arial" w:eastAsia="Arial" w:hint="default"/>
                <w:sz w:val="22"/>
                <w:szCs w:val="22"/>
              </w:rPr>
            </w:pPr>
            <w:r>
              <w:rPr>
                <w:rFonts w:ascii="Arial"/>
                <w:w w:val="95"/>
                <w:sz w:val="22"/>
              </w:rPr>
              <w:t>(40,130,185)</w:t>
            </w:r>
            <w:r>
              <w:rPr>
                <w:rFonts w:ascii="Arial"/>
                <w:sz w:val="22"/>
              </w:rPr>
            </w:r>
          </w:p>
        </w:tc>
        <w:tc>
          <w:tcPr>
            <w:tcW w:w="2007"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left="601" w:right="0" w:firstLine="248"/>
              <w:jc w:val="left"/>
              <w:rPr>
                <w:rFonts w:ascii="宋体" w:hAnsi="宋体" w:cs="宋体" w:eastAsia="宋体" w:hint="default"/>
                <w:sz w:val="22"/>
                <w:szCs w:val="22"/>
              </w:rPr>
            </w:pPr>
            <w:r>
              <w:rPr>
                <w:rFonts w:ascii="宋体" w:hAnsi="宋体" w:cs="宋体" w:eastAsia="宋体" w:hint="default"/>
                <w:sz w:val="22"/>
                <w:szCs w:val="22"/>
              </w:rPr>
              <w:t>（经重列）</w:t>
            </w:r>
          </w:p>
          <w:p>
            <w:pPr>
              <w:pStyle w:val="TableParagraph"/>
              <w:spacing w:line="240" w:lineRule="auto" w:before="64"/>
              <w:ind w:left="601" w:right="0"/>
              <w:jc w:val="left"/>
              <w:rPr>
                <w:rFonts w:ascii="Arial" w:hAnsi="Arial" w:cs="Arial" w:eastAsia="Arial" w:hint="default"/>
                <w:sz w:val="22"/>
                <w:szCs w:val="22"/>
              </w:rPr>
            </w:pPr>
            <w:r>
              <w:rPr>
                <w:rFonts w:ascii="Arial"/>
                <w:sz w:val="22"/>
              </w:rPr>
              <w:t>(266,278,342)</w:t>
            </w:r>
          </w:p>
        </w:tc>
      </w:tr>
      <w:tr>
        <w:trPr>
          <w:trHeight w:val="266" w:hRule="exact"/>
        </w:trPr>
        <w:tc>
          <w:tcPr>
            <w:tcW w:w="5117" w:type="dxa"/>
            <w:tcBorders>
              <w:top w:val="nil" w:sz="6" w:space="0" w:color="auto"/>
              <w:left w:val="nil" w:sz="6" w:space="0" w:color="auto"/>
              <w:bottom w:val="nil" w:sz="6" w:space="0" w:color="auto"/>
              <w:right w:val="nil" w:sz="6" w:space="0" w:color="auto"/>
            </w:tcBorders>
          </w:tcPr>
          <w:p>
            <w:pPr>
              <w:pStyle w:val="TableParagraph"/>
              <w:spacing w:line="239" w:lineRule="exact"/>
              <w:ind w:left="242"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5"/>
                <w:sz w:val="22"/>
              </w:rPr>
              <w:t>6,571,836</w:t>
            </w:r>
            <w:r>
              <w:rPr>
                <w:rFonts w:ascii="Arial"/>
                <w:sz w:val="22"/>
              </w:rPr>
            </w:r>
          </w:p>
        </w:tc>
        <w:tc>
          <w:tcPr>
            <w:tcW w:w="20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723" w:right="0"/>
              <w:jc w:val="left"/>
              <w:rPr>
                <w:rFonts w:ascii="Arial" w:hAnsi="Arial" w:cs="Arial" w:eastAsia="Arial" w:hint="default"/>
                <w:sz w:val="22"/>
                <w:szCs w:val="22"/>
              </w:rPr>
            </w:pPr>
            <w:r>
              <w:rPr>
                <w:rFonts w:ascii="Arial"/>
                <w:sz w:val="22"/>
              </w:rPr>
              <w:t>(54,260,986)</w:t>
            </w:r>
          </w:p>
        </w:tc>
      </w:tr>
      <w:tr>
        <w:trPr>
          <w:trHeight w:val="386" w:hRule="exact"/>
        </w:trPr>
        <w:tc>
          <w:tcPr>
            <w:tcW w:w="9019" w:type="dxa"/>
            <w:gridSpan w:val="4"/>
            <w:tcBorders>
              <w:top w:val="nil" w:sz="6" w:space="0" w:color="auto"/>
              <w:left w:val="nil" w:sz="6" w:space="0" w:color="auto"/>
              <w:bottom w:val="nil" w:sz="6" w:space="0" w:color="auto"/>
              <w:right w:val="nil" w:sz="6" w:space="0" w:color="auto"/>
            </w:tcBorders>
          </w:tcPr>
          <w:p>
            <w:pPr>
              <w:pStyle w:val="TableParagraph"/>
              <w:tabs>
                <w:tab w:pos="5907" w:val="left" w:leader="none"/>
                <w:tab w:pos="7688" w:val="left" w:leader="none"/>
                <w:tab w:pos="9019" w:val="left" w:leader="none"/>
              </w:tabs>
              <w:spacing w:line="291" w:lineRule="exact"/>
              <w:ind w:left="237" w:right="0"/>
              <w:jc w:val="left"/>
              <w:rPr>
                <w:rFonts w:ascii="Arial" w:hAnsi="Arial" w:cs="Arial" w:eastAsia="Arial" w:hint="default"/>
                <w:sz w:val="22"/>
                <w:szCs w:val="22"/>
              </w:rPr>
            </w:pPr>
            <w:r>
              <w:rPr>
                <w:rFonts w:ascii="宋体" w:hAnsi="宋体" w:cs="宋体" w:eastAsia="宋体" w:hint="default"/>
                <w:w w:val="95"/>
                <w:position w:val="2"/>
                <w:sz w:val="22"/>
                <w:szCs w:val="22"/>
              </w:rPr>
              <w:t>可供出售金融资产公允价值变动对应的递延所得税</w:t>
            </w:r>
            <w:r>
              <w:rPr>
                <w:rFonts w:ascii="Arial" w:hAnsi="Arial" w:cs="Arial" w:eastAsia="Arial" w:hint="default"/>
                <w:w w:val="95"/>
                <w:sz w:val="22"/>
                <w:szCs w:val="22"/>
              </w:rPr>
            </w:r>
            <w:r>
              <w:rPr>
                <w:rFonts w:ascii="Arial" w:hAnsi="Arial" w:cs="Arial" w:eastAsia="Arial" w:hint="default"/>
                <w:w w:val="95"/>
                <w:sz w:val="22"/>
                <w:szCs w:val="22"/>
                <w:u w:val="single" w:color="000000"/>
              </w:rPr>
              <w:t> </w:t>
              <w:tab/>
              <w:t>1,910,748</w:t>
            </w:r>
            <w:r>
              <w:rPr>
                <w:rFonts w:ascii="Arial" w:hAnsi="Arial" w:cs="Arial" w:eastAsia="Arial" w:hint="default"/>
                <w:w w:val="95"/>
                <w:sz w:val="22"/>
                <w:szCs w:val="22"/>
              </w:rPr>
            </w:r>
            <w:r>
              <w:rPr>
                <w:rFonts w:ascii="Arial" w:hAnsi="Arial" w:cs="Arial" w:eastAsia="Arial" w:hint="default"/>
                <w:w w:val="95"/>
                <w:sz w:val="22"/>
                <w:szCs w:val="22"/>
                <w:u w:val="single" w:color="000000"/>
              </w:rPr>
              <w:t> </w:t>
              <w:tab/>
            </w:r>
            <w:r>
              <w:rPr>
                <w:rFonts w:ascii="Arial" w:hAnsi="Arial" w:cs="Arial" w:eastAsia="Arial" w:hint="default"/>
                <w:sz w:val="22"/>
                <w:szCs w:val="22"/>
                <w:u w:val="single" w:color="000000"/>
              </w:rPr>
              <w:t>280,409,143</w:t>
              <w:tab/>
            </w:r>
            <w:r>
              <w:rPr>
                <w:rFonts w:ascii="Arial" w:hAnsi="Arial" w:cs="Arial" w:eastAsia="Arial" w:hint="default"/>
                <w:sz w:val="22"/>
                <w:szCs w:val="22"/>
              </w:rPr>
            </w:r>
          </w:p>
        </w:tc>
      </w:tr>
    </w:tbl>
    <w:p>
      <w:pPr>
        <w:spacing w:line="240" w:lineRule="auto" w:before="3"/>
        <w:rPr>
          <w:rFonts w:ascii="宋体" w:hAnsi="宋体" w:cs="宋体" w:eastAsia="宋体" w:hint="default"/>
          <w:sz w:val="8"/>
          <w:szCs w:val="8"/>
        </w:rPr>
      </w:pPr>
    </w:p>
    <w:p>
      <w:pPr>
        <w:pStyle w:val="BodyText"/>
        <w:tabs>
          <w:tab w:pos="6263" w:val="left" w:leader="none"/>
          <w:tab w:pos="8287" w:val="left" w:leader="none"/>
        </w:tabs>
        <w:spacing w:line="240" w:lineRule="auto" w:before="27"/>
        <w:ind w:left="793" w:right="97"/>
        <w:jc w:val="left"/>
        <w:rPr>
          <w:rFonts w:ascii="Arial" w:hAnsi="Arial" w:cs="Arial" w:eastAsia="Arial" w:hint="default"/>
        </w:rPr>
      </w:pPr>
      <w:r>
        <w:rPr>
          <w:w w:val="95"/>
          <w:position w:val="2"/>
        </w:rPr>
        <w:t>年末余额</w:t>
        <w:tab/>
      </w:r>
      <w:r>
        <w:rPr>
          <w:rFonts w:ascii="Arial" w:hAnsi="Arial" w:cs="Arial" w:eastAsia="Arial" w:hint="default"/>
          <w:w w:val="95"/>
        </w:rPr>
        <w:t>(31,647,601)</w:t>
        <w:tab/>
      </w:r>
      <w:r>
        <w:rPr>
          <w:rFonts w:ascii="Arial" w:hAnsi="Arial" w:cs="Arial" w:eastAsia="Arial" w:hint="default"/>
        </w:rPr>
        <w:t>(40,130,185)</w:t>
      </w:r>
    </w:p>
    <w:p>
      <w:pPr>
        <w:spacing w:line="43" w:lineRule="exact"/>
        <w:ind w:left="5660" w:right="0" w:firstLine="0"/>
        <w:rPr>
          <w:rFonts w:ascii="Arial" w:hAnsi="Arial" w:cs="Arial" w:eastAsia="Arial" w:hint="default"/>
          <w:sz w:val="4"/>
          <w:szCs w:val="4"/>
        </w:rPr>
      </w:pPr>
      <w:r>
        <w:rPr>
          <w:rFonts w:ascii="Arial"/>
          <w:position w:val="0"/>
          <w:sz w:val="4"/>
        </w:rPr>
        <w:pict>
          <v:group style="width:95.55pt;height:2.2pt;mso-position-horizontal-relative:char;mso-position-vertical-relative:line" coordorigin="0,0" coordsize="1911,44">
            <v:group style="position:absolute;left:7;top:36;width:1896;height:2" coordorigin="7,36" coordsize="1896,2">
              <v:shape style="position:absolute;left:7;top:36;width:1896;height:2" coordorigin="7,36" coordsize="1896,0" path="m7,36l1903,36e" filled="false" stroked="true" strokeweight=".72pt" strokecolor="#000000">
                <v:path arrowok="t"/>
              </v:shape>
            </v:group>
            <v:group style="position:absolute;left:7;top:7;width:1896;height:2" coordorigin="7,7" coordsize="1896,2">
              <v:shape style="position:absolute;left:7;top:7;width:1896;height:2" coordorigin="7,7" coordsize="1896,0" path="m7,7l1903,7e" filled="false" stroked="true" strokeweight=".72pt" strokecolor="#000000">
                <v:path arrowok="t"/>
              </v:shape>
            </v:group>
          </v:group>
        </w:pict>
      </w:r>
      <w:r>
        <w:rPr>
          <w:rFonts w:ascii="Arial"/>
          <w:position w:val="0"/>
          <w:sz w:val="4"/>
        </w:rPr>
      </w:r>
      <w:r>
        <w:rPr>
          <w:rFonts w:ascii="Times New Roman"/>
          <w:spacing w:val="144"/>
          <w:position w:val="0"/>
          <w:sz w:val="4"/>
        </w:rPr>
        <w:t> </w:t>
      </w:r>
      <w:r>
        <w:rPr>
          <w:rFonts w:ascii="Arial"/>
          <w:spacing w:val="144"/>
          <w:position w:val="0"/>
          <w:sz w:val="4"/>
        </w:rPr>
        <w:pict>
          <v:group style="width:92.35pt;height:2.2pt;mso-position-horizontal-relative:char;mso-position-vertical-relative:line" coordorigin="0,0" coordsize="1847,44">
            <v:group style="position:absolute;left:7;top:36;width:1833;height:2" coordorigin="7,36" coordsize="1833,2">
              <v:shape style="position:absolute;left:7;top:36;width:1833;height:2" coordorigin="7,36" coordsize="1833,0" path="m7,36l1840,36e" filled="false" stroked="true" strokeweight=".72pt" strokecolor="#000000">
                <v:path arrowok="t"/>
              </v:shape>
            </v:group>
            <v:group style="position:absolute;left:7;top:7;width:1833;height:2" coordorigin="7,7" coordsize="1833,2">
              <v:shape style="position:absolute;left:7;top:7;width:1833;height:2" coordorigin="7,7" coordsize="1833,0" path="m7,7l1840,7e" filled="false" stroked="true" strokeweight=".72pt" strokecolor="#000000">
                <v:path arrowok="t"/>
              </v:shape>
            </v:group>
          </v:group>
        </w:pict>
      </w:r>
      <w:r>
        <w:rPr>
          <w:rFonts w:ascii="Arial"/>
          <w:spacing w:val="144"/>
          <w:position w:val="0"/>
          <w:sz w:val="4"/>
        </w:rPr>
      </w:r>
    </w:p>
    <w:p>
      <w:pPr>
        <w:spacing w:after="0" w:line="43" w:lineRule="exact"/>
        <w:rPr>
          <w:rFonts w:ascii="Arial" w:hAnsi="Arial" w:cs="Arial" w:eastAsia="Arial" w:hint="default"/>
          <w:sz w:val="4"/>
          <w:szCs w:val="4"/>
        </w:rPr>
        <w:sectPr>
          <w:headerReference w:type="default" r:id="rId127"/>
          <w:pgSz w:w="11900" w:h="16840"/>
          <w:pgMar w:header="1189" w:footer="752" w:top="3600" w:bottom="940" w:left="1280" w:right="940"/>
        </w:sectPr>
      </w:pPr>
    </w:p>
    <w:p>
      <w:pPr>
        <w:spacing w:line="240" w:lineRule="auto" w:before="1"/>
        <w:rPr>
          <w:rFonts w:ascii="Arial" w:hAnsi="Arial" w:cs="Arial" w:eastAsia="Arial" w:hint="default"/>
          <w:sz w:val="18"/>
          <w:szCs w:val="18"/>
        </w:rPr>
      </w:pPr>
    </w:p>
    <w:p>
      <w:pPr>
        <w:pStyle w:val="BodyText"/>
        <w:spacing w:line="240" w:lineRule="auto" w:before="31"/>
        <w:ind w:left="142" w:right="0"/>
        <w:jc w:val="left"/>
      </w:pPr>
      <w:r>
        <w:rPr>
          <w:rFonts w:ascii="Arial" w:hAnsi="Arial" w:cs="Arial" w:eastAsia="Arial" w:hint="default"/>
        </w:rPr>
        <w:t>(c) </w:t>
      </w:r>
      <w:r>
        <w:rPr>
          <w:rFonts w:ascii="Arial" w:hAnsi="Arial" w:cs="Arial" w:eastAsia="Arial" w:hint="default"/>
          <w:spacing w:val="36"/>
        </w:rPr>
        <w:t> </w:t>
      </w:r>
      <w:r>
        <w:rPr/>
        <w:t>递延所得税资产及负债包括以下暂时性差异对所得税的影响：</w:t>
      </w:r>
    </w:p>
    <w:p>
      <w:pPr>
        <w:spacing w:line="240" w:lineRule="auto" w:before="1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441"/>
        <w:gridCol w:w="3078"/>
        <w:gridCol w:w="598"/>
        <w:gridCol w:w="5803"/>
      </w:tblGrid>
      <w:tr>
        <w:trPr>
          <w:trHeight w:val="774" w:hRule="exact"/>
        </w:trPr>
        <w:tc>
          <w:tcPr>
            <w:tcW w:w="44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0" w:right="0"/>
              <w:jc w:val="left"/>
              <w:rPr>
                <w:rFonts w:ascii="Arial" w:hAnsi="Arial" w:cs="Arial" w:eastAsia="Arial" w:hint="default"/>
                <w:sz w:val="22"/>
                <w:szCs w:val="22"/>
              </w:rPr>
            </w:pPr>
            <w:r>
              <w:rPr>
                <w:rFonts w:ascii="Arial"/>
                <w:sz w:val="22"/>
              </w:rPr>
              <w:t>(i)</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6"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59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注释</w:t>
            </w:r>
          </w:p>
        </w:tc>
        <w:tc>
          <w:tcPr>
            <w:tcW w:w="580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tabs>
                <w:tab w:pos="3017" w:val="left" w:leader="none"/>
              </w:tabs>
              <w:spacing w:line="240" w:lineRule="auto"/>
              <w:ind w:left="591"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日（经重列）</w:t>
            </w:r>
          </w:p>
        </w:tc>
      </w:tr>
      <w:tr>
        <w:trPr>
          <w:trHeight w:val="248"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14" w:lineRule="exact"/>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98" w:type="dxa"/>
            <w:tcBorders>
              <w:top w:val="single" w:sz="6" w:space="0" w:color="000000"/>
              <w:left w:val="nil" w:sz="6" w:space="0" w:color="auto"/>
              <w:bottom w:val="nil" w:sz="6" w:space="0" w:color="auto"/>
              <w:right w:val="nil" w:sz="6" w:space="0" w:color="auto"/>
            </w:tcBorders>
          </w:tcPr>
          <w:p>
            <w:pPr/>
          </w:p>
        </w:tc>
        <w:tc>
          <w:tcPr>
            <w:tcW w:w="5803" w:type="dxa"/>
            <w:tcBorders>
              <w:top w:val="single" w:sz="6" w:space="0" w:color="000000"/>
              <w:left w:val="nil" w:sz="6" w:space="0" w:color="auto"/>
              <w:bottom w:val="single" w:sz="6" w:space="0" w:color="000000"/>
              <w:right w:val="nil" w:sz="6" w:space="0" w:color="auto"/>
            </w:tcBorders>
          </w:tcPr>
          <w:p>
            <w:pPr>
              <w:pStyle w:val="TableParagraph"/>
              <w:spacing w:line="207" w:lineRule="exact"/>
              <w:ind w:left="67" w:right="0"/>
              <w:jc w:val="left"/>
              <w:rPr>
                <w:rFonts w:ascii="宋体" w:hAnsi="宋体" w:cs="宋体" w:eastAsia="宋体" w:hint="default"/>
                <w:sz w:val="18"/>
                <w:szCs w:val="18"/>
              </w:rPr>
            </w:pPr>
            <w:r>
              <w:rPr>
                <w:rFonts w:ascii="宋体" w:hAnsi="宋体" w:cs="宋体" w:eastAsia="宋体" w:hint="default"/>
                <w:sz w:val="18"/>
                <w:szCs w:val="18"/>
              </w:rPr>
              <w:t>可抵扣暂时性差异 递延所得税资产 可抵扣暂时性差异</w:t>
            </w:r>
            <w:r>
              <w:rPr>
                <w:rFonts w:ascii="宋体" w:hAnsi="宋体" w:cs="宋体" w:eastAsia="宋体" w:hint="default"/>
                <w:spacing w:val="-35"/>
                <w:sz w:val="18"/>
                <w:szCs w:val="18"/>
              </w:rPr>
              <w:t> </w:t>
            </w:r>
            <w:r>
              <w:rPr>
                <w:rFonts w:ascii="宋体" w:hAnsi="宋体" w:cs="宋体" w:eastAsia="宋体" w:hint="default"/>
                <w:sz w:val="18"/>
                <w:szCs w:val="18"/>
              </w:rPr>
              <w:t>递延所得税资产</w:t>
            </w:r>
          </w:p>
        </w:tc>
      </w:tr>
      <w:tr>
        <w:trPr>
          <w:trHeight w:val="456"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598" w:type="dxa"/>
            <w:tcBorders>
              <w:top w:val="nil" w:sz="6" w:space="0" w:color="auto"/>
              <w:left w:val="nil" w:sz="6" w:space="0" w:color="auto"/>
              <w:bottom w:val="single" w:sz="6" w:space="0" w:color="000000"/>
              <w:right w:val="nil" w:sz="6" w:space="0" w:color="auto"/>
            </w:tcBorders>
          </w:tcPr>
          <w:p>
            <w:pPr/>
          </w:p>
        </w:tc>
        <w:tc>
          <w:tcPr>
            <w:tcW w:w="5803" w:type="dxa"/>
            <w:tcBorders>
              <w:top w:val="single" w:sz="6" w:space="0" w:color="000000"/>
              <w:left w:val="nil" w:sz="6" w:space="0" w:color="auto"/>
              <w:bottom w:val="nil" w:sz="6" w:space="0" w:color="auto"/>
              <w:right w:val="nil" w:sz="6" w:space="0" w:color="auto"/>
            </w:tcBorders>
          </w:tcPr>
          <w:p>
            <w:pPr/>
          </w:p>
        </w:tc>
      </w:tr>
      <w:tr>
        <w:trPr>
          <w:trHeight w:val="251"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single" w:sz="6" w:space="0" w:color="000000"/>
              <w:left w:val="nil" w:sz="6" w:space="0" w:color="auto"/>
              <w:bottom w:val="nil" w:sz="6" w:space="0" w:color="auto"/>
              <w:right w:val="nil" w:sz="6" w:space="0" w:color="auto"/>
            </w:tcBorders>
          </w:tcPr>
          <w:p>
            <w:pPr>
              <w:pStyle w:val="TableParagraph"/>
              <w:spacing w:line="205" w:lineRule="exact"/>
              <w:ind w:left="53" w:right="0"/>
              <w:jc w:val="left"/>
              <w:rPr>
                <w:rFonts w:ascii="宋体" w:hAnsi="宋体" w:cs="宋体" w:eastAsia="宋体" w:hint="default"/>
                <w:sz w:val="18"/>
                <w:szCs w:val="18"/>
              </w:rPr>
            </w:pPr>
            <w:r>
              <w:rPr>
                <w:rFonts w:ascii="宋体" w:hAnsi="宋体" w:cs="宋体" w:eastAsia="宋体" w:hint="default"/>
                <w:sz w:val="18"/>
                <w:szCs w:val="18"/>
              </w:rPr>
              <w:t>固定资产及在建工程减值准备</w:t>
            </w:r>
          </w:p>
        </w:tc>
        <w:tc>
          <w:tcPr>
            <w:tcW w:w="598" w:type="dxa"/>
            <w:tcBorders>
              <w:top w:val="single" w:sz="6" w:space="0" w:color="000000"/>
              <w:left w:val="nil" w:sz="6" w:space="0" w:color="auto"/>
              <w:bottom w:val="nil" w:sz="6" w:space="0" w:color="auto"/>
              <w:right w:val="nil" w:sz="6" w:space="0" w:color="auto"/>
            </w:tcBorders>
          </w:tcPr>
          <w:p>
            <w:pPr>
              <w:pStyle w:val="TableParagraph"/>
              <w:spacing w:line="240" w:lineRule="auto" w:before="24"/>
              <w:ind w:left="232" w:right="0"/>
              <w:jc w:val="left"/>
              <w:rPr>
                <w:rFonts w:ascii="Arial" w:hAnsi="Arial" w:cs="Arial" w:eastAsia="Arial" w:hint="default"/>
                <w:sz w:val="18"/>
                <w:szCs w:val="18"/>
              </w:rPr>
            </w:pPr>
            <w:r>
              <w:rPr>
                <w:rFonts w:ascii="Arial"/>
                <w:sz w:val="18"/>
              </w:rPr>
              <w:t>(2)</w:t>
            </w:r>
          </w:p>
        </w:tc>
        <w:tc>
          <w:tcPr>
            <w:tcW w:w="5803" w:type="dxa"/>
            <w:tcBorders>
              <w:top w:val="nil" w:sz="6" w:space="0" w:color="auto"/>
              <w:left w:val="nil" w:sz="6" w:space="0" w:color="auto"/>
              <w:bottom w:val="nil" w:sz="6" w:space="0" w:color="auto"/>
              <w:right w:val="nil" w:sz="6" w:space="0" w:color="auto"/>
            </w:tcBorders>
          </w:tcPr>
          <w:p>
            <w:pPr>
              <w:pStyle w:val="TableParagraph"/>
              <w:tabs>
                <w:tab w:pos="1349" w:val="left" w:leader="none"/>
                <w:tab w:pos="2639" w:val="left" w:leader="none"/>
                <w:tab w:pos="4004" w:val="left" w:leader="none"/>
              </w:tabs>
              <w:spacing w:line="240" w:lineRule="auto" w:before="31"/>
              <w:ind w:right="139"/>
              <w:jc w:val="right"/>
              <w:rPr>
                <w:rFonts w:ascii="Arial" w:hAnsi="Arial" w:cs="Arial" w:eastAsia="Arial" w:hint="default"/>
                <w:sz w:val="18"/>
                <w:szCs w:val="18"/>
              </w:rPr>
            </w:pPr>
            <w:r>
              <w:rPr>
                <w:rFonts w:ascii="Arial"/>
                <w:spacing w:val="-1"/>
                <w:sz w:val="18"/>
              </w:rPr>
              <w:t>58,411,076</w:t>
              <w:tab/>
              <w:t>14,602,769</w:t>
              <w:tab/>
              <w:t>4,760,233,983</w:t>
              <w:tab/>
              <w:t>1,189,679,021</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6" w:lineRule="exact"/>
              <w:ind w:left="5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nil" w:sz="6" w:space="0" w:color="auto"/>
              <w:left w:val="nil" w:sz="6" w:space="0" w:color="auto"/>
              <w:bottom w:val="nil" w:sz="6" w:space="0" w:color="auto"/>
              <w:right w:val="nil" w:sz="6" w:space="0" w:color="auto"/>
            </w:tcBorders>
          </w:tcPr>
          <w:p>
            <w:pPr>
              <w:pStyle w:val="TableParagraph"/>
              <w:tabs>
                <w:tab w:pos="1857" w:val="left" w:leader="none"/>
                <w:tab w:pos="3397" w:val="left" w:leader="none"/>
                <w:tab w:pos="4761" w:val="left" w:leader="none"/>
              </w:tabs>
              <w:spacing w:line="240" w:lineRule="auto" w:before="15"/>
              <w:ind w:left="408" w:right="0"/>
              <w:jc w:val="left"/>
              <w:rPr>
                <w:rFonts w:ascii="Arial" w:hAnsi="Arial" w:cs="Arial" w:eastAsia="Arial" w:hint="default"/>
                <w:sz w:val="18"/>
                <w:szCs w:val="18"/>
              </w:rPr>
            </w:pPr>
            <w:r>
              <w:rPr>
                <w:rFonts w:ascii="Arial"/>
                <w:spacing w:val="-1"/>
                <w:sz w:val="18"/>
              </w:rPr>
              <w:t>166,248,367</w:t>
              <w:tab/>
              <w:t>41,562,092</w:t>
              <w:tab/>
              <w:t>99,542,698</w:t>
              <w:tab/>
              <w:t>24,842,514</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5" w:lineRule="exact"/>
              <w:ind w:left="54"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2" w:right="0"/>
              <w:jc w:val="left"/>
              <w:rPr>
                <w:rFonts w:ascii="Arial" w:hAnsi="Arial" w:cs="Arial" w:eastAsia="Arial" w:hint="default"/>
                <w:sz w:val="18"/>
                <w:szCs w:val="18"/>
              </w:rPr>
            </w:pPr>
            <w:r>
              <w:rPr>
                <w:rFonts w:ascii="Arial"/>
                <w:sz w:val="18"/>
              </w:rPr>
              <w:t>(3)</w:t>
            </w:r>
          </w:p>
        </w:tc>
        <w:tc>
          <w:tcPr>
            <w:tcW w:w="5803" w:type="dxa"/>
            <w:tcBorders>
              <w:top w:val="nil" w:sz="6" w:space="0" w:color="auto"/>
              <w:left w:val="nil" w:sz="6" w:space="0" w:color="auto"/>
              <w:bottom w:val="nil" w:sz="6" w:space="0" w:color="auto"/>
              <w:right w:val="nil" w:sz="6" w:space="0" w:color="auto"/>
            </w:tcBorders>
          </w:tcPr>
          <w:p>
            <w:pPr>
              <w:pStyle w:val="TableParagraph"/>
              <w:tabs>
                <w:tab w:pos="1757" w:val="left" w:leader="none"/>
                <w:tab w:pos="3147" w:val="left" w:leader="none"/>
                <w:tab w:pos="4511" w:val="left" w:leader="none"/>
              </w:tabs>
              <w:spacing w:line="240" w:lineRule="auto" w:before="14"/>
              <w:ind w:left="257" w:right="0"/>
              <w:jc w:val="left"/>
              <w:rPr>
                <w:rFonts w:ascii="Arial" w:hAnsi="Arial" w:cs="Arial" w:eastAsia="Arial" w:hint="default"/>
                <w:sz w:val="18"/>
                <w:szCs w:val="18"/>
              </w:rPr>
            </w:pPr>
            <w:r>
              <w:rPr>
                <w:rFonts w:ascii="Arial"/>
                <w:spacing w:val="-1"/>
                <w:sz w:val="18"/>
              </w:rPr>
              <w:t>3,892,636,014</w:t>
              <w:tab/>
              <w:t>972,359,119</w:t>
              <w:tab/>
              <w:t>4,205,735,827</w:t>
              <w:tab/>
              <w:t>1,046,724,479</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6" w:lineRule="exact"/>
              <w:ind w:left="54" w:right="0"/>
              <w:jc w:val="left"/>
              <w:rPr>
                <w:rFonts w:ascii="宋体" w:hAnsi="宋体" w:cs="宋体" w:eastAsia="宋体" w:hint="default"/>
                <w:sz w:val="18"/>
                <w:szCs w:val="18"/>
              </w:rPr>
            </w:pPr>
            <w:r>
              <w:rPr>
                <w:rFonts w:ascii="宋体" w:hAnsi="宋体" w:cs="宋体" w:eastAsia="宋体" w:hint="default"/>
                <w:sz w:val="18"/>
                <w:szCs w:val="18"/>
              </w:rPr>
              <w:t>尚未抵扣的预提费用</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2" w:right="0"/>
              <w:jc w:val="left"/>
              <w:rPr>
                <w:rFonts w:ascii="Arial" w:hAnsi="Arial" w:cs="Arial" w:eastAsia="Arial" w:hint="default"/>
                <w:sz w:val="18"/>
                <w:szCs w:val="18"/>
              </w:rPr>
            </w:pPr>
            <w:r>
              <w:rPr>
                <w:rFonts w:ascii="Arial"/>
                <w:sz w:val="18"/>
              </w:rPr>
              <w:t>(4)</w:t>
            </w:r>
          </w:p>
        </w:tc>
        <w:tc>
          <w:tcPr>
            <w:tcW w:w="5803" w:type="dxa"/>
            <w:tcBorders>
              <w:top w:val="nil" w:sz="6" w:space="0" w:color="auto"/>
              <w:left w:val="nil" w:sz="6" w:space="0" w:color="auto"/>
              <w:bottom w:val="nil" w:sz="6" w:space="0" w:color="auto"/>
              <w:right w:val="nil" w:sz="6" w:space="0" w:color="auto"/>
            </w:tcBorders>
          </w:tcPr>
          <w:p>
            <w:pPr>
              <w:pStyle w:val="TableParagraph"/>
              <w:tabs>
                <w:tab w:pos="3147" w:val="left" w:leader="none"/>
                <w:tab w:pos="4661" w:val="left" w:leader="none"/>
              </w:tabs>
              <w:spacing w:line="240" w:lineRule="auto" w:before="15"/>
              <w:ind w:left="257" w:right="0"/>
              <w:jc w:val="left"/>
              <w:rPr>
                <w:rFonts w:ascii="Arial" w:hAnsi="Arial" w:cs="Arial" w:eastAsia="Arial" w:hint="default"/>
                <w:sz w:val="18"/>
                <w:szCs w:val="18"/>
              </w:rPr>
            </w:pPr>
            <w:r>
              <w:rPr>
                <w:rFonts w:ascii="Arial"/>
                <w:spacing w:val="-1"/>
                <w:sz w:val="18"/>
              </w:rPr>
              <w:t>4,753,191,740</w:t>
            </w:r>
            <w:r>
              <w:rPr>
                <w:rFonts w:ascii="Arial"/>
                <w:sz w:val="18"/>
              </w:rPr>
              <w:t>   </w:t>
            </w:r>
            <w:r>
              <w:rPr>
                <w:rFonts w:ascii="Arial"/>
                <w:spacing w:val="4"/>
                <w:sz w:val="18"/>
              </w:rPr>
              <w:t> </w:t>
            </w:r>
            <w:r>
              <w:rPr>
                <w:rFonts w:ascii="Arial"/>
                <w:spacing w:val="-1"/>
                <w:sz w:val="18"/>
              </w:rPr>
              <w:t>1,188,297,935</w:t>
              <w:tab/>
              <w:t>2,308,210,172</w:t>
              <w:tab/>
              <w:t>577,052,543</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5" w:lineRule="exact"/>
              <w:ind w:left="53" w:right="0"/>
              <w:jc w:val="left"/>
              <w:rPr>
                <w:rFonts w:ascii="宋体" w:hAnsi="宋体" w:cs="宋体" w:eastAsia="宋体" w:hint="default"/>
                <w:sz w:val="18"/>
                <w:szCs w:val="18"/>
              </w:rPr>
            </w:pPr>
            <w:r>
              <w:rPr>
                <w:rFonts w:ascii="宋体" w:hAnsi="宋体" w:cs="宋体" w:eastAsia="宋体" w:hint="default"/>
                <w:sz w:val="18"/>
                <w:szCs w:val="18"/>
              </w:rPr>
              <w:t>一次性不退还收入的递延</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2" w:right="0"/>
              <w:jc w:val="left"/>
              <w:rPr>
                <w:rFonts w:ascii="Arial" w:hAnsi="Arial" w:cs="Arial" w:eastAsia="Arial" w:hint="default"/>
                <w:sz w:val="18"/>
                <w:szCs w:val="18"/>
              </w:rPr>
            </w:pPr>
            <w:r>
              <w:rPr>
                <w:rFonts w:ascii="Arial"/>
                <w:sz w:val="18"/>
              </w:rPr>
              <w:t>(5)</w:t>
            </w:r>
          </w:p>
        </w:tc>
        <w:tc>
          <w:tcPr>
            <w:tcW w:w="5803" w:type="dxa"/>
            <w:tcBorders>
              <w:top w:val="nil" w:sz="6" w:space="0" w:color="auto"/>
              <w:left w:val="nil" w:sz="6" w:space="0" w:color="auto"/>
              <w:bottom w:val="nil" w:sz="6" w:space="0" w:color="auto"/>
              <w:right w:val="nil" w:sz="6" w:space="0" w:color="auto"/>
            </w:tcBorders>
          </w:tcPr>
          <w:p>
            <w:pPr>
              <w:pStyle w:val="TableParagraph"/>
              <w:tabs>
                <w:tab w:pos="1857" w:val="left" w:leader="none"/>
                <w:tab w:pos="3297" w:val="left" w:leader="none"/>
                <w:tab w:pos="4661" w:val="left" w:leader="none"/>
              </w:tabs>
              <w:spacing w:line="240" w:lineRule="auto" w:before="14"/>
              <w:ind w:left="407" w:right="0"/>
              <w:jc w:val="left"/>
              <w:rPr>
                <w:rFonts w:ascii="Arial" w:hAnsi="Arial" w:cs="Arial" w:eastAsia="Arial" w:hint="default"/>
                <w:sz w:val="18"/>
                <w:szCs w:val="18"/>
              </w:rPr>
            </w:pPr>
            <w:r>
              <w:rPr>
                <w:rFonts w:ascii="Arial"/>
                <w:spacing w:val="-1"/>
                <w:sz w:val="18"/>
              </w:rPr>
              <w:t>390,577,053</w:t>
              <w:tab/>
              <w:t>97,644,263</w:t>
              <w:tab/>
              <w:t>423,168,863</w:t>
              <w:tab/>
              <w:t>105,792,216</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6" w:lineRule="exact"/>
              <w:ind w:left="5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2" w:right="0"/>
              <w:jc w:val="left"/>
              <w:rPr>
                <w:rFonts w:ascii="Arial" w:hAnsi="Arial" w:cs="Arial" w:eastAsia="Arial" w:hint="default"/>
                <w:sz w:val="18"/>
                <w:szCs w:val="18"/>
              </w:rPr>
            </w:pPr>
            <w:r>
              <w:rPr>
                <w:rFonts w:ascii="Arial"/>
                <w:sz w:val="18"/>
              </w:rPr>
              <w:t>(6)</w:t>
            </w:r>
          </w:p>
        </w:tc>
        <w:tc>
          <w:tcPr>
            <w:tcW w:w="5803" w:type="dxa"/>
            <w:tcBorders>
              <w:top w:val="nil" w:sz="6" w:space="0" w:color="auto"/>
              <w:left w:val="nil" w:sz="6" w:space="0" w:color="auto"/>
              <w:bottom w:val="nil" w:sz="6" w:space="0" w:color="auto"/>
              <w:right w:val="nil" w:sz="6" w:space="0" w:color="auto"/>
            </w:tcBorders>
          </w:tcPr>
          <w:p>
            <w:pPr>
              <w:pStyle w:val="TableParagraph"/>
              <w:tabs>
                <w:tab w:pos="1757" w:val="left" w:leader="none"/>
                <w:tab w:pos="3297" w:val="left" w:leader="none"/>
                <w:tab w:pos="4761" w:val="left" w:leader="none"/>
              </w:tabs>
              <w:spacing w:line="240" w:lineRule="auto" w:before="15"/>
              <w:ind w:left="407" w:right="0"/>
              <w:jc w:val="left"/>
              <w:rPr>
                <w:rFonts w:ascii="Arial" w:hAnsi="Arial" w:cs="Arial" w:eastAsia="Arial" w:hint="default"/>
                <w:sz w:val="18"/>
                <w:szCs w:val="18"/>
              </w:rPr>
            </w:pPr>
            <w:r>
              <w:rPr>
                <w:rFonts w:ascii="Arial"/>
                <w:spacing w:val="-1"/>
                <w:sz w:val="18"/>
              </w:rPr>
              <w:t>415,118,964</w:t>
              <w:tab/>
              <w:t>103,779,741</w:t>
              <w:tab/>
              <w:t>364,101,288</w:t>
              <w:tab/>
              <w:t>91,025,322</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5" w:lineRule="exact"/>
              <w:ind w:left="53"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2" w:right="0"/>
              <w:jc w:val="left"/>
              <w:rPr>
                <w:rFonts w:ascii="Arial" w:hAnsi="Arial" w:cs="Arial" w:eastAsia="Arial" w:hint="default"/>
                <w:sz w:val="18"/>
                <w:szCs w:val="18"/>
              </w:rPr>
            </w:pPr>
            <w:r>
              <w:rPr>
                <w:rFonts w:ascii="Arial"/>
                <w:sz w:val="18"/>
              </w:rPr>
              <w:t>(7)</w:t>
            </w:r>
          </w:p>
        </w:tc>
        <w:tc>
          <w:tcPr>
            <w:tcW w:w="5803" w:type="dxa"/>
            <w:tcBorders>
              <w:top w:val="nil" w:sz="6" w:space="0" w:color="auto"/>
              <w:left w:val="nil" w:sz="6" w:space="0" w:color="auto"/>
              <w:bottom w:val="nil" w:sz="6" w:space="0" w:color="auto"/>
              <w:right w:val="nil" w:sz="6" w:space="0" w:color="auto"/>
            </w:tcBorders>
          </w:tcPr>
          <w:p>
            <w:pPr>
              <w:pStyle w:val="TableParagraph"/>
              <w:tabs>
                <w:tab w:pos="1757" w:val="left" w:leader="none"/>
                <w:tab w:pos="3297" w:val="left" w:leader="none"/>
                <w:tab w:pos="4761" w:val="left" w:leader="none"/>
              </w:tabs>
              <w:spacing w:line="240" w:lineRule="auto" w:before="14"/>
              <w:ind w:left="407" w:right="0"/>
              <w:jc w:val="left"/>
              <w:rPr>
                <w:rFonts w:ascii="Arial" w:hAnsi="Arial" w:cs="Arial" w:eastAsia="Arial" w:hint="default"/>
                <w:sz w:val="18"/>
                <w:szCs w:val="18"/>
              </w:rPr>
            </w:pPr>
            <w:r>
              <w:rPr>
                <w:rFonts w:ascii="Arial"/>
                <w:spacing w:val="-1"/>
                <w:sz w:val="18"/>
              </w:rPr>
              <w:t>499,415,471</w:t>
              <w:tab/>
              <w:t>124,746,001</w:t>
              <w:tab/>
              <w:t>345,701,007</w:t>
              <w:tab/>
              <w:t>85,778,052</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6" w:lineRule="exact"/>
              <w:ind w:left="53" w:right="0"/>
              <w:jc w:val="left"/>
              <w:rPr>
                <w:rFonts w:ascii="宋体" w:hAnsi="宋体" w:cs="宋体" w:eastAsia="宋体" w:hint="default"/>
                <w:sz w:val="18"/>
                <w:szCs w:val="18"/>
              </w:rPr>
            </w:pPr>
            <w:r>
              <w:rPr>
                <w:rFonts w:ascii="宋体" w:hAnsi="宋体" w:cs="宋体" w:eastAsia="宋体" w:hint="default"/>
                <w:sz w:val="18"/>
                <w:szCs w:val="18"/>
              </w:rPr>
              <w:t>集团内部购销业务未实现净利润</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2" w:right="0"/>
              <w:jc w:val="left"/>
              <w:rPr>
                <w:rFonts w:ascii="Arial" w:hAnsi="Arial" w:cs="Arial" w:eastAsia="Arial" w:hint="default"/>
                <w:sz w:val="18"/>
                <w:szCs w:val="18"/>
              </w:rPr>
            </w:pPr>
            <w:r>
              <w:rPr>
                <w:rFonts w:ascii="Arial"/>
                <w:sz w:val="18"/>
              </w:rPr>
              <w:t>(8)</w:t>
            </w:r>
          </w:p>
        </w:tc>
        <w:tc>
          <w:tcPr>
            <w:tcW w:w="5803" w:type="dxa"/>
            <w:tcBorders>
              <w:top w:val="nil" w:sz="6" w:space="0" w:color="auto"/>
              <w:left w:val="nil" w:sz="6" w:space="0" w:color="auto"/>
              <w:bottom w:val="nil" w:sz="6" w:space="0" w:color="auto"/>
              <w:right w:val="nil" w:sz="6" w:space="0" w:color="auto"/>
            </w:tcBorders>
          </w:tcPr>
          <w:p>
            <w:pPr>
              <w:pStyle w:val="TableParagraph"/>
              <w:tabs>
                <w:tab w:pos="1757" w:val="left" w:leader="none"/>
                <w:tab w:pos="3297" w:val="left" w:leader="none"/>
                <w:tab w:pos="4661" w:val="left" w:leader="none"/>
              </w:tabs>
              <w:spacing w:line="240" w:lineRule="auto" w:before="15"/>
              <w:ind w:left="257" w:right="0"/>
              <w:jc w:val="left"/>
              <w:rPr>
                <w:rFonts w:ascii="Arial" w:hAnsi="Arial" w:cs="Arial" w:eastAsia="Arial" w:hint="default"/>
                <w:sz w:val="18"/>
                <w:szCs w:val="18"/>
              </w:rPr>
            </w:pPr>
            <w:r>
              <w:rPr>
                <w:rFonts w:ascii="Arial"/>
                <w:spacing w:val="-1"/>
                <w:sz w:val="18"/>
              </w:rPr>
              <w:t>1,038,316,944</w:t>
              <w:tab/>
              <w:t>259,579,236</w:t>
              <w:tab/>
              <w:t>896,130,640</w:t>
              <w:tab/>
              <w:t>224,032,660</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5" w:lineRule="exact"/>
              <w:ind w:left="53" w:right="0"/>
              <w:jc w:val="left"/>
              <w:rPr>
                <w:rFonts w:ascii="宋体" w:hAnsi="宋体" w:cs="宋体" w:eastAsia="宋体" w:hint="default"/>
                <w:sz w:val="18"/>
                <w:szCs w:val="18"/>
              </w:rPr>
            </w:pPr>
            <w:r>
              <w:rPr>
                <w:rFonts w:ascii="宋体" w:hAnsi="宋体" w:cs="宋体" w:eastAsia="宋体" w:hint="default"/>
                <w:sz w:val="18"/>
                <w:szCs w:val="18"/>
              </w:rPr>
              <w:t>联通运营公司可抵扣税务亏损</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2" w:right="0"/>
              <w:jc w:val="left"/>
              <w:rPr>
                <w:rFonts w:ascii="Arial" w:hAnsi="Arial" w:cs="Arial" w:eastAsia="Arial" w:hint="default"/>
                <w:sz w:val="18"/>
                <w:szCs w:val="18"/>
              </w:rPr>
            </w:pPr>
            <w:r>
              <w:rPr>
                <w:rFonts w:ascii="Arial"/>
                <w:sz w:val="18"/>
              </w:rPr>
              <w:t>(9)</w:t>
            </w:r>
          </w:p>
        </w:tc>
        <w:tc>
          <w:tcPr>
            <w:tcW w:w="5803" w:type="dxa"/>
            <w:tcBorders>
              <w:top w:val="nil" w:sz="6" w:space="0" w:color="auto"/>
              <w:left w:val="nil" w:sz="6" w:space="0" w:color="auto"/>
              <w:bottom w:val="nil" w:sz="6" w:space="0" w:color="auto"/>
              <w:right w:val="nil" w:sz="6" w:space="0" w:color="auto"/>
            </w:tcBorders>
          </w:tcPr>
          <w:p>
            <w:pPr>
              <w:pStyle w:val="TableParagraph"/>
              <w:tabs>
                <w:tab w:pos="1349" w:val="left" w:leader="none"/>
                <w:tab w:pos="1948" w:val="left" w:leader="none"/>
                <w:tab w:pos="3313" w:val="left" w:leader="none"/>
              </w:tabs>
              <w:spacing w:line="240" w:lineRule="auto" w:before="14"/>
              <w:ind w:right="139"/>
              <w:jc w:val="right"/>
              <w:rPr>
                <w:rFonts w:ascii="Arial" w:hAnsi="Arial" w:cs="Arial" w:eastAsia="Arial" w:hint="default"/>
                <w:sz w:val="18"/>
                <w:szCs w:val="18"/>
              </w:rPr>
            </w:pPr>
            <w:r>
              <w:rPr>
                <w:rFonts w:ascii="Arial"/>
                <w:sz w:val="18"/>
              </w:rPr>
              <w:t>-</w:t>
              <w:tab/>
              <w:t>-</w:t>
              <w:tab/>
            </w:r>
            <w:r>
              <w:rPr>
                <w:rFonts w:ascii="Arial"/>
                <w:spacing w:val="-1"/>
                <w:sz w:val="18"/>
              </w:rPr>
              <w:t>810,095,364</w:t>
              <w:tab/>
              <w:t>202,523,841</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6" w:lineRule="exact"/>
              <w:ind w:left="53" w:right="0"/>
              <w:jc w:val="left"/>
              <w:rPr>
                <w:rFonts w:ascii="宋体" w:hAnsi="宋体" w:cs="宋体" w:eastAsia="宋体" w:hint="default"/>
                <w:sz w:val="18"/>
                <w:szCs w:val="18"/>
              </w:rPr>
            </w:pPr>
            <w:r>
              <w:rPr>
                <w:rFonts w:ascii="宋体" w:hAnsi="宋体" w:cs="宋体" w:eastAsia="宋体" w:hint="default"/>
                <w:sz w:val="18"/>
                <w:szCs w:val="18"/>
              </w:rPr>
              <w:t>对西班牙电信投资公允价值变动</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4"/>
              <w:jc w:val="right"/>
              <w:rPr>
                <w:rFonts w:ascii="Arial" w:hAnsi="Arial" w:cs="Arial" w:eastAsia="Arial" w:hint="default"/>
                <w:sz w:val="18"/>
                <w:szCs w:val="18"/>
              </w:rPr>
            </w:pPr>
            <w:r>
              <w:rPr>
                <w:rFonts w:ascii="Arial"/>
                <w:spacing w:val="-1"/>
                <w:w w:val="95"/>
                <w:sz w:val="18"/>
              </w:rPr>
              <w:t>(12)</w:t>
            </w:r>
            <w:r>
              <w:rPr>
                <w:rFonts w:ascii="Arial"/>
                <w:sz w:val="18"/>
              </w:rPr>
            </w:r>
          </w:p>
        </w:tc>
        <w:tc>
          <w:tcPr>
            <w:tcW w:w="5803" w:type="dxa"/>
            <w:tcBorders>
              <w:top w:val="nil" w:sz="6" w:space="0" w:color="auto"/>
              <w:left w:val="nil" w:sz="6" w:space="0" w:color="auto"/>
              <w:bottom w:val="nil" w:sz="6" w:space="0" w:color="auto"/>
              <w:right w:val="nil" w:sz="6" w:space="0" w:color="auto"/>
            </w:tcBorders>
          </w:tcPr>
          <w:p>
            <w:pPr>
              <w:pStyle w:val="TableParagraph"/>
              <w:tabs>
                <w:tab w:pos="1757" w:val="left" w:leader="none"/>
                <w:tab w:pos="3297" w:val="left" w:leader="none"/>
                <w:tab w:pos="4661" w:val="left" w:leader="none"/>
              </w:tabs>
              <w:spacing w:line="240" w:lineRule="auto" w:before="15"/>
              <w:ind w:left="258" w:right="0"/>
              <w:jc w:val="left"/>
              <w:rPr>
                <w:rFonts w:ascii="Arial" w:hAnsi="Arial" w:cs="Arial" w:eastAsia="Arial" w:hint="default"/>
                <w:sz w:val="18"/>
                <w:szCs w:val="18"/>
              </w:rPr>
            </w:pPr>
            <w:r>
              <w:rPr>
                <w:rFonts w:ascii="Arial"/>
                <w:spacing w:val="-1"/>
                <w:sz w:val="18"/>
              </w:rPr>
              <w:t>3,241,678,756</w:t>
              <w:tab/>
              <w:t>810,419,690</w:t>
              <w:tab/>
              <w:t>625,398,538</w:t>
              <w:tab/>
              <w:t>156,349,635</w:t>
            </w:r>
          </w:p>
        </w:tc>
      </w:tr>
      <w:tr>
        <w:trPr>
          <w:trHeight w:val="241"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5" w:lineRule="exact"/>
              <w:ind w:left="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nil" w:sz="6" w:space="0" w:color="auto"/>
              <w:left w:val="nil" w:sz="6" w:space="0" w:color="auto"/>
              <w:bottom w:val="nil" w:sz="6" w:space="0" w:color="auto"/>
              <w:right w:val="nil" w:sz="6" w:space="0" w:color="auto"/>
            </w:tcBorders>
          </w:tcPr>
          <w:p>
            <w:pPr>
              <w:pStyle w:val="TableParagraph"/>
              <w:tabs>
                <w:tab w:pos="373" w:val="left" w:leader="none"/>
                <w:tab w:pos="1722" w:val="left" w:leader="none"/>
                <w:tab w:pos="3262" w:val="left" w:leader="none"/>
                <w:tab w:pos="4726" w:val="left" w:leader="none"/>
                <w:tab w:pos="5725" w:val="left" w:leader="none"/>
              </w:tabs>
              <w:spacing w:line="240" w:lineRule="auto" w:before="14"/>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783,856,332</w:t>
              <w:tab/>
              <w:t>195,197,612</w:t>
              <w:tab/>
              <w:t>289,823,846</w:t>
            </w:r>
            <w:r>
              <w:rPr>
                <w:rFonts w:ascii="Arial"/>
                <w:spacing w:val="-1"/>
                <w:sz w:val="18"/>
              </w:rPr>
            </w:r>
            <w:r>
              <w:rPr>
                <w:rFonts w:ascii="Arial"/>
                <w:spacing w:val="-1"/>
                <w:sz w:val="18"/>
                <w:u w:val="single" w:color="000000"/>
              </w:rPr>
              <w:t> </w:t>
              <w:tab/>
              <w:t>70,405,366</w:t>
              <w:tab/>
            </w:r>
            <w:r>
              <w:rPr>
                <w:rFonts w:ascii="Arial"/>
                <w:spacing w:val="-1"/>
                <w:sz w:val="18"/>
              </w:rPr>
            </w:r>
          </w:p>
        </w:tc>
      </w:tr>
      <w:tr>
        <w:trPr>
          <w:trHeight w:val="344"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03" w:lineRule="exact"/>
              <w:ind w:left="5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nil" w:sz="6" w:space="0" w:color="auto"/>
              <w:left w:val="nil" w:sz="6" w:space="0" w:color="auto"/>
              <w:bottom w:val="nil" w:sz="6" w:space="0" w:color="auto"/>
              <w:right w:val="nil" w:sz="6" w:space="0" w:color="auto"/>
            </w:tcBorders>
          </w:tcPr>
          <w:p>
            <w:pPr>
              <w:pStyle w:val="TableParagraph"/>
              <w:tabs>
                <w:tab w:pos="3047" w:val="left" w:leader="none"/>
                <w:tab w:pos="4511" w:val="left" w:leader="none"/>
              </w:tabs>
              <w:spacing w:line="240" w:lineRule="auto" w:before="22"/>
              <w:ind w:left="158" w:right="0"/>
              <w:jc w:val="left"/>
              <w:rPr>
                <w:rFonts w:ascii="Arial" w:hAnsi="Arial" w:cs="Arial" w:eastAsia="Arial" w:hint="default"/>
                <w:sz w:val="18"/>
                <w:szCs w:val="18"/>
              </w:rPr>
            </w:pPr>
            <w:r>
              <w:rPr>
                <w:rFonts w:ascii="Arial"/>
                <w:spacing w:val="-1"/>
                <w:sz w:val="18"/>
              </w:rPr>
              <w:t>15,239,450,717</w:t>
            </w:r>
            <w:r>
              <w:rPr>
                <w:rFonts w:ascii="Arial"/>
                <w:sz w:val="18"/>
              </w:rPr>
              <w:t>   </w:t>
            </w:r>
            <w:r>
              <w:rPr>
                <w:rFonts w:ascii="Arial"/>
                <w:spacing w:val="6"/>
                <w:sz w:val="18"/>
              </w:rPr>
              <w:t> </w:t>
            </w:r>
            <w:r>
              <w:rPr>
                <w:rFonts w:ascii="Arial"/>
                <w:spacing w:val="-1"/>
                <w:sz w:val="18"/>
              </w:rPr>
              <w:t>3,808,188,458</w:t>
              <w:tab/>
              <w:t>15,128,142,226</w:t>
              <w:tab/>
              <w:t>3,774,205,649</w:t>
            </w:r>
          </w:p>
        </w:tc>
      </w:tr>
      <w:tr>
        <w:trPr>
          <w:trHeight w:val="335"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53"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598" w:type="dxa"/>
            <w:tcBorders>
              <w:top w:val="nil" w:sz="6" w:space="0" w:color="auto"/>
              <w:left w:val="nil" w:sz="6" w:space="0" w:color="auto"/>
              <w:bottom w:val="single" w:sz="6" w:space="0" w:color="000000"/>
              <w:right w:val="nil" w:sz="6" w:space="0" w:color="auto"/>
            </w:tcBorders>
          </w:tcPr>
          <w:p>
            <w:pPr/>
          </w:p>
        </w:tc>
        <w:tc>
          <w:tcPr>
            <w:tcW w:w="5803"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34" w:right="0"/>
              <w:jc w:val="left"/>
              <w:rPr>
                <w:rFonts w:ascii="宋体" w:hAnsi="宋体" w:cs="宋体" w:eastAsia="宋体" w:hint="default"/>
                <w:sz w:val="18"/>
                <w:szCs w:val="18"/>
              </w:rPr>
            </w:pPr>
            <w:r>
              <w:rPr>
                <w:rFonts w:ascii="宋体" w:hAnsi="宋体" w:cs="宋体" w:eastAsia="宋体" w:hint="default"/>
                <w:sz w:val="18"/>
                <w:szCs w:val="18"/>
              </w:rPr>
              <w:t>应纳税暂时性差异 递延所得税负债 应纳税暂时性差异</w:t>
            </w:r>
            <w:r>
              <w:rPr>
                <w:rFonts w:ascii="宋体" w:hAnsi="宋体" w:cs="宋体" w:eastAsia="宋体" w:hint="default"/>
                <w:spacing w:val="-28"/>
                <w:sz w:val="18"/>
                <w:szCs w:val="18"/>
              </w:rPr>
              <w:t> </w:t>
            </w:r>
            <w:r>
              <w:rPr>
                <w:rFonts w:ascii="宋体" w:hAnsi="宋体" w:cs="宋体" w:eastAsia="宋体" w:hint="default"/>
                <w:sz w:val="18"/>
                <w:szCs w:val="18"/>
              </w:rPr>
              <w:t>递延所得税负债</w:t>
            </w:r>
          </w:p>
        </w:tc>
      </w:tr>
      <w:tr>
        <w:trPr>
          <w:trHeight w:val="456"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与一次性不退还收入相关成本的递延</w:t>
            </w:r>
          </w:p>
        </w:tc>
        <w:tc>
          <w:tcPr>
            <w:tcW w:w="59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5"/>
              <w:jc w:val="right"/>
              <w:rPr>
                <w:rFonts w:ascii="Arial" w:hAnsi="Arial" w:cs="Arial" w:eastAsia="Arial" w:hint="default"/>
                <w:sz w:val="18"/>
                <w:szCs w:val="18"/>
              </w:rPr>
            </w:pPr>
            <w:r>
              <w:rPr>
                <w:rFonts w:ascii="Arial"/>
                <w:spacing w:val="-1"/>
                <w:w w:val="95"/>
                <w:sz w:val="18"/>
              </w:rPr>
              <w:t>(1)(5)</w:t>
            </w:r>
            <w:r>
              <w:rPr>
                <w:rFonts w:ascii="Arial"/>
                <w:sz w:val="18"/>
              </w:rPr>
            </w:r>
          </w:p>
        </w:tc>
        <w:tc>
          <w:tcPr>
            <w:tcW w:w="5803"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tabs>
                <w:tab w:pos="1798" w:val="left" w:leader="none"/>
                <w:tab w:pos="3189" w:val="left" w:leader="none"/>
                <w:tab w:pos="4602" w:val="left" w:leader="none"/>
              </w:tabs>
              <w:spacing w:line="240" w:lineRule="auto"/>
              <w:ind w:left="348" w:right="0"/>
              <w:jc w:val="left"/>
              <w:rPr>
                <w:rFonts w:ascii="Arial" w:hAnsi="Arial" w:cs="Arial" w:eastAsia="Arial" w:hint="default"/>
                <w:sz w:val="18"/>
                <w:szCs w:val="18"/>
              </w:rPr>
            </w:pPr>
            <w:r>
              <w:rPr>
                <w:rFonts w:ascii="Arial"/>
                <w:spacing w:val="-1"/>
                <w:sz w:val="18"/>
              </w:rPr>
              <w:t>(390,577,053)</w:t>
              <w:tab/>
              <w:t>(97,644,263)</w:t>
              <w:tab/>
              <w:t>(423,168,863)</w:t>
              <w:tab/>
              <w:t>(105,792,216)</w:t>
            </w:r>
            <w:r>
              <w:rPr>
                <w:rFonts w:ascii="Arial"/>
                <w:sz w:val="18"/>
              </w:rPr>
            </w:r>
          </w:p>
        </w:tc>
      </w:tr>
      <w:tr>
        <w:trPr>
          <w:trHeight w:val="472"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tabs>
                <w:tab w:pos="2998" w:val="left" w:leader="none"/>
                <w:tab w:pos="4511" w:val="left" w:leader="none"/>
              </w:tabs>
              <w:spacing w:line="240" w:lineRule="auto"/>
              <w:ind w:left="158" w:right="0"/>
              <w:jc w:val="left"/>
              <w:rPr>
                <w:rFonts w:ascii="Arial" w:hAnsi="Arial" w:cs="Arial" w:eastAsia="Arial" w:hint="default"/>
                <w:sz w:val="18"/>
                <w:szCs w:val="18"/>
              </w:rPr>
            </w:pPr>
            <w:r>
              <w:rPr>
                <w:rFonts w:ascii="Arial"/>
                <w:spacing w:val="-1"/>
                <w:sz w:val="18"/>
              </w:rPr>
              <w:t>14,848,873,664</w:t>
            </w:r>
            <w:r>
              <w:rPr>
                <w:rFonts w:ascii="Arial"/>
                <w:sz w:val="18"/>
              </w:rPr>
              <w:t>   </w:t>
            </w:r>
            <w:r>
              <w:rPr>
                <w:rFonts w:ascii="Arial"/>
                <w:spacing w:val="6"/>
                <w:sz w:val="18"/>
              </w:rPr>
              <w:t> </w:t>
            </w:r>
            <w:r>
              <w:rPr>
                <w:rFonts w:ascii="Arial"/>
                <w:spacing w:val="-1"/>
                <w:sz w:val="18"/>
              </w:rPr>
              <w:t>3,710,544,195</w:t>
              <w:tab/>
              <w:t>14,704,973,363</w:t>
              <w:tab/>
              <w:t>3,668,413,433</w:t>
            </w:r>
          </w:p>
        </w:tc>
      </w:tr>
      <w:tr>
        <w:trPr>
          <w:trHeight w:val="711" w:hRule="exact"/>
        </w:trPr>
        <w:tc>
          <w:tcPr>
            <w:tcW w:w="4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5" w:right="0"/>
              <w:jc w:val="left"/>
              <w:rPr>
                <w:rFonts w:ascii="Arial" w:hAnsi="Arial" w:cs="Arial" w:eastAsia="Arial" w:hint="default"/>
                <w:sz w:val="22"/>
                <w:szCs w:val="22"/>
              </w:rPr>
            </w:pPr>
            <w:r>
              <w:rPr>
                <w:rFonts w:ascii="Arial"/>
                <w:sz w:val="22"/>
              </w:rPr>
              <w:t>(ii)</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single" w:sz="17" w:space="0" w:color="000000"/>
              <w:left w:val="nil" w:sz="6" w:space="0" w:color="auto"/>
              <w:bottom w:val="nil" w:sz="6" w:space="0" w:color="auto"/>
              <w:right w:val="nil" w:sz="6" w:space="0" w:color="auto"/>
            </w:tcBorders>
          </w:tcPr>
          <w:p>
            <w:pPr/>
          </w:p>
        </w:tc>
      </w:tr>
      <w:tr>
        <w:trPr>
          <w:trHeight w:val="444"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5803"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tabs>
                <w:tab w:pos="3560" w:val="left" w:leader="none"/>
              </w:tabs>
              <w:spacing w:line="240" w:lineRule="auto"/>
              <w:ind w:left="669"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4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13" w:lineRule="exact"/>
              <w:ind w:left="4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98" w:type="dxa"/>
            <w:tcBorders>
              <w:top w:val="single" w:sz="6" w:space="0" w:color="000000"/>
              <w:left w:val="nil" w:sz="6" w:space="0" w:color="auto"/>
              <w:bottom w:val="nil" w:sz="6" w:space="0" w:color="auto"/>
              <w:right w:val="nil" w:sz="6" w:space="0" w:color="auto"/>
            </w:tcBorders>
          </w:tcPr>
          <w:p>
            <w:pPr/>
          </w:p>
        </w:tc>
        <w:tc>
          <w:tcPr>
            <w:tcW w:w="5803" w:type="dxa"/>
            <w:tcBorders>
              <w:top w:val="single" w:sz="6" w:space="0" w:color="000000"/>
              <w:left w:val="nil" w:sz="6" w:space="0" w:color="auto"/>
              <w:bottom w:val="nil" w:sz="6" w:space="0" w:color="auto"/>
              <w:right w:val="nil" w:sz="6" w:space="0" w:color="auto"/>
            </w:tcBorders>
          </w:tcPr>
          <w:p>
            <w:pPr>
              <w:pStyle w:val="TableParagraph"/>
              <w:spacing w:line="205" w:lineRule="exact"/>
              <w:ind w:right="53"/>
              <w:jc w:val="right"/>
              <w:rPr>
                <w:rFonts w:ascii="宋体" w:hAnsi="宋体" w:cs="宋体" w:eastAsia="宋体" w:hint="default"/>
                <w:sz w:val="18"/>
                <w:szCs w:val="18"/>
              </w:rPr>
            </w:pPr>
            <w:r>
              <w:rPr>
                <w:rFonts w:ascii="宋体" w:hAnsi="宋体" w:cs="宋体" w:eastAsia="宋体" w:hint="default"/>
                <w:sz w:val="18"/>
                <w:szCs w:val="18"/>
              </w:rPr>
              <w:t>应纳税暂时性差异 递延所得税负债 应纳税暂时性差异</w:t>
            </w:r>
            <w:r>
              <w:rPr>
                <w:rFonts w:ascii="宋体" w:hAnsi="宋体" w:cs="宋体" w:eastAsia="宋体" w:hint="default"/>
                <w:spacing w:val="16"/>
                <w:sz w:val="18"/>
                <w:szCs w:val="18"/>
              </w:rPr>
              <w:t> </w:t>
            </w:r>
            <w:r>
              <w:rPr>
                <w:rFonts w:ascii="宋体" w:hAnsi="宋体" w:cs="宋体" w:eastAsia="宋体" w:hint="default"/>
                <w:sz w:val="18"/>
                <w:szCs w:val="18"/>
              </w:rPr>
              <w:t>递延所得税负债</w:t>
            </w:r>
          </w:p>
        </w:tc>
      </w:tr>
      <w:tr>
        <w:trPr>
          <w:trHeight w:val="346"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single" w:sz="6" w:space="0" w:color="000000"/>
              <w:right w:val="nil" w:sz="6" w:space="0" w:color="auto"/>
            </w:tcBorders>
          </w:tcPr>
          <w:p>
            <w:pPr>
              <w:pStyle w:val="TableParagraph"/>
              <w:spacing w:line="240" w:lineRule="auto" w:before="74"/>
              <w:ind w:left="45"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nil" w:sz="6" w:space="0" w:color="auto"/>
              <w:left w:val="nil" w:sz="6" w:space="0" w:color="auto"/>
              <w:bottom w:val="nil" w:sz="6" w:space="0" w:color="auto"/>
              <w:right w:val="nil" w:sz="6" w:space="0" w:color="auto"/>
            </w:tcBorders>
          </w:tcPr>
          <w:p>
            <w:pPr/>
          </w:p>
        </w:tc>
      </w:tr>
      <w:tr>
        <w:trPr>
          <w:trHeight w:val="251"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single" w:sz="6" w:space="0" w:color="000000"/>
              <w:left w:val="nil" w:sz="6" w:space="0" w:color="auto"/>
              <w:bottom w:val="nil" w:sz="6" w:space="0" w:color="auto"/>
              <w:right w:val="nil" w:sz="6" w:space="0" w:color="auto"/>
            </w:tcBorders>
          </w:tcPr>
          <w:p>
            <w:pPr>
              <w:pStyle w:val="TableParagraph"/>
              <w:spacing w:line="205" w:lineRule="exact"/>
              <w:ind w:left="45" w:right="0"/>
              <w:jc w:val="left"/>
              <w:rPr>
                <w:rFonts w:ascii="宋体" w:hAnsi="宋体" w:cs="宋体" w:eastAsia="宋体" w:hint="default"/>
                <w:sz w:val="18"/>
                <w:szCs w:val="18"/>
              </w:rPr>
            </w:pPr>
            <w:r>
              <w:rPr>
                <w:rFonts w:ascii="宋体" w:hAnsi="宋体" w:cs="宋体" w:eastAsia="宋体" w:hint="default"/>
                <w:sz w:val="18"/>
                <w:szCs w:val="18"/>
              </w:rPr>
              <w:t>固定资产计提折旧的核算差异</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3" w:right="0"/>
              <w:jc w:val="left"/>
              <w:rPr>
                <w:rFonts w:ascii="Arial" w:hAnsi="Arial" w:cs="Arial" w:eastAsia="Arial" w:hint="default"/>
                <w:sz w:val="18"/>
                <w:szCs w:val="18"/>
              </w:rPr>
            </w:pPr>
            <w:r>
              <w:rPr>
                <w:rFonts w:ascii="Arial"/>
                <w:sz w:val="18"/>
              </w:rPr>
              <w:t>(10)</w:t>
            </w:r>
          </w:p>
        </w:tc>
        <w:tc>
          <w:tcPr>
            <w:tcW w:w="5803" w:type="dxa"/>
            <w:tcBorders>
              <w:top w:val="nil" w:sz="6" w:space="0" w:color="auto"/>
              <w:left w:val="nil" w:sz="6" w:space="0" w:color="auto"/>
              <w:bottom w:val="nil" w:sz="6" w:space="0" w:color="auto"/>
              <w:right w:val="nil" w:sz="6" w:space="0" w:color="auto"/>
            </w:tcBorders>
          </w:tcPr>
          <w:p>
            <w:pPr>
              <w:pStyle w:val="TableParagraph"/>
              <w:tabs>
                <w:tab w:pos="1816" w:val="left" w:leader="none"/>
                <w:tab w:pos="3229" w:val="left" w:leader="none"/>
                <w:tab w:pos="4657" w:val="left" w:leader="none"/>
              </w:tabs>
              <w:spacing w:line="240" w:lineRule="auto" w:before="31"/>
              <w:ind w:left="322" w:right="0"/>
              <w:jc w:val="left"/>
              <w:rPr>
                <w:rFonts w:ascii="Arial" w:hAnsi="Arial" w:cs="Arial" w:eastAsia="Arial" w:hint="default"/>
                <w:sz w:val="18"/>
                <w:szCs w:val="18"/>
              </w:rPr>
            </w:pPr>
            <w:r>
              <w:rPr>
                <w:rFonts w:ascii="Arial"/>
                <w:spacing w:val="-1"/>
                <w:sz w:val="18"/>
              </w:rPr>
              <w:t>(128,815,320)</w:t>
              <w:tab/>
              <w:t>(20,674,112)</w:t>
              <w:tab/>
              <w:t>(136,562,608)</w:t>
              <w:tab/>
              <w:t>(24,422,172)</w:t>
            </w:r>
            <w:r>
              <w:rPr>
                <w:rFonts w:ascii="Arial"/>
                <w:sz w:val="18"/>
              </w:rPr>
            </w:r>
          </w:p>
        </w:tc>
      </w:tr>
      <w:tr>
        <w:trPr>
          <w:trHeight w:val="456"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5" w:lineRule="exact"/>
              <w:ind w:left="45" w:right="0"/>
              <w:jc w:val="left"/>
              <w:rPr>
                <w:rFonts w:ascii="宋体" w:hAnsi="宋体" w:cs="宋体" w:eastAsia="宋体" w:hint="default"/>
                <w:sz w:val="18"/>
                <w:szCs w:val="18"/>
              </w:rPr>
            </w:pPr>
            <w:r>
              <w:rPr>
                <w:rFonts w:ascii="宋体" w:hAnsi="宋体" w:cs="宋体" w:eastAsia="宋体" w:hint="default"/>
                <w:sz w:val="18"/>
                <w:szCs w:val="18"/>
              </w:rPr>
              <w:t>改制评估增值</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中讯设计院可供出售金融资产公允价</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3" w:right="0"/>
              <w:jc w:val="left"/>
              <w:rPr>
                <w:rFonts w:ascii="Arial" w:hAnsi="Arial" w:cs="Arial" w:eastAsia="Arial" w:hint="default"/>
                <w:sz w:val="18"/>
                <w:szCs w:val="18"/>
              </w:rPr>
            </w:pPr>
            <w:r>
              <w:rPr>
                <w:rFonts w:ascii="Arial"/>
                <w:sz w:val="18"/>
              </w:rPr>
              <w:t>(11)</w:t>
            </w:r>
          </w:p>
        </w:tc>
        <w:tc>
          <w:tcPr>
            <w:tcW w:w="5803" w:type="dxa"/>
            <w:tcBorders>
              <w:top w:val="nil" w:sz="6" w:space="0" w:color="auto"/>
              <w:left w:val="nil" w:sz="6" w:space="0" w:color="auto"/>
              <w:bottom w:val="nil" w:sz="6" w:space="0" w:color="auto"/>
              <w:right w:val="nil" w:sz="6" w:space="0" w:color="auto"/>
            </w:tcBorders>
          </w:tcPr>
          <w:p>
            <w:pPr>
              <w:pStyle w:val="TableParagraph"/>
              <w:tabs>
                <w:tab w:pos="1816" w:val="left" w:leader="none"/>
                <w:tab w:pos="3329" w:val="left" w:leader="none"/>
                <w:tab w:pos="4657" w:val="left" w:leader="none"/>
              </w:tabs>
              <w:spacing w:line="240" w:lineRule="auto" w:before="15"/>
              <w:ind w:left="422" w:right="0"/>
              <w:jc w:val="left"/>
              <w:rPr>
                <w:rFonts w:ascii="Arial" w:hAnsi="Arial" w:cs="Arial" w:eastAsia="Arial" w:hint="default"/>
                <w:sz w:val="18"/>
                <w:szCs w:val="18"/>
              </w:rPr>
            </w:pPr>
            <w:r>
              <w:rPr>
                <w:rFonts w:ascii="Arial"/>
                <w:spacing w:val="-1"/>
                <w:sz w:val="18"/>
              </w:rPr>
              <w:t>(92,653,126)</w:t>
              <w:tab/>
              <w:t>(13,897,969)</w:t>
              <w:tab/>
              <w:t>(97,373,167)</w:t>
              <w:tab/>
              <w:t>(14,605,975)</w:t>
            </w:r>
            <w:r>
              <w:rPr>
                <w:rFonts w:ascii="Arial"/>
                <w:sz w:val="18"/>
              </w:rPr>
            </w:r>
          </w:p>
        </w:tc>
      </w:tr>
      <w:tr>
        <w:trPr>
          <w:trHeight w:val="252"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07" w:lineRule="exact"/>
              <w:ind w:left="4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3" w:right="0"/>
              <w:jc w:val="left"/>
              <w:rPr>
                <w:rFonts w:ascii="Arial" w:hAnsi="Arial" w:cs="Arial" w:eastAsia="Arial" w:hint="default"/>
                <w:sz w:val="18"/>
                <w:szCs w:val="18"/>
              </w:rPr>
            </w:pPr>
            <w:r>
              <w:rPr>
                <w:rFonts w:ascii="Arial"/>
                <w:sz w:val="18"/>
              </w:rPr>
              <w:t>(12)</w:t>
            </w:r>
          </w:p>
        </w:tc>
        <w:tc>
          <w:tcPr>
            <w:tcW w:w="5803" w:type="dxa"/>
            <w:tcBorders>
              <w:top w:val="nil" w:sz="6" w:space="0" w:color="auto"/>
              <w:left w:val="nil" w:sz="6" w:space="0" w:color="auto"/>
              <w:bottom w:val="nil" w:sz="6" w:space="0" w:color="auto"/>
              <w:right w:val="nil" w:sz="6" w:space="0" w:color="auto"/>
            </w:tcBorders>
          </w:tcPr>
          <w:p>
            <w:pPr>
              <w:pStyle w:val="TableParagraph"/>
              <w:tabs>
                <w:tab w:pos="407" w:val="left" w:leader="none"/>
                <w:tab w:pos="1902" w:val="left" w:leader="none"/>
                <w:tab w:pos="3315" w:val="left" w:leader="none"/>
                <w:tab w:pos="4642" w:val="left" w:leader="none"/>
                <w:tab w:pos="5753" w:val="left" w:leader="none"/>
              </w:tabs>
              <w:spacing w:line="240" w:lineRule="auto" w:before="26"/>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(63,544,806)</w:t>
            </w:r>
            <w:r>
              <w:rPr>
                <w:rFonts w:ascii="Arial"/>
                <w:spacing w:val="-1"/>
                <w:sz w:val="18"/>
              </w:rPr>
            </w:r>
            <w:r>
              <w:rPr>
                <w:rFonts w:ascii="Arial"/>
                <w:spacing w:val="-1"/>
                <w:sz w:val="18"/>
                <w:u w:val="single" w:color="000000"/>
              </w:rPr>
              <w:t> </w:t>
              <w:tab/>
              <w:t>(9,531,722)</w:t>
              <w:tab/>
              <w:t>(76,283,127)</w:t>
              <w:tab/>
              <w:t>(11,442,470)</w:t>
              <w:tab/>
            </w:r>
            <w:r>
              <w:rPr>
                <w:rFonts w:ascii="Arial"/>
                <w:spacing w:val="-1"/>
                <w:sz w:val="18"/>
              </w:rPr>
            </w:r>
          </w:p>
        </w:tc>
      </w:tr>
      <w:tr>
        <w:trPr>
          <w:trHeight w:val="344"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03" w:lineRule="exact"/>
              <w:ind w:left="4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nil" w:sz="6" w:space="0" w:color="auto"/>
              <w:left w:val="nil" w:sz="6" w:space="0" w:color="auto"/>
              <w:bottom w:val="nil" w:sz="6" w:space="0" w:color="auto"/>
              <w:right w:val="nil" w:sz="6" w:space="0" w:color="auto"/>
            </w:tcBorders>
          </w:tcPr>
          <w:p>
            <w:pPr>
              <w:pStyle w:val="TableParagraph"/>
              <w:tabs>
                <w:tab w:pos="1816" w:val="left" w:leader="none"/>
                <w:tab w:pos="3230" w:val="left" w:leader="none"/>
                <w:tab w:pos="4656" w:val="left" w:leader="none"/>
              </w:tabs>
              <w:spacing w:line="240" w:lineRule="auto" w:before="22"/>
              <w:ind w:left="322" w:right="0"/>
              <w:jc w:val="left"/>
              <w:rPr>
                <w:rFonts w:ascii="Arial" w:hAnsi="Arial" w:cs="Arial" w:eastAsia="Arial" w:hint="default"/>
                <w:sz w:val="18"/>
                <w:szCs w:val="18"/>
              </w:rPr>
            </w:pPr>
            <w:r>
              <w:rPr>
                <w:rFonts w:ascii="Arial"/>
                <w:spacing w:val="-1"/>
                <w:sz w:val="18"/>
              </w:rPr>
              <w:t>(285,013,252)</w:t>
              <w:tab/>
              <w:t>(44,103,803)</w:t>
              <w:tab/>
              <w:t>(310,218,902)</w:t>
              <w:tab/>
              <w:t>(50,470,617)</w:t>
            </w:r>
            <w:r>
              <w:rPr>
                <w:rFonts w:ascii="Arial"/>
                <w:sz w:val="18"/>
              </w:rPr>
            </w:r>
          </w:p>
        </w:tc>
      </w:tr>
      <w:tr>
        <w:trPr>
          <w:trHeight w:val="334"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45"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53"/>
              <w:jc w:val="right"/>
              <w:rPr>
                <w:rFonts w:ascii="宋体" w:hAnsi="宋体" w:cs="宋体" w:eastAsia="宋体" w:hint="default"/>
                <w:sz w:val="18"/>
                <w:szCs w:val="18"/>
              </w:rPr>
            </w:pPr>
            <w:r>
              <w:rPr>
                <w:rFonts w:ascii="宋体" w:hAnsi="宋体" w:cs="宋体" w:eastAsia="宋体" w:hint="default"/>
                <w:sz w:val="18"/>
                <w:szCs w:val="18"/>
              </w:rPr>
              <w:t>可抵扣暂时性差异 递延所得税资产 可抵扣暂时性差异</w:t>
            </w:r>
            <w:r>
              <w:rPr>
                <w:rFonts w:ascii="宋体" w:hAnsi="宋体" w:cs="宋体" w:eastAsia="宋体" w:hint="default"/>
                <w:spacing w:val="17"/>
                <w:sz w:val="18"/>
                <w:szCs w:val="18"/>
              </w:rPr>
              <w:t> </w:t>
            </w:r>
            <w:r>
              <w:rPr>
                <w:rFonts w:ascii="宋体" w:hAnsi="宋体" w:cs="宋体" w:eastAsia="宋体" w:hint="default"/>
                <w:sz w:val="18"/>
                <w:szCs w:val="18"/>
              </w:rPr>
              <w:t>递延所得税资产</w:t>
            </w:r>
          </w:p>
        </w:tc>
      </w:tr>
      <w:tr>
        <w:trPr>
          <w:trHeight w:val="458"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4" w:right="0"/>
              <w:jc w:val="left"/>
              <w:rPr>
                <w:rFonts w:ascii="Arial" w:hAnsi="Arial" w:cs="Arial" w:eastAsia="Arial" w:hint="default"/>
                <w:sz w:val="18"/>
                <w:szCs w:val="18"/>
              </w:rPr>
            </w:pPr>
            <w:r>
              <w:rPr>
                <w:rFonts w:ascii="Arial"/>
                <w:sz w:val="18"/>
              </w:rPr>
              <w:t>(1)</w:t>
            </w:r>
          </w:p>
        </w:tc>
        <w:tc>
          <w:tcPr>
            <w:tcW w:w="580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tabs>
                <w:tab w:pos="1976" w:val="left" w:leader="none"/>
                <w:tab w:pos="3388" w:val="left" w:leader="none"/>
                <w:tab w:pos="4816" w:val="left" w:leader="none"/>
              </w:tabs>
              <w:spacing w:line="240" w:lineRule="auto"/>
              <w:ind w:left="480" w:right="0"/>
              <w:jc w:val="left"/>
              <w:rPr>
                <w:rFonts w:ascii="Arial" w:hAnsi="Arial" w:cs="Arial" w:eastAsia="Arial" w:hint="default"/>
                <w:sz w:val="18"/>
                <w:szCs w:val="18"/>
              </w:rPr>
            </w:pPr>
            <w:r>
              <w:rPr>
                <w:rFonts w:ascii="Arial"/>
                <w:spacing w:val="-1"/>
                <w:sz w:val="18"/>
              </w:rPr>
              <w:t>50,515,913</w:t>
              <w:tab/>
              <w:t>7,577,387</w:t>
              <w:tab/>
              <w:t>45,668,573</w:t>
              <w:tab/>
              <w:t>6,850,286</w:t>
            </w:r>
          </w:p>
        </w:tc>
      </w:tr>
      <w:tr>
        <w:trPr>
          <w:trHeight w:val="233"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6" w:lineRule="exact"/>
              <w:ind w:left="45" w:right="0"/>
              <w:jc w:val="left"/>
              <w:rPr>
                <w:rFonts w:ascii="宋体" w:hAnsi="宋体" w:cs="宋体" w:eastAsia="宋体" w:hint="default"/>
                <w:sz w:val="18"/>
                <w:szCs w:val="18"/>
              </w:rPr>
            </w:pPr>
            <w:r>
              <w:rPr>
                <w:rFonts w:ascii="宋体" w:hAnsi="宋体" w:cs="宋体" w:eastAsia="宋体" w:hint="default"/>
                <w:sz w:val="18"/>
                <w:szCs w:val="18"/>
              </w:rPr>
              <w:t>固定资产计提折旧的核算差异</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w w:val="95"/>
                <w:sz w:val="18"/>
              </w:rPr>
              <w:t>(1)(10)</w:t>
            </w:r>
            <w:r>
              <w:rPr>
                <w:rFonts w:ascii="Arial"/>
                <w:sz w:val="18"/>
              </w:rPr>
            </w:r>
          </w:p>
        </w:tc>
        <w:tc>
          <w:tcPr>
            <w:tcW w:w="5803" w:type="dxa"/>
            <w:tcBorders>
              <w:top w:val="nil" w:sz="6" w:space="0" w:color="auto"/>
              <w:left w:val="nil" w:sz="6" w:space="0" w:color="auto"/>
              <w:bottom w:val="nil" w:sz="6" w:space="0" w:color="auto"/>
              <w:right w:val="nil" w:sz="6" w:space="0" w:color="auto"/>
            </w:tcBorders>
          </w:tcPr>
          <w:p>
            <w:pPr>
              <w:pStyle w:val="TableParagraph"/>
              <w:tabs>
                <w:tab w:pos="1975" w:val="left" w:leader="none"/>
                <w:tab w:pos="3388" w:val="left" w:leader="none"/>
                <w:tab w:pos="4816" w:val="left" w:leader="none"/>
              </w:tabs>
              <w:spacing w:line="240" w:lineRule="auto" w:before="15"/>
              <w:ind w:left="480" w:right="0"/>
              <w:jc w:val="left"/>
              <w:rPr>
                <w:rFonts w:ascii="Arial" w:hAnsi="Arial" w:cs="Arial" w:eastAsia="Arial" w:hint="default"/>
                <w:sz w:val="18"/>
                <w:szCs w:val="18"/>
              </w:rPr>
            </w:pPr>
            <w:r>
              <w:rPr>
                <w:rFonts w:ascii="Arial"/>
                <w:spacing w:val="-1"/>
                <w:sz w:val="18"/>
              </w:rPr>
              <w:t>12,756,860</w:t>
              <w:tab/>
              <w:t>1,913,529</w:t>
              <w:tab/>
              <w:t>10,539,880</w:t>
              <w:tab/>
              <w:t>1,580,982</w:t>
            </w:r>
          </w:p>
        </w:tc>
      </w:tr>
      <w:tr>
        <w:trPr>
          <w:trHeight w:val="241"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195" w:lineRule="exact"/>
              <w:ind w:left="45"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4" w:right="0"/>
              <w:jc w:val="left"/>
              <w:rPr>
                <w:rFonts w:ascii="Arial" w:hAnsi="Arial" w:cs="Arial" w:eastAsia="Arial" w:hint="default"/>
                <w:sz w:val="18"/>
                <w:szCs w:val="18"/>
              </w:rPr>
            </w:pPr>
            <w:r>
              <w:rPr>
                <w:rFonts w:ascii="Arial"/>
                <w:sz w:val="18"/>
              </w:rPr>
              <w:t>(1)</w:t>
            </w:r>
          </w:p>
        </w:tc>
        <w:tc>
          <w:tcPr>
            <w:tcW w:w="5803" w:type="dxa"/>
            <w:tcBorders>
              <w:top w:val="nil" w:sz="6" w:space="0" w:color="auto"/>
              <w:left w:val="nil" w:sz="6" w:space="0" w:color="auto"/>
              <w:bottom w:val="nil" w:sz="6" w:space="0" w:color="auto"/>
              <w:right w:val="nil" w:sz="6" w:space="0" w:color="auto"/>
            </w:tcBorders>
          </w:tcPr>
          <w:p>
            <w:pPr>
              <w:pStyle w:val="TableParagraph"/>
              <w:tabs>
                <w:tab w:pos="466" w:val="left" w:leader="none"/>
                <w:tab w:pos="1961" w:val="left" w:leader="none"/>
                <w:tab w:pos="3374" w:val="left" w:leader="none"/>
                <w:tab w:pos="4802" w:val="left" w:leader="none"/>
                <w:tab w:pos="5753" w:val="left" w:leader="none"/>
              </w:tabs>
              <w:spacing w:line="240" w:lineRule="auto" w:before="14"/>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19,768,573</w:t>
            </w:r>
            <w:r>
              <w:rPr>
                <w:rFonts w:ascii="Arial"/>
                <w:spacing w:val="-1"/>
                <w:sz w:val="18"/>
              </w:rPr>
            </w:r>
            <w:r>
              <w:rPr>
                <w:rFonts w:ascii="Arial"/>
                <w:spacing w:val="-1"/>
                <w:sz w:val="18"/>
                <w:u w:val="single" w:color="000000"/>
              </w:rPr>
              <w:t> </w:t>
              <w:tab/>
              <w:t>2,965,286</w:t>
              <w:tab/>
              <w:t>12,727,760</w:t>
              <w:tab/>
              <w:t>1,909,164</w:t>
              <w:tab/>
            </w:r>
            <w:r>
              <w:rPr>
                <w:rFonts w:ascii="Arial"/>
                <w:spacing w:val="-1"/>
                <w:sz w:val="18"/>
              </w:rPr>
            </w:r>
          </w:p>
        </w:tc>
      </w:tr>
      <w:tr>
        <w:trPr>
          <w:trHeight w:val="344"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03" w:lineRule="exact"/>
              <w:ind w:left="4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nil" w:sz="6" w:space="0" w:color="auto"/>
              <w:left w:val="nil" w:sz="6" w:space="0" w:color="auto"/>
              <w:bottom w:val="nil" w:sz="6" w:space="0" w:color="auto"/>
              <w:right w:val="nil" w:sz="6" w:space="0" w:color="auto"/>
            </w:tcBorders>
          </w:tcPr>
          <w:p>
            <w:pPr>
              <w:pStyle w:val="TableParagraph"/>
              <w:tabs>
                <w:tab w:pos="1875" w:val="left" w:leader="none"/>
                <w:tab w:pos="3388" w:val="left" w:leader="none"/>
                <w:tab w:pos="4715" w:val="left" w:leader="none"/>
              </w:tabs>
              <w:spacing w:line="240" w:lineRule="auto" w:before="22"/>
              <w:ind w:left="481" w:right="0"/>
              <w:jc w:val="left"/>
              <w:rPr>
                <w:rFonts w:ascii="Arial" w:hAnsi="Arial" w:cs="Arial" w:eastAsia="Arial" w:hint="default"/>
                <w:sz w:val="18"/>
                <w:szCs w:val="18"/>
              </w:rPr>
            </w:pPr>
            <w:r>
              <w:rPr>
                <w:rFonts w:ascii="Arial"/>
                <w:spacing w:val="-1"/>
                <w:sz w:val="18"/>
              </w:rPr>
              <w:t>83,041,346</w:t>
              <w:tab/>
              <w:t>12,456,202</w:t>
              <w:tab/>
              <w:t>68,936,213</w:t>
              <w:tab/>
              <w:t>10,340,432</w:t>
            </w:r>
          </w:p>
        </w:tc>
      </w:tr>
      <w:tr>
        <w:trPr>
          <w:trHeight w:val="351" w:hRule="exact"/>
        </w:trPr>
        <w:tc>
          <w:tcPr>
            <w:tcW w:w="441"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5"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598" w:type="dxa"/>
            <w:tcBorders>
              <w:top w:val="nil" w:sz="6" w:space="0" w:color="auto"/>
              <w:left w:val="nil" w:sz="6" w:space="0" w:color="auto"/>
              <w:bottom w:val="nil" w:sz="6" w:space="0" w:color="auto"/>
              <w:right w:val="nil" w:sz="6" w:space="0" w:color="auto"/>
            </w:tcBorders>
          </w:tcPr>
          <w:p>
            <w:pPr/>
          </w:p>
        </w:tc>
        <w:tc>
          <w:tcPr>
            <w:tcW w:w="5803" w:type="dxa"/>
            <w:tcBorders>
              <w:top w:val="nil" w:sz="6" w:space="0" w:color="auto"/>
              <w:left w:val="nil" w:sz="6" w:space="0" w:color="auto"/>
              <w:bottom w:val="single" w:sz="17" w:space="0" w:color="000000"/>
              <w:right w:val="nil" w:sz="6" w:space="0" w:color="auto"/>
            </w:tcBorders>
          </w:tcPr>
          <w:p>
            <w:pPr>
              <w:pStyle w:val="TableParagraph"/>
              <w:tabs>
                <w:tab w:pos="1816" w:val="left" w:leader="none"/>
                <w:tab w:pos="3230" w:val="left" w:leader="none"/>
                <w:tab w:pos="4656" w:val="left" w:leader="none"/>
              </w:tabs>
              <w:spacing w:line="240" w:lineRule="auto" w:before="118"/>
              <w:ind w:left="322" w:right="0"/>
              <w:jc w:val="left"/>
              <w:rPr>
                <w:rFonts w:ascii="Arial" w:hAnsi="Arial" w:cs="Arial" w:eastAsia="Arial" w:hint="default"/>
                <w:sz w:val="18"/>
                <w:szCs w:val="18"/>
              </w:rPr>
            </w:pPr>
            <w:r>
              <w:rPr>
                <w:rFonts w:ascii="Arial"/>
                <w:spacing w:val="-1"/>
                <w:sz w:val="18"/>
              </w:rPr>
              <w:t>(201,971,906)</w:t>
              <w:tab/>
              <w:t>(31,647,601)</w:t>
              <w:tab/>
              <w:t>(241,282,689)</w:t>
              <w:tab/>
              <w:t>(40,130,185)</w:t>
            </w:r>
            <w:r>
              <w:rPr>
                <w:rFonts w:ascii="Arial"/>
                <w:sz w:val="18"/>
              </w:rPr>
            </w:r>
          </w:p>
        </w:tc>
      </w:tr>
    </w:tbl>
    <w:p>
      <w:pPr>
        <w:spacing w:after="0" w:line="240" w:lineRule="auto"/>
        <w:jc w:val="left"/>
        <w:rPr>
          <w:rFonts w:ascii="Arial" w:hAnsi="Arial" w:cs="Arial" w:eastAsia="Arial" w:hint="default"/>
          <w:sz w:val="18"/>
          <w:szCs w:val="18"/>
        </w:rPr>
        <w:sectPr>
          <w:headerReference w:type="default" r:id="rId128"/>
          <w:pgSz w:w="11900" w:h="16840"/>
          <w:pgMar w:header="1189" w:footer="752" w:top="3600" w:bottom="940" w:left="1240" w:right="520"/>
        </w:sectPr>
      </w:pPr>
    </w:p>
    <w:p>
      <w:pPr>
        <w:spacing w:line="240" w:lineRule="auto" w:before="10"/>
        <w:rPr>
          <w:rFonts w:ascii="宋体" w:hAnsi="宋体" w:cs="宋体" w:eastAsia="宋体" w:hint="default"/>
          <w:sz w:val="11"/>
          <w:szCs w:val="11"/>
        </w:rPr>
      </w:pPr>
    </w:p>
    <w:p>
      <w:pPr>
        <w:pStyle w:val="ListParagraph"/>
        <w:numPr>
          <w:ilvl w:val="0"/>
          <w:numId w:val="2"/>
        </w:numPr>
        <w:tabs>
          <w:tab w:pos="555" w:val="left" w:leader="none"/>
        </w:tabs>
        <w:spacing w:line="240" w:lineRule="auto" w:before="31" w:after="0"/>
        <w:ind w:left="554" w:right="251" w:hanging="432"/>
        <w:jc w:val="left"/>
        <w:rPr>
          <w:rFonts w:ascii="宋体" w:hAnsi="宋体" w:cs="宋体" w:eastAsia="宋体" w:hint="default"/>
          <w:sz w:val="22"/>
          <w:szCs w:val="22"/>
        </w:rPr>
      </w:pPr>
      <w:r>
        <w:rPr>
          <w:rFonts w:ascii="宋体" w:hAnsi="宋体" w:cs="宋体" w:eastAsia="宋体" w:hint="default"/>
          <w:sz w:val="22"/>
          <w:szCs w:val="22"/>
        </w:rPr>
        <w:t>注释</w:t>
      </w:r>
    </w:p>
    <w:p>
      <w:pPr>
        <w:pStyle w:val="BodyText"/>
        <w:spacing w:line="237" w:lineRule="auto" w:before="185"/>
        <w:ind w:left="570" w:right="138"/>
        <w:jc w:val="both"/>
      </w:pPr>
      <w:r>
        <w:rPr>
          <w:spacing w:val="-1"/>
        </w:rPr>
        <w:t>以上递延所得税资产及负债是根据本集团在各期间，因暂时性差异对所得税影响金额计算。在</w:t>
      </w:r>
      <w:r>
        <w:rPr>
          <w:spacing w:val="-104"/>
        </w:rPr>
        <w:t> </w:t>
      </w:r>
      <w:r>
        <w:rPr>
          <w:spacing w:val="-104"/>
        </w:rPr>
      </w:r>
      <w:r>
        <w:rPr>
          <w:spacing w:val="-1"/>
        </w:rPr>
        <w:t>资产负债表债务法下，暂时性差异对所得税的影响金额，在考虑了当时有关税务法规及市场发</w:t>
      </w:r>
      <w:r>
        <w:rPr>
          <w:spacing w:val="-104"/>
        </w:rPr>
        <w:t> </w:t>
      </w:r>
      <w:r>
        <w:rPr>
          <w:spacing w:val="-104"/>
        </w:rPr>
      </w:r>
      <w:r>
        <w:rPr/>
        <w:t>展情况，可以递延和分配到以后各期。这些暂时性差异的详细说明如下：</w:t>
      </w:r>
    </w:p>
    <w:p>
      <w:pPr>
        <w:spacing w:line="240" w:lineRule="auto" w:before="7"/>
        <w:rPr>
          <w:rFonts w:ascii="宋体" w:hAnsi="宋体" w:cs="宋体" w:eastAsia="宋体" w:hint="default"/>
          <w:sz w:val="15"/>
          <w:szCs w:val="15"/>
        </w:rPr>
      </w:pPr>
    </w:p>
    <w:p>
      <w:pPr>
        <w:pStyle w:val="BodyText"/>
        <w:spacing w:line="235" w:lineRule="auto"/>
        <w:ind w:left="569" w:right="106" w:hanging="462"/>
        <w:jc w:val="both"/>
      </w:pPr>
      <w:r>
        <w:rPr>
          <w:rFonts w:ascii="Arial" w:hAnsi="Arial" w:cs="Arial" w:eastAsia="Arial" w:hint="default"/>
        </w:rPr>
        <w:t>(1)</w:t>
      </w:r>
      <w:r>
        <w:rPr>
          <w:rFonts w:ascii="Arial" w:hAnsi="Arial" w:cs="Arial" w:eastAsia="Arial" w:hint="default"/>
          <w:spacing w:val="18"/>
        </w:rPr>
        <w:t> </w:t>
      </w:r>
      <w:r>
        <w:rPr>
          <w:spacing w:val="4"/>
        </w:rPr>
        <w:t>本公司于资产负债表日对集团内受同一纳税征管部门管理的同一纳税实体的递延所得税资产</w:t>
      </w:r>
      <w:r>
        <w:rPr>
          <w:spacing w:val="-108"/>
        </w:rPr>
        <w:t> </w:t>
      </w:r>
      <w:r>
        <w:rPr>
          <w:spacing w:val="-108"/>
        </w:rPr>
      </w:r>
      <w:r>
        <w:rPr/>
        <w:t>和递延所得税负债的余额进行分析，如果递延所得税资产的余额大于递延所得税负债的余额，</w:t>
      </w:r>
      <w:r>
        <w:rPr>
          <w:w w:val="99"/>
        </w:rPr>
        <w:t> </w:t>
      </w:r>
      <w:r>
        <w:rPr/>
        <w:t>则将递延所得税资产与递延所得税负债抵销后的净额列示于资产负债表的“递延所得税资产”</w:t>
      </w:r>
      <w:r>
        <w:rPr>
          <w:w w:val="99"/>
        </w:rPr>
        <w:t> </w:t>
      </w:r>
      <w:r>
        <w:rPr>
          <w:w w:val="95"/>
        </w:rPr>
        <w:t>项下；如果递延所得税资产的余额小于递延所得税负债的余额，则将递延所得税资产与递延所</w:t>
      </w:r>
      <w:r>
        <w:rPr>
          <w:w w:val="99"/>
        </w:rPr>
        <w:t> </w:t>
      </w:r>
      <w:r>
        <w:rPr/>
        <w:t>得税负债抵销后的净额列示于资产负债表的“递延所得税负债”项下。</w:t>
      </w:r>
    </w:p>
    <w:p>
      <w:pPr>
        <w:spacing w:line="240" w:lineRule="auto" w:before="6"/>
        <w:rPr>
          <w:rFonts w:ascii="宋体" w:hAnsi="宋体" w:cs="宋体" w:eastAsia="宋体" w:hint="default"/>
          <w:sz w:val="15"/>
          <w:szCs w:val="15"/>
        </w:rPr>
      </w:pPr>
    </w:p>
    <w:p>
      <w:pPr>
        <w:pStyle w:val="BodyText"/>
        <w:spacing w:line="235" w:lineRule="auto"/>
        <w:ind w:left="570" w:right="138" w:hanging="448"/>
        <w:jc w:val="both"/>
      </w:pPr>
      <w:r>
        <w:rPr>
          <w:rFonts w:ascii="Arial" w:hAnsi="Arial" w:cs="Arial" w:eastAsia="Arial" w:hint="default"/>
        </w:rPr>
        <w:t>(2)</w:t>
      </w:r>
      <w:r>
        <w:rPr>
          <w:rFonts w:ascii="Arial" w:hAnsi="Arial" w:cs="Arial" w:eastAsia="Arial" w:hint="default"/>
          <w:spacing w:val="22"/>
        </w:rPr>
        <w:t> </w:t>
      </w:r>
      <w:r>
        <w:rPr/>
        <w:t>本集团于资产负债表日，对有关资产减值准备是否能在未来为本集团抵扣以后年度的所得税进</w:t>
      </w:r>
      <w:r>
        <w:rPr>
          <w:w w:val="99"/>
        </w:rPr>
        <w:t> </w:t>
      </w:r>
      <w:r>
        <w:rPr>
          <w:spacing w:val="-1"/>
        </w:rPr>
        <w:t>行评估。按税务法规的有关规定，当期计提的各项资产减值准备虽然不得在当期税前列支，但</w:t>
      </w:r>
      <w:r>
        <w:rPr>
          <w:w w:val="99"/>
        </w:rPr>
        <w:t> </w:t>
      </w:r>
      <w:r>
        <w:rPr>
          <w:spacing w:val="-1"/>
        </w:rPr>
        <w:t>期后可于相关资产的减值损失实现时在税前列支。这些已减值的资产按纳税的需要根据减值前</w:t>
      </w:r>
      <w:r>
        <w:rPr>
          <w:w w:val="99"/>
        </w:rPr>
        <w:t> </w:t>
      </w:r>
      <w:r>
        <w:rPr>
          <w:spacing w:val="-1"/>
        </w:rPr>
        <w:t>的金额通过折旧和摊销在以后年度抵减应纳税所得额。因此本集团对确信可于未来期间实现的</w:t>
      </w:r>
      <w:r>
        <w:rPr>
          <w:w w:val="99"/>
        </w:rPr>
        <w:t> </w:t>
      </w:r>
      <w:r>
        <w:rPr/>
        <w:t>资产减值准备对所得税的影响，确认递延所得税资产。本集团于 </w:t>
      </w:r>
      <w:r>
        <w:rPr>
          <w:rFonts w:ascii="Arial" w:hAnsi="Arial" w:cs="Arial" w:eastAsia="Arial" w:hint="default"/>
        </w:rPr>
        <w:t>2008</w:t>
      </w:r>
      <w:r>
        <w:rPr>
          <w:rFonts w:ascii="Arial" w:hAnsi="Arial" w:cs="Arial" w:eastAsia="Arial" w:hint="default"/>
          <w:spacing w:val="-37"/>
        </w:rPr>
        <w:t> </w:t>
      </w:r>
      <w:r>
        <w:rPr/>
        <w:t>年度对无线市话业务相</w:t>
      </w:r>
    </w:p>
    <w:p>
      <w:pPr>
        <w:pStyle w:val="BodyText"/>
        <w:spacing w:line="286" w:lineRule="exact" w:before="11"/>
        <w:ind w:left="569" w:right="138"/>
        <w:jc w:val="both"/>
      </w:pPr>
      <w:r>
        <w:rPr/>
        <w:t>关资产及其他资产进行了减值评估并计提了减值准备，并于 </w:t>
      </w:r>
      <w:r>
        <w:rPr>
          <w:rFonts w:ascii="Arial" w:hAnsi="Arial" w:cs="Arial" w:eastAsia="Arial" w:hint="default"/>
        </w:rPr>
        <w:t>2008</w:t>
      </w:r>
      <w:r>
        <w:rPr>
          <w:rFonts w:ascii="Arial" w:hAnsi="Arial" w:cs="Arial" w:eastAsia="Arial" w:hint="default"/>
          <w:spacing w:val="-37"/>
        </w:rPr>
        <w:t> </w:t>
      </w:r>
      <w:r>
        <w:rPr/>
        <w:t>年末亦确认了递延所得税资</w:t>
      </w:r>
      <w:r>
        <w:rPr>
          <w:w w:val="99"/>
        </w:rPr>
        <w:t> </w:t>
      </w:r>
      <w:r>
        <w:rPr/>
        <w:t>产。该递延所得税资产于三年内分期转回。</w:t>
      </w:r>
    </w:p>
    <w:p>
      <w:pPr>
        <w:spacing w:line="240" w:lineRule="auto" w:before="3"/>
        <w:rPr>
          <w:rFonts w:ascii="宋体" w:hAnsi="宋体" w:cs="宋体" w:eastAsia="宋体" w:hint="default"/>
          <w:sz w:val="19"/>
          <w:szCs w:val="19"/>
        </w:rPr>
      </w:pPr>
    </w:p>
    <w:p>
      <w:pPr>
        <w:pStyle w:val="BodyText"/>
        <w:spacing w:line="286" w:lineRule="exact"/>
        <w:ind w:left="569" w:right="106" w:hanging="448"/>
        <w:jc w:val="both"/>
      </w:pPr>
      <w:r>
        <w:rPr>
          <w:rFonts w:ascii="Arial" w:hAnsi="Arial" w:cs="Arial" w:eastAsia="Arial" w:hint="default"/>
        </w:rPr>
        <w:t>(3)</w:t>
      </w:r>
      <w:r>
        <w:rPr>
          <w:rFonts w:ascii="Arial" w:hAnsi="Arial" w:cs="Arial" w:eastAsia="Arial" w:hint="default"/>
          <w:spacing w:val="27"/>
        </w:rPr>
        <w:t> </w:t>
      </w:r>
      <w:r>
        <w:rPr/>
        <w:t>应收款项坏账准备所对应的递延所得税资产主要由本集团计提的应收账款坏账准备产生。根据</w:t>
      </w:r>
      <w:r>
        <w:rPr>
          <w:w w:val="99"/>
        </w:rPr>
        <w:t> </w:t>
      </w:r>
      <w:r>
        <w:rPr>
          <w:w w:val="95"/>
        </w:rPr>
        <w:t>税收相关法规，实际坏账损失经向主管税务机关报备后可作为税前扣除项目。因此，本集团将</w:t>
      </w:r>
      <w:r>
        <w:rPr>
          <w:w w:val="99"/>
        </w:rPr>
        <w:t> </w:t>
      </w:r>
      <w:r>
        <w:rPr>
          <w:w w:val="95"/>
        </w:rPr>
        <w:t>尚未形成实际坏账损失的坏账准备所对应的所得税的影响确认为递延所得税资产，而将形成坏</w:t>
      </w:r>
      <w:r>
        <w:rPr>
          <w:w w:val="99"/>
        </w:rPr>
        <w:t> </w:t>
      </w:r>
      <w:r>
        <w:rPr/>
        <w:t>账损失的坏账准备向主管税务机关报备后于所得税前扣除，同时转回相应的递延所得税资产。</w:t>
      </w:r>
    </w:p>
    <w:p>
      <w:pPr>
        <w:spacing w:line="240" w:lineRule="auto" w:before="3"/>
        <w:rPr>
          <w:rFonts w:ascii="宋体" w:hAnsi="宋体" w:cs="宋体" w:eastAsia="宋体" w:hint="default"/>
          <w:sz w:val="19"/>
          <w:szCs w:val="19"/>
        </w:rPr>
      </w:pPr>
    </w:p>
    <w:p>
      <w:pPr>
        <w:pStyle w:val="BodyText"/>
        <w:spacing w:line="286" w:lineRule="exact"/>
        <w:ind w:left="569" w:right="138" w:hanging="448"/>
        <w:jc w:val="both"/>
      </w:pPr>
      <w:r>
        <w:rPr>
          <w:rFonts w:ascii="Arial" w:hAnsi="Arial" w:cs="Arial" w:eastAsia="Arial" w:hint="default"/>
        </w:rPr>
        <w:t>(4)</w:t>
      </w:r>
      <w:r>
        <w:rPr>
          <w:rFonts w:ascii="Arial" w:hAnsi="Arial" w:cs="Arial" w:eastAsia="Arial" w:hint="default"/>
          <w:spacing w:val="22"/>
        </w:rPr>
        <w:t> </w:t>
      </w:r>
      <w:r>
        <w:rPr/>
        <w:t>本集团对本期间已经发生但尚未支付的成本费用在合理估计的基础上进行预提。而根据中国税</w:t>
      </w:r>
      <w:r>
        <w:rPr>
          <w:w w:val="99"/>
        </w:rPr>
        <w:t> </w:t>
      </w:r>
      <w:r>
        <w:rPr>
          <w:spacing w:val="-1"/>
        </w:rPr>
        <w:t>收法规的有关规定，成本费用应该按照实际发生额在税前列支，对于没有明确证据的预提费用</w:t>
      </w:r>
      <w:r>
        <w:rPr>
          <w:w w:val="99"/>
        </w:rPr>
        <w:t> </w:t>
      </w:r>
      <w:r>
        <w:rPr>
          <w:spacing w:val="-1"/>
        </w:rPr>
        <w:t>不得在税前列支，因此本集团对估计预提的成本费用确认了相应的递延所得税资产，并在该等</w:t>
      </w:r>
      <w:r>
        <w:rPr>
          <w:w w:val="99"/>
        </w:rPr>
        <w:t> </w:t>
      </w:r>
      <w:r>
        <w:rPr/>
        <w:t>估计预提成本费用实际支付时，将有关递延所得税资产予以转回。</w:t>
      </w:r>
    </w:p>
    <w:p>
      <w:pPr>
        <w:spacing w:line="240" w:lineRule="auto" w:before="3"/>
        <w:rPr>
          <w:rFonts w:ascii="宋体" w:hAnsi="宋体" w:cs="宋体" w:eastAsia="宋体" w:hint="default"/>
          <w:sz w:val="19"/>
          <w:szCs w:val="19"/>
        </w:rPr>
      </w:pPr>
    </w:p>
    <w:p>
      <w:pPr>
        <w:pStyle w:val="BodyText"/>
        <w:spacing w:line="286" w:lineRule="exact"/>
        <w:ind w:left="569" w:right="138" w:hanging="448"/>
        <w:jc w:val="both"/>
      </w:pPr>
      <w:r>
        <w:rPr>
          <w:rFonts w:ascii="Arial" w:hAnsi="Arial" w:cs="Arial" w:eastAsia="Arial" w:hint="default"/>
        </w:rPr>
        <w:t>(5)</w:t>
      </w:r>
      <w:r>
        <w:rPr>
          <w:rFonts w:ascii="Arial" w:hAnsi="Arial" w:cs="Arial" w:eastAsia="Arial" w:hint="default"/>
          <w:spacing w:val="22"/>
        </w:rPr>
        <w:t> </w:t>
      </w:r>
      <w:r>
        <w:rPr/>
        <w:t>本集团对一次性不退还收入及与之相关的直接成本，在预计为客户提供服务的期限内进行递延</w:t>
      </w:r>
      <w:r>
        <w:rPr>
          <w:w w:val="99"/>
        </w:rPr>
        <w:t> </w:t>
      </w:r>
      <w:r>
        <w:rPr>
          <w:spacing w:val="-1"/>
        </w:rPr>
        <w:t>及摊销，但税法要求上述收入及成本在完成开通服务时确认，由此产生的暂时性差异对所得税</w:t>
      </w:r>
      <w:r>
        <w:rPr>
          <w:w w:val="99"/>
        </w:rPr>
        <w:t> </w:t>
      </w:r>
      <w:r>
        <w:rPr/>
        <w:t>的影响分别确认为递延所得税资产和负债。</w:t>
      </w:r>
    </w:p>
    <w:p>
      <w:pPr>
        <w:spacing w:after="0" w:line="286" w:lineRule="exact"/>
        <w:jc w:val="both"/>
        <w:sectPr>
          <w:headerReference w:type="default" r:id="rId129"/>
          <w:pgSz w:w="11900" w:h="16840"/>
          <w:pgMar w:header="1189" w:footer="752" w:top="4140" w:bottom="940" w:left="1260" w:right="940"/>
        </w:sectPr>
      </w:pPr>
    </w:p>
    <w:p>
      <w:pPr>
        <w:pStyle w:val="BodyText"/>
        <w:tabs>
          <w:tab w:pos="597" w:val="left" w:leader="none"/>
        </w:tabs>
        <w:spacing w:line="240" w:lineRule="auto" w:before="102"/>
        <w:ind w:left="102" w:right="97"/>
        <w:jc w:val="left"/>
      </w:pPr>
      <w:r>
        <w:rPr>
          <w:rFonts w:ascii="Arial" w:hAnsi="Arial" w:cs="Arial" w:eastAsia="Arial" w:hint="default"/>
          <w:w w:val="95"/>
        </w:rPr>
        <w:t>(iii)</w:t>
        <w:tab/>
      </w:r>
      <w:r>
        <w:rPr/>
        <w:t>注释（续）</w:t>
      </w:r>
    </w:p>
    <w:p>
      <w:pPr>
        <w:pStyle w:val="BodyText"/>
        <w:tabs>
          <w:tab w:pos="591" w:val="left" w:leader="none"/>
        </w:tabs>
        <w:spacing w:line="230" w:lineRule="auto" w:before="176"/>
        <w:ind w:left="591" w:right="110" w:hanging="476"/>
        <w:jc w:val="left"/>
      </w:pPr>
      <w:r>
        <w:rPr>
          <w:rFonts w:ascii="Arial" w:hAnsi="Arial" w:cs="Arial" w:eastAsia="Arial" w:hint="default"/>
          <w:w w:val="95"/>
        </w:rPr>
        <w:t>(6)</w:t>
        <w:tab/>
      </w:r>
      <w:r>
        <w:rPr/>
        <w:t>本集团于 </w:t>
      </w:r>
      <w:r>
        <w:rPr>
          <w:rFonts w:ascii="Arial" w:hAnsi="Arial" w:cs="Arial" w:eastAsia="Arial" w:hint="default"/>
        </w:rPr>
        <w:t>2008 </w:t>
      </w:r>
      <w:r>
        <w:rPr/>
        <w:t>年度出售 </w:t>
      </w:r>
      <w:r>
        <w:rPr>
          <w:rFonts w:ascii="Arial" w:hAnsi="Arial" w:cs="Arial" w:eastAsia="Arial" w:hint="default"/>
        </w:rPr>
        <w:t>CDMA</w:t>
      </w:r>
      <w:r>
        <w:rPr>
          <w:rFonts w:ascii="Arial" w:hAnsi="Arial" w:cs="Arial" w:eastAsia="Arial" w:hint="default"/>
          <w:spacing w:val="-19"/>
        </w:rPr>
        <w:t> </w:t>
      </w:r>
      <w:r>
        <w:rPr/>
        <w:t>业务时，因承诺未来一段时间内向中国电信提供若干服务而</w:t>
      </w:r>
      <w:r>
        <w:rPr>
          <w:w w:val="99"/>
        </w:rPr>
        <w:t> </w:t>
      </w:r>
      <w:r>
        <w:rPr>
          <w:spacing w:val="-4"/>
        </w:rPr>
        <w:t>确认了递延收益。因在税法下该收益于</w:t>
      </w:r>
      <w:r>
        <w:rPr>
          <w:spacing w:val="-56"/>
        </w:rPr>
        <w:t> </w:t>
      </w:r>
      <w:r>
        <w:rPr>
          <w:rFonts w:ascii="Arial" w:hAnsi="Arial" w:cs="Arial" w:eastAsia="Arial" w:hint="default"/>
        </w:rPr>
        <w:t>CDMA</w:t>
      </w:r>
      <w:r>
        <w:rPr>
          <w:rFonts w:ascii="Arial" w:hAnsi="Arial" w:cs="Arial" w:eastAsia="Arial" w:hint="default"/>
          <w:spacing w:val="-6"/>
        </w:rPr>
        <w:t> </w:t>
      </w:r>
      <w:r>
        <w:rPr/>
        <w:t>业务出售期间计入当期应税收入并缴纳所得税，</w:t>
      </w:r>
      <w:r>
        <w:rPr>
          <w:w w:val="99"/>
        </w:rPr>
        <w:t> </w:t>
      </w:r>
      <w:r>
        <w:rPr/>
        <w:t>而在会计上该收益将在以后服务提供期间确认收入，由此产生的暂时性差异被确认了相关的递</w:t>
      </w:r>
      <w:r>
        <w:rPr>
          <w:w w:val="99"/>
        </w:rPr>
        <w:t> </w:t>
      </w:r>
      <w:r>
        <w:rPr/>
        <w:t>延所得税资产。</w:t>
      </w:r>
    </w:p>
    <w:p>
      <w:pPr>
        <w:pStyle w:val="BodyText"/>
        <w:spacing w:line="237" w:lineRule="auto" w:before="185"/>
        <w:ind w:left="591" w:right="218"/>
        <w:jc w:val="both"/>
      </w:pPr>
      <w:r>
        <w:rPr>
          <w:spacing w:val="-2"/>
        </w:rPr>
        <w:t>另外，本集团实施积分奖励计划，参照积分奖励的公允价值分配一部分从用户收取的或应收的</w:t>
      </w:r>
      <w:r>
        <w:rPr>
          <w:spacing w:val="-106"/>
        </w:rPr>
        <w:t> </w:t>
      </w:r>
      <w:r>
        <w:rPr>
          <w:spacing w:val="-106"/>
        </w:rPr>
      </w:r>
      <w:r>
        <w:rPr>
          <w:spacing w:val="-2"/>
        </w:rPr>
        <w:t>现金至该积分以确认递延收益，且在该积分被兑换时确认为收入。但是根据税法要求，当本集</w:t>
      </w:r>
      <w:r>
        <w:rPr>
          <w:spacing w:val="-105"/>
        </w:rPr>
        <w:t> </w:t>
      </w:r>
      <w:r>
        <w:rPr>
          <w:spacing w:val="-105"/>
        </w:rPr>
      </w:r>
      <w:r>
        <w:rPr>
          <w:spacing w:val="-2"/>
        </w:rPr>
        <w:t>团就向用户收取的或应收的现金时即已产生纳税义务，而非在积分兑换当期。因此期末未兑换</w:t>
      </w:r>
      <w:r>
        <w:rPr>
          <w:spacing w:val="-107"/>
        </w:rPr>
        <w:t> </w:t>
      </w:r>
      <w:r>
        <w:rPr>
          <w:spacing w:val="-107"/>
        </w:rPr>
      </w:r>
      <w:r>
        <w:rPr/>
        <w:t>的积分奖励计划的递延收益对应的所得税影响被确认为递延所得税资产。</w:t>
      </w:r>
    </w:p>
    <w:p>
      <w:pPr>
        <w:spacing w:line="240" w:lineRule="auto" w:before="0"/>
        <w:rPr>
          <w:rFonts w:ascii="宋体" w:hAnsi="宋体" w:cs="宋体" w:eastAsia="宋体" w:hint="default"/>
          <w:sz w:val="16"/>
          <w:szCs w:val="16"/>
        </w:rPr>
      </w:pPr>
    </w:p>
    <w:p>
      <w:pPr>
        <w:pStyle w:val="BodyText"/>
        <w:spacing w:line="286" w:lineRule="exact"/>
        <w:ind w:left="564" w:right="218" w:hanging="448"/>
        <w:jc w:val="both"/>
      </w:pPr>
      <w:r>
        <w:rPr>
          <w:rFonts w:ascii="Arial" w:hAnsi="Arial" w:cs="Arial" w:eastAsia="Arial" w:hint="default"/>
        </w:rPr>
        <w:t>(7)</w:t>
      </w:r>
      <w:r>
        <w:rPr>
          <w:rFonts w:ascii="Arial" w:hAnsi="Arial" w:cs="Arial" w:eastAsia="Arial" w:hint="default"/>
          <w:spacing w:val="9"/>
        </w:rPr>
        <w:t> </w:t>
      </w:r>
      <w:r>
        <w:rPr/>
        <w:t>本集团位于中国境内的若干子公司期末有未支付的工资。根据中国税收法规的有关规定，期末</w:t>
      </w:r>
      <w:r>
        <w:rPr>
          <w:w w:val="99"/>
        </w:rPr>
        <w:t> </w:t>
      </w:r>
      <w:r>
        <w:rPr>
          <w:spacing w:val="-1"/>
          <w:w w:val="95"/>
        </w:rPr>
        <w:t>未发放的工资薪金在以后期间实际发放时，经主管税务机关审核，可在实际发放期间企业所得</w:t>
      </w:r>
      <w:r>
        <w:rPr>
          <w:w w:val="99"/>
        </w:rPr>
        <w:t> </w:t>
      </w:r>
      <w:r>
        <w:rPr/>
        <w:t>税前扣除。由此产生的暂时性差异被确认为递延所得税资产。</w:t>
      </w:r>
    </w:p>
    <w:p>
      <w:pPr>
        <w:spacing w:line="240" w:lineRule="auto" w:before="10"/>
        <w:rPr>
          <w:rFonts w:ascii="宋体" w:hAnsi="宋体" w:cs="宋体" w:eastAsia="宋体" w:hint="default"/>
          <w:sz w:val="15"/>
          <w:szCs w:val="15"/>
        </w:rPr>
      </w:pPr>
    </w:p>
    <w:p>
      <w:pPr>
        <w:pStyle w:val="BodyText"/>
        <w:spacing w:line="286" w:lineRule="exact"/>
        <w:ind w:left="564" w:right="218" w:hanging="448"/>
        <w:jc w:val="both"/>
      </w:pPr>
      <w:r>
        <w:rPr>
          <w:rFonts w:ascii="Arial" w:hAnsi="Arial" w:cs="Arial" w:eastAsia="Arial" w:hint="default"/>
        </w:rPr>
        <w:t>(8)</w:t>
      </w:r>
      <w:r>
        <w:rPr>
          <w:rFonts w:ascii="Arial" w:hAnsi="Arial" w:cs="Arial" w:eastAsia="Arial" w:hint="default"/>
          <w:spacing w:val="9"/>
        </w:rPr>
        <w:t> </w:t>
      </w:r>
      <w:r>
        <w:rPr/>
        <w:t>本集团子公司之间的内部交易产生的未实现利润抵销构成会计与税务上的暂时性差异，其所得</w:t>
      </w:r>
      <w:r>
        <w:rPr>
          <w:w w:val="99"/>
        </w:rPr>
        <w:t> </w:t>
      </w:r>
      <w:r>
        <w:rPr/>
        <w:t>税影响确认递延所得税资产。</w:t>
      </w:r>
    </w:p>
    <w:p>
      <w:pPr>
        <w:pStyle w:val="BodyText"/>
        <w:spacing w:line="295" w:lineRule="exact" w:before="178"/>
        <w:ind w:left="116" w:right="97"/>
        <w:jc w:val="left"/>
        <w:rPr>
          <w:rFonts w:ascii="Arial" w:hAnsi="Arial" w:cs="Arial" w:eastAsia="Arial" w:hint="default"/>
        </w:rPr>
      </w:pPr>
      <w:r>
        <w:rPr>
          <w:rFonts w:ascii="Arial" w:hAnsi="Arial" w:cs="Arial" w:eastAsia="Arial" w:hint="default"/>
        </w:rPr>
        <w:t>(9)   </w:t>
      </w:r>
      <w:r>
        <w:rPr/>
        <w:t>于 </w:t>
      </w:r>
      <w:r>
        <w:rPr>
          <w:rFonts w:ascii="Arial" w:hAnsi="Arial" w:cs="Arial" w:eastAsia="Arial" w:hint="default"/>
        </w:rPr>
        <w:t>2010 </w:t>
      </w:r>
      <w:r>
        <w:rPr/>
        <w:t>年度，联通运营公司存在税务亏损。根据税法规定，企业的税务亏损可以在其后的</w:t>
      </w:r>
      <w:r>
        <w:rPr>
          <w:spacing w:val="-69"/>
        </w:rPr>
        <w:t> </w:t>
      </w:r>
      <w:r>
        <w:rPr>
          <w:rFonts w:ascii="Arial" w:hAnsi="Arial" w:cs="Arial" w:eastAsia="Arial" w:hint="default"/>
        </w:rPr>
        <w:t>5</w:t>
      </w:r>
    </w:p>
    <w:p>
      <w:pPr>
        <w:pStyle w:val="BodyText"/>
        <w:spacing w:line="286" w:lineRule="exact"/>
        <w:ind w:left="564" w:right="97"/>
        <w:jc w:val="left"/>
      </w:pPr>
      <w:r>
        <w:rPr/>
        <w:t>年内抵减其应税所得，因而联通运营公司于</w:t>
      </w:r>
      <w:r>
        <w:rPr>
          <w:spacing w:val="-51"/>
        </w:rPr>
        <w:t> </w:t>
      </w:r>
      <w:r>
        <w:rPr>
          <w:rFonts w:ascii="Arial" w:hAnsi="Arial" w:cs="Arial" w:eastAsia="Arial" w:hint="default"/>
        </w:rPr>
        <w:t>2010</w:t>
      </w:r>
      <w:r>
        <w:rPr>
          <w:rFonts w:ascii="Arial" w:hAnsi="Arial" w:cs="Arial" w:eastAsia="Arial" w:hint="default"/>
          <w:spacing w:val="-2"/>
        </w:rPr>
        <w:t> </w:t>
      </w:r>
      <w:r>
        <w:rPr/>
        <w:t>年度的税务亏损构成会计与税务上的暂时性</w:t>
      </w:r>
    </w:p>
    <w:p>
      <w:pPr>
        <w:pStyle w:val="BodyText"/>
        <w:spacing w:line="284" w:lineRule="exact" w:before="20"/>
        <w:ind w:left="564" w:right="213" w:hanging="1"/>
        <w:jc w:val="left"/>
      </w:pPr>
      <w:r>
        <w:rPr/>
        <w:t>差异于</w:t>
      </w:r>
      <w:r>
        <w:rPr>
          <w:spacing w:val="-58"/>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日被确认为递延所得税资产。于</w:t>
      </w:r>
      <w:r>
        <w:rPr>
          <w:spacing w:val="-57"/>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日，上述税务亏损</w:t>
      </w:r>
      <w:r>
        <w:rPr>
          <w:w w:val="99"/>
        </w:rPr>
        <w:t> </w:t>
      </w:r>
      <w:r>
        <w:rPr/>
        <w:t>因联通运营公司本年实现盈利，相应转回已确认的递延所得税资产。</w:t>
      </w:r>
    </w:p>
    <w:p>
      <w:pPr>
        <w:spacing w:line="240" w:lineRule="auto" w:before="13"/>
        <w:rPr>
          <w:rFonts w:ascii="宋体" w:hAnsi="宋体" w:cs="宋体" w:eastAsia="宋体" w:hint="default"/>
          <w:sz w:val="15"/>
          <w:szCs w:val="15"/>
        </w:rPr>
      </w:pPr>
    </w:p>
    <w:p>
      <w:pPr>
        <w:pStyle w:val="BodyText"/>
        <w:spacing w:line="284" w:lineRule="exact"/>
        <w:ind w:left="564" w:right="218" w:hanging="448"/>
        <w:jc w:val="both"/>
      </w:pPr>
      <w:r>
        <w:rPr>
          <w:rFonts w:ascii="Arial" w:hAnsi="Arial" w:cs="Arial" w:eastAsia="Arial" w:hint="default"/>
          <w:w w:val="95"/>
        </w:rPr>
        <w:t>(10)</w:t>
      </w:r>
      <w:r>
        <w:rPr>
          <w:rFonts w:ascii="Arial" w:hAnsi="Arial" w:cs="Arial" w:eastAsia="Arial" w:hint="default"/>
          <w:spacing w:val="58"/>
          <w:w w:val="95"/>
        </w:rPr>
        <w:t> </w:t>
      </w:r>
      <w:r>
        <w:rPr>
          <w:w w:val="95"/>
        </w:rPr>
        <w:t>联通香港运营、中讯设计院及网通国际部分固定资产的折旧年限在会计与税务上存在差异，此</w:t>
      </w:r>
      <w:r>
        <w:rPr>
          <w:spacing w:val="-34"/>
          <w:w w:val="95"/>
        </w:rPr>
        <w:t> </w:t>
      </w:r>
      <w:r>
        <w:rPr>
          <w:spacing w:val="-34"/>
          <w:w w:val="95"/>
        </w:rPr>
      </w:r>
      <w:r>
        <w:rPr/>
        <w:t>暂时性差异的所得税影响确认递延所得税资产或负债。</w:t>
      </w:r>
    </w:p>
    <w:p>
      <w:pPr>
        <w:pStyle w:val="BodyText"/>
        <w:spacing w:line="232" w:lineRule="auto" w:before="187"/>
        <w:ind w:left="564" w:right="218" w:hanging="448"/>
        <w:jc w:val="both"/>
      </w:pPr>
      <w:r>
        <w:rPr>
          <w:rFonts w:ascii="Arial" w:hAnsi="Arial" w:cs="Arial" w:eastAsia="Arial" w:hint="default"/>
          <w:w w:val="95"/>
        </w:rPr>
        <w:t>(11)</w:t>
      </w:r>
      <w:r>
        <w:rPr>
          <w:rFonts w:ascii="Arial" w:hAnsi="Arial" w:cs="Arial" w:eastAsia="Arial" w:hint="default"/>
          <w:spacing w:val="58"/>
          <w:w w:val="95"/>
        </w:rPr>
        <w:t> </w:t>
      </w:r>
      <w:r>
        <w:rPr>
          <w:w w:val="95"/>
        </w:rPr>
        <w:t>中讯设计院和规划设计院进行公司制改建时确认了相关资产的评估增值，并按评估值作为基础</w:t>
      </w:r>
      <w:r>
        <w:rPr>
          <w:spacing w:val="-34"/>
          <w:w w:val="95"/>
        </w:rPr>
        <w:t> </w:t>
      </w:r>
      <w:r>
        <w:rPr>
          <w:spacing w:val="-34"/>
          <w:w w:val="95"/>
        </w:rPr>
      </w:r>
      <w:r>
        <w:rPr>
          <w:spacing w:val="-1"/>
          <w:w w:val="95"/>
        </w:rPr>
        <w:t>计提折旧及摊销；而根据所得税法规定，中讯设计院和规划设计院仍按原计税基础，即资产以</w:t>
      </w:r>
      <w:r>
        <w:rPr>
          <w:w w:val="99"/>
        </w:rPr>
        <w:t> </w:t>
      </w:r>
      <w:r>
        <w:rPr>
          <w:spacing w:val="-1"/>
          <w:w w:val="95"/>
        </w:rPr>
        <w:t>历史成本为计税基础并按历史成本计提折旧和摊销并计算应交所得税，因此资产评估增值的所</w:t>
      </w:r>
      <w:r>
        <w:rPr>
          <w:w w:val="99"/>
        </w:rPr>
        <w:t> </w:t>
      </w:r>
      <w:r>
        <w:rPr/>
        <w:t>得税影响被确认为递延所得税负债。</w:t>
      </w:r>
    </w:p>
    <w:p>
      <w:pPr>
        <w:spacing w:line="240" w:lineRule="auto" w:before="9"/>
        <w:rPr>
          <w:rFonts w:ascii="宋体" w:hAnsi="宋体" w:cs="宋体" w:eastAsia="宋体" w:hint="default"/>
          <w:sz w:val="15"/>
          <w:szCs w:val="15"/>
        </w:rPr>
      </w:pPr>
    </w:p>
    <w:p>
      <w:pPr>
        <w:pStyle w:val="BodyText"/>
        <w:spacing w:line="295" w:lineRule="exact"/>
        <w:ind w:left="116" w:right="97"/>
        <w:jc w:val="left"/>
      </w:pPr>
      <w:r>
        <w:rPr>
          <w:rFonts w:ascii="Arial" w:hAnsi="Arial" w:cs="Arial" w:eastAsia="Arial" w:hint="default"/>
          <w:w w:val="95"/>
        </w:rPr>
        <w:t>(12)       </w:t>
      </w:r>
      <w:r>
        <w:rPr>
          <w:rFonts w:ascii="Arial" w:hAnsi="Arial" w:cs="Arial" w:eastAsia="Arial" w:hint="default"/>
          <w:spacing w:val="12"/>
          <w:w w:val="95"/>
        </w:rPr>
        <w:t> </w:t>
      </w:r>
      <w:r>
        <w:rPr>
          <w:w w:val="95"/>
        </w:rPr>
        <w:t>按照企业会计准则要求，本集团每一会计期间会确认本集团持有的可供出售金融资产的公允价</w:t>
      </w:r>
      <w:r>
        <w:rPr/>
      </w:r>
    </w:p>
    <w:p>
      <w:pPr>
        <w:pStyle w:val="BodyText"/>
        <w:spacing w:line="235" w:lineRule="auto"/>
        <w:ind w:left="550" w:right="97" w:firstLine="14"/>
        <w:jc w:val="left"/>
      </w:pPr>
      <w:r>
        <w:rPr/>
        <w:t>值的变动并计入资本公积。另外，于</w:t>
      </w:r>
      <w:r>
        <w:rPr>
          <w:spacing w:val="-50"/>
        </w:rPr>
        <w:t> </w:t>
      </w:r>
      <w:r>
        <w:rPr>
          <w:rFonts w:ascii="Arial" w:hAnsi="Arial" w:cs="Arial" w:eastAsia="Arial" w:hint="default"/>
        </w:rPr>
        <w:t>2009</w:t>
      </w:r>
      <w:r>
        <w:rPr>
          <w:rFonts w:ascii="Arial" w:hAnsi="Arial" w:cs="Arial" w:eastAsia="Arial" w:hint="default"/>
          <w:spacing w:val="-1"/>
        </w:rPr>
        <w:t> </w:t>
      </w:r>
      <w:r>
        <w:rPr/>
        <w:t>年度，本集团确认了联通红筹公司对西班牙电信投</w:t>
      </w:r>
      <w:r>
        <w:rPr>
          <w:w w:val="99"/>
        </w:rPr>
        <w:t> </w:t>
      </w:r>
      <w:r>
        <w:rPr/>
        <w:t>资合约衍生工具的公允价值变动并计入当期损益。可供出售金融资产公允价值的变动及联通红</w:t>
      </w:r>
      <w:r>
        <w:rPr>
          <w:w w:val="99"/>
        </w:rPr>
        <w:t> </w:t>
      </w:r>
      <w:r>
        <w:rPr>
          <w:spacing w:val="3"/>
        </w:rPr>
        <w:t>筹公司对西班牙电信投资合约衍生工具的公允价值变动在本集团持有该等可供出售金融资产</w:t>
      </w:r>
      <w:r>
        <w:rPr>
          <w:spacing w:val="-89"/>
        </w:rPr>
        <w:t> </w:t>
      </w:r>
      <w:r>
        <w:rPr>
          <w:spacing w:val="-89"/>
        </w:rPr>
      </w:r>
      <w:r>
        <w:rPr/>
        <w:t>期间不计入应纳税所得额，而实际处置或出售该等可供出售金融资产时产生的收益或损失将计</w:t>
      </w:r>
      <w:r>
        <w:rPr>
          <w:w w:val="99"/>
        </w:rPr>
        <w:t> </w:t>
      </w:r>
      <w:r>
        <w:rPr>
          <w:spacing w:val="-4"/>
        </w:rPr>
        <w:t>入当期应纳税所得额。由此产生的暂时性差异的所得税影响被确认为递延所得税负债（对收益）</w:t>
      </w:r>
      <w:r>
        <w:rPr>
          <w:spacing w:val="-102"/>
        </w:rPr>
        <w:t> </w:t>
      </w:r>
      <w:r>
        <w:rPr>
          <w:spacing w:val="-102"/>
        </w:rPr>
      </w:r>
      <w:r>
        <w:rPr/>
        <w:t>或递延所得税资产（对损失）。</w:t>
      </w:r>
    </w:p>
    <w:p>
      <w:pPr>
        <w:spacing w:line="240" w:lineRule="auto" w:before="10"/>
        <w:rPr>
          <w:rFonts w:ascii="宋体" w:hAnsi="宋体" w:cs="宋体" w:eastAsia="宋体" w:hint="default"/>
          <w:sz w:val="17"/>
          <w:szCs w:val="17"/>
        </w:rPr>
      </w:pPr>
    </w:p>
    <w:p>
      <w:pPr>
        <w:pStyle w:val="BodyText"/>
        <w:spacing w:line="286" w:lineRule="exact"/>
        <w:ind w:left="564" w:right="97" w:hanging="15"/>
        <w:jc w:val="left"/>
      </w:pPr>
      <w:r>
        <w:rPr>
          <w:spacing w:val="4"/>
        </w:rPr>
        <w:t>本财务报表列示的应纳税所得额和应纳税额的最终确认应以税务机构核定额及纳税应缴额为</w:t>
      </w:r>
      <w:r>
        <w:rPr>
          <w:spacing w:val="-99"/>
        </w:rPr>
        <w:t> </w:t>
      </w:r>
      <w:r>
        <w:rPr>
          <w:spacing w:val="-99"/>
        </w:rPr>
      </w:r>
      <w:r>
        <w:rPr/>
        <w:t>准。</w:t>
      </w:r>
    </w:p>
    <w:p>
      <w:pPr>
        <w:spacing w:after="0" w:line="286" w:lineRule="exact"/>
        <w:jc w:val="left"/>
        <w:sectPr>
          <w:headerReference w:type="default" r:id="rId130"/>
          <w:pgSz w:w="11900" w:h="16840"/>
          <w:pgMar w:header="1189" w:footer="752" w:top="4140" w:bottom="940" w:left="1280" w:right="860"/>
        </w:sectPr>
      </w:pPr>
    </w:p>
    <w:p>
      <w:pPr>
        <w:spacing w:line="240" w:lineRule="auto" w:before="9"/>
        <w:rPr>
          <w:rFonts w:ascii="宋体" w:hAnsi="宋体" w:cs="宋体" w:eastAsia="宋体" w:hint="default"/>
          <w:sz w:val="16"/>
          <w:szCs w:val="16"/>
        </w:rPr>
      </w:pPr>
    </w:p>
    <w:p>
      <w:pPr>
        <w:pStyle w:val="BodyText"/>
        <w:spacing w:line="240" w:lineRule="auto" w:before="31"/>
        <w:ind w:left="102" w:right="0"/>
        <w:jc w:val="left"/>
      </w:pPr>
      <w:r>
        <w:rPr>
          <w:rFonts w:ascii="Arial" w:hAnsi="Arial" w:cs="Arial" w:eastAsia="Arial" w:hint="default"/>
        </w:rPr>
        <w:t>45</w:t>
      </w:r>
      <w:r>
        <w:rPr/>
        <w:t>、股份支付</w:t>
      </w:r>
    </w:p>
    <w:p>
      <w:pPr>
        <w:pStyle w:val="BodyText"/>
        <w:spacing w:line="295" w:lineRule="exact" w:before="162"/>
        <w:ind w:left="578" w:right="0"/>
        <w:jc w:val="both"/>
      </w:pPr>
      <w:r>
        <w:rPr/>
        <w:t>于</w:t>
      </w:r>
      <w:r>
        <w:rPr>
          <w:spacing w:val="-59"/>
        </w:rPr>
        <w:t> </w:t>
      </w:r>
      <w:r>
        <w:rPr>
          <w:rFonts w:ascii="Arial" w:hAnsi="Arial" w:cs="Arial" w:eastAsia="Arial" w:hint="default"/>
        </w:rPr>
        <w:t>2000</w:t>
      </w:r>
      <w:r>
        <w:rPr>
          <w:rFonts w:ascii="Arial" w:hAnsi="Arial" w:cs="Arial" w:eastAsia="Arial" w:hint="default"/>
          <w:spacing w:val="-10"/>
        </w:rPr>
        <w:t> </w:t>
      </w:r>
      <w:r>
        <w:rPr/>
        <w:t>年</w:t>
      </w:r>
      <w:r>
        <w:rPr>
          <w:spacing w:val="-59"/>
        </w:rPr>
        <w:t> </w:t>
      </w:r>
      <w:r>
        <w:rPr>
          <w:rFonts w:ascii="Arial" w:hAnsi="Arial" w:cs="Arial" w:eastAsia="Arial" w:hint="default"/>
        </w:rPr>
        <w:t>6</w:t>
      </w:r>
      <w:r>
        <w:rPr>
          <w:rFonts w:ascii="Arial" w:hAnsi="Arial" w:cs="Arial" w:eastAsia="Arial" w:hint="default"/>
          <w:spacing w:val="-10"/>
        </w:rPr>
        <w:t> </w:t>
      </w:r>
      <w:r>
        <w:rPr/>
        <w:t>月</w:t>
      </w:r>
      <w:r>
        <w:rPr>
          <w:spacing w:val="-59"/>
        </w:rPr>
        <w:t> </w:t>
      </w:r>
      <w:r>
        <w:rPr>
          <w:rFonts w:ascii="Arial" w:hAnsi="Arial" w:cs="Arial" w:eastAsia="Arial" w:hint="default"/>
        </w:rPr>
        <w:t>1</w:t>
      </w:r>
      <w:r>
        <w:rPr>
          <w:rFonts w:ascii="Arial" w:hAnsi="Arial" w:cs="Arial" w:eastAsia="Arial" w:hint="default"/>
          <w:spacing w:val="-10"/>
        </w:rPr>
        <w:t> </w:t>
      </w:r>
      <w:r>
        <w:rPr/>
        <w:t>日，联通红筹公司采纳了一份股份期权计划（“股份期权计划”），向符合</w:t>
      </w:r>
    </w:p>
    <w:p>
      <w:pPr>
        <w:pStyle w:val="BodyText"/>
        <w:spacing w:line="286" w:lineRule="exact"/>
        <w:ind w:left="578" w:right="0"/>
        <w:jc w:val="both"/>
      </w:pPr>
      <w:r>
        <w:rPr/>
        <w:t>资格的联通红筹公司及其附属子公司的员工授予股份期权。此等期权计划的条款已于</w:t>
      </w:r>
      <w:r>
        <w:rPr>
          <w:spacing w:val="-51"/>
        </w:rPr>
        <w:t> </w:t>
      </w:r>
      <w:r>
        <w:rPr>
          <w:rFonts w:ascii="Arial" w:hAnsi="Arial" w:cs="Arial" w:eastAsia="Arial" w:hint="default"/>
        </w:rPr>
        <w:t>2002</w:t>
      </w:r>
      <w:r>
        <w:rPr>
          <w:rFonts w:ascii="Arial" w:hAnsi="Arial" w:cs="Arial" w:eastAsia="Arial" w:hint="default"/>
          <w:spacing w:val="-2"/>
        </w:rPr>
        <w:t> </w:t>
      </w:r>
      <w:r>
        <w:rPr/>
        <w:t>年</w:t>
      </w:r>
    </w:p>
    <w:p>
      <w:pPr>
        <w:pStyle w:val="BodyText"/>
        <w:spacing w:line="295" w:lineRule="exact"/>
        <w:ind w:left="578" w:right="0"/>
        <w:jc w:val="both"/>
      </w:pP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13</w:t>
      </w:r>
      <w:r>
        <w:rPr>
          <w:rFonts w:ascii="Arial" w:hAnsi="Arial" w:cs="Arial" w:eastAsia="Arial" w:hint="default"/>
          <w:spacing w:val="-7"/>
        </w:rPr>
        <w:t> </w:t>
      </w:r>
      <w:r>
        <w:rPr/>
        <w:t>日、</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11</w:t>
      </w:r>
      <w:r>
        <w:rPr>
          <w:rFonts w:ascii="Arial" w:hAnsi="Arial" w:cs="Arial" w:eastAsia="Arial" w:hint="default"/>
          <w:spacing w:val="-7"/>
        </w:rPr>
        <w:t> </w:t>
      </w:r>
      <w:r>
        <w:rPr/>
        <w:t>日及</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26</w:t>
      </w:r>
      <w:r>
        <w:rPr>
          <w:rFonts w:ascii="Arial" w:hAnsi="Arial" w:cs="Arial" w:eastAsia="Arial" w:hint="default"/>
          <w:spacing w:val="-7"/>
        </w:rPr>
        <w:t> </w:t>
      </w:r>
      <w:r>
        <w:rPr/>
        <w:t>日作出修订。</w:t>
      </w:r>
    </w:p>
    <w:p>
      <w:pPr>
        <w:spacing w:line="240" w:lineRule="auto" w:before="12"/>
        <w:rPr>
          <w:rFonts w:ascii="宋体" w:hAnsi="宋体" w:cs="宋体" w:eastAsia="宋体" w:hint="default"/>
          <w:sz w:val="17"/>
          <w:szCs w:val="17"/>
        </w:rPr>
      </w:pPr>
    </w:p>
    <w:p>
      <w:pPr>
        <w:pStyle w:val="BodyText"/>
        <w:spacing w:line="295" w:lineRule="exact"/>
        <w:ind w:left="578" w:right="0"/>
        <w:jc w:val="both"/>
      </w:pPr>
      <w:r>
        <w:rPr/>
        <w:t>于</w:t>
      </w:r>
      <w:r>
        <w:rPr>
          <w:spacing w:val="-42"/>
        </w:rPr>
        <w:t> </w:t>
      </w:r>
      <w:r>
        <w:rPr>
          <w:rFonts w:ascii="Arial" w:hAnsi="Arial" w:cs="Arial" w:eastAsia="Arial" w:hint="default"/>
        </w:rPr>
        <w:t>2008</w:t>
      </w:r>
      <w:r>
        <w:rPr>
          <w:rFonts w:ascii="Arial" w:hAnsi="Arial" w:cs="Arial" w:eastAsia="Arial" w:hint="default"/>
          <w:spacing w:val="7"/>
        </w:rPr>
        <w:t> </w:t>
      </w:r>
      <w:r>
        <w:rPr/>
        <w:t>年</w:t>
      </w:r>
      <w:r>
        <w:rPr>
          <w:spacing w:val="-42"/>
        </w:rPr>
        <w:t> </w:t>
      </w:r>
      <w:r>
        <w:rPr>
          <w:rFonts w:ascii="Arial" w:hAnsi="Arial" w:cs="Arial" w:eastAsia="Arial" w:hint="default"/>
        </w:rPr>
        <w:t>9</w:t>
      </w:r>
      <w:r>
        <w:rPr>
          <w:rFonts w:ascii="Arial" w:hAnsi="Arial" w:cs="Arial" w:eastAsia="Arial" w:hint="default"/>
          <w:spacing w:val="7"/>
        </w:rPr>
        <w:t> </w:t>
      </w:r>
      <w:r>
        <w:rPr/>
        <w:t>月</w:t>
      </w:r>
      <w:r>
        <w:rPr>
          <w:spacing w:val="-42"/>
        </w:rPr>
        <w:t> </w:t>
      </w:r>
      <w:r>
        <w:rPr>
          <w:rFonts w:ascii="Arial" w:hAnsi="Arial" w:cs="Arial" w:eastAsia="Arial" w:hint="default"/>
        </w:rPr>
        <w:t>16</w:t>
      </w:r>
      <w:r>
        <w:rPr>
          <w:rFonts w:ascii="Arial" w:hAnsi="Arial" w:cs="Arial" w:eastAsia="Arial" w:hint="default"/>
          <w:spacing w:val="7"/>
        </w:rPr>
        <w:t> </w:t>
      </w:r>
      <w:r>
        <w:rPr/>
        <w:t>日，联通红筹公司召开了特别股东大会审议并通过了与网通红筹公司合并</w:t>
      </w:r>
    </w:p>
    <w:p>
      <w:pPr>
        <w:pStyle w:val="BodyText"/>
        <w:spacing w:line="286" w:lineRule="exact"/>
        <w:ind w:left="578" w:right="0"/>
        <w:jc w:val="both"/>
      </w:pPr>
      <w:r>
        <w:rPr/>
        <w:t>的协议安排。于</w:t>
      </w:r>
      <w:r>
        <w:rPr>
          <w:spacing w:val="-63"/>
        </w:rPr>
        <w:t> </w:t>
      </w:r>
      <w:r>
        <w:rPr>
          <w:rFonts w:ascii="Arial" w:hAnsi="Arial" w:cs="Arial" w:eastAsia="Arial" w:hint="default"/>
        </w:rPr>
        <w:t>2008</w:t>
      </w:r>
      <w:r>
        <w:rPr>
          <w:rFonts w:ascii="Arial" w:hAnsi="Arial" w:cs="Arial" w:eastAsia="Arial" w:hint="default"/>
          <w:spacing w:val="-14"/>
        </w:rPr>
        <w:t> </w:t>
      </w:r>
      <w:r>
        <w:rPr/>
        <w:t>年</w:t>
      </w:r>
      <w:r>
        <w:rPr>
          <w:spacing w:val="-63"/>
        </w:rPr>
        <w:t> </w:t>
      </w:r>
      <w:r>
        <w:rPr>
          <w:rFonts w:ascii="Arial" w:hAnsi="Arial" w:cs="Arial" w:eastAsia="Arial" w:hint="default"/>
        </w:rPr>
        <w:t>10</w:t>
      </w:r>
      <w:r>
        <w:rPr>
          <w:rFonts w:ascii="Arial" w:hAnsi="Arial" w:cs="Arial" w:eastAsia="Arial" w:hint="default"/>
          <w:spacing w:val="-14"/>
        </w:rPr>
        <w:t> </w:t>
      </w:r>
      <w:r>
        <w:rPr/>
        <w:t>月</w:t>
      </w:r>
      <w:r>
        <w:rPr>
          <w:spacing w:val="-63"/>
        </w:rPr>
        <w:t> </w:t>
      </w:r>
      <w:r>
        <w:rPr>
          <w:rFonts w:ascii="Arial" w:hAnsi="Arial" w:cs="Arial" w:eastAsia="Arial" w:hint="default"/>
        </w:rPr>
        <w:t>15</w:t>
      </w:r>
      <w:r>
        <w:rPr>
          <w:rFonts w:ascii="Arial" w:hAnsi="Arial" w:cs="Arial" w:eastAsia="Arial" w:hint="default"/>
          <w:spacing w:val="-14"/>
        </w:rPr>
        <w:t> </w:t>
      </w:r>
      <w:r>
        <w:rPr/>
        <w:t>日，该协议安排正式生效。根据协议安排，联通红筹公司制</w:t>
      </w:r>
    </w:p>
    <w:p>
      <w:pPr>
        <w:pStyle w:val="BodyText"/>
        <w:spacing w:line="230" w:lineRule="auto" w:before="1"/>
        <w:ind w:left="578" w:right="165" w:hanging="1"/>
        <w:jc w:val="both"/>
      </w:pPr>
      <w:r>
        <w:rPr/>
        <w:t>订和通过特殊目的股份期权计划（“特殊目的股份期权计划”），并已于</w:t>
      </w:r>
      <w:r>
        <w:rPr>
          <w:spacing w:val="-62"/>
        </w:rPr>
        <w:t> </w:t>
      </w:r>
      <w:r>
        <w:rPr>
          <w:rFonts w:ascii="Arial" w:hAnsi="Arial" w:cs="Arial" w:eastAsia="Arial" w:hint="default"/>
        </w:rPr>
        <w:t>2008</w:t>
      </w:r>
      <w:r>
        <w:rPr>
          <w:rFonts w:ascii="Arial" w:hAnsi="Arial" w:cs="Arial" w:eastAsia="Arial" w:hint="default"/>
          <w:spacing w:val="-13"/>
        </w:rPr>
        <w:t> </w:t>
      </w:r>
      <w:r>
        <w:rPr/>
        <w:t>年</w:t>
      </w:r>
      <w:r>
        <w:rPr>
          <w:spacing w:val="-62"/>
        </w:rPr>
        <w:t> </w:t>
      </w:r>
      <w:r>
        <w:rPr>
          <w:rFonts w:ascii="Arial" w:hAnsi="Arial" w:cs="Arial" w:eastAsia="Arial" w:hint="default"/>
        </w:rPr>
        <w:t>10</w:t>
      </w:r>
      <w:r>
        <w:rPr>
          <w:rFonts w:ascii="Arial" w:hAnsi="Arial" w:cs="Arial" w:eastAsia="Arial" w:hint="default"/>
          <w:spacing w:val="-13"/>
        </w:rPr>
        <w:t> </w:t>
      </w:r>
      <w:r>
        <w:rPr/>
        <w:t>月</w:t>
      </w:r>
      <w:r>
        <w:rPr>
          <w:spacing w:val="-62"/>
        </w:rPr>
        <w:t> </w:t>
      </w:r>
      <w:r>
        <w:rPr>
          <w:rFonts w:ascii="Arial" w:hAnsi="Arial" w:cs="Arial" w:eastAsia="Arial" w:hint="default"/>
        </w:rPr>
        <w:t>14</w:t>
      </w:r>
      <w:r>
        <w:rPr>
          <w:rFonts w:ascii="Arial" w:hAnsi="Arial" w:cs="Arial" w:eastAsia="Arial" w:hint="default"/>
          <w:spacing w:val="-14"/>
        </w:rPr>
        <w:t> </w:t>
      </w:r>
      <w:r>
        <w:rPr/>
        <w:t>日</w:t>
      </w:r>
      <w:r>
        <w:rPr>
          <w:w w:val="99"/>
        </w:rPr>
        <w:t> </w:t>
      </w:r>
      <w:r>
        <w:rPr>
          <w:spacing w:val="-1"/>
          <w:w w:val="95"/>
        </w:rPr>
        <w:t>授予持有但尚未行使网通红筹公司股份期权的人士（“合资格参与人”）。此等期权计划的条</w:t>
      </w:r>
      <w:r>
        <w:rPr>
          <w:w w:val="95"/>
        </w:rPr>
        <w:t> </w:t>
      </w:r>
      <w:r>
        <w:rPr>
          <w:spacing w:val="21"/>
          <w:w w:val="95"/>
        </w:rPr>
        <w:t> </w:t>
      </w:r>
      <w:r>
        <w:rPr>
          <w:spacing w:val="21"/>
          <w:w w:val="95"/>
        </w:rPr>
      </w:r>
      <w:r>
        <w:rPr/>
        <w:t>款已于</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26</w:t>
      </w:r>
      <w:r>
        <w:rPr>
          <w:rFonts w:ascii="Arial" w:hAnsi="Arial" w:cs="Arial" w:eastAsia="Arial" w:hint="default"/>
          <w:spacing w:val="-7"/>
        </w:rPr>
        <w:t> </w:t>
      </w:r>
      <w:r>
        <w:rPr/>
        <w:t>日作出修订。</w:t>
      </w:r>
    </w:p>
    <w:p>
      <w:pPr>
        <w:spacing w:line="240" w:lineRule="auto" w:before="2"/>
        <w:rPr>
          <w:rFonts w:ascii="宋体" w:hAnsi="宋体" w:cs="宋体" w:eastAsia="宋体" w:hint="default"/>
          <w:sz w:val="18"/>
          <w:szCs w:val="18"/>
        </w:rPr>
      </w:pPr>
    </w:p>
    <w:p>
      <w:pPr>
        <w:pStyle w:val="BodyText"/>
        <w:spacing w:line="240" w:lineRule="auto"/>
        <w:ind w:left="578" w:right="0"/>
        <w:jc w:val="both"/>
      </w:pPr>
      <w:r>
        <w:rPr/>
        <w:t>于</w:t>
      </w:r>
      <w:r>
        <w:rPr>
          <w:spacing w:val="-57"/>
        </w:rPr>
        <w:t> </w:t>
      </w:r>
      <w:r>
        <w:rPr>
          <w:rFonts w:ascii="Arial" w:hAnsi="Arial" w:cs="Arial" w:eastAsia="Arial" w:hint="default"/>
        </w:rPr>
        <w:t>2011</w:t>
      </w:r>
      <w:r>
        <w:rPr>
          <w:rFonts w:ascii="Arial" w:hAnsi="Arial" w:cs="Arial" w:eastAsia="Arial" w:hint="default"/>
          <w:spacing w:val="-8"/>
        </w:rPr>
        <w:t> </w:t>
      </w:r>
      <w:r>
        <w:rPr/>
        <w:t>年度，联通红筹公司未行使的股份期权数目的变动及有关加权平均行使价列示如下：</w:t>
      </w:r>
    </w:p>
    <w:p>
      <w:pPr>
        <w:spacing w:line="240" w:lineRule="auto" w:before="3"/>
        <w:rPr>
          <w:rFonts w:ascii="宋体" w:hAnsi="宋体" w:cs="宋体" w:eastAsia="宋体" w:hint="default"/>
          <w:sz w:val="18"/>
          <w:szCs w:val="18"/>
        </w:rPr>
      </w:pPr>
    </w:p>
    <w:p>
      <w:pPr>
        <w:tabs>
          <w:tab w:pos="6035" w:val="left" w:leader="none"/>
        </w:tabs>
        <w:spacing w:before="0"/>
        <w:ind w:left="2441" w:right="0"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tab/>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p>
      <w:pPr>
        <w:spacing w:line="20" w:lineRule="exact"/>
        <w:ind w:left="2543" w:right="0" w:firstLine="0"/>
        <w:rPr>
          <w:rFonts w:ascii="宋体" w:hAnsi="宋体" w:cs="宋体" w:eastAsia="宋体" w:hint="default"/>
          <w:sz w:val="2"/>
          <w:szCs w:val="2"/>
        </w:rPr>
      </w:pPr>
      <w:r>
        <w:rPr>
          <w:rFonts w:ascii="宋体"/>
          <w:sz w:val="2"/>
        </w:rPr>
        <w:pict>
          <v:group style="width:174pt;height:.75pt;mso-position-horizontal-relative:char;mso-position-vertical-relative:line" coordorigin="0,0" coordsize="3480,15">
            <v:group style="position:absolute;left:7;top:7;width:3466;height:2" coordorigin="7,7" coordsize="3466,2">
              <v:shape style="position:absolute;left:7;top:7;width:3466;height:2" coordorigin="7,7" coordsize="3466,0" path="m7,7l3473,7e" filled="false" stroked="true" strokeweight=".72pt" strokecolor="#000000">
                <v:path arrowok="t"/>
              </v:shape>
            </v:group>
          </v:group>
        </w:pict>
      </w:r>
      <w:r>
        <w:rPr>
          <w:rFonts w:ascii="宋体"/>
          <w:sz w:val="2"/>
        </w:rPr>
      </w:r>
      <w:r>
        <w:rPr>
          <w:rFonts w:ascii="Times New Roman"/>
          <w:spacing w:val="122"/>
          <w:sz w:val="2"/>
        </w:rPr>
        <w:t> </w:t>
      </w:r>
      <w:r>
        <w:rPr>
          <w:rFonts w:ascii="宋体"/>
          <w:spacing w:val="122"/>
          <w:sz w:val="2"/>
        </w:rPr>
        <w:pict>
          <v:group style="width:172.4pt;height:.75pt;mso-position-horizontal-relative:char;mso-position-vertical-relative:line" coordorigin="0,0" coordsize="3448,15">
            <v:group style="position:absolute;left:7;top:7;width:3434;height:2" coordorigin="7,7" coordsize="3434,2">
              <v:shape style="position:absolute;left:7;top:7;width:3434;height:2" coordorigin="7,7" coordsize="3434,0" path="m7,7l3440,7e" filled="false" stroked="true" strokeweight=".72pt" strokecolor="#000000">
                <v:path arrowok="t"/>
              </v:shape>
            </v:group>
          </v:group>
        </w:pict>
      </w:r>
      <w:r>
        <w:rPr>
          <w:rFonts w:ascii="宋体"/>
          <w:spacing w:val="122"/>
          <w:sz w:val="2"/>
        </w:rPr>
      </w:r>
    </w:p>
    <w:p>
      <w:pPr>
        <w:tabs>
          <w:tab w:pos="4549" w:val="left" w:leader="none"/>
          <w:tab w:pos="6012" w:val="left" w:leader="none"/>
          <w:tab w:pos="8152" w:val="left" w:leader="none"/>
        </w:tabs>
        <w:spacing w:before="160"/>
        <w:ind w:left="2394" w:right="0" w:firstLine="0"/>
        <w:jc w:val="center"/>
        <w:rPr>
          <w:rFonts w:ascii="宋体" w:hAnsi="宋体" w:cs="宋体" w:eastAsia="宋体" w:hint="default"/>
          <w:sz w:val="20"/>
          <w:szCs w:val="20"/>
        </w:rPr>
      </w:pPr>
      <w:r>
        <w:rPr>
          <w:rFonts w:ascii="宋体" w:hAnsi="宋体" w:cs="宋体" w:eastAsia="宋体" w:hint="default"/>
          <w:spacing w:val="-1"/>
          <w:sz w:val="20"/>
          <w:szCs w:val="20"/>
        </w:rPr>
        <w:t>平均行使价每股港币</w:t>
        <w:tab/>
        <w:t>股份期权份数</w:t>
        <w:tab/>
        <w:t>平均行使价每股港币</w:t>
        <w:tab/>
        <w:t>股份期权份数</w:t>
      </w:r>
    </w:p>
    <w:p>
      <w:pPr>
        <w:spacing w:line="240" w:lineRule="auto" w:before="12"/>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1965"/>
        <w:gridCol w:w="1886"/>
        <w:gridCol w:w="58"/>
        <w:gridCol w:w="1522"/>
        <w:gridCol w:w="72"/>
        <w:gridCol w:w="65"/>
        <w:gridCol w:w="1928"/>
        <w:gridCol w:w="59"/>
        <w:gridCol w:w="1453"/>
      </w:tblGrid>
      <w:tr>
        <w:trPr>
          <w:trHeight w:val="308"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886"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right="118"/>
              <w:jc w:val="right"/>
              <w:rPr>
                <w:rFonts w:ascii="Arial" w:hAnsi="Arial" w:cs="Arial" w:eastAsia="Arial" w:hint="default"/>
                <w:sz w:val="20"/>
                <w:szCs w:val="20"/>
              </w:rPr>
            </w:pPr>
            <w:r>
              <w:rPr>
                <w:rFonts w:ascii="Arial"/>
                <w:sz w:val="20"/>
              </w:rPr>
              <w:t>6.59</w:t>
            </w:r>
          </w:p>
        </w:tc>
        <w:tc>
          <w:tcPr>
            <w:tcW w:w="1652"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47"/>
              <w:ind w:left="359" w:right="0"/>
              <w:jc w:val="left"/>
              <w:rPr>
                <w:rFonts w:ascii="Arial" w:hAnsi="Arial" w:cs="Arial" w:eastAsia="Arial" w:hint="default"/>
                <w:sz w:val="20"/>
                <w:szCs w:val="20"/>
              </w:rPr>
            </w:pPr>
            <w:r>
              <w:rPr>
                <w:rFonts w:ascii="Arial"/>
                <w:sz w:val="20"/>
              </w:rPr>
              <w:t>396,012,118</w:t>
            </w:r>
          </w:p>
        </w:tc>
        <w:tc>
          <w:tcPr>
            <w:tcW w:w="1993"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47"/>
              <w:ind w:right="117"/>
              <w:jc w:val="right"/>
              <w:rPr>
                <w:rFonts w:ascii="Arial" w:hAnsi="Arial" w:cs="Arial" w:eastAsia="Arial" w:hint="default"/>
                <w:sz w:val="20"/>
                <w:szCs w:val="20"/>
              </w:rPr>
            </w:pPr>
            <w:r>
              <w:rPr>
                <w:rFonts w:ascii="Arial"/>
                <w:sz w:val="20"/>
              </w:rPr>
              <w:t>6.95</w:t>
            </w:r>
          </w:p>
        </w:tc>
        <w:tc>
          <w:tcPr>
            <w:tcW w:w="151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47"/>
              <w:ind w:left="314" w:right="0"/>
              <w:jc w:val="left"/>
              <w:rPr>
                <w:rFonts w:ascii="Arial" w:hAnsi="Arial" w:cs="Arial" w:eastAsia="Arial" w:hint="default"/>
                <w:sz w:val="20"/>
                <w:szCs w:val="20"/>
              </w:rPr>
            </w:pPr>
            <w:r>
              <w:rPr>
                <w:rFonts w:ascii="Arial"/>
                <w:sz w:val="20"/>
              </w:rPr>
              <w:t>413,074,166</w:t>
            </w:r>
          </w:p>
        </w:tc>
      </w:tr>
      <w:tr>
        <w:trPr>
          <w:trHeight w:val="280"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授予</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4"/>
              <w:jc w:val="right"/>
              <w:rPr>
                <w:rFonts w:ascii="Arial" w:hAnsi="Arial" w:cs="Arial" w:eastAsia="Arial" w:hint="default"/>
                <w:sz w:val="20"/>
                <w:szCs w:val="20"/>
              </w:rPr>
            </w:pPr>
            <w:r>
              <w:rPr>
                <w:rFonts w:ascii="Arial"/>
                <w:w w:val="100"/>
                <w:sz w:val="20"/>
              </w:rPr>
              <w:t>-</w:t>
            </w:r>
          </w:p>
        </w:tc>
        <w:tc>
          <w:tcPr>
            <w:tcW w:w="165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right="221"/>
              <w:jc w:val="right"/>
              <w:rPr>
                <w:rFonts w:ascii="Arial" w:hAnsi="Arial" w:cs="Arial" w:eastAsia="Arial" w:hint="default"/>
                <w:sz w:val="20"/>
                <w:szCs w:val="20"/>
              </w:rPr>
            </w:pPr>
            <w:r>
              <w:rPr>
                <w:rFonts w:ascii="Arial"/>
                <w:w w:val="100"/>
                <w:sz w:val="20"/>
              </w:rPr>
              <w:t>-</w:t>
            </w:r>
          </w:p>
        </w:tc>
        <w:tc>
          <w:tcPr>
            <w:tcW w:w="1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right="145"/>
              <w:jc w:val="right"/>
              <w:rPr>
                <w:rFonts w:ascii="Arial" w:hAnsi="Arial" w:cs="Arial" w:eastAsia="Arial" w:hint="default"/>
                <w:sz w:val="20"/>
                <w:szCs w:val="20"/>
              </w:rPr>
            </w:pPr>
            <w:r>
              <w:rPr>
                <w:rFonts w:ascii="Arial"/>
                <w:w w:val="100"/>
                <w:sz w:val="20"/>
              </w:rPr>
              <w:t>-</w:t>
            </w:r>
          </w:p>
        </w:tc>
        <w:tc>
          <w:tcPr>
            <w:tcW w:w="1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Arial" w:hAnsi="Arial" w:cs="Arial" w:eastAsia="Arial" w:hint="default"/>
                <w:sz w:val="20"/>
                <w:szCs w:val="20"/>
              </w:rPr>
            </w:pPr>
            <w:r>
              <w:rPr>
                <w:rFonts w:ascii="Arial"/>
                <w:w w:val="100"/>
                <w:sz w:val="20"/>
              </w:rPr>
              <w:t>-</w:t>
            </w:r>
          </w:p>
        </w:tc>
      </w:tr>
      <w:tr>
        <w:trPr>
          <w:trHeight w:val="280"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失效</w:t>
            </w:r>
            <w:r>
              <w:rPr>
                <w:rFonts w:ascii="Arial" w:hAnsi="Arial" w:cs="Arial" w:eastAsia="Arial" w:hint="default"/>
                <w:sz w:val="20"/>
                <w:szCs w:val="20"/>
              </w:rPr>
              <w:t>/</w:t>
            </w:r>
            <w:r>
              <w:rPr>
                <w:rFonts w:ascii="宋体" w:hAnsi="宋体" w:cs="宋体" w:eastAsia="宋体" w:hint="default"/>
                <w:sz w:val="20"/>
                <w:szCs w:val="20"/>
              </w:rPr>
              <w:t>取消</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8"/>
              <w:jc w:val="right"/>
              <w:rPr>
                <w:rFonts w:ascii="Arial" w:hAnsi="Arial" w:cs="Arial" w:eastAsia="Arial" w:hint="default"/>
                <w:sz w:val="20"/>
                <w:szCs w:val="20"/>
              </w:rPr>
            </w:pPr>
            <w:r>
              <w:rPr>
                <w:rFonts w:ascii="Arial"/>
                <w:sz w:val="20"/>
              </w:rPr>
              <w:t>15.42</w:t>
            </w:r>
          </w:p>
        </w:tc>
        <w:tc>
          <w:tcPr>
            <w:tcW w:w="165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5"/>
              <w:ind w:left="495" w:right="0"/>
              <w:jc w:val="left"/>
              <w:rPr>
                <w:rFonts w:ascii="Arial" w:hAnsi="Arial" w:cs="Arial" w:eastAsia="Arial" w:hint="default"/>
                <w:sz w:val="20"/>
                <w:szCs w:val="20"/>
              </w:rPr>
            </w:pPr>
            <w:r>
              <w:rPr>
                <w:rFonts w:ascii="Arial"/>
                <w:sz w:val="20"/>
              </w:rPr>
              <w:t>(1,806,000)</w:t>
            </w:r>
          </w:p>
        </w:tc>
        <w:tc>
          <w:tcPr>
            <w:tcW w:w="1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right="119"/>
              <w:jc w:val="right"/>
              <w:rPr>
                <w:rFonts w:ascii="Arial" w:hAnsi="Arial" w:cs="Arial" w:eastAsia="Arial" w:hint="default"/>
                <w:sz w:val="20"/>
                <w:szCs w:val="20"/>
              </w:rPr>
            </w:pPr>
            <w:r>
              <w:rPr>
                <w:rFonts w:ascii="Arial"/>
                <w:sz w:val="20"/>
              </w:rPr>
              <w:t>15.42</w:t>
            </w:r>
          </w:p>
        </w:tc>
        <w:tc>
          <w:tcPr>
            <w:tcW w:w="15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37" w:right="0"/>
              <w:jc w:val="left"/>
              <w:rPr>
                <w:rFonts w:ascii="Arial" w:hAnsi="Arial" w:cs="Arial" w:eastAsia="Arial" w:hint="default"/>
                <w:sz w:val="20"/>
                <w:szCs w:val="20"/>
              </w:rPr>
            </w:pPr>
            <w:r>
              <w:rPr>
                <w:rFonts w:ascii="Arial"/>
                <w:sz w:val="20"/>
              </w:rPr>
              <w:t>(16,977,600)</w:t>
            </w:r>
          </w:p>
        </w:tc>
      </w:tr>
      <w:tr>
        <w:trPr>
          <w:trHeight w:val="428"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行使</w:t>
            </w:r>
          </w:p>
        </w:tc>
        <w:tc>
          <w:tcPr>
            <w:tcW w:w="1886" w:type="dxa"/>
            <w:tcBorders>
              <w:top w:val="nil" w:sz="6" w:space="0" w:color="auto"/>
              <w:left w:val="nil" w:sz="6" w:space="0" w:color="auto"/>
              <w:bottom w:val="nil" w:sz="6" w:space="0" w:color="auto"/>
              <w:right w:val="nil" w:sz="6" w:space="0" w:color="auto"/>
            </w:tcBorders>
          </w:tcPr>
          <w:p>
            <w:pPr>
              <w:pStyle w:val="TableParagraph"/>
              <w:tabs>
                <w:tab w:pos="1263" w:val="left" w:leader="none"/>
                <w:tab w:pos="1827" w:val="left" w:leader="none"/>
              </w:tabs>
              <w:spacing w:line="240" w:lineRule="auto" w:before="26"/>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14.77</w:t>
              <w:tab/>
            </w:r>
            <w:r>
              <w:rPr>
                <w:rFonts w:ascii="Arial"/>
                <w:sz w:val="20"/>
              </w:rPr>
            </w:r>
          </w:p>
        </w:tc>
        <w:tc>
          <w:tcPr>
            <w:tcW w:w="1652" w:type="dxa"/>
            <w:gridSpan w:val="3"/>
            <w:tcBorders>
              <w:top w:val="nil" w:sz="6" w:space="0" w:color="auto"/>
              <w:left w:val="nil" w:sz="6" w:space="0" w:color="auto"/>
              <w:bottom w:val="nil" w:sz="6" w:space="0" w:color="auto"/>
              <w:right w:val="nil" w:sz="6" w:space="0" w:color="auto"/>
            </w:tcBorders>
          </w:tcPr>
          <w:p>
            <w:pPr>
              <w:pStyle w:val="TableParagraph"/>
              <w:tabs>
                <w:tab w:pos="495" w:val="left" w:leader="none"/>
                <w:tab w:pos="1579" w:val="left" w:leader="none"/>
              </w:tabs>
              <w:spacing w:line="240" w:lineRule="auto" w:before="26"/>
              <w:ind w:left="5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(2,724,960)</w:t>
              <w:tab/>
            </w:r>
            <w:r>
              <w:rPr>
                <w:rFonts w:ascii="Arial"/>
                <w:sz w:val="20"/>
              </w:rPr>
            </w:r>
          </w:p>
        </w:tc>
        <w:tc>
          <w:tcPr>
            <w:tcW w:w="1993" w:type="dxa"/>
            <w:gridSpan w:val="2"/>
            <w:tcBorders>
              <w:top w:val="nil" w:sz="6" w:space="0" w:color="auto"/>
              <w:left w:val="nil" w:sz="6" w:space="0" w:color="auto"/>
              <w:bottom w:val="nil" w:sz="6" w:space="0" w:color="auto"/>
              <w:right w:val="nil" w:sz="6" w:space="0" w:color="auto"/>
            </w:tcBorders>
          </w:tcPr>
          <w:p>
            <w:pPr>
              <w:pStyle w:val="TableParagraph"/>
              <w:tabs>
                <w:tab w:pos="1483" w:val="left" w:leader="none"/>
                <w:tab w:pos="1934" w:val="left" w:leader="none"/>
              </w:tabs>
              <w:spacing w:line="240" w:lineRule="auto" w:before="26"/>
              <w:ind w:left="7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5.57</w:t>
              <w:tab/>
            </w:r>
            <w:r>
              <w:rPr>
                <w:rFonts w:ascii="Arial"/>
                <w:sz w:val="20"/>
              </w:rPr>
            </w:r>
          </w:p>
        </w:tc>
        <w:tc>
          <w:tcPr>
            <w:tcW w:w="1512" w:type="dxa"/>
            <w:gridSpan w:val="2"/>
            <w:tcBorders>
              <w:top w:val="nil" w:sz="6" w:space="0" w:color="auto"/>
              <w:left w:val="nil" w:sz="6" w:space="0" w:color="auto"/>
              <w:bottom w:val="nil" w:sz="6" w:space="0" w:color="auto"/>
              <w:right w:val="nil" w:sz="6" w:space="0" w:color="auto"/>
            </w:tcBorders>
          </w:tcPr>
          <w:p>
            <w:pPr>
              <w:pStyle w:val="TableParagraph"/>
              <w:tabs>
                <w:tab w:pos="726" w:val="left" w:leader="none"/>
              </w:tabs>
              <w:spacing w:line="240" w:lineRule="auto" w:before="26"/>
              <w:ind w:left="5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(84,448)</w:t>
            </w:r>
            <w:r>
              <w:rPr>
                <w:rFonts w:ascii="Arial"/>
                <w:sz w:val="20"/>
              </w:rPr>
            </w:r>
          </w:p>
        </w:tc>
      </w:tr>
      <w:tr>
        <w:trPr>
          <w:trHeight w:val="428"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886" w:type="dxa"/>
            <w:tcBorders>
              <w:top w:val="nil" w:sz="6" w:space="0" w:color="auto"/>
              <w:left w:val="nil" w:sz="6" w:space="0" w:color="auto"/>
              <w:bottom w:val="single" w:sz="17" w:space="0" w:color="000000"/>
              <w:right w:val="nil" w:sz="6" w:space="0" w:color="auto"/>
            </w:tcBorders>
          </w:tcPr>
          <w:p>
            <w:pPr>
              <w:pStyle w:val="TableParagraph"/>
              <w:spacing w:line="240" w:lineRule="auto" w:before="173"/>
              <w:ind w:right="118"/>
              <w:jc w:val="right"/>
              <w:rPr>
                <w:rFonts w:ascii="Arial" w:hAnsi="Arial" w:cs="Arial" w:eastAsia="Arial" w:hint="default"/>
                <w:sz w:val="20"/>
                <w:szCs w:val="20"/>
              </w:rPr>
            </w:pPr>
            <w:r>
              <w:rPr>
                <w:rFonts w:ascii="Arial"/>
                <w:sz w:val="20"/>
              </w:rPr>
              <w:t>6.49</w:t>
            </w:r>
          </w:p>
        </w:tc>
        <w:tc>
          <w:tcPr>
            <w:tcW w:w="58"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17" w:space="0" w:color="000000"/>
              <w:right w:val="nil" w:sz="6" w:space="0" w:color="auto"/>
            </w:tcBorders>
          </w:tcPr>
          <w:p>
            <w:pPr>
              <w:pStyle w:val="TableParagraph"/>
              <w:spacing w:line="240" w:lineRule="auto" w:before="173"/>
              <w:ind w:right="104"/>
              <w:jc w:val="right"/>
              <w:rPr>
                <w:rFonts w:ascii="Arial" w:hAnsi="Arial" w:cs="Arial" w:eastAsia="Arial" w:hint="default"/>
                <w:sz w:val="20"/>
                <w:szCs w:val="20"/>
              </w:rPr>
            </w:pPr>
            <w:r>
              <w:rPr>
                <w:rFonts w:ascii="Arial"/>
                <w:spacing w:val="-1"/>
                <w:sz w:val="20"/>
              </w:rPr>
              <w:t>391,481,158</w:t>
            </w:r>
          </w:p>
        </w:tc>
        <w:tc>
          <w:tcPr>
            <w:tcW w:w="137" w:type="dxa"/>
            <w:gridSpan w:val="2"/>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17" w:space="0" w:color="000000"/>
              <w:right w:val="nil" w:sz="6" w:space="0" w:color="auto"/>
            </w:tcBorders>
          </w:tcPr>
          <w:p>
            <w:pPr>
              <w:pStyle w:val="TableParagraph"/>
              <w:spacing w:line="240" w:lineRule="auto" w:before="173"/>
              <w:ind w:right="117"/>
              <w:jc w:val="right"/>
              <w:rPr>
                <w:rFonts w:ascii="Arial" w:hAnsi="Arial" w:cs="Arial" w:eastAsia="Arial" w:hint="default"/>
                <w:sz w:val="20"/>
                <w:szCs w:val="20"/>
              </w:rPr>
            </w:pPr>
            <w:r>
              <w:rPr>
                <w:rFonts w:ascii="Arial"/>
                <w:sz w:val="20"/>
              </w:rPr>
              <w:t>6.59</w:t>
            </w:r>
          </w:p>
        </w:tc>
        <w:tc>
          <w:tcPr>
            <w:tcW w:w="59"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17" w:space="0" w:color="000000"/>
              <w:right w:val="nil" w:sz="6" w:space="0" w:color="auto"/>
            </w:tcBorders>
          </w:tcPr>
          <w:p>
            <w:pPr>
              <w:pStyle w:val="TableParagraph"/>
              <w:spacing w:line="240" w:lineRule="auto" w:before="173"/>
              <w:ind w:right="81"/>
              <w:jc w:val="right"/>
              <w:rPr>
                <w:rFonts w:ascii="Arial" w:hAnsi="Arial" w:cs="Arial" w:eastAsia="Arial" w:hint="default"/>
                <w:sz w:val="20"/>
                <w:szCs w:val="20"/>
              </w:rPr>
            </w:pPr>
            <w:r>
              <w:rPr>
                <w:rFonts w:ascii="Arial"/>
                <w:spacing w:val="-1"/>
                <w:sz w:val="20"/>
              </w:rPr>
              <w:t>396,012,118</w:t>
            </w:r>
          </w:p>
        </w:tc>
      </w:tr>
      <w:tr>
        <w:trPr>
          <w:trHeight w:val="326"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可于期末行权</w:t>
            </w:r>
          </w:p>
        </w:tc>
        <w:tc>
          <w:tcPr>
            <w:tcW w:w="1886"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118"/>
              <w:jc w:val="right"/>
              <w:rPr>
                <w:rFonts w:ascii="Arial" w:hAnsi="Arial" w:cs="Arial" w:eastAsia="Arial" w:hint="default"/>
                <w:sz w:val="20"/>
                <w:szCs w:val="20"/>
              </w:rPr>
            </w:pPr>
            <w:r>
              <w:rPr>
                <w:rFonts w:ascii="Arial"/>
                <w:sz w:val="20"/>
              </w:rPr>
              <w:t>6.49</w:t>
            </w:r>
          </w:p>
        </w:tc>
        <w:tc>
          <w:tcPr>
            <w:tcW w:w="58" w:type="dxa"/>
            <w:tcBorders>
              <w:top w:val="nil" w:sz="6" w:space="0" w:color="auto"/>
              <w:left w:val="nil" w:sz="6" w:space="0" w:color="auto"/>
              <w:bottom w:val="nil" w:sz="6" w:space="0" w:color="auto"/>
              <w:right w:val="nil" w:sz="6" w:space="0" w:color="auto"/>
            </w:tcBorders>
          </w:tcPr>
          <w:p>
            <w:pPr/>
          </w:p>
        </w:tc>
        <w:tc>
          <w:tcPr>
            <w:tcW w:w="15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104"/>
              <w:jc w:val="right"/>
              <w:rPr>
                <w:rFonts w:ascii="Arial" w:hAnsi="Arial" w:cs="Arial" w:eastAsia="Arial" w:hint="default"/>
                <w:sz w:val="20"/>
                <w:szCs w:val="20"/>
              </w:rPr>
            </w:pPr>
            <w:r>
              <w:rPr>
                <w:rFonts w:ascii="Arial"/>
                <w:spacing w:val="-1"/>
                <w:sz w:val="20"/>
              </w:rPr>
              <w:t>391,481,158</w:t>
            </w:r>
          </w:p>
        </w:tc>
        <w:tc>
          <w:tcPr>
            <w:tcW w:w="137" w:type="dxa"/>
            <w:gridSpan w:val="2"/>
            <w:tcBorders>
              <w:top w:val="nil" w:sz="6" w:space="0" w:color="auto"/>
              <w:left w:val="nil" w:sz="6" w:space="0" w:color="auto"/>
              <w:bottom w:val="nil" w:sz="6" w:space="0" w:color="auto"/>
              <w:right w:val="nil" w:sz="6" w:space="0" w:color="auto"/>
            </w:tcBorders>
          </w:tcPr>
          <w:p>
            <w:pPr/>
          </w:p>
        </w:tc>
        <w:tc>
          <w:tcPr>
            <w:tcW w:w="1928"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117"/>
              <w:jc w:val="right"/>
              <w:rPr>
                <w:rFonts w:ascii="Arial" w:hAnsi="Arial" w:cs="Arial" w:eastAsia="Arial" w:hint="default"/>
                <w:sz w:val="20"/>
                <w:szCs w:val="20"/>
              </w:rPr>
            </w:pPr>
            <w:r>
              <w:rPr>
                <w:rFonts w:ascii="Arial"/>
                <w:sz w:val="20"/>
              </w:rPr>
              <w:t>6.59</w:t>
            </w:r>
          </w:p>
        </w:tc>
        <w:tc>
          <w:tcPr>
            <w:tcW w:w="59" w:type="dxa"/>
            <w:tcBorders>
              <w:top w:val="nil" w:sz="6" w:space="0" w:color="auto"/>
              <w:left w:val="nil" w:sz="6" w:space="0" w:color="auto"/>
              <w:bottom w:val="nil" w:sz="6" w:space="0" w:color="auto"/>
              <w:right w:val="nil" w:sz="6" w:space="0" w:color="auto"/>
            </w:tcBorders>
          </w:tcPr>
          <w:p>
            <w:pPr/>
          </w:p>
        </w:tc>
        <w:tc>
          <w:tcPr>
            <w:tcW w:w="14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81"/>
              <w:jc w:val="right"/>
              <w:rPr>
                <w:rFonts w:ascii="Arial" w:hAnsi="Arial" w:cs="Arial" w:eastAsia="Arial" w:hint="default"/>
                <w:sz w:val="20"/>
                <w:szCs w:val="20"/>
              </w:rPr>
            </w:pPr>
            <w:r>
              <w:rPr>
                <w:rFonts w:ascii="Arial"/>
                <w:spacing w:val="-1"/>
                <w:sz w:val="20"/>
              </w:rPr>
              <w:t>396,012,118</w:t>
            </w:r>
          </w:p>
        </w:tc>
      </w:tr>
    </w:tbl>
    <w:p>
      <w:pPr>
        <w:spacing w:after="0" w:line="240" w:lineRule="auto"/>
        <w:jc w:val="right"/>
        <w:rPr>
          <w:rFonts w:ascii="Arial" w:hAnsi="Arial" w:cs="Arial" w:eastAsia="Arial" w:hint="default"/>
          <w:sz w:val="20"/>
          <w:szCs w:val="20"/>
        </w:rPr>
        <w:sectPr>
          <w:headerReference w:type="default" r:id="rId131"/>
          <w:pgSz w:w="11900" w:h="16840"/>
          <w:pgMar w:header="1189" w:footer="752" w:top="3040" w:bottom="940" w:left="1280" w:right="900"/>
        </w:sectPr>
      </w:pPr>
    </w:p>
    <w:p>
      <w:pPr>
        <w:spacing w:line="240" w:lineRule="auto" w:before="12"/>
        <w:rPr>
          <w:rFonts w:ascii="宋体" w:hAnsi="宋体" w:cs="宋体" w:eastAsia="宋体" w:hint="default"/>
          <w:sz w:val="15"/>
          <w:szCs w:val="15"/>
        </w:rPr>
      </w:pPr>
    </w:p>
    <w:p>
      <w:pPr>
        <w:pStyle w:val="BodyText"/>
        <w:spacing w:line="240" w:lineRule="auto" w:before="31"/>
        <w:ind w:left="564"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日，联通红筹公司未行使的股份期权的信息列示如下：</w:t>
      </w:r>
    </w:p>
    <w:p>
      <w:pPr>
        <w:spacing w:line="240" w:lineRule="auto" w:before="3"/>
        <w:rPr>
          <w:rFonts w:ascii="宋体" w:hAnsi="宋体" w:cs="宋体" w:eastAsia="宋体" w:hint="default"/>
          <w:sz w:val="20"/>
          <w:szCs w:val="20"/>
        </w:rPr>
      </w:pPr>
    </w:p>
    <w:tbl>
      <w:tblPr>
        <w:tblW w:w="0" w:type="auto"/>
        <w:jc w:val="left"/>
        <w:tblInd w:w="552" w:type="dxa"/>
        <w:tblLayout w:type="fixed"/>
        <w:tblCellMar>
          <w:top w:w="0" w:type="dxa"/>
          <w:left w:w="0" w:type="dxa"/>
          <w:bottom w:w="0" w:type="dxa"/>
          <w:right w:w="0" w:type="dxa"/>
        </w:tblCellMar>
        <w:tblLook w:val="01E0"/>
      </w:tblPr>
      <w:tblGrid>
        <w:gridCol w:w="2162"/>
        <w:gridCol w:w="1753"/>
        <w:gridCol w:w="1782"/>
        <w:gridCol w:w="1170"/>
        <w:gridCol w:w="1188"/>
        <w:gridCol w:w="1232"/>
      </w:tblGrid>
      <w:tr>
        <w:trPr>
          <w:trHeight w:val="698" w:hRule="exact"/>
        </w:trPr>
        <w:tc>
          <w:tcPr>
            <w:tcW w:w="6868" w:type="dxa"/>
            <w:gridSpan w:val="4"/>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14" w:lineRule="exact" w:before="50"/>
              <w:ind w:left="261" w:right="0"/>
              <w:jc w:val="left"/>
              <w:rPr>
                <w:rFonts w:ascii="宋体" w:hAnsi="宋体" w:cs="宋体" w:eastAsia="宋体" w:hint="default"/>
                <w:sz w:val="16"/>
                <w:szCs w:val="16"/>
              </w:rPr>
            </w:pPr>
            <w:r>
              <w:rPr>
                <w:rFonts w:ascii="宋体" w:hAnsi="宋体" w:cs="宋体" w:eastAsia="宋体" w:hint="default"/>
                <w:sz w:val="16"/>
                <w:szCs w:val="16"/>
              </w:rPr>
              <w:t>于</w:t>
            </w:r>
            <w:r>
              <w:rPr>
                <w:rFonts w:ascii="宋体" w:hAnsi="宋体" w:cs="宋体" w:eastAsia="宋体" w:hint="default"/>
                <w:spacing w:val="-42"/>
                <w:sz w:val="16"/>
                <w:szCs w:val="16"/>
              </w:rPr>
              <w:t> </w:t>
            </w:r>
            <w:r>
              <w:rPr>
                <w:rFonts w:ascii="Arial" w:hAnsi="Arial" w:cs="Arial" w:eastAsia="Arial" w:hint="default"/>
                <w:sz w:val="16"/>
                <w:szCs w:val="16"/>
              </w:rPr>
              <w:t>2011</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08" w:lineRule="exact" w:before="14"/>
              <w:ind w:left="239" w:right="146" w:firstLine="2"/>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r>
              <w:rPr>
                <w:rFonts w:ascii="宋体" w:hAnsi="宋体" w:cs="宋体" w:eastAsia="宋体" w:hint="default"/>
                <w:w w:val="99"/>
                <w:sz w:val="16"/>
                <w:szCs w:val="16"/>
              </w:rPr>
              <w:t> </w:t>
            </w:r>
            <w:r>
              <w:rPr>
                <w:rFonts w:ascii="宋体" w:hAnsi="宋体" w:cs="宋体" w:eastAsia="宋体" w:hint="default"/>
                <w:sz w:val="16"/>
                <w:szCs w:val="16"/>
              </w:rPr>
              <w:t>未行使股份</w:t>
            </w:r>
          </w:p>
        </w:tc>
        <w:tc>
          <w:tcPr>
            <w:tcW w:w="1232" w:type="dxa"/>
            <w:tcBorders>
              <w:top w:val="nil" w:sz="6" w:space="0" w:color="auto"/>
              <w:left w:val="nil" w:sz="6" w:space="0" w:color="auto"/>
              <w:bottom w:val="nil" w:sz="6" w:space="0" w:color="auto"/>
              <w:right w:val="nil" w:sz="6" w:space="0" w:color="auto"/>
            </w:tcBorders>
          </w:tcPr>
          <w:p>
            <w:pPr>
              <w:pStyle w:val="TableParagraph"/>
              <w:spacing w:line="214" w:lineRule="exact" w:before="50"/>
              <w:ind w:left="284" w:right="0"/>
              <w:jc w:val="left"/>
              <w:rPr>
                <w:rFonts w:ascii="宋体" w:hAnsi="宋体" w:cs="宋体" w:eastAsia="宋体" w:hint="default"/>
                <w:sz w:val="16"/>
                <w:szCs w:val="16"/>
              </w:rPr>
            </w:pPr>
            <w:r>
              <w:rPr>
                <w:rFonts w:ascii="宋体" w:hAnsi="宋体" w:cs="宋体" w:eastAsia="宋体" w:hint="default"/>
                <w:sz w:val="16"/>
                <w:szCs w:val="16"/>
              </w:rPr>
              <w:t>于</w:t>
            </w:r>
            <w:r>
              <w:rPr>
                <w:rFonts w:ascii="宋体" w:hAnsi="宋体" w:cs="宋体" w:eastAsia="宋体" w:hint="default"/>
                <w:spacing w:val="-42"/>
                <w:sz w:val="16"/>
                <w:szCs w:val="16"/>
              </w:rPr>
              <w:t> </w:t>
            </w: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08" w:lineRule="exact" w:before="14"/>
              <w:ind w:left="262" w:right="168" w:firstLine="2"/>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r>
              <w:rPr>
                <w:rFonts w:ascii="宋体" w:hAnsi="宋体" w:cs="宋体" w:eastAsia="宋体" w:hint="default"/>
                <w:w w:val="99"/>
                <w:sz w:val="16"/>
                <w:szCs w:val="16"/>
              </w:rPr>
              <w:t> </w:t>
            </w:r>
            <w:r>
              <w:rPr>
                <w:rFonts w:ascii="宋体" w:hAnsi="宋体" w:cs="宋体" w:eastAsia="宋体" w:hint="default"/>
                <w:sz w:val="16"/>
                <w:szCs w:val="16"/>
              </w:rPr>
              <w:t>未行使股份</w:t>
            </w:r>
          </w:p>
        </w:tc>
      </w:tr>
      <w:tr>
        <w:trPr>
          <w:trHeight w:val="216" w:hRule="exact"/>
        </w:trPr>
        <w:tc>
          <w:tcPr>
            <w:tcW w:w="2162" w:type="dxa"/>
            <w:tcBorders>
              <w:top w:val="nil" w:sz="6" w:space="0" w:color="auto"/>
              <w:left w:val="nil" w:sz="6" w:space="0" w:color="auto"/>
              <w:bottom w:val="single" w:sz="6" w:space="0" w:color="000000"/>
              <w:right w:val="nil" w:sz="6" w:space="0" w:color="auto"/>
            </w:tcBorders>
          </w:tcPr>
          <w:p>
            <w:pPr>
              <w:pStyle w:val="TableParagraph"/>
              <w:tabs>
                <w:tab w:pos="1826" w:val="left" w:leader="none"/>
              </w:tabs>
              <w:spacing w:line="183" w:lineRule="exact"/>
              <w:ind w:left="377" w:right="0"/>
              <w:jc w:val="left"/>
              <w:rPr>
                <w:rFonts w:ascii="宋体" w:hAnsi="宋体" w:cs="宋体" w:eastAsia="宋体" w:hint="default"/>
                <w:sz w:val="16"/>
                <w:szCs w:val="16"/>
              </w:rPr>
            </w:pPr>
            <w:r>
              <w:rPr>
                <w:rFonts w:ascii="宋体" w:hAnsi="宋体" w:cs="宋体" w:eastAsia="宋体" w:hint="default"/>
                <w:w w:val="95"/>
                <w:sz w:val="16"/>
                <w:szCs w:val="16"/>
              </w:rPr>
              <w:t>期权授予日</w:t>
              <w:tab/>
            </w:r>
            <w:r>
              <w:rPr>
                <w:rFonts w:ascii="宋体" w:hAnsi="宋体" w:cs="宋体" w:eastAsia="宋体" w:hint="default"/>
                <w:sz w:val="16"/>
                <w:szCs w:val="16"/>
              </w:rPr>
              <w:t>注</w:t>
            </w:r>
          </w:p>
        </w:tc>
        <w:tc>
          <w:tcPr>
            <w:tcW w:w="1753" w:type="dxa"/>
            <w:tcBorders>
              <w:top w:val="nil" w:sz="6" w:space="0" w:color="auto"/>
              <w:left w:val="nil" w:sz="6" w:space="0" w:color="auto"/>
              <w:bottom w:val="single" w:sz="6" w:space="0" w:color="000000"/>
              <w:right w:val="nil" w:sz="6" w:space="0" w:color="auto"/>
            </w:tcBorders>
          </w:tcPr>
          <w:p>
            <w:pPr>
              <w:pStyle w:val="TableParagraph"/>
              <w:spacing w:line="183" w:lineRule="exact"/>
              <w:ind w:left="522" w:right="0"/>
              <w:jc w:val="left"/>
              <w:rPr>
                <w:rFonts w:ascii="宋体" w:hAnsi="宋体" w:cs="宋体" w:eastAsia="宋体" w:hint="default"/>
                <w:sz w:val="16"/>
                <w:szCs w:val="16"/>
              </w:rPr>
            </w:pPr>
            <w:r>
              <w:rPr>
                <w:rFonts w:ascii="宋体" w:hAnsi="宋体" w:cs="宋体" w:eastAsia="宋体" w:hint="default"/>
                <w:sz w:val="16"/>
                <w:szCs w:val="16"/>
              </w:rPr>
              <w:t>期权生效期</w:t>
            </w:r>
          </w:p>
        </w:tc>
        <w:tc>
          <w:tcPr>
            <w:tcW w:w="1782" w:type="dxa"/>
            <w:tcBorders>
              <w:top w:val="nil" w:sz="6" w:space="0" w:color="auto"/>
              <w:left w:val="nil" w:sz="6" w:space="0" w:color="auto"/>
              <w:bottom w:val="single" w:sz="6" w:space="0" w:color="000000"/>
              <w:right w:val="nil" w:sz="6" w:space="0" w:color="auto"/>
            </w:tcBorders>
          </w:tcPr>
          <w:p>
            <w:pPr>
              <w:pStyle w:val="TableParagraph"/>
              <w:spacing w:line="183" w:lineRule="exact"/>
              <w:ind w:left="457" w:right="0"/>
              <w:jc w:val="left"/>
              <w:rPr>
                <w:rFonts w:ascii="宋体" w:hAnsi="宋体" w:cs="宋体" w:eastAsia="宋体" w:hint="default"/>
                <w:sz w:val="16"/>
                <w:szCs w:val="16"/>
              </w:rPr>
            </w:pPr>
            <w:r>
              <w:rPr>
                <w:rFonts w:ascii="宋体" w:hAnsi="宋体" w:cs="宋体" w:eastAsia="宋体" w:hint="default"/>
                <w:sz w:val="16"/>
                <w:szCs w:val="16"/>
              </w:rPr>
              <w:t>期权可行使期</w:t>
            </w:r>
          </w:p>
        </w:tc>
        <w:tc>
          <w:tcPr>
            <w:tcW w:w="1170" w:type="dxa"/>
            <w:tcBorders>
              <w:top w:val="nil" w:sz="6" w:space="0" w:color="auto"/>
              <w:left w:val="nil" w:sz="6" w:space="0" w:color="auto"/>
              <w:bottom w:val="single" w:sz="6" w:space="0" w:color="000000"/>
              <w:right w:val="nil" w:sz="6" w:space="0" w:color="auto"/>
            </w:tcBorders>
          </w:tcPr>
          <w:p>
            <w:pPr>
              <w:pStyle w:val="TableParagraph"/>
              <w:spacing w:line="183" w:lineRule="exact"/>
              <w:ind w:right="72"/>
              <w:jc w:val="right"/>
              <w:rPr>
                <w:rFonts w:ascii="宋体" w:hAnsi="宋体" w:cs="宋体" w:eastAsia="宋体" w:hint="default"/>
                <w:sz w:val="16"/>
                <w:szCs w:val="16"/>
              </w:rPr>
            </w:pPr>
            <w:r>
              <w:rPr>
                <w:rFonts w:ascii="宋体" w:hAnsi="宋体" w:cs="宋体" w:eastAsia="宋体" w:hint="default"/>
                <w:w w:val="95"/>
                <w:sz w:val="16"/>
                <w:szCs w:val="16"/>
              </w:rPr>
              <w:t>期权行使价格</w:t>
            </w:r>
            <w:r>
              <w:rPr>
                <w:rFonts w:ascii="宋体" w:hAnsi="宋体" w:cs="宋体" w:eastAsia="宋体" w:hint="default"/>
                <w:sz w:val="16"/>
                <w:szCs w:val="16"/>
              </w:rPr>
            </w:r>
          </w:p>
        </w:tc>
        <w:tc>
          <w:tcPr>
            <w:tcW w:w="1188" w:type="dxa"/>
            <w:tcBorders>
              <w:top w:val="nil" w:sz="6" w:space="0" w:color="auto"/>
              <w:left w:val="nil" w:sz="6" w:space="0" w:color="auto"/>
              <w:bottom w:val="single" w:sz="6" w:space="0" w:color="000000"/>
              <w:right w:val="nil" w:sz="6" w:space="0" w:color="auto"/>
            </w:tcBorders>
          </w:tcPr>
          <w:p>
            <w:pPr>
              <w:pStyle w:val="TableParagraph"/>
              <w:spacing w:line="183" w:lineRule="exact"/>
              <w:ind w:left="320" w:right="0"/>
              <w:jc w:val="left"/>
              <w:rPr>
                <w:rFonts w:ascii="宋体" w:hAnsi="宋体" w:cs="宋体" w:eastAsia="宋体" w:hint="default"/>
                <w:sz w:val="16"/>
                <w:szCs w:val="16"/>
              </w:rPr>
            </w:pPr>
            <w:r>
              <w:rPr>
                <w:rFonts w:ascii="宋体" w:hAnsi="宋体" w:cs="宋体" w:eastAsia="宋体" w:hint="default"/>
                <w:sz w:val="16"/>
                <w:szCs w:val="16"/>
              </w:rPr>
              <w:t>期权份数</w:t>
            </w:r>
          </w:p>
        </w:tc>
        <w:tc>
          <w:tcPr>
            <w:tcW w:w="1232" w:type="dxa"/>
            <w:tcBorders>
              <w:top w:val="nil" w:sz="6" w:space="0" w:color="auto"/>
              <w:left w:val="nil" w:sz="6" w:space="0" w:color="auto"/>
              <w:bottom w:val="single" w:sz="6" w:space="0" w:color="000000"/>
              <w:right w:val="nil" w:sz="6" w:space="0" w:color="auto"/>
            </w:tcBorders>
          </w:tcPr>
          <w:p>
            <w:pPr>
              <w:pStyle w:val="TableParagraph"/>
              <w:spacing w:line="183" w:lineRule="exact"/>
              <w:ind w:left="343" w:right="0"/>
              <w:jc w:val="left"/>
              <w:rPr>
                <w:rFonts w:ascii="宋体" w:hAnsi="宋体" w:cs="宋体" w:eastAsia="宋体" w:hint="default"/>
                <w:sz w:val="16"/>
                <w:szCs w:val="16"/>
              </w:rPr>
            </w:pPr>
            <w:r>
              <w:rPr>
                <w:rFonts w:ascii="宋体" w:hAnsi="宋体" w:cs="宋体" w:eastAsia="宋体" w:hint="default"/>
                <w:sz w:val="16"/>
                <w:szCs w:val="16"/>
              </w:rPr>
              <w:t>期权份数</w:t>
            </w:r>
          </w:p>
        </w:tc>
      </w:tr>
      <w:tr>
        <w:trPr>
          <w:trHeight w:val="336" w:hRule="exact"/>
        </w:trPr>
        <w:tc>
          <w:tcPr>
            <w:tcW w:w="2162" w:type="dxa"/>
            <w:tcBorders>
              <w:top w:val="single" w:sz="6" w:space="0" w:color="000000"/>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78.6pt;height:.75pt;mso-position-horizontal-relative:char;mso-position-vertical-relative:line" coordorigin="0,0" coordsize="1572,15">
                  <v:group style="position:absolute;left:7;top:7;width:1558;height:2" coordorigin="7,7" coordsize="1558,2">
                    <v:shape style="position:absolute;left:7;top:7;width:1558;height:2" coordorigin="7,7" coordsize="1558,0" path="m7,7l1565,7e" filled="false" stroked="true" strokeweight=".72003pt" strokecolor="#000000">
                      <v:path arrowok="t"/>
                    </v:shape>
                  </v:group>
                </v:group>
              </w:pict>
            </w:r>
            <w:r>
              <w:rPr>
                <w:rFonts w:ascii="宋体" w:hAnsi="宋体" w:cs="宋体" w:eastAsia="宋体" w:hint="default"/>
                <w:sz w:val="2"/>
                <w:szCs w:val="2"/>
              </w:rPr>
            </w:r>
          </w:p>
          <w:p>
            <w:pPr>
              <w:pStyle w:val="TableParagraph"/>
              <w:spacing w:line="240" w:lineRule="auto" w:before="57"/>
              <w:ind w:left="35" w:right="0"/>
              <w:jc w:val="left"/>
              <w:rPr>
                <w:rFonts w:ascii="宋体" w:hAnsi="宋体" w:cs="宋体" w:eastAsia="宋体" w:hint="default"/>
                <w:sz w:val="16"/>
                <w:szCs w:val="16"/>
              </w:rPr>
            </w:pPr>
            <w:r>
              <w:rPr>
                <w:rFonts w:ascii="宋体" w:hAnsi="宋体" w:cs="宋体" w:eastAsia="宋体" w:hint="default"/>
                <w:sz w:val="16"/>
                <w:szCs w:val="16"/>
              </w:rPr>
              <w:t>根据股份期权计划授予份数：</w:t>
            </w:r>
          </w:p>
        </w:tc>
        <w:tc>
          <w:tcPr>
            <w:tcW w:w="1753" w:type="dxa"/>
            <w:tcBorders>
              <w:top w:val="single" w:sz="6" w:space="0" w:color="000000"/>
              <w:left w:val="nil" w:sz="6" w:space="0" w:color="auto"/>
              <w:bottom w:val="nil" w:sz="6" w:space="0" w:color="auto"/>
              <w:right w:val="nil" w:sz="6" w:space="0" w:color="auto"/>
            </w:tcBorders>
          </w:tcPr>
          <w:p>
            <w:pPr/>
          </w:p>
        </w:tc>
        <w:tc>
          <w:tcPr>
            <w:tcW w:w="1782" w:type="dxa"/>
            <w:tcBorders>
              <w:top w:val="single" w:sz="6" w:space="0" w:color="000000"/>
              <w:left w:val="nil" w:sz="6" w:space="0" w:color="auto"/>
              <w:bottom w:val="nil" w:sz="6" w:space="0" w:color="auto"/>
              <w:right w:val="nil" w:sz="6" w:space="0" w:color="auto"/>
            </w:tcBorders>
          </w:tcPr>
          <w:p>
            <w:pPr/>
          </w:p>
        </w:tc>
        <w:tc>
          <w:tcPr>
            <w:tcW w:w="1170" w:type="dxa"/>
            <w:tcBorders>
              <w:top w:val="single" w:sz="6" w:space="0" w:color="000000"/>
              <w:left w:val="nil" w:sz="6" w:space="0" w:color="auto"/>
              <w:bottom w:val="nil" w:sz="6" w:space="0" w:color="auto"/>
              <w:right w:val="nil" w:sz="6" w:space="0" w:color="auto"/>
            </w:tcBorders>
          </w:tcPr>
          <w:p>
            <w:pPr/>
          </w:p>
        </w:tc>
        <w:tc>
          <w:tcPr>
            <w:tcW w:w="1188" w:type="dxa"/>
            <w:tcBorders>
              <w:top w:val="single" w:sz="6" w:space="0" w:color="000000"/>
              <w:left w:val="nil" w:sz="6" w:space="0" w:color="auto"/>
              <w:bottom w:val="nil" w:sz="6" w:space="0" w:color="auto"/>
              <w:right w:val="nil" w:sz="6" w:space="0" w:color="auto"/>
            </w:tcBorders>
          </w:tcPr>
          <w:p>
            <w:pPr/>
          </w:p>
        </w:tc>
        <w:tc>
          <w:tcPr>
            <w:tcW w:w="1232" w:type="dxa"/>
            <w:tcBorders>
              <w:top w:val="single" w:sz="6" w:space="0" w:color="000000"/>
              <w:left w:val="nil" w:sz="6" w:space="0" w:color="auto"/>
              <w:bottom w:val="nil" w:sz="6" w:space="0" w:color="auto"/>
              <w:right w:val="nil" w:sz="6" w:space="0" w:color="auto"/>
            </w:tcBorders>
          </w:tcPr>
          <w:p>
            <w:pPr/>
          </w:p>
        </w:tc>
      </w:tr>
      <w:tr>
        <w:trPr>
          <w:trHeight w:val="515"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7" w:right="0"/>
              <w:jc w:val="left"/>
              <w:rPr>
                <w:rFonts w:ascii="宋体" w:hAnsi="宋体" w:cs="宋体" w:eastAsia="宋体" w:hint="default"/>
                <w:sz w:val="16"/>
                <w:szCs w:val="16"/>
              </w:rPr>
            </w:pPr>
            <w:r>
              <w:rPr>
                <w:rFonts w:ascii="Arial" w:hAnsi="Arial" w:cs="Arial" w:eastAsia="Arial" w:hint="default"/>
                <w:sz w:val="16"/>
                <w:szCs w:val="16"/>
              </w:rPr>
              <w:t>2001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6"/>
                <w:szCs w:val="16"/>
              </w:rPr>
            </w:pPr>
            <w:r>
              <w:rPr>
                <w:rFonts w:ascii="Arial" w:hAnsi="Arial" w:cs="Arial" w:eastAsia="Arial" w:hint="default"/>
                <w:sz w:val="16"/>
                <w:szCs w:val="16"/>
              </w:rPr>
              <w:t>2001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82" w:type="dxa"/>
            <w:tcBorders>
              <w:top w:val="nil" w:sz="6" w:space="0" w:color="auto"/>
              <w:left w:val="nil" w:sz="6" w:space="0" w:color="auto"/>
              <w:bottom w:val="nil" w:sz="6" w:space="0" w:color="auto"/>
              <w:right w:val="nil" w:sz="6" w:space="0" w:color="auto"/>
            </w:tcBorders>
          </w:tcPr>
          <w:p>
            <w:pPr>
              <w:pStyle w:val="TableParagraph"/>
              <w:spacing w:line="214" w:lineRule="exact" w:before="7"/>
              <w:ind w:left="131" w:right="0"/>
              <w:jc w:val="left"/>
              <w:rPr>
                <w:rFonts w:ascii="宋体" w:hAnsi="宋体" w:cs="宋体" w:eastAsia="宋体" w:hint="default"/>
                <w:sz w:val="16"/>
                <w:szCs w:val="16"/>
              </w:rPr>
            </w:pPr>
            <w:r>
              <w:rPr>
                <w:rFonts w:ascii="Arial" w:hAnsi="Arial" w:cs="Arial" w:eastAsia="Arial" w:hint="default"/>
                <w:sz w:val="16"/>
                <w:szCs w:val="16"/>
              </w:rPr>
              <w:t>2001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31"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22</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70"/>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15.42</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32"/>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0"/>
              <w:jc w:val="right"/>
              <w:rPr>
                <w:rFonts w:ascii="Arial" w:hAnsi="Arial" w:cs="Arial" w:eastAsia="Arial" w:hint="default"/>
                <w:sz w:val="16"/>
                <w:szCs w:val="16"/>
              </w:rPr>
            </w:pPr>
            <w:r>
              <w:rPr>
                <w:rFonts w:ascii="Arial"/>
                <w:spacing w:val="-1"/>
                <w:w w:val="95"/>
                <w:sz w:val="16"/>
              </w:rPr>
              <w:t>4,350,000</w:t>
            </w:r>
            <w:r>
              <w:rPr>
                <w:rFonts w:ascii="Arial"/>
                <w:sz w:val="16"/>
              </w:rPr>
            </w:r>
          </w:p>
        </w:tc>
      </w:tr>
      <w:tr>
        <w:trPr>
          <w:trHeight w:val="533"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tabs>
                <w:tab w:pos="1711" w:val="left" w:leader="none"/>
              </w:tabs>
              <w:spacing w:line="240" w:lineRule="auto"/>
              <w:ind w:left="17" w:right="0"/>
              <w:jc w:val="left"/>
              <w:rPr>
                <w:rFonts w:ascii="Arial" w:hAnsi="Arial" w:cs="Arial" w:eastAsia="Arial" w:hint="default"/>
                <w:sz w:val="16"/>
                <w:szCs w:val="16"/>
              </w:rPr>
            </w:pPr>
            <w:r>
              <w:rPr>
                <w:rFonts w:ascii="Arial" w:hAnsi="Arial" w:cs="Arial" w:eastAsia="Arial" w:hint="default"/>
                <w:position w:val="1"/>
                <w:sz w:val="16"/>
                <w:szCs w:val="16"/>
              </w:rPr>
              <w:t>2003</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年</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5</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21</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日</w:t>
              <w:tab/>
            </w:r>
            <w:r>
              <w:rPr>
                <w:rFonts w:ascii="Arial" w:hAnsi="Arial" w:cs="Arial" w:eastAsia="Arial" w:hint="default"/>
                <w:sz w:val="16"/>
                <w:szCs w:val="16"/>
              </w:rPr>
              <w:t>(1)(2)</w:t>
            </w:r>
          </w:p>
        </w:tc>
        <w:tc>
          <w:tcPr>
            <w:tcW w:w="1753" w:type="dxa"/>
            <w:tcBorders>
              <w:top w:val="nil" w:sz="6" w:space="0" w:color="auto"/>
              <w:left w:val="nil" w:sz="6" w:space="0" w:color="auto"/>
              <w:bottom w:val="nil" w:sz="6" w:space="0" w:color="auto"/>
              <w:right w:val="nil" w:sz="6" w:space="0" w:color="auto"/>
            </w:tcBorders>
          </w:tcPr>
          <w:p>
            <w:pPr>
              <w:pStyle w:val="TableParagraph"/>
              <w:spacing w:line="214" w:lineRule="exact" w:before="22"/>
              <w:ind w:left="119" w:right="0"/>
              <w:jc w:val="left"/>
              <w:rPr>
                <w:rFonts w:ascii="宋体" w:hAnsi="宋体" w:cs="宋体" w:eastAsia="宋体" w:hint="default"/>
                <w:sz w:val="16"/>
                <w:szCs w:val="16"/>
              </w:rPr>
            </w:pPr>
            <w:r>
              <w:rPr>
                <w:rFonts w:ascii="Arial" w:hAnsi="Arial" w:cs="Arial" w:eastAsia="Arial" w:hint="default"/>
                <w:sz w:val="16"/>
                <w:szCs w:val="16"/>
              </w:rPr>
              <w:t>2003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19"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82" w:type="dxa"/>
            <w:tcBorders>
              <w:top w:val="nil" w:sz="6" w:space="0" w:color="auto"/>
              <w:left w:val="nil" w:sz="6" w:space="0" w:color="auto"/>
              <w:bottom w:val="nil" w:sz="6" w:space="0" w:color="auto"/>
              <w:right w:val="nil" w:sz="6" w:space="0" w:color="auto"/>
            </w:tcBorders>
          </w:tcPr>
          <w:p>
            <w:pPr>
              <w:pStyle w:val="TableParagraph"/>
              <w:spacing w:line="214" w:lineRule="exact" w:before="22"/>
              <w:ind w:left="131"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31"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0"/>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4.30</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89"/>
              <w:jc w:val="right"/>
              <w:rPr>
                <w:rFonts w:ascii="Arial" w:hAnsi="Arial" w:cs="Arial" w:eastAsia="Arial" w:hint="default"/>
                <w:sz w:val="16"/>
                <w:szCs w:val="16"/>
              </w:rPr>
            </w:pPr>
            <w:r>
              <w:rPr>
                <w:rFonts w:ascii="Arial"/>
                <w:w w:val="95"/>
                <w:sz w:val="16"/>
              </w:rPr>
              <w:t>8,956,000</w:t>
            </w:r>
            <w:r>
              <w:rPr>
                <w:rFonts w:ascii="Arial"/>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80"/>
              <w:jc w:val="right"/>
              <w:rPr>
                <w:rFonts w:ascii="Arial" w:hAnsi="Arial" w:cs="Arial" w:eastAsia="Arial" w:hint="default"/>
                <w:sz w:val="16"/>
                <w:szCs w:val="16"/>
              </w:rPr>
            </w:pPr>
            <w:r>
              <w:rPr>
                <w:rFonts w:ascii="Arial"/>
                <w:w w:val="95"/>
                <w:sz w:val="16"/>
              </w:rPr>
              <w:t>8,956,000</w:t>
            </w:r>
            <w:r>
              <w:rPr>
                <w:rFonts w:ascii="Arial"/>
                <w:sz w:val="16"/>
              </w:rPr>
            </w:r>
          </w:p>
        </w:tc>
      </w:tr>
      <w:tr>
        <w:trPr>
          <w:trHeight w:val="536"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1710" w:val="left" w:leader="none"/>
              </w:tabs>
              <w:spacing w:line="240" w:lineRule="auto"/>
              <w:ind w:left="17" w:right="0"/>
              <w:jc w:val="left"/>
              <w:rPr>
                <w:rFonts w:ascii="Arial" w:hAnsi="Arial" w:cs="Arial" w:eastAsia="Arial" w:hint="default"/>
                <w:sz w:val="16"/>
                <w:szCs w:val="16"/>
              </w:rPr>
            </w:pPr>
            <w:r>
              <w:rPr>
                <w:rFonts w:ascii="Arial" w:hAnsi="Arial" w:cs="Arial" w:eastAsia="Arial" w:hint="default"/>
                <w:position w:val="1"/>
                <w:sz w:val="16"/>
                <w:szCs w:val="16"/>
              </w:rPr>
              <w:t>2004</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年</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7</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20</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日</w:t>
              <w:tab/>
            </w:r>
            <w:r>
              <w:rPr>
                <w:rFonts w:ascii="Arial" w:hAnsi="Arial" w:cs="Arial" w:eastAsia="Arial" w:hint="default"/>
                <w:sz w:val="16"/>
                <w:szCs w:val="16"/>
              </w:rPr>
              <w:t>(1)(2)</w:t>
            </w:r>
          </w:p>
        </w:tc>
        <w:tc>
          <w:tcPr>
            <w:tcW w:w="1753" w:type="dxa"/>
            <w:tcBorders>
              <w:top w:val="nil" w:sz="6" w:space="0" w:color="auto"/>
              <w:left w:val="nil" w:sz="6" w:space="0" w:color="auto"/>
              <w:bottom w:val="nil" w:sz="6" w:space="0" w:color="auto"/>
              <w:right w:val="nil" w:sz="6" w:space="0" w:color="auto"/>
            </w:tcBorders>
          </w:tcPr>
          <w:p>
            <w:pPr>
              <w:pStyle w:val="TableParagraph"/>
              <w:spacing w:line="214" w:lineRule="exact" w:before="23"/>
              <w:ind w:left="119"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19"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82" w:type="dxa"/>
            <w:tcBorders>
              <w:top w:val="nil" w:sz="6" w:space="0" w:color="auto"/>
              <w:left w:val="nil" w:sz="6" w:space="0" w:color="auto"/>
              <w:bottom w:val="nil" w:sz="6" w:space="0" w:color="auto"/>
              <w:right w:val="nil" w:sz="6" w:space="0" w:color="auto"/>
            </w:tcBorders>
          </w:tcPr>
          <w:p>
            <w:pPr>
              <w:pStyle w:val="TableParagraph"/>
              <w:spacing w:line="214" w:lineRule="exact" w:before="23"/>
              <w:ind w:left="132" w:right="0"/>
              <w:jc w:val="left"/>
              <w:rPr>
                <w:rFonts w:ascii="宋体" w:hAnsi="宋体" w:cs="宋体" w:eastAsia="宋体" w:hint="default"/>
                <w:sz w:val="16"/>
                <w:szCs w:val="16"/>
              </w:rPr>
            </w:pPr>
            <w:r>
              <w:rPr>
                <w:rFonts w:ascii="Arial" w:hAnsi="Arial" w:cs="Arial" w:eastAsia="Arial" w:hint="default"/>
                <w:sz w:val="16"/>
                <w:szCs w:val="16"/>
              </w:rPr>
              <w:t>2005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31"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19</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70"/>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5.92</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89"/>
              <w:jc w:val="right"/>
              <w:rPr>
                <w:rFonts w:ascii="Arial" w:hAnsi="Arial" w:cs="Arial" w:eastAsia="Arial" w:hint="default"/>
                <w:sz w:val="16"/>
                <w:szCs w:val="16"/>
              </w:rPr>
            </w:pPr>
            <w:r>
              <w:rPr>
                <w:rFonts w:ascii="Arial"/>
                <w:w w:val="95"/>
                <w:sz w:val="16"/>
              </w:rPr>
              <w:t>41,024,000</w:t>
            </w:r>
            <w:r>
              <w:rPr>
                <w:rFonts w:ascii="Arial"/>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80"/>
              <w:jc w:val="right"/>
              <w:rPr>
                <w:rFonts w:ascii="Arial" w:hAnsi="Arial" w:cs="Arial" w:eastAsia="Arial" w:hint="default"/>
                <w:sz w:val="16"/>
                <w:szCs w:val="16"/>
              </w:rPr>
            </w:pPr>
            <w:r>
              <w:rPr>
                <w:rFonts w:ascii="Arial"/>
                <w:w w:val="95"/>
                <w:sz w:val="16"/>
              </w:rPr>
              <w:t>41,024,000</w:t>
            </w:r>
            <w:r>
              <w:rPr>
                <w:rFonts w:ascii="Arial"/>
                <w:sz w:val="16"/>
              </w:rPr>
            </w:r>
          </w:p>
        </w:tc>
      </w:tr>
      <w:tr>
        <w:trPr>
          <w:trHeight w:val="510"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tabs>
                <w:tab w:pos="1711" w:val="left" w:leader="none"/>
              </w:tabs>
              <w:spacing w:line="240" w:lineRule="auto"/>
              <w:ind w:left="17" w:right="0"/>
              <w:jc w:val="left"/>
              <w:rPr>
                <w:rFonts w:ascii="Arial" w:hAnsi="Arial" w:cs="Arial" w:eastAsia="Arial" w:hint="default"/>
                <w:sz w:val="16"/>
                <w:szCs w:val="16"/>
              </w:rPr>
            </w:pPr>
            <w:r>
              <w:rPr>
                <w:rFonts w:ascii="Arial" w:hAnsi="Arial" w:cs="Arial" w:eastAsia="Arial" w:hint="default"/>
                <w:position w:val="1"/>
                <w:sz w:val="16"/>
                <w:szCs w:val="16"/>
              </w:rPr>
              <w:t>2004</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年</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12</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21</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日</w:t>
              <w:tab/>
            </w:r>
            <w:r>
              <w:rPr>
                <w:rFonts w:ascii="Arial" w:hAnsi="Arial" w:cs="Arial" w:eastAsia="Arial" w:hint="default"/>
                <w:sz w:val="16"/>
                <w:szCs w:val="16"/>
              </w:rPr>
              <w:t>(1)(2)</w:t>
            </w:r>
          </w:p>
        </w:tc>
        <w:tc>
          <w:tcPr>
            <w:tcW w:w="1753" w:type="dxa"/>
            <w:tcBorders>
              <w:top w:val="nil" w:sz="6" w:space="0" w:color="auto"/>
              <w:left w:val="nil" w:sz="6" w:space="0" w:color="auto"/>
              <w:bottom w:val="nil" w:sz="6" w:space="0" w:color="auto"/>
              <w:right w:val="nil" w:sz="6" w:space="0" w:color="auto"/>
            </w:tcBorders>
          </w:tcPr>
          <w:p>
            <w:pPr>
              <w:pStyle w:val="TableParagraph"/>
              <w:spacing w:line="214" w:lineRule="exact" w:before="26"/>
              <w:ind w:left="119"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19"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782" w:type="dxa"/>
            <w:tcBorders>
              <w:top w:val="nil" w:sz="6" w:space="0" w:color="auto"/>
              <w:left w:val="nil" w:sz="6" w:space="0" w:color="auto"/>
              <w:bottom w:val="nil" w:sz="6" w:space="0" w:color="auto"/>
              <w:right w:val="nil" w:sz="6" w:space="0" w:color="auto"/>
            </w:tcBorders>
          </w:tcPr>
          <w:p>
            <w:pPr>
              <w:pStyle w:val="TableParagraph"/>
              <w:spacing w:line="214" w:lineRule="exact" w:before="26"/>
              <w:ind w:left="131" w:right="0"/>
              <w:jc w:val="left"/>
              <w:rPr>
                <w:rFonts w:ascii="宋体" w:hAnsi="宋体" w:cs="宋体" w:eastAsia="宋体" w:hint="default"/>
                <w:sz w:val="16"/>
                <w:szCs w:val="16"/>
              </w:rPr>
            </w:pPr>
            <w:r>
              <w:rPr>
                <w:rFonts w:ascii="Arial" w:hAnsi="Arial" w:cs="Arial" w:eastAsia="Arial" w:hint="default"/>
                <w:sz w:val="16"/>
                <w:szCs w:val="16"/>
              </w:rPr>
              <w:t>2005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31"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70"/>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6.20</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9"/>
              <w:jc w:val="right"/>
              <w:rPr>
                <w:rFonts w:ascii="Arial" w:hAnsi="Arial" w:cs="Arial" w:eastAsia="Arial" w:hint="default"/>
                <w:sz w:val="16"/>
                <w:szCs w:val="16"/>
              </w:rPr>
            </w:pPr>
            <w:r>
              <w:rPr>
                <w:rFonts w:ascii="Arial"/>
                <w:w w:val="95"/>
                <w:sz w:val="16"/>
              </w:rPr>
              <w:t>654,000</w:t>
            </w:r>
            <w:r>
              <w:rPr>
                <w:rFonts w:ascii="Arial"/>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0"/>
              <w:jc w:val="right"/>
              <w:rPr>
                <w:rFonts w:ascii="Arial" w:hAnsi="Arial" w:cs="Arial" w:eastAsia="Arial" w:hint="default"/>
                <w:sz w:val="16"/>
                <w:szCs w:val="16"/>
              </w:rPr>
            </w:pPr>
            <w:r>
              <w:rPr>
                <w:rFonts w:ascii="Arial"/>
                <w:w w:val="95"/>
                <w:sz w:val="16"/>
              </w:rPr>
              <w:t>654,000</w:t>
            </w:r>
            <w:r>
              <w:rPr>
                <w:rFonts w:ascii="Arial"/>
                <w:sz w:val="16"/>
              </w:rPr>
            </w:r>
          </w:p>
        </w:tc>
      </w:tr>
      <w:tr>
        <w:trPr>
          <w:trHeight w:val="534"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1710" w:val="left" w:leader="none"/>
              </w:tabs>
              <w:spacing w:line="240" w:lineRule="auto"/>
              <w:ind w:left="17" w:right="0"/>
              <w:jc w:val="left"/>
              <w:rPr>
                <w:rFonts w:ascii="Arial" w:hAnsi="Arial" w:cs="Arial" w:eastAsia="Arial" w:hint="default"/>
                <w:sz w:val="16"/>
                <w:szCs w:val="16"/>
              </w:rPr>
            </w:pPr>
            <w:r>
              <w:rPr>
                <w:rFonts w:ascii="Arial" w:hAnsi="Arial" w:cs="Arial" w:eastAsia="Arial" w:hint="default"/>
                <w:position w:val="1"/>
                <w:sz w:val="16"/>
                <w:szCs w:val="16"/>
              </w:rPr>
              <w:t>2006</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年</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2</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15</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日</w:t>
              <w:tab/>
            </w:r>
            <w:r>
              <w:rPr>
                <w:rFonts w:ascii="Arial" w:hAnsi="Arial" w:cs="Arial" w:eastAsia="Arial" w:hint="default"/>
                <w:sz w:val="16"/>
                <w:szCs w:val="16"/>
              </w:rPr>
              <w:t>(1)(2)</w:t>
            </w:r>
          </w:p>
        </w:tc>
        <w:tc>
          <w:tcPr>
            <w:tcW w:w="1753" w:type="dxa"/>
            <w:tcBorders>
              <w:top w:val="nil" w:sz="6" w:space="0" w:color="auto"/>
              <w:left w:val="nil" w:sz="6" w:space="0" w:color="auto"/>
              <w:bottom w:val="nil" w:sz="6" w:space="0" w:color="auto"/>
              <w:right w:val="nil" w:sz="6" w:space="0" w:color="auto"/>
            </w:tcBorders>
          </w:tcPr>
          <w:p>
            <w:pPr>
              <w:pStyle w:val="TableParagraph"/>
              <w:spacing w:line="212" w:lineRule="exact"/>
              <w:ind w:left="119"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19"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82" w:type="dxa"/>
            <w:tcBorders>
              <w:top w:val="nil" w:sz="6" w:space="0" w:color="auto"/>
              <w:left w:val="nil" w:sz="6" w:space="0" w:color="auto"/>
              <w:bottom w:val="nil" w:sz="6" w:space="0" w:color="auto"/>
              <w:right w:val="nil" w:sz="6" w:space="0" w:color="auto"/>
            </w:tcBorders>
          </w:tcPr>
          <w:p>
            <w:pPr>
              <w:pStyle w:val="TableParagraph"/>
              <w:spacing w:line="212" w:lineRule="exact"/>
              <w:ind w:left="131"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31"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6.35</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9"/>
              <w:jc w:val="right"/>
              <w:rPr>
                <w:rFonts w:ascii="Arial" w:hAnsi="Arial" w:cs="Arial" w:eastAsia="Arial" w:hint="default"/>
                <w:sz w:val="16"/>
                <w:szCs w:val="16"/>
              </w:rPr>
            </w:pPr>
            <w:r>
              <w:rPr>
                <w:rFonts w:ascii="Arial"/>
                <w:w w:val="95"/>
                <w:sz w:val="16"/>
              </w:rPr>
              <w:t>151,556,000</w:t>
            </w:r>
            <w:r>
              <w:rPr>
                <w:rFonts w:ascii="Arial"/>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0"/>
              <w:jc w:val="right"/>
              <w:rPr>
                <w:rFonts w:ascii="Arial" w:hAnsi="Arial" w:cs="Arial" w:eastAsia="Arial" w:hint="default"/>
                <w:sz w:val="16"/>
                <w:szCs w:val="16"/>
              </w:rPr>
            </w:pPr>
            <w:r>
              <w:rPr>
                <w:rFonts w:ascii="Arial"/>
                <w:w w:val="95"/>
                <w:sz w:val="16"/>
              </w:rPr>
              <w:t>151,556,000</w:t>
            </w:r>
            <w:r>
              <w:rPr>
                <w:rFonts w:ascii="Arial"/>
                <w:sz w:val="16"/>
              </w:rPr>
            </w:r>
          </w:p>
        </w:tc>
      </w:tr>
    </w:tbl>
    <w:p>
      <w:pPr>
        <w:spacing w:line="240" w:lineRule="auto" w:before="6"/>
        <w:rPr>
          <w:rFonts w:ascii="宋体" w:hAnsi="宋体" w:cs="宋体" w:eastAsia="宋体" w:hint="default"/>
          <w:sz w:val="11"/>
          <w:szCs w:val="11"/>
        </w:rPr>
      </w:pPr>
    </w:p>
    <w:p>
      <w:pPr>
        <w:spacing w:before="50"/>
        <w:ind w:left="588" w:right="0" w:firstLine="0"/>
        <w:jc w:val="left"/>
        <w:rPr>
          <w:rFonts w:ascii="宋体" w:hAnsi="宋体" w:cs="宋体" w:eastAsia="宋体" w:hint="default"/>
          <w:sz w:val="16"/>
          <w:szCs w:val="16"/>
        </w:rPr>
      </w:pPr>
      <w:r>
        <w:rPr>
          <w:rFonts w:ascii="宋体" w:hAnsi="宋体" w:cs="宋体" w:eastAsia="宋体" w:hint="default"/>
          <w:sz w:val="16"/>
          <w:szCs w:val="16"/>
        </w:rPr>
        <w:t>根据特殊目的股份期权计划授予份数：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tabs>
          <w:tab w:pos="1241" w:val="left" w:leader="none"/>
        </w:tabs>
        <w:spacing w:before="0"/>
        <w:ind w:left="0" w:right="199" w:firstLine="0"/>
        <w:jc w:val="right"/>
        <w:rPr>
          <w:rFonts w:ascii="Arial" w:hAnsi="Arial" w:cs="Arial" w:eastAsia="Arial" w:hint="default"/>
          <w:sz w:val="16"/>
          <w:szCs w:val="16"/>
        </w:rPr>
      </w:pPr>
      <w:r>
        <w:rPr/>
        <w:pict>
          <v:shape style="position:absolute;margin-left:91.664986pt;margin-top:-36.036095pt;width:341.5pt;height:104.8pt;mso-position-horizontal-relative:page;mso-position-vertical-relative:paragraph;z-index:7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4"/>
                    <w:gridCol w:w="438"/>
                    <w:gridCol w:w="1792"/>
                    <w:gridCol w:w="1822"/>
                    <w:gridCol w:w="1075"/>
                  </w:tblGrid>
                  <w:tr>
                    <w:trPr>
                      <w:trHeight w:val="1047"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14" w:lineRule="exact" w:before="50"/>
                          <w:ind w:left="35"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6" w:lineRule="exact" w:before="15"/>
                          <w:ind w:left="35" w:right="309"/>
                          <w:jc w:val="left"/>
                          <w:rPr>
                            <w:rFonts w:ascii="宋体" w:hAnsi="宋体" w:cs="宋体" w:eastAsia="宋体" w:hint="default"/>
                            <w:sz w:val="16"/>
                            <w:szCs w:val="16"/>
                          </w:rPr>
                        </w:pPr>
                        <w:r>
                          <w:rPr>
                            <w:rFonts w:ascii="宋体" w:hAnsi="宋体" w:cs="宋体" w:eastAsia="宋体" w:hint="default"/>
                            <w:sz w:val="16"/>
                            <w:szCs w:val="16"/>
                          </w:rPr>
                          <w:t>（</w:t>
                        </w: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年网通红筹</w:t>
                        </w:r>
                        <w:r>
                          <w:rPr>
                            <w:rFonts w:ascii="宋体" w:hAnsi="宋体" w:cs="宋体" w:eastAsia="宋体" w:hint="default"/>
                            <w:spacing w:val="1"/>
                            <w:w w:val="99"/>
                            <w:sz w:val="16"/>
                            <w:szCs w:val="16"/>
                          </w:rPr>
                          <w:t> </w:t>
                        </w:r>
                        <w:r>
                          <w:rPr>
                            <w:rFonts w:ascii="宋体" w:hAnsi="宋体" w:cs="宋体" w:eastAsia="宋体" w:hint="default"/>
                            <w:sz w:val="16"/>
                            <w:szCs w:val="16"/>
                          </w:rPr>
                          <w:t>公司原第一次授予</w:t>
                        </w:r>
                      </w:p>
                      <w:p>
                        <w:pPr>
                          <w:pStyle w:val="TableParagraph"/>
                          <w:spacing w:line="189" w:lineRule="exact"/>
                          <w:ind w:left="35" w:right="0"/>
                          <w:jc w:val="left"/>
                          <w:rPr>
                            <w:rFonts w:ascii="宋体" w:hAnsi="宋体" w:cs="宋体" w:eastAsia="宋体" w:hint="default"/>
                            <w:sz w:val="16"/>
                            <w:szCs w:val="16"/>
                          </w:rPr>
                        </w:pPr>
                        <w:r>
                          <w:rPr>
                            <w:rFonts w:ascii="宋体" w:hAnsi="宋体" w:cs="宋体" w:eastAsia="宋体" w:hint="default"/>
                            <w:spacing w:val="-4"/>
                            <w:sz w:val="16"/>
                            <w:szCs w:val="16"/>
                          </w:rPr>
                          <w:t>（“第一次授予”））</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3"/>
                          <w:jc w:val="center"/>
                          <w:rPr>
                            <w:rFonts w:ascii="Arial" w:hAnsi="Arial" w:cs="Arial" w:eastAsia="Arial" w:hint="default"/>
                            <w:sz w:val="16"/>
                            <w:szCs w:val="16"/>
                          </w:rPr>
                        </w:pPr>
                        <w:r>
                          <w:rPr>
                            <w:rFonts w:ascii="Arial"/>
                            <w:sz w:val="16"/>
                          </w:rPr>
                          <w:t>(2)</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14" w:lineRule="exact"/>
                          <w:ind w:left="139"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39"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17</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14" w:lineRule="exact"/>
                          <w:ind w:left="101"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01"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pacing w:val="-7"/>
                            <w:sz w:val="16"/>
                            <w:szCs w:val="16"/>
                          </w:rPr>
                          <w:t>11</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5.57</w:t>
                        </w:r>
                        <w:r>
                          <w:rPr>
                            <w:rFonts w:ascii="Arial" w:hAnsi="Arial" w:cs="Arial" w:eastAsia="Arial" w:hint="default"/>
                            <w:spacing w:val="-6"/>
                            <w:sz w:val="16"/>
                            <w:szCs w:val="16"/>
                          </w:rPr>
                          <w:t> </w:t>
                        </w:r>
                        <w:r>
                          <w:rPr>
                            <w:rFonts w:ascii="宋体" w:hAnsi="宋体" w:cs="宋体" w:eastAsia="宋体" w:hint="default"/>
                            <w:sz w:val="16"/>
                            <w:szCs w:val="16"/>
                          </w:rPr>
                          <w:t>元</w:t>
                        </w:r>
                      </w:p>
                    </w:tc>
                  </w:tr>
                  <w:tr>
                    <w:trPr>
                      <w:trHeight w:val="749"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14" w:lineRule="exact" w:before="96"/>
                          <w:ind w:left="35"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8" w:lineRule="exact" w:before="14"/>
                          <w:ind w:left="35" w:right="309"/>
                          <w:jc w:val="left"/>
                          <w:rPr>
                            <w:rFonts w:ascii="宋体" w:hAnsi="宋体" w:cs="宋体" w:eastAsia="宋体" w:hint="default"/>
                            <w:sz w:val="16"/>
                            <w:szCs w:val="16"/>
                          </w:rPr>
                        </w:pPr>
                        <w:r>
                          <w:rPr>
                            <w:rFonts w:ascii="宋体" w:hAnsi="宋体" w:cs="宋体" w:eastAsia="宋体" w:hint="default"/>
                            <w:sz w:val="16"/>
                            <w:szCs w:val="16"/>
                          </w:rPr>
                          <w:t>（</w:t>
                        </w:r>
                        <w:r>
                          <w:rPr>
                            <w:rFonts w:ascii="Arial" w:hAnsi="Arial" w:cs="Arial" w:eastAsia="Arial" w:hint="default"/>
                            <w:sz w:val="16"/>
                            <w:szCs w:val="16"/>
                          </w:rPr>
                          <w:t>2005</w:t>
                        </w:r>
                        <w:r>
                          <w:rPr>
                            <w:rFonts w:ascii="Arial" w:hAnsi="Arial" w:cs="Arial" w:eastAsia="Arial" w:hint="default"/>
                            <w:spacing w:val="-5"/>
                            <w:sz w:val="16"/>
                            <w:szCs w:val="16"/>
                          </w:rPr>
                          <w:t> </w:t>
                        </w:r>
                        <w:r>
                          <w:rPr>
                            <w:rFonts w:ascii="宋体" w:hAnsi="宋体" w:cs="宋体" w:eastAsia="宋体" w:hint="default"/>
                            <w:sz w:val="16"/>
                            <w:szCs w:val="16"/>
                          </w:rPr>
                          <w:t>年网通红筹</w:t>
                        </w:r>
                        <w:r>
                          <w:rPr>
                            <w:rFonts w:ascii="宋体" w:hAnsi="宋体" w:cs="宋体" w:eastAsia="宋体" w:hint="default"/>
                            <w:spacing w:val="1"/>
                            <w:w w:val="99"/>
                            <w:sz w:val="16"/>
                            <w:szCs w:val="16"/>
                          </w:rPr>
                          <w:t> </w:t>
                        </w:r>
                        <w:r>
                          <w:rPr>
                            <w:rFonts w:ascii="宋体" w:hAnsi="宋体" w:cs="宋体" w:eastAsia="宋体" w:hint="default"/>
                            <w:sz w:val="16"/>
                            <w:szCs w:val="16"/>
                          </w:rPr>
                          <w:t>公司原第二次授予</w:t>
                        </w:r>
                      </w:p>
                    </w:tc>
                    <w:tc>
                      <w:tcPr>
                        <w:tcW w:w="438"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39"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tc>
                    <w:tc>
                      <w:tcPr>
                        <w:tcW w:w="1075" w:type="dxa"/>
                        <w:tcBorders>
                          <w:top w:val="nil" w:sz="6" w:space="0" w:color="auto"/>
                          <w:left w:val="nil" w:sz="6" w:space="0" w:color="auto"/>
                          <w:bottom w:val="nil" w:sz="6" w:space="0" w:color="auto"/>
                          <w:right w:val="nil" w:sz="6" w:space="0" w:color="auto"/>
                        </w:tcBorders>
                      </w:tcPr>
                      <w:p>
                        <w:pPr/>
                      </w:p>
                    </w:tc>
                  </w:tr>
                  <w:tr>
                    <w:trPr>
                      <w:trHeight w:val="300"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6"/>
                            <w:szCs w:val="16"/>
                          </w:rPr>
                        </w:pPr>
                        <w:r>
                          <w:rPr>
                            <w:rFonts w:ascii="宋体" w:hAnsi="宋体" w:cs="宋体" w:eastAsia="宋体" w:hint="default"/>
                            <w:spacing w:val="-4"/>
                            <w:sz w:val="16"/>
                            <w:szCs w:val="16"/>
                          </w:rPr>
                          <w:t>（“第二次授予”））</w:t>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center"/>
                          <w:rPr>
                            <w:rFonts w:ascii="Arial" w:hAnsi="Arial" w:cs="Arial" w:eastAsia="Arial" w:hint="default"/>
                            <w:sz w:val="16"/>
                            <w:szCs w:val="16"/>
                          </w:rPr>
                        </w:pPr>
                        <w:r>
                          <w:rPr>
                            <w:rFonts w:ascii="Arial"/>
                            <w:sz w:val="16"/>
                          </w:rPr>
                          <w:t>(2)</w:t>
                        </w:r>
                      </w:p>
                    </w:tc>
                    <w:tc>
                      <w:tcPr>
                        <w:tcW w:w="1792" w:type="dxa"/>
                        <w:tcBorders>
                          <w:top w:val="nil" w:sz="6" w:space="0" w:color="auto"/>
                          <w:left w:val="nil" w:sz="6" w:space="0" w:color="auto"/>
                          <w:bottom w:val="nil" w:sz="6" w:space="0" w:color="auto"/>
                          <w:right w:val="nil" w:sz="6" w:space="0" w:color="auto"/>
                        </w:tcBorders>
                      </w:tcPr>
                      <w:p>
                        <w:pPr>
                          <w:pStyle w:val="TableParagraph"/>
                          <w:spacing w:line="191" w:lineRule="exact"/>
                          <w:ind w:left="139"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22" w:type="dxa"/>
                        <w:tcBorders>
                          <w:top w:val="nil" w:sz="6" w:space="0" w:color="auto"/>
                          <w:left w:val="nil" w:sz="6" w:space="0" w:color="auto"/>
                          <w:bottom w:val="nil" w:sz="6" w:space="0" w:color="auto"/>
                          <w:right w:val="nil" w:sz="6" w:space="0" w:color="auto"/>
                        </w:tcBorders>
                      </w:tcPr>
                      <w:p>
                        <w:pPr>
                          <w:pStyle w:val="TableParagraph"/>
                          <w:spacing w:line="191" w:lineRule="exact"/>
                          <w:ind w:left="101"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75"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8.26</w:t>
                        </w:r>
                        <w:r>
                          <w:rPr>
                            <w:rFonts w:ascii="Arial" w:hAnsi="Arial" w:cs="Arial" w:eastAsia="Arial" w:hint="default"/>
                            <w:spacing w:val="-6"/>
                            <w:sz w:val="16"/>
                            <w:szCs w:val="16"/>
                          </w:rPr>
                          <w:t> </w:t>
                        </w:r>
                        <w:r>
                          <w:rPr>
                            <w:rFonts w:ascii="宋体" w:hAnsi="宋体" w:cs="宋体" w:eastAsia="宋体" w:hint="default"/>
                            <w:sz w:val="16"/>
                            <w:szCs w:val="16"/>
                          </w:rPr>
                          <w:t>元</w:t>
                        </w:r>
                      </w:p>
                    </w:tc>
                  </w:tr>
                </w:tbl>
                <w:p>
                  <w:pPr/>
                </w:p>
              </w:txbxContent>
            </v:textbox>
            <w10:wrap type="none"/>
          </v:shape>
        </w:pict>
      </w:r>
      <w:r>
        <w:rPr>
          <w:rFonts w:ascii="Arial"/>
          <w:w w:val="95"/>
          <w:sz w:val="16"/>
        </w:rPr>
        <w:t>100,361,690</w:t>
        <w:tab/>
        <w:t>100,542,650</w:t>
      </w:r>
      <w:r>
        <w:rPr>
          <w:rFonts w:ascii="Arial"/>
          <w:sz w:val="16"/>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9"/>
          <w:szCs w:val="19"/>
        </w:rPr>
      </w:pPr>
    </w:p>
    <w:p>
      <w:pPr>
        <w:tabs>
          <w:tab w:pos="1447" w:val="left" w:leader="none"/>
          <w:tab w:pos="2329" w:val="left" w:leader="none"/>
        </w:tabs>
        <w:spacing w:before="0"/>
        <w:ind w:left="0" w:right="117" w:firstLine="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6"/>
          <w:sz w:val="16"/>
          <w:u w:val="single" w:color="000000"/>
        </w:rPr>
        <w:t> </w:t>
      </w:r>
      <w:r>
        <w:rPr>
          <w:rFonts w:ascii="Arial"/>
          <w:w w:val="95"/>
          <w:sz w:val="16"/>
          <w:u w:val="single" w:color="000000"/>
        </w:rPr>
        <w:t>88,929,468</w:t>
      </w:r>
      <w:r>
        <w:rPr>
          <w:rFonts w:ascii="Arial"/>
          <w:w w:val="95"/>
          <w:sz w:val="16"/>
        </w:rPr>
      </w:r>
      <w:r>
        <w:rPr>
          <w:rFonts w:ascii="Arial"/>
          <w:w w:val="95"/>
          <w:sz w:val="16"/>
          <w:u w:val="single" w:color="000000"/>
        </w:rPr>
        <w:t> </w:t>
        <w:tab/>
        <w:t>88,929,468</w:t>
      </w:r>
      <w:r>
        <w:rPr>
          <w:rFonts w:ascii="Arial"/>
          <w:sz w:val="16"/>
          <w:u w:val="single" w:color="000000"/>
        </w:rPr>
        <w:tab/>
      </w:r>
      <w:r>
        <w:rPr>
          <w:rFonts w:ascii="Arial"/>
          <w:sz w:val="16"/>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1"/>
          <w:szCs w:val="21"/>
        </w:rPr>
      </w:pPr>
    </w:p>
    <w:p>
      <w:pPr>
        <w:tabs>
          <w:tab w:pos="1241" w:val="left" w:leader="none"/>
        </w:tabs>
        <w:spacing w:before="0"/>
        <w:ind w:left="0" w:right="199" w:firstLine="0"/>
        <w:jc w:val="right"/>
        <w:rPr>
          <w:rFonts w:ascii="Arial" w:hAnsi="Arial" w:cs="Arial" w:eastAsia="Arial" w:hint="default"/>
          <w:sz w:val="16"/>
          <w:szCs w:val="16"/>
        </w:rPr>
      </w:pPr>
      <w:r>
        <w:rPr>
          <w:rFonts w:ascii="Arial"/>
          <w:w w:val="95"/>
          <w:sz w:val="16"/>
        </w:rPr>
        <w:t>391,481,158</w:t>
        <w:tab/>
        <w:t>396,012,118</w:t>
      </w:r>
      <w:r>
        <w:rPr>
          <w:rFonts w:ascii="Arial"/>
          <w:sz w:val="16"/>
        </w:rPr>
      </w:r>
    </w:p>
    <w:p>
      <w:pPr>
        <w:spacing w:line="43" w:lineRule="exact"/>
        <w:ind w:left="7489" w:right="0" w:firstLine="0"/>
        <w:rPr>
          <w:rFonts w:ascii="Arial" w:hAnsi="Arial" w:cs="Arial" w:eastAsia="Arial" w:hint="default"/>
          <w:sz w:val="4"/>
          <w:szCs w:val="4"/>
        </w:rPr>
      </w:pPr>
      <w:r>
        <w:rPr>
          <w:rFonts w:ascii="Arial" w:hAnsi="Arial" w:cs="Arial" w:eastAsia="Arial" w:hint="default"/>
          <w:position w:val="0"/>
          <w:sz w:val="4"/>
          <w:szCs w:val="4"/>
        </w:rPr>
        <w:pict>
          <v:group style="width:117.9pt;height:2.2pt;mso-position-horizontal-relative:char;mso-position-vertical-relative:line" coordorigin="0,0" coordsize="2358,44">
            <v:group style="position:absolute;left:7;top:36;width:1112;height:2" coordorigin="7,36" coordsize="1112,2">
              <v:shape style="position:absolute;left:7;top:36;width:1112;height:2" coordorigin="7,36" coordsize="1112,0" path="m7,36l1118,36e" filled="false" stroked="true" strokeweight=".71999pt" strokecolor="#000000">
                <v:path arrowok="t"/>
              </v:shape>
            </v:group>
            <v:group style="position:absolute;left:7;top:7;width:1112;height:2" coordorigin="7,7" coordsize="1112,2">
              <v:shape style="position:absolute;left:7;top:7;width:1112;height:2" coordorigin="7,7" coordsize="1112,0" path="m7,7l1118,7e" filled="false" stroked="true" strokeweight=".72pt" strokecolor="#000000">
                <v:path arrowok="t"/>
              </v:shape>
            </v:group>
            <v:group style="position:absolute;left:1195;top:36;width:1156;height:2" coordorigin="1195,36" coordsize="1156,2">
              <v:shape style="position:absolute;left:1195;top:36;width:1156;height:2" coordorigin="1195,36" coordsize="1156,0" path="m1195,36l2351,36e" filled="false" stroked="true" strokeweight=".71999pt" strokecolor="#000000">
                <v:path arrowok="t"/>
              </v:shape>
            </v:group>
            <v:group style="position:absolute;left:1195;top:7;width:1156;height:2" coordorigin="1195,7" coordsize="1156,2">
              <v:shape style="position:absolute;left:1195;top:7;width:1156;height:2" coordorigin="1195,7" coordsize="1156,0" path="m1195,7l2351,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606"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日，联通红筹公司未行使股份期权加权平均剩余合约期限为</w:t>
      </w:r>
      <w:r>
        <w:rPr>
          <w:rFonts w:ascii="Arial" w:hAnsi="Arial" w:cs="Arial" w:eastAsia="Arial" w:hint="default"/>
        </w:rPr>
        <w:t>0.94</w:t>
      </w:r>
      <w:r>
        <w:rPr/>
        <w:t>年（</w:t>
      </w:r>
      <w:r>
        <w:rPr>
          <w:rFonts w:ascii="Arial" w:hAnsi="Arial" w:cs="Arial" w:eastAsia="Arial" w:hint="default"/>
        </w:rPr>
        <w:t>2010</w:t>
      </w:r>
      <w:r>
        <w:rPr/>
        <w:t>年</w:t>
      </w:r>
    </w:p>
    <w:p>
      <w:pPr>
        <w:pStyle w:val="BodyText"/>
        <w:spacing w:line="295" w:lineRule="exact"/>
        <w:ind w:left="606" w:right="0"/>
        <w:jc w:val="left"/>
      </w:pP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0.93</w:t>
      </w:r>
      <w:r>
        <w:rPr/>
        <w:t>年）。</w:t>
      </w:r>
    </w:p>
    <w:p>
      <w:pPr>
        <w:spacing w:after="0" w:line="295" w:lineRule="exact"/>
        <w:jc w:val="left"/>
        <w:sectPr>
          <w:headerReference w:type="default" r:id="rId132"/>
          <w:pgSz w:w="11900" w:h="16840"/>
          <w:pgMar w:header="1189" w:footer="752" w:top="3600" w:bottom="940" w:left="1280" w:right="660"/>
        </w:sectPr>
      </w:pPr>
    </w:p>
    <w:p>
      <w:pPr>
        <w:spacing w:line="240" w:lineRule="auto" w:before="12"/>
        <w:rPr>
          <w:rFonts w:ascii="宋体" w:hAnsi="宋体" w:cs="宋体" w:eastAsia="宋体" w:hint="default"/>
          <w:sz w:val="15"/>
          <w:szCs w:val="15"/>
        </w:rPr>
      </w:pPr>
    </w:p>
    <w:p>
      <w:pPr>
        <w:pStyle w:val="BodyText"/>
        <w:spacing w:line="240" w:lineRule="auto" w:before="31"/>
        <w:ind w:left="606"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日，联通红筹公司未行使的股份期权的信息列示如下（续）：</w:t>
      </w:r>
    </w:p>
    <w:p>
      <w:pPr>
        <w:spacing w:line="240" w:lineRule="auto" w:before="13"/>
        <w:rPr>
          <w:rFonts w:ascii="宋体" w:hAnsi="宋体" w:cs="宋体" w:eastAsia="宋体" w:hint="default"/>
          <w:sz w:val="18"/>
          <w:szCs w:val="18"/>
        </w:rPr>
      </w:pPr>
    </w:p>
    <w:p>
      <w:pPr>
        <w:pStyle w:val="BodyText"/>
        <w:spacing w:line="228" w:lineRule="auto"/>
        <w:ind w:left="1346" w:right="223" w:hanging="721"/>
        <w:jc w:val="both"/>
      </w:pPr>
      <w:r>
        <w:rPr>
          <w:spacing w:val="-2"/>
          <w:w w:val="99"/>
        </w:rPr>
        <w:t>注</w:t>
      </w:r>
      <w:r>
        <w:rPr>
          <w:rFonts w:ascii="Arial" w:hAnsi="Arial" w:cs="Arial" w:eastAsia="Arial" w:hint="default"/>
          <w:spacing w:val="-2"/>
          <w:w w:val="99"/>
        </w:rPr>
        <w:t>(1)</w:t>
      </w:r>
      <w:r>
        <w:rPr>
          <w:spacing w:val="-2"/>
          <w:w w:val="99"/>
        </w:rPr>
        <w:t>：联通红筹公司董事会根据</w:t>
      </w:r>
      <w:r>
        <w:rPr>
          <w:rFonts w:ascii="Arial" w:hAnsi="Arial" w:cs="Arial" w:eastAsia="Arial" w:hint="default"/>
          <w:spacing w:val="-2"/>
          <w:w w:val="99"/>
        </w:rPr>
        <w:t>2009</w:t>
      </w:r>
      <w:r>
        <w:rPr>
          <w:spacing w:val="-2"/>
          <w:w w:val="99"/>
        </w:rPr>
        <w:t>年</w:t>
      </w:r>
      <w:r>
        <w:rPr>
          <w:rFonts w:ascii="Arial" w:hAnsi="Arial" w:cs="Arial" w:eastAsia="Arial" w:hint="default"/>
          <w:spacing w:val="-2"/>
          <w:w w:val="99"/>
        </w:rPr>
        <w:t>5</w:t>
      </w:r>
      <w:r>
        <w:rPr>
          <w:spacing w:val="-2"/>
          <w:w w:val="99"/>
        </w:rPr>
        <w:t>月</w:t>
      </w:r>
      <w:r>
        <w:rPr>
          <w:rFonts w:ascii="Arial" w:hAnsi="Arial" w:cs="Arial" w:eastAsia="Arial" w:hint="default"/>
          <w:spacing w:val="-2"/>
          <w:w w:val="99"/>
        </w:rPr>
        <w:t>26</w:t>
      </w:r>
      <w:r>
        <w:rPr>
          <w:spacing w:val="-2"/>
          <w:w w:val="99"/>
        </w:rPr>
        <w:t>日股东大会的批准对股份期权计划进行修订，将</w:t>
      </w:r>
      <w:r>
        <w:rPr>
          <w:spacing w:val="-85"/>
          <w:w w:val="99"/>
        </w:rPr>
        <w:t> </w:t>
      </w:r>
      <w:r>
        <w:rPr>
          <w:spacing w:val="-85"/>
          <w:w w:val="99"/>
        </w:rPr>
      </w:r>
      <w:r>
        <w:rPr>
          <w:spacing w:val="-1"/>
        </w:rPr>
        <w:t>其中约</w:t>
      </w:r>
      <w:r>
        <w:rPr>
          <w:rFonts w:ascii="Arial" w:hAnsi="Arial" w:cs="Arial" w:eastAsia="Arial" w:hint="default"/>
          <w:spacing w:val="-1"/>
        </w:rPr>
        <w:t>2,500</w:t>
      </w:r>
      <w:r>
        <w:rPr>
          <w:spacing w:val="-1"/>
        </w:rPr>
        <w:t>万份期权的可行使期延长一年。延期的主要原因是，</w:t>
      </w:r>
      <w:r>
        <w:rPr>
          <w:rFonts w:ascii="Arial" w:hAnsi="Arial" w:cs="Arial" w:eastAsia="Arial" w:hint="default"/>
          <w:spacing w:val="-1"/>
        </w:rPr>
        <w:t>(i)</w:t>
      </w:r>
      <w:r>
        <w:rPr>
          <w:spacing w:val="-1"/>
        </w:rPr>
        <w:t>作为</w:t>
      </w:r>
      <w:r>
        <w:rPr>
          <w:rFonts w:ascii="Arial" w:hAnsi="Arial" w:cs="Arial" w:eastAsia="Arial" w:hint="default"/>
          <w:spacing w:val="-1"/>
        </w:rPr>
        <w:t>2008</w:t>
      </w:r>
      <w:r>
        <w:rPr>
          <w:spacing w:val="-1"/>
        </w:rPr>
        <w:t>年电信行</w:t>
      </w:r>
      <w:r>
        <w:rPr>
          <w:w w:val="99"/>
        </w:rPr>
        <w:t> </w:t>
      </w:r>
      <w:r>
        <w:rPr>
          <w:spacing w:val="2"/>
        </w:rPr>
        <w:t>业重组的一部份，该等期权的持有人被调职到其他电信公司，根据股份期权计划，该</w:t>
      </w:r>
      <w:r>
        <w:rPr>
          <w:w w:val="99"/>
        </w:rPr>
        <w:t> </w:t>
      </w:r>
      <w:r>
        <w:rPr/>
        <w:t>等期权的持有人被确定为“被调动人员”，及</w:t>
      </w:r>
      <w:r>
        <w:rPr>
          <w:rFonts w:ascii="Arial" w:hAnsi="Arial" w:cs="Arial" w:eastAsia="Arial" w:hint="default"/>
        </w:rPr>
        <w:t>(ii)</w:t>
      </w:r>
      <w:r>
        <w:rPr/>
        <w:t>由于股份期权计划中的相关条款规定</w:t>
      </w:r>
      <w:r>
        <w:rPr>
          <w:w w:val="99"/>
        </w:rPr>
        <w:t> </w:t>
      </w:r>
      <w:r>
        <w:rPr/>
        <w:t>的强制性禁售，致使该等期权未能行使。</w:t>
      </w:r>
      <w:r>
        <w:rPr>
          <w:rFonts w:ascii="Arial" w:hAnsi="Arial" w:cs="Arial" w:eastAsia="Arial" w:hint="default"/>
        </w:rPr>
        <w:t>2009</w:t>
      </w:r>
      <w:r>
        <w:rPr/>
        <w:t>年度的修订对本集团</w:t>
      </w:r>
      <w:r>
        <w:rPr>
          <w:rFonts w:ascii="Arial" w:hAnsi="Arial" w:cs="Arial" w:eastAsia="Arial" w:hint="default"/>
        </w:rPr>
        <w:t>2009</w:t>
      </w:r>
      <w:r>
        <w:rPr/>
        <w:t>年度合并财务</w:t>
      </w:r>
      <w:r>
        <w:rPr>
          <w:w w:val="99"/>
        </w:rPr>
        <w:t> </w:t>
      </w:r>
      <w:r>
        <w:rPr/>
        <w:t>报表并无重大影响。由于强制性禁售规定仍然有效，联通红筹公司董事会分别于</w:t>
      </w:r>
      <w:r>
        <w:rPr>
          <w:rFonts w:ascii="Arial" w:hAnsi="Arial" w:cs="Arial" w:eastAsia="Arial" w:hint="default"/>
        </w:rPr>
        <w:t>2010</w:t>
      </w:r>
      <w:r>
        <w:rPr>
          <w:rFonts w:ascii="Arial" w:hAnsi="Arial" w:cs="Arial" w:eastAsia="Arial" w:hint="default"/>
          <w:spacing w:val="-1"/>
          <w:w w:val="99"/>
        </w:rPr>
        <w:t> </w:t>
      </w:r>
      <w:r>
        <w:rPr>
          <w:w w:val="95"/>
        </w:rPr>
        <w:t>年</w:t>
      </w:r>
      <w:r>
        <w:rPr>
          <w:rFonts w:ascii="Arial" w:hAnsi="Arial" w:cs="Arial" w:eastAsia="Arial" w:hint="default"/>
          <w:w w:val="95"/>
        </w:rPr>
        <w:t>3</w:t>
      </w:r>
      <w:r>
        <w:rPr>
          <w:w w:val="95"/>
        </w:rPr>
        <w:t>月</w:t>
      </w:r>
      <w:r>
        <w:rPr>
          <w:rFonts w:ascii="Arial" w:hAnsi="Arial" w:cs="Arial" w:eastAsia="Arial" w:hint="default"/>
          <w:w w:val="95"/>
        </w:rPr>
        <w:t>24</w:t>
      </w:r>
      <w:r>
        <w:rPr>
          <w:w w:val="95"/>
        </w:rPr>
        <w:t>日及</w:t>
      </w:r>
      <w:r>
        <w:rPr>
          <w:rFonts w:ascii="Arial" w:hAnsi="Arial" w:cs="Arial" w:eastAsia="Arial" w:hint="default"/>
          <w:w w:val="95"/>
        </w:rPr>
        <w:t>2011</w:t>
      </w:r>
      <w:r>
        <w:rPr>
          <w:w w:val="95"/>
        </w:rPr>
        <w:t>年</w:t>
      </w:r>
      <w:r>
        <w:rPr>
          <w:rFonts w:ascii="Arial" w:hAnsi="Arial" w:cs="Arial" w:eastAsia="Arial" w:hint="default"/>
          <w:w w:val="95"/>
        </w:rPr>
        <w:t>3</w:t>
      </w:r>
      <w:r>
        <w:rPr>
          <w:w w:val="95"/>
        </w:rPr>
        <w:t>月</w:t>
      </w:r>
      <w:r>
        <w:rPr>
          <w:rFonts w:ascii="Arial" w:hAnsi="Arial" w:cs="Arial" w:eastAsia="Arial" w:hint="default"/>
          <w:w w:val="95"/>
        </w:rPr>
        <w:t>29</w:t>
      </w:r>
      <w:r>
        <w:rPr>
          <w:w w:val="95"/>
        </w:rPr>
        <w:t>日将该等期权的行使期限先后再延长一年，该修订对本集团</w:t>
      </w:r>
      <w:r>
        <w:rPr>
          <w:w w:val="99"/>
        </w:rPr>
        <w:t> </w:t>
      </w:r>
      <w:r>
        <w:rPr>
          <w:rFonts w:ascii="Arial" w:hAnsi="Arial" w:cs="Arial" w:eastAsia="Arial" w:hint="default"/>
          <w:spacing w:val="-2"/>
          <w:w w:val="95"/>
        </w:rPr>
        <w:t>2011</w:t>
      </w:r>
      <w:r>
        <w:rPr>
          <w:spacing w:val="-2"/>
          <w:w w:val="95"/>
        </w:rPr>
        <w:t>年度及</w:t>
      </w:r>
      <w:r>
        <w:rPr>
          <w:rFonts w:ascii="Arial" w:hAnsi="Arial" w:cs="Arial" w:eastAsia="Arial" w:hint="default"/>
          <w:spacing w:val="-2"/>
          <w:w w:val="95"/>
        </w:rPr>
        <w:t>2010</w:t>
      </w:r>
      <w:r>
        <w:rPr>
          <w:spacing w:val="-2"/>
          <w:w w:val="95"/>
        </w:rPr>
        <w:t>年度合并财务报表并无重大影响。于</w:t>
      </w:r>
      <w:r>
        <w:rPr>
          <w:rFonts w:ascii="Arial" w:hAnsi="Arial" w:cs="Arial" w:eastAsia="Arial" w:hint="default"/>
          <w:spacing w:val="-2"/>
          <w:w w:val="95"/>
        </w:rPr>
        <w:t>2011</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日，被调动人员持</w:t>
      </w:r>
      <w:r>
        <w:rPr>
          <w:w w:val="99"/>
        </w:rPr>
        <w:t> </w:t>
      </w:r>
      <w:r>
        <w:rPr/>
        <w:t>有的有效股份期权为</w:t>
      </w:r>
      <w:r>
        <w:rPr>
          <w:rFonts w:ascii="Arial" w:hAnsi="Arial" w:cs="Arial" w:eastAsia="Arial" w:hint="default"/>
        </w:rPr>
        <w:t>2,344</w:t>
      </w:r>
      <w:r>
        <w:rPr/>
        <w:t>万股。</w:t>
      </w:r>
    </w:p>
    <w:p>
      <w:pPr>
        <w:spacing w:line="240" w:lineRule="auto" w:before="11"/>
        <w:rPr>
          <w:rFonts w:ascii="宋体" w:hAnsi="宋体" w:cs="宋体" w:eastAsia="宋体" w:hint="default"/>
          <w:sz w:val="18"/>
          <w:szCs w:val="18"/>
        </w:rPr>
      </w:pPr>
    </w:p>
    <w:p>
      <w:pPr>
        <w:pStyle w:val="BodyText"/>
        <w:spacing w:line="230" w:lineRule="auto"/>
        <w:ind w:left="1346" w:right="0" w:hanging="720"/>
        <w:jc w:val="left"/>
      </w:pPr>
      <w:r>
        <w:rPr>
          <w:spacing w:val="2"/>
        </w:rPr>
        <w:t>注</w:t>
      </w:r>
      <w:r>
        <w:rPr>
          <w:rFonts w:ascii="Arial" w:hAnsi="Arial" w:cs="Arial" w:eastAsia="Arial" w:hint="default"/>
          <w:spacing w:val="2"/>
        </w:rPr>
        <w:t>(2)</w:t>
      </w:r>
      <w:r>
        <w:rPr>
          <w:spacing w:val="2"/>
        </w:rPr>
        <w:t>：该等股份期权的原最后可行使日期分别为</w:t>
      </w:r>
      <w:r>
        <w:rPr>
          <w:rFonts w:ascii="Arial" w:hAnsi="Arial" w:cs="Arial" w:eastAsia="Arial" w:hint="default"/>
          <w:spacing w:val="2"/>
        </w:rPr>
        <w:t>2011</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20</w:t>
      </w:r>
      <w:r>
        <w:rPr>
          <w:spacing w:val="2"/>
        </w:rPr>
        <w:t>日、</w:t>
      </w:r>
      <w:r>
        <w:rPr>
          <w:rFonts w:ascii="Arial" w:hAnsi="Arial" w:cs="Arial" w:eastAsia="Arial" w:hint="default"/>
          <w:spacing w:val="2"/>
        </w:rPr>
        <w:t>2011</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19</w:t>
      </w:r>
      <w:r>
        <w:rPr>
          <w:spacing w:val="2"/>
        </w:rPr>
        <w:t>日、</w:t>
      </w:r>
      <w:r>
        <w:rPr>
          <w:rFonts w:ascii="Arial" w:hAnsi="Arial" w:cs="Arial" w:eastAsia="Arial" w:hint="default"/>
          <w:spacing w:val="2"/>
        </w:rPr>
        <w:t>2011</w:t>
      </w:r>
      <w:r>
        <w:rPr>
          <w:spacing w:val="2"/>
        </w:rPr>
        <w:t>年</w:t>
      </w:r>
      <w:r>
        <w:rPr>
          <w:w w:val="99"/>
        </w:rPr>
        <w:t> </w:t>
      </w:r>
      <w:r>
        <w:rPr>
          <w:rFonts w:ascii="Arial" w:hAnsi="Arial" w:cs="Arial" w:eastAsia="Arial" w:hint="default"/>
          <w:spacing w:val="-2"/>
        </w:rPr>
        <w:t>12</w:t>
      </w:r>
      <w:r>
        <w:rPr>
          <w:spacing w:val="-2"/>
        </w:rPr>
        <w:t>月</w:t>
      </w:r>
      <w:r>
        <w:rPr>
          <w:rFonts w:ascii="Arial" w:hAnsi="Arial" w:cs="Arial" w:eastAsia="Arial" w:hint="default"/>
          <w:spacing w:val="-2"/>
        </w:rPr>
        <w:t>20</w:t>
      </w:r>
      <w:r>
        <w:rPr>
          <w:spacing w:val="-2"/>
        </w:rPr>
        <w:t>日、</w:t>
      </w:r>
      <w:r>
        <w:rPr>
          <w:rFonts w:ascii="Arial" w:hAnsi="Arial" w:cs="Arial" w:eastAsia="Arial" w:hint="default"/>
          <w:spacing w:val="-2"/>
        </w:rPr>
        <w:t>2012</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14</w:t>
      </w:r>
      <w:r>
        <w:rPr>
          <w:spacing w:val="-2"/>
        </w:rPr>
        <w:t>日、</w:t>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16</w:t>
      </w:r>
      <w:r>
        <w:rPr>
          <w:spacing w:val="-2"/>
        </w:rPr>
        <w:t>日及</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5</w:t>
      </w:r>
      <w:r>
        <w:rPr>
          <w:spacing w:val="-2"/>
        </w:rPr>
        <w:t>日。于</w:t>
      </w:r>
      <w:r>
        <w:rPr>
          <w:rFonts w:ascii="Arial" w:hAnsi="Arial" w:cs="Arial" w:eastAsia="Arial" w:hint="default"/>
          <w:spacing w:val="-2"/>
        </w:rPr>
        <w:t>2011</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29</w:t>
      </w:r>
      <w:r>
        <w:rPr>
          <w:spacing w:val="-2"/>
        </w:rPr>
        <w:t>日，</w:t>
      </w:r>
      <w:r>
        <w:rPr>
          <w:w w:val="99"/>
        </w:rPr>
        <w:t> </w:t>
      </w:r>
      <w:r>
        <w:rPr>
          <w:spacing w:val="2"/>
        </w:rPr>
        <w:t>联通红筹公司董事会分别根据股份期权计划及特殊目的股份期权计划的条款，将上述</w:t>
      </w:r>
      <w:r>
        <w:rPr>
          <w:w w:val="99"/>
        </w:rPr>
        <w:t> </w:t>
      </w:r>
      <w:r>
        <w:rPr/>
        <w:t>最后可行使日期分别延至</w:t>
      </w:r>
      <w:r>
        <w:rPr>
          <w:rFonts w:ascii="Arial" w:hAnsi="Arial" w:cs="Arial" w:eastAsia="Arial" w:hint="default"/>
        </w:rPr>
        <w:t>2012</w:t>
      </w:r>
      <w:r>
        <w:rPr/>
        <w:t>年</w:t>
      </w:r>
      <w:r>
        <w:rPr>
          <w:rFonts w:ascii="Arial" w:hAnsi="Arial" w:cs="Arial" w:eastAsia="Arial" w:hint="default"/>
        </w:rPr>
        <w:t>5</w:t>
      </w:r>
      <w:r>
        <w:rPr/>
        <w:t>月</w:t>
      </w:r>
      <w:r>
        <w:rPr>
          <w:rFonts w:ascii="Arial" w:hAnsi="Arial" w:cs="Arial" w:eastAsia="Arial" w:hint="default"/>
        </w:rPr>
        <w:t>20</w:t>
      </w:r>
      <w:r>
        <w:rPr/>
        <w:t>日、</w:t>
      </w:r>
      <w:r>
        <w:rPr>
          <w:rFonts w:ascii="Arial" w:hAnsi="Arial" w:cs="Arial" w:eastAsia="Arial" w:hint="default"/>
        </w:rPr>
        <w:t>2012</w:t>
      </w:r>
      <w:r>
        <w:rPr/>
        <w:t>年</w:t>
      </w:r>
      <w:r>
        <w:rPr>
          <w:rFonts w:ascii="Arial" w:hAnsi="Arial" w:cs="Arial" w:eastAsia="Arial" w:hint="default"/>
        </w:rPr>
        <w:t>7</w:t>
      </w:r>
      <w:r>
        <w:rPr/>
        <w:t>月</w:t>
      </w:r>
      <w:r>
        <w:rPr>
          <w:rFonts w:ascii="Arial" w:hAnsi="Arial" w:cs="Arial" w:eastAsia="Arial" w:hint="default"/>
        </w:rPr>
        <w:t>19</w:t>
      </w:r>
      <w:r>
        <w:rPr/>
        <w:t>日、</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20</w:t>
      </w:r>
      <w:r>
        <w:rPr/>
        <w:t>日、</w:t>
      </w:r>
      <w:r>
        <w:rPr>
          <w:rFonts w:ascii="Arial" w:hAnsi="Arial" w:cs="Arial" w:eastAsia="Arial" w:hint="default"/>
        </w:rPr>
        <w:t>2013</w:t>
      </w:r>
      <w:r>
        <w:rPr>
          <w:rFonts w:ascii="Arial" w:hAnsi="Arial" w:cs="Arial" w:eastAsia="Arial" w:hint="default"/>
          <w:w w:val="99"/>
        </w:rPr>
        <w:t> </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14</w:t>
      </w:r>
      <w:r>
        <w:rPr>
          <w:spacing w:val="2"/>
        </w:rPr>
        <w:t>日、</w:t>
      </w:r>
      <w:r>
        <w:rPr>
          <w:rFonts w:ascii="Arial" w:hAnsi="Arial" w:cs="Arial" w:eastAsia="Arial" w:hint="default"/>
          <w:spacing w:val="2"/>
        </w:rPr>
        <w:t>2012</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16</w:t>
      </w:r>
      <w:r>
        <w:rPr>
          <w:spacing w:val="2"/>
        </w:rPr>
        <w:t>日及</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5</w:t>
      </w:r>
      <w:r>
        <w:rPr>
          <w:spacing w:val="2"/>
        </w:rPr>
        <w:t>日。延期的原因是由于根据股份期权计</w:t>
      </w:r>
      <w:r>
        <w:rPr>
          <w:spacing w:val="3"/>
          <w:w w:val="99"/>
        </w:rPr>
        <w:t> </w:t>
      </w:r>
      <w:r>
        <w:rPr>
          <w:spacing w:val="2"/>
        </w:rPr>
        <w:t>划及特殊目的股份期权计划中相关条款所规定的强制性禁售，该等期权未能行使。该</w:t>
      </w:r>
      <w:r>
        <w:rPr>
          <w:w w:val="99"/>
        </w:rPr>
        <w:t> </w:t>
      </w:r>
      <w:r>
        <w:rPr/>
        <w:t>修订对本集团</w:t>
      </w:r>
      <w:r>
        <w:rPr>
          <w:rFonts w:ascii="Arial" w:hAnsi="Arial" w:cs="Arial" w:eastAsia="Arial" w:hint="default"/>
        </w:rPr>
        <w:t>2011</w:t>
      </w:r>
      <w:r>
        <w:rPr/>
        <w:t>年度及</w:t>
      </w:r>
      <w:r>
        <w:rPr>
          <w:rFonts w:ascii="Arial" w:hAnsi="Arial" w:cs="Arial" w:eastAsia="Arial" w:hint="default"/>
        </w:rPr>
        <w:t>2010</w:t>
      </w:r>
      <w:r>
        <w:rPr/>
        <w:t>年度合并财务报表并无重大影响。</w:t>
      </w:r>
    </w:p>
    <w:p>
      <w:pPr>
        <w:spacing w:line="240" w:lineRule="auto" w:before="0"/>
        <w:rPr>
          <w:rFonts w:ascii="宋体" w:hAnsi="宋体" w:cs="宋体" w:eastAsia="宋体" w:hint="default"/>
          <w:sz w:val="18"/>
          <w:szCs w:val="18"/>
        </w:rPr>
      </w:pPr>
    </w:p>
    <w:p>
      <w:pPr>
        <w:pStyle w:val="BodyText"/>
        <w:spacing w:line="295" w:lineRule="exact"/>
        <w:ind w:left="564" w:right="0"/>
        <w:jc w:val="left"/>
      </w:pPr>
      <w:r>
        <w:rPr>
          <w:spacing w:val="15"/>
        </w:rPr>
        <w:t>于</w:t>
      </w:r>
      <w:r>
        <w:rPr>
          <w:rFonts w:ascii="Arial" w:hAnsi="Arial" w:cs="Arial" w:eastAsia="Arial" w:hint="default"/>
          <w:spacing w:val="15"/>
        </w:rPr>
        <w:t>2011</w:t>
      </w:r>
      <w:r>
        <w:rPr>
          <w:spacing w:val="15"/>
        </w:rPr>
        <w:t>年度，个别联通红筹公司的员工行使股份期权导致联通红筹公司普通股股数增加</w:t>
      </w:r>
      <w:r>
        <w:rPr/>
      </w:r>
    </w:p>
    <w:p>
      <w:pPr>
        <w:pStyle w:val="BodyText"/>
        <w:spacing w:line="286" w:lineRule="exact"/>
        <w:ind w:left="564" w:right="0"/>
        <w:jc w:val="left"/>
      </w:pPr>
      <w:r>
        <w:rPr>
          <w:rFonts w:ascii="Arial" w:hAnsi="Arial" w:cs="Arial" w:eastAsia="Arial" w:hint="default"/>
        </w:rPr>
        <w:t>2,724,960</w:t>
      </w:r>
      <w:r>
        <w:rPr/>
        <w:t>股（</w:t>
      </w:r>
      <w:r>
        <w:rPr>
          <w:rFonts w:ascii="Arial" w:hAnsi="Arial" w:cs="Arial" w:eastAsia="Arial" w:hint="default"/>
        </w:rPr>
        <w:t>2010</w:t>
      </w:r>
      <w:r>
        <w:rPr/>
        <w:t>年度：</w:t>
      </w:r>
      <w:r>
        <w:rPr>
          <w:rFonts w:ascii="Arial" w:hAnsi="Arial" w:cs="Arial" w:eastAsia="Arial" w:hint="default"/>
        </w:rPr>
        <w:t>84,448</w:t>
      </w:r>
      <w:r>
        <w:rPr/>
        <w:t>股），联通红筹公司因此收到的现金折合约人民币</w:t>
      </w:r>
      <w:r>
        <w:rPr>
          <w:rFonts w:ascii="Arial" w:hAnsi="Arial" w:cs="Arial" w:eastAsia="Arial" w:hint="default"/>
        </w:rPr>
        <w:t>3,342</w:t>
      </w:r>
      <w:r>
        <w:rPr/>
        <w:t>万元</w:t>
      </w:r>
    </w:p>
    <w:p>
      <w:pPr>
        <w:pStyle w:val="BodyText"/>
        <w:spacing w:line="424" w:lineRule="auto"/>
        <w:ind w:left="564" w:right="4786"/>
        <w:jc w:val="left"/>
      </w:pPr>
      <w:r>
        <w:rPr/>
        <w:t>（</w:t>
      </w:r>
      <w:r>
        <w:rPr>
          <w:rFonts w:ascii="Arial" w:hAnsi="Arial" w:cs="Arial" w:eastAsia="Arial" w:hint="default"/>
        </w:rPr>
        <w:t>2010</w:t>
      </w:r>
      <w:r>
        <w:rPr/>
        <w:t>年度：约人民币</w:t>
      </w:r>
      <w:r>
        <w:rPr>
          <w:rFonts w:ascii="Arial" w:hAnsi="Arial" w:cs="Arial" w:eastAsia="Arial" w:hint="default"/>
        </w:rPr>
        <w:t>41</w:t>
      </w:r>
      <w:r>
        <w:rPr/>
        <w:t>万元）。</w:t>
      </w:r>
      <w:r>
        <w:rPr>
          <w:w w:val="99"/>
        </w:rPr>
        <w:t> </w:t>
      </w:r>
      <w:r>
        <w:rPr/>
        <w:t>于</w:t>
      </w:r>
      <w:r>
        <w:rPr>
          <w:rFonts w:ascii="Arial" w:hAnsi="Arial" w:cs="Arial" w:eastAsia="Arial" w:hint="default"/>
        </w:rPr>
        <w:t>2011</w:t>
      </w:r>
      <w:r>
        <w:rPr/>
        <w:t>年度，股份期权的详细行使详情如下：</w:t>
      </w:r>
    </w:p>
    <w:p>
      <w:pPr>
        <w:spacing w:line="240" w:lineRule="auto" w:before="1"/>
        <w:rPr>
          <w:rFonts w:ascii="宋体" w:hAnsi="宋体" w:cs="宋体" w:eastAsia="宋体" w:hint="default"/>
          <w:sz w:val="2"/>
          <w:szCs w:val="2"/>
        </w:rPr>
      </w:pPr>
    </w:p>
    <w:tbl>
      <w:tblPr>
        <w:tblW w:w="0" w:type="auto"/>
        <w:jc w:val="left"/>
        <w:tblInd w:w="507" w:type="dxa"/>
        <w:tblLayout w:type="fixed"/>
        <w:tblCellMar>
          <w:top w:w="0" w:type="dxa"/>
          <w:left w:w="0" w:type="dxa"/>
          <w:bottom w:w="0" w:type="dxa"/>
          <w:right w:w="0" w:type="dxa"/>
        </w:tblCellMar>
        <w:tblLook w:val="01E0"/>
      </w:tblPr>
      <w:tblGrid>
        <w:gridCol w:w="1934"/>
        <w:gridCol w:w="126"/>
        <w:gridCol w:w="1404"/>
        <w:gridCol w:w="131"/>
        <w:gridCol w:w="2119"/>
        <w:gridCol w:w="124"/>
        <w:gridCol w:w="1586"/>
        <w:gridCol w:w="116"/>
        <w:gridCol w:w="1595"/>
      </w:tblGrid>
      <w:tr>
        <w:trPr>
          <w:trHeight w:val="855" w:hRule="exact"/>
        </w:trPr>
        <w:tc>
          <w:tcPr>
            <w:tcW w:w="193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82" w:right="0"/>
              <w:jc w:val="left"/>
              <w:rPr>
                <w:rFonts w:ascii="宋体" w:hAnsi="宋体" w:cs="宋体" w:eastAsia="宋体" w:hint="default"/>
                <w:sz w:val="20"/>
                <w:szCs w:val="20"/>
              </w:rPr>
            </w:pPr>
            <w:r>
              <w:rPr>
                <w:rFonts w:ascii="宋体" w:hAnsi="宋体" w:cs="宋体" w:eastAsia="宋体" w:hint="default"/>
                <w:sz w:val="20"/>
                <w:szCs w:val="20"/>
              </w:rPr>
              <w:t>期权授予日</w:t>
            </w:r>
          </w:p>
        </w:tc>
        <w:tc>
          <w:tcPr>
            <w:tcW w:w="126"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60" w:lineRule="exact"/>
              <w:ind w:left="741" w:right="59" w:hanging="201"/>
              <w:jc w:val="left"/>
              <w:rPr>
                <w:rFonts w:ascii="宋体" w:hAnsi="宋体" w:cs="宋体" w:eastAsia="宋体" w:hint="default"/>
                <w:sz w:val="20"/>
                <w:szCs w:val="20"/>
              </w:rPr>
            </w:pPr>
            <w:r>
              <w:rPr>
                <w:rFonts w:ascii="宋体" w:hAnsi="宋体" w:cs="宋体" w:eastAsia="宋体" w:hint="default"/>
                <w:sz w:val="20"/>
                <w:szCs w:val="20"/>
              </w:rPr>
              <w:t>行使价格</w:t>
            </w:r>
            <w:r>
              <w:rPr>
                <w:rFonts w:ascii="宋体" w:hAnsi="宋体" w:cs="宋体" w:eastAsia="宋体" w:hint="default"/>
                <w:w w:val="100"/>
                <w:sz w:val="20"/>
                <w:szCs w:val="20"/>
              </w:rPr>
              <w:t> </w:t>
            </w:r>
            <w:r>
              <w:rPr>
                <w:rFonts w:ascii="宋体" w:hAnsi="宋体" w:cs="宋体" w:eastAsia="宋体" w:hint="default"/>
                <w:sz w:val="20"/>
                <w:szCs w:val="20"/>
              </w:rPr>
              <w:t>港币元</w:t>
            </w:r>
          </w:p>
        </w:tc>
        <w:tc>
          <w:tcPr>
            <w:tcW w:w="13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single" w:sz="6" w:space="0" w:color="000000"/>
              <w:right w:val="nil" w:sz="6" w:space="0" w:color="auto"/>
            </w:tcBorders>
          </w:tcPr>
          <w:p>
            <w:pPr>
              <w:pStyle w:val="TableParagraph"/>
              <w:spacing w:line="260" w:lineRule="exact" w:before="64"/>
              <w:ind w:left="304" w:right="11" w:hanging="201"/>
              <w:jc w:val="right"/>
              <w:rPr>
                <w:rFonts w:ascii="宋体" w:hAnsi="宋体" w:cs="宋体" w:eastAsia="宋体" w:hint="default"/>
                <w:sz w:val="20"/>
                <w:szCs w:val="20"/>
              </w:rPr>
            </w:pPr>
            <w:r>
              <w:rPr>
                <w:rFonts w:ascii="宋体" w:hAnsi="宋体" w:cs="宋体" w:eastAsia="宋体" w:hint="default"/>
                <w:spacing w:val="-1"/>
                <w:sz w:val="20"/>
                <w:szCs w:val="20"/>
              </w:rPr>
              <w:t>紧贴期权行使日期前的</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
                <w:sz w:val="20"/>
                <w:szCs w:val="20"/>
              </w:rPr>
              <w:t>加权平均每股收市价</w:t>
            </w:r>
          </w:p>
          <w:p>
            <w:pPr>
              <w:pStyle w:val="TableParagraph"/>
              <w:spacing w:line="235" w:lineRule="exact"/>
              <w:ind w:right="11"/>
              <w:jc w:val="right"/>
              <w:rPr>
                <w:rFonts w:ascii="宋体" w:hAnsi="宋体" w:cs="宋体" w:eastAsia="宋体" w:hint="default"/>
                <w:sz w:val="20"/>
                <w:szCs w:val="20"/>
              </w:rPr>
            </w:pPr>
            <w:r>
              <w:rPr>
                <w:rFonts w:ascii="宋体" w:hAnsi="宋体" w:cs="宋体" w:eastAsia="宋体" w:hint="default"/>
                <w:sz w:val="20"/>
                <w:szCs w:val="20"/>
              </w:rPr>
              <w:t>港币元</w:t>
            </w:r>
          </w:p>
        </w:tc>
        <w:tc>
          <w:tcPr>
            <w:tcW w:w="124"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60" w:lineRule="exact"/>
              <w:ind w:left="926" w:right="56" w:hanging="201"/>
              <w:jc w:val="left"/>
              <w:rPr>
                <w:rFonts w:ascii="宋体" w:hAnsi="宋体" w:cs="宋体" w:eastAsia="宋体" w:hint="default"/>
                <w:sz w:val="20"/>
                <w:szCs w:val="20"/>
              </w:rPr>
            </w:pPr>
            <w:r>
              <w:rPr>
                <w:rFonts w:ascii="宋体" w:hAnsi="宋体" w:cs="宋体" w:eastAsia="宋体" w:hint="default"/>
                <w:sz w:val="20"/>
                <w:szCs w:val="20"/>
              </w:rPr>
              <w:t>收到现金</w:t>
            </w:r>
            <w:r>
              <w:rPr>
                <w:rFonts w:ascii="宋体" w:hAnsi="宋体" w:cs="宋体" w:eastAsia="宋体" w:hint="default"/>
                <w:w w:val="100"/>
                <w:sz w:val="20"/>
                <w:szCs w:val="20"/>
              </w:rPr>
              <w:t> </w:t>
            </w:r>
            <w:r>
              <w:rPr>
                <w:rFonts w:ascii="宋体" w:hAnsi="宋体" w:cs="宋体" w:eastAsia="宋体" w:hint="default"/>
                <w:sz w:val="20"/>
                <w:szCs w:val="20"/>
              </w:rPr>
              <w:t>港币元</w:t>
            </w:r>
          </w:p>
        </w:tc>
        <w:tc>
          <w:tcPr>
            <w:tcW w:w="11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90" w:right="0"/>
              <w:jc w:val="left"/>
              <w:rPr>
                <w:rFonts w:ascii="宋体" w:hAnsi="宋体" w:cs="宋体" w:eastAsia="宋体" w:hint="default"/>
                <w:sz w:val="20"/>
                <w:szCs w:val="20"/>
              </w:rPr>
            </w:pPr>
            <w:r>
              <w:rPr>
                <w:rFonts w:ascii="宋体" w:hAnsi="宋体" w:cs="宋体" w:eastAsia="宋体" w:hint="default"/>
                <w:sz w:val="20"/>
                <w:szCs w:val="20"/>
              </w:rPr>
              <w:t>股份期权份数</w:t>
            </w:r>
          </w:p>
        </w:tc>
      </w:tr>
      <w:tr>
        <w:trPr>
          <w:trHeight w:val="637" w:hRule="exact"/>
        </w:trPr>
        <w:tc>
          <w:tcPr>
            <w:tcW w:w="1934"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2" w:right="0"/>
              <w:jc w:val="left"/>
              <w:rPr>
                <w:rFonts w:ascii="宋体" w:hAnsi="宋体" w:cs="宋体" w:eastAsia="宋体" w:hint="default"/>
                <w:sz w:val="20"/>
                <w:szCs w:val="20"/>
              </w:rPr>
            </w:pPr>
            <w:r>
              <w:rPr>
                <w:rFonts w:ascii="Arial" w:hAnsi="Arial" w:cs="Arial" w:eastAsia="Arial" w:hint="default"/>
                <w:sz w:val="20"/>
                <w:szCs w:val="20"/>
              </w:rPr>
              <w:t>2001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6</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26" w:type="dxa"/>
            <w:tcBorders>
              <w:top w:val="nil" w:sz="6" w:space="0" w:color="auto"/>
              <w:left w:val="nil" w:sz="6" w:space="0" w:color="auto"/>
              <w:bottom w:val="nil" w:sz="6" w:space="0" w:color="auto"/>
              <w:right w:val="nil" w:sz="6" w:space="0" w:color="auto"/>
            </w:tcBorders>
          </w:tcPr>
          <w:p>
            <w:pPr/>
          </w:p>
        </w:tc>
        <w:tc>
          <w:tcPr>
            <w:tcW w:w="140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88"/>
              <w:jc w:val="right"/>
              <w:rPr>
                <w:rFonts w:ascii="Arial" w:hAnsi="Arial" w:cs="Arial" w:eastAsia="Arial" w:hint="default"/>
                <w:sz w:val="20"/>
                <w:szCs w:val="20"/>
              </w:rPr>
            </w:pPr>
            <w:r>
              <w:rPr>
                <w:rFonts w:ascii="Arial"/>
                <w:sz w:val="20"/>
              </w:rPr>
              <w:t>15.42</w:t>
            </w:r>
          </w:p>
        </w:tc>
        <w:tc>
          <w:tcPr>
            <w:tcW w:w="131" w:type="dxa"/>
            <w:tcBorders>
              <w:top w:val="nil" w:sz="6" w:space="0" w:color="auto"/>
              <w:left w:val="nil" w:sz="6" w:space="0" w:color="auto"/>
              <w:bottom w:val="nil" w:sz="6" w:space="0" w:color="auto"/>
              <w:right w:val="nil" w:sz="6" w:space="0" w:color="auto"/>
            </w:tcBorders>
          </w:tcPr>
          <w:p>
            <w:pPr/>
          </w:p>
        </w:tc>
        <w:tc>
          <w:tcPr>
            <w:tcW w:w="2119"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85"/>
              <w:jc w:val="right"/>
              <w:rPr>
                <w:rFonts w:ascii="Arial" w:hAnsi="Arial" w:cs="Arial" w:eastAsia="Arial" w:hint="default"/>
                <w:sz w:val="20"/>
                <w:szCs w:val="20"/>
              </w:rPr>
            </w:pPr>
            <w:r>
              <w:rPr>
                <w:rFonts w:ascii="Arial"/>
                <w:sz w:val="20"/>
              </w:rPr>
              <w:t>16.32</w:t>
            </w:r>
          </w:p>
        </w:tc>
        <w:tc>
          <w:tcPr>
            <w:tcW w:w="124" w:type="dxa"/>
            <w:tcBorders>
              <w:top w:val="nil" w:sz="6" w:space="0" w:color="auto"/>
              <w:left w:val="nil" w:sz="6" w:space="0" w:color="auto"/>
              <w:bottom w:val="nil" w:sz="6" w:space="0" w:color="auto"/>
              <w:right w:val="nil" w:sz="6" w:space="0" w:color="auto"/>
            </w:tcBorders>
          </w:tcPr>
          <w:p>
            <w:pPr/>
          </w:p>
        </w:tc>
        <w:tc>
          <w:tcPr>
            <w:tcW w:w="1586"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86"/>
              <w:jc w:val="right"/>
              <w:rPr>
                <w:rFonts w:ascii="Arial" w:hAnsi="Arial" w:cs="Arial" w:eastAsia="Arial" w:hint="default"/>
                <w:sz w:val="20"/>
                <w:szCs w:val="20"/>
              </w:rPr>
            </w:pPr>
            <w:r>
              <w:rPr>
                <w:rFonts w:ascii="Arial"/>
                <w:spacing w:val="-1"/>
                <w:sz w:val="20"/>
              </w:rPr>
              <w:t>39,228,480</w:t>
            </w:r>
          </w:p>
        </w:tc>
        <w:tc>
          <w:tcPr>
            <w:tcW w:w="116" w:type="dxa"/>
            <w:tcBorders>
              <w:top w:val="nil" w:sz="6" w:space="0" w:color="auto"/>
              <w:left w:val="nil" w:sz="6" w:space="0" w:color="auto"/>
              <w:bottom w:val="nil" w:sz="6" w:space="0" w:color="auto"/>
              <w:right w:val="nil" w:sz="6" w:space="0" w:color="auto"/>
            </w:tcBorders>
          </w:tcPr>
          <w:p>
            <w:pPr/>
          </w:p>
        </w:tc>
        <w:tc>
          <w:tcPr>
            <w:tcW w:w="159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30" w:right="0"/>
              <w:jc w:val="left"/>
              <w:rPr>
                <w:rFonts w:ascii="Arial" w:hAnsi="Arial" w:cs="Arial" w:eastAsia="Arial" w:hint="default"/>
                <w:sz w:val="20"/>
                <w:szCs w:val="20"/>
              </w:rPr>
            </w:pPr>
            <w:r>
              <w:rPr>
                <w:rFonts w:ascii="Arial"/>
                <w:sz w:val="20"/>
              </w:rPr>
              <w:t>2,544,000</w:t>
            </w:r>
          </w:p>
        </w:tc>
      </w:tr>
      <w:tr>
        <w:trPr>
          <w:trHeight w:val="405" w:hRule="exact"/>
        </w:trPr>
        <w:tc>
          <w:tcPr>
            <w:tcW w:w="1934" w:type="dxa"/>
            <w:tcBorders>
              <w:top w:val="nil" w:sz="6" w:space="0" w:color="auto"/>
              <w:left w:val="nil" w:sz="6" w:space="0" w:color="auto"/>
              <w:bottom w:val="nil" w:sz="6" w:space="0" w:color="auto"/>
              <w:right w:val="nil" w:sz="6" w:space="0" w:color="auto"/>
            </w:tcBorders>
          </w:tcPr>
          <w:p>
            <w:pPr>
              <w:pStyle w:val="TableParagraph"/>
              <w:spacing w:line="240" w:lineRule="exact"/>
              <w:ind w:left="82"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15</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26"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20"/>
                <w:szCs w:val="20"/>
              </w:rPr>
            </w:pPr>
            <w:r>
              <w:rPr>
                <w:rFonts w:ascii="Arial"/>
                <w:sz w:val="20"/>
              </w:rPr>
              <w:t>5.57</w:t>
            </w:r>
          </w:p>
        </w:tc>
        <w:tc>
          <w:tcPr>
            <w:tcW w:w="13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5"/>
              <w:jc w:val="right"/>
              <w:rPr>
                <w:rFonts w:ascii="Arial" w:hAnsi="Arial" w:cs="Arial" w:eastAsia="Arial" w:hint="default"/>
                <w:sz w:val="20"/>
                <w:szCs w:val="20"/>
              </w:rPr>
            </w:pPr>
            <w:r>
              <w:rPr>
                <w:rFonts w:ascii="Arial"/>
                <w:sz w:val="20"/>
              </w:rPr>
              <w:t>15.62</w:t>
            </w:r>
          </w:p>
        </w:tc>
        <w:tc>
          <w:tcPr>
            <w:tcW w:w="124"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tabs>
                <w:tab w:pos="600" w:val="left" w:leader="none"/>
                <w:tab w:pos="1579" w:val="left" w:leader="none"/>
              </w:tabs>
              <w:spacing w:line="240" w:lineRule="auto" w:before="23"/>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1,007,947</w:t>
              <w:tab/>
            </w:r>
            <w:r>
              <w:rPr>
                <w:rFonts w:ascii="Arial"/>
                <w:spacing w:val="-1"/>
                <w:sz w:val="20"/>
              </w:rPr>
            </w:r>
          </w:p>
        </w:tc>
        <w:tc>
          <w:tcPr>
            <w:tcW w:w="11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tabs>
                <w:tab w:pos="697" w:val="left" w:leader="none"/>
                <w:tab w:pos="1559" w:val="left" w:leader="none"/>
              </w:tabs>
              <w:spacing w:line="240" w:lineRule="auto" w:before="23"/>
              <w:ind w:left="1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180,960</w:t>
              <w:tab/>
            </w:r>
            <w:r>
              <w:rPr>
                <w:rFonts w:ascii="Arial"/>
                <w:sz w:val="20"/>
              </w:rPr>
            </w:r>
          </w:p>
        </w:tc>
      </w:tr>
      <w:tr>
        <w:trPr>
          <w:trHeight w:val="409" w:hRule="exact"/>
        </w:trPr>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6"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86"/>
              <w:jc w:val="right"/>
              <w:rPr>
                <w:rFonts w:ascii="Arial" w:hAnsi="Arial" w:cs="Arial" w:eastAsia="Arial" w:hint="default"/>
                <w:sz w:val="20"/>
                <w:szCs w:val="20"/>
              </w:rPr>
            </w:pPr>
            <w:r>
              <w:rPr>
                <w:rFonts w:ascii="Arial"/>
                <w:spacing w:val="-1"/>
                <w:sz w:val="20"/>
              </w:rPr>
              <w:t>40,236,427</w:t>
            </w:r>
          </w:p>
        </w:tc>
        <w:tc>
          <w:tcPr>
            <w:tcW w:w="11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530" w:right="0"/>
              <w:jc w:val="left"/>
              <w:rPr>
                <w:rFonts w:ascii="Arial" w:hAnsi="Arial" w:cs="Arial" w:eastAsia="Arial" w:hint="default"/>
                <w:sz w:val="20"/>
                <w:szCs w:val="20"/>
              </w:rPr>
            </w:pPr>
            <w:r>
              <w:rPr>
                <w:rFonts w:ascii="Arial"/>
                <w:sz w:val="20"/>
              </w:rPr>
              <w:t>2,724,960</w:t>
            </w:r>
          </w:p>
        </w:tc>
      </w:tr>
    </w:tbl>
    <w:p>
      <w:pPr>
        <w:spacing w:line="240" w:lineRule="auto" w:before="7"/>
        <w:rPr>
          <w:rFonts w:ascii="宋体" w:hAnsi="宋体" w:cs="宋体" w:eastAsia="宋体" w:hint="default"/>
          <w:sz w:val="12"/>
          <w:szCs w:val="12"/>
        </w:rPr>
      </w:pPr>
    </w:p>
    <w:p>
      <w:pPr>
        <w:pStyle w:val="BodyText"/>
        <w:spacing w:line="286" w:lineRule="exact" w:before="60"/>
        <w:ind w:left="562" w:right="229" w:hanging="1"/>
        <w:jc w:val="left"/>
      </w:pPr>
      <w:r>
        <w:rPr/>
        <w:t>于</w:t>
      </w:r>
      <w:r>
        <w:rPr>
          <w:rFonts w:ascii="Arial" w:hAnsi="Arial" w:cs="Arial" w:eastAsia="Arial" w:hint="default"/>
        </w:rPr>
        <w:t>2011</w:t>
      </w:r>
      <w:r>
        <w:rPr/>
        <w:t>年度，于授予期内确认的以股份为基础的职工薪酬约人民币</w:t>
      </w:r>
      <w:r>
        <w:rPr>
          <w:rFonts w:ascii="Arial" w:hAnsi="Arial" w:cs="Arial" w:eastAsia="Arial" w:hint="default"/>
        </w:rPr>
        <w:t>1,736</w:t>
      </w:r>
      <w:r>
        <w:rPr/>
        <w:t>万元（</w:t>
      </w:r>
      <w:r>
        <w:rPr>
          <w:rFonts w:ascii="Arial" w:hAnsi="Arial" w:cs="Arial" w:eastAsia="Arial" w:hint="default"/>
        </w:rPr>
        <w:t>2010</w:t>
      </w:r>
      <w:r>
        <w:rPr/>
        <w:t>年度：约</w:t>
      </w:r>
      <w:r>
        <w:rPr>
          <w:w w:val="99"/>
        </w:rPr>
        <w:t> </w:t>
      </w:r>
      <w:r>
        <w:rPr/>
        <w:t>人民币</w:t>
      </w:r>
      <w:r>
        <w:rPr>
          <w:rFonts w:ascii="Arial" w:hAnsi="Arial" w:cs="Arial" w:eastAsia="Arial" w:hint="default"/>
        </w:rPr>
        <w:t>5,693</w:t>
      </w:r>
      <w:r>
        <w:rPr/>
        <w:t>万元）。</w:t>
      </w:r>
    </w:p>
    <w:p>
      <w:pPr>
        <w:spacing w:after="0" w:line="286" w:lineRule="exact"/>
        <w:jc w:val="left"/>
        <w:sectPr>
          <w:headerReference w:type="default" r:id="rId133"/>
          <w:pgSz w:w="11900" w:h="16840"/>
          <w:pgMar w:header="1189" w:footer="752" w:top="3600" w:bottom="940" w:left="1280" w:right="800"/>
        </w:sectPr>
      </w:pPr>
    </w:p>
    <w:p>
      <w:pPr>
        <w:spacing w:line="240" w:lineRule="auto" w:before="9"/>
        <w:rPr>
          <w:rFonts w:ascii="宋体" w:hAnsi="宋体" w:cs="宋体" w:eastAsia="宋体" w:hint="default"/>
          <w:sz w:val="16"/>
          <w:szCs w:val="16"/>
        </w:rPr>
      </w:pPr>
    </w:p>
    <w:p>
      <w:pPr>
        <w:pStyle w:val="BodyText"/>
        <w:spacing w:line="240" w:lineRule="auto" w:before="31"/>
        <w:ind w:left="142" w:right="97"/>
        <w:jc w:val="left"/>
      </w:pPr>
      <w:r>
        <w:rPr>
          <w:rFonts w:ascii="Arial" w:hAnsi="Arial" w:cs="Arial" w:eastAsia="Arial" w:hint="default"/>
        </w:rPr>
        <w:t>46</w:t>
      </w:r>
      <w:r>
        <w:rPr/>
        <w:t>、每股收益</w:t>
      </w:r>
    </w:p>
    <w:p>
      <w:pPr>
        <w:spacing w:line="240" w:lineRule="auto" w:before="13"/>
        <w:rPr>
          <w:rFonts w:ascii="宋体" w:hAnsi="宋体" w:cs="宋体" w:eastAsia="宋体" w:hint="default"/>
          <w:sz w:val="17"/>
          <w:szCs w:val="17"/>
        </w:rPr>
      </w:pPr>
    </w:p>
    <w:p>
      <w:pPr>
        <w:pStyle w:val="BodyText"/>
        <w:spacing w:line="240" w:lineRule="auto"/>
        <w:ind w:left="128" w:right="97"/>
        <w:jc w:val="left"/>
      </w:pPr>
      <w:r>
        <w:rPr>
          <w:rFonts w:ascii="Arial" w:hAnsi="Arial" w:cs="Arial" w:eastAsia="Arial" w:hint="default"/>
        </w:rPr>
        <w:t>(a) </w:t>
      </w:r>
      <w:r>
        <w:rPr>
          <w:rFonts w:ascii="Arial" w:hAnsi="Arial" w:cs="Arial" w:eastAsia="Arial" w:hint="default"/>
          <w:spacing w:val="40"/>
        </w:rPr>
        <w:t> </w:t>
      </w:r>
      <w:r>
        <w:rPr/>
        <w:t>基本每股收益</w:t>
      </w:r>
    </w:p>
    <w:p>
      <w:pPr>
        <w:spacing w:line="240" w:lineRule="auto" w:before="3"/>
        <w:rPr>
          <w:rFonts w:ascii="宋体" w:hAnsi="宋体" w:cs="宋体" w:eastAsia="宋体" w:hint="default"/>
          <w:sz w:val="20"/>
          <w:szCs w:val="20"/>
        </w:rPr>
      </w:pPr>
    </w:p>
    <w:p>
      <w:pPr>
        <w:pStyle w:val="BodyText"/>
        <w:spacing w:line="284" w:lineRule="exact"/>
        <w:ind w:left="590" w:right="150"/>
        <w:jc w:val="left"/>
      </w:pPr>
      <w:r>
        <w:rPr>
          <w:spacing w:val="5"/>
        </w:rPr>
        <w:t>基本每股收益以归属于母公司普通股股东的合并净利润除以母公司发行在外普通股的加权平</w:t>
      </w:r>
      <w:r>
        <w:rPr>
          <w:spacing w:val="6"/>
          <w:w w:val="99"/>
        </w:rPr>
        <w:t> </w:t>
      </w:r>
      <w:r>
        <w:rPr/>
        <w:t>均数计算：</w:t>
      </w:r>
    </w:p>
    <w:p>
      <w:pPr>
        <w:spacing w:line="240" w:lineRule="auto" w:before="3"/>
        <w:rPr>
          <w:rFonts w:ascii="宋体" w:hAnsi="宋体" w:cs="宋体" w:eastAsia="宋体" w:hint="default"/>
          <w:sz w:val="17"/>
          <w:szCs w:val="17"/>
        </w:rPr>
      </w:pPr>
    </w:p>
    <w:p>
      <w:pPr>
        <w:pStyle w:val="BodyText"/>
        <w:tabs>
          <w:tab w:pos="8579" w:val="left" w:leader="none"/>
        </w:tabs>
        <w:spacing w:line="302" w:lineRule="exact"/>
        <w:ind w:left="6358" w:right="97"/>
        <w:jc w:val="left"/>
      </w:pPr>
      <w:r>
        <w:rPr>
          <w:rFonts w:ascii="Arial" w:hAnsi="Arial" w:cs="Arial" w:eastAsia="Arial" w:hint="default"/>
        </w:rPr>
        <w:t>2011</w:t>
      </w:r>
      <w:r>
        <w:rPr>
          <w:rFonts w:ascii="Arial" w:hAnsi="Arial" w:cs="Arial" w:eastAsia="Arial" w:hint="default"/>
          <w:spacing w:val="-8"/>
        </w:rPr>
        <w:t> </w:t>
      </w:r>
      <w:r>
        <w:rPr/>
        <w:t>年度</w:t>
        <w:tab/>
      </w:r>
      <w:r>
        <w:rPr>
          <w:rFonts w:ascii="Arial" w:hAnsi="Arial" w:cs="Arial" w:eastAsia="Arial" w:hint="default"/>
        </w:rPr>
        <w:t>2010</w:t>
      </w:r>
      <w:r>
        <w:rPr>
          <w:rFonts w:ascii="Arial" w:hAnsi="Arial" w:cs="Arial" w:eastAsia="Arial" w:hint="default"/>
          <w:spacing w:val="-8"/>
        </w:rPr>
        <w:t> </w:t>
      </w:r>
      <w:r>
        <w:rPr/>
        <w:t>年度</w:t>
      </w:r>
    </w:p>
    <w:p>
      <w:pPr>
        <w:pStyle w:val="BodyText"/>
        <w:tabs>
          <w:tab w:pos="5171" w:val="left" w:leader="none"/>
          <w:tab w:pos="5878" w:val="left" w:leader="none"/>
          <w:tab w:pos="8123" w:val="left" w:leader="none"/>
          <w:tab w:pos="9602" w:val="left" w:leader="none"/>
        </w:tabs>
        <w:spacing w:line="283" w:lineRule="auto"/>
        <w:ind w:left="590" w:right="138" w:firstLine="7873"/>
        <w:jc w:val="left"/>
        <w:rPr>
          <w:rFonts w:ascii="Arial" w:hAnsi="Arial" w:cs="Arial" w:eastAsia="Arial" w:hint="default"/>
        </w:rPr>
      </w:pPr>
      <w:r>
        <w:rPr/>
        <w:pict>
          <v:group style="position:absolute;margin-left:320.220001pt;margin-top:1.087755pt;width:223.15pt;height:.75pt;mso-position-horizontal-relative:page;mso-position-vertical-relative:paragraph;z-index:-816424" coordorigin="6404,22" coordsize="4463,15">
            <v:group style="position:absolute;left:6412;top:29;width:2217;height:2" coordorigin="6412,29" coordsize="2217,2">
              <v:shape style="position:absolute;left:6412;top:29;width:2217;height:2" coordorigin="6412,29" coordsize="2217,0" path="m6412,29l8628,29e" filled="false" stroked="true" strokeweight=".71997pt" strokecolor="#000000">
                <v:path arrowok="t"/>
              </v:shape>
            </v:group>
            <v:group style="position:absolute;left:8700;top:29;width:2160;height:2" coordorigin="8700,29" coordsize="2160,2">
              <v:shape style="position:absolute;left:8700;top:29;width:2160;height:2" coordorigin="8700,29" coordsize="2160,0" path="m8700,29l10860,29e" filled="false" stroked="true" strokeweight=".71997pt" strokecolor="#000000">
                <v:path arrowok="t"/>
              </v:shape>
            </v:group>
            <w10:wrap type="none"/>
          </v:group>
        </w:pict>
      </w:r>
      <w:r>
        <w:rPr/>
        <w:t>（经重列）</w:t>
      </w:r>
      <w:r>
        <w:rPr>
          <w:w w:val="99"/>
        </w:rPr>
        <w:t> </w:t>
      </w:r>
      <w:r>
        <w:rPr>
          <w:w w:val="95"/>
          <w:position w:val="2"/>
        </w:rPr>
        <w:t>归属于母公司普通股股东的合并净利润</w:t>
        <w:tab/>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spacing w:val="-1"/>
          <w:u w:val="single" w:color="000000"/>
        </w:rPr>
        <w:t>1,412,245,739</w:t>
      </w:r>
      <w:r>
        <w:rPr>
          <w:rFonts w:ascii="Arial" w:hAnsi="Arial" w:cs="Arial" w:eastAsia="Arial" w:hint="default"/>
          <w:spacing w:val="-1"/>
        </w:rPr>
      </w:r>
      <w:r>
        <w:rPr>
          <w:rFonts w:ascii="Arial" w:hAnsi="Arial" w:cs="Arial" w:eastAsia="Arial" w:hint="default"/>
          <w:spacing w:val="-1"/>
          <w:u w:val="single" w:color="000000"/>
        </w:rPr>
        <w:t> </w:t>
        <w:tab/>
        <w:t>1,234,506,831</w:t>
        <w:tab/>
      </w:r>
      <w:r>
        <w:rPr>
          <w:rFonts w:ascii="Arial" w:hAnsi="Arial" w:cs="Arial" w:eastAsia="Arial" w:hint="default"/>
          <w:spacing w:val="-1"/>
          <w:w w:val="27"/>
          <w:u w:val="single" w:color="000000"/>
        </w:rPr>
        <w:t> </w:t>
      </w:r>
      <w:r>
        <w:rPr>
          <w:rFonts w:ascii="Arial" w:hAnsi="Arial" w:cs="Arial" w:eastAsia="Arial" w:hint="default"/>
          <w:spacing w:val="-1"/>
          <w:u w:val="single" w:color="000000"/>
        </w:rPr>
      </w:r>
      <w:r>
        <w:rPr>
          <w:rFonts w:ascii="Arial" w:hAnsi="Arial" w:cs="Arial" w:eastAsia="Arial" w:hint="default"/>
          <w:spacing w:val="-1"/>
        </w:rPr>
      </w:r>
    </w:p>
    <w:p>
      <w:pPr>
        <w:spacing w:line="240" w:lineRule="auto" w:before="6"/>
        <w:rPr>
          <w:rFonts w:ascii="Arial" w:hAnsi="Arial" w:cs="Arial" w:eastAsia="Arial" w:hint="default"/>
          <w:sz w:val="17"/>
          <w:szCs w:val="17"/>
        </w:rPr>
      </w:pPr>
    </w:p>
    <w:p>
      <w:pPr>
        <w:pStyle w:val="BodyText"/>
        <w:tabs>
          <w:tab w:pos="5171" w:val="left" w:leader="none"/>
          <w:tab w:pos="5755" w:val="left" w:leader="none"/>
          <w:tab w:pos="8001" w:val="left" w:leader="none"/>
          <w:tab w:pos="9619" w:val="left" w:leader="none"/>
        </w:tabs>
        <w:spacing w:line="240" w:lineRule="auto" w:before="27"/>
        <w:ind w:left="590" w:right="97"/>
        <w:jc w:val="left"/>
        <w:rPr>
          <w:rFonts w:ascii="Arial" w:hAnsi="Arial" w:cs="Arial" w:eastAsia="Arial" w:hint="default"/>
        </w:rPr>
      </w:pPr>
      <w:r>
        <w:rPr>
          <w:w w:val="95"/>
          <w:position w:val="2"/>
        </w:rPr>
        <w:t>本公司发行在外普通股的加权平均数</w:t>
        <w:tab/>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spacing w:val="-1"/>
          <w:u w:val="single" w:color="000000"/>
        </w:rPr>
        <w:t>21,196,596,395</w:t>
      </w:r>
      <w:r>
        <w:rPr>
          <w:rFonts w:ascii="Arial" w:hAnsi="Arial" w:cs="Arial" w:eastAsia="Arial" w:hint="default"/>
          <w:spacing w:val="-1"/>
        </w:rPr>
      </w:r>
      <w:r>
        <w:rPr>
          <w:rFonts w:ascii="Arial" w:hAnsi="Arial" w:cs="Arial" w:eastAsia="Arial" w:hint="default"/>
          <w:spacing w:val="-1"/>
          <w:u w:val="single" w:color="000000"/>
        </w:rPr>
        <w:t> </w:t>
        <w:tab/>
        <w:t>21,196,596,395</w:t>
        <w:tab/>
      </w:r>
      <w:r>
        <w:rPr>
          <w:rFonts w:ascii="Arial" w:hAnsi="Arial" w:cs="Arial" w:eastAsia="Arial" w:hint="default"/>
          <w:spacing w:val="-1"/>
        </w:rPr>
      </w:r>
    </w:p>
    <w:p>
      <w:pPr>
        <w:spacing w:line="240" w:lineRule="auto" w:before="5"/>
        <w:rPr>
          <w:rFonts w:ascii="Arial" w:hAnsi="Arial" w:cs="Arial" w:eastAsia="Arial" w:hint="default"/>
          <w:sz w:val="21"/>
          <w:szCs w:val="21"/>
        </w:rPr>
      </w:pPr>
    </w:p>
    <w:p>
      <w:pPr>
        <w:pStyle w:val="BodyText"/>
        <w:tabs>
          <w:tab w:pos="6597" w:val="left" w:leader="none"/>
          <w:tab w:pos="9532" w:val="right" w:leader="none"/>
        </w:tabs>
        <w:spacing w:line="240" w:lineRule="auto" w:before="27"/>
        <w:ind w:left="590" w:right="0"/>
        <w:jc w:val="left"/>
        <w:rPr>
          <w:rFonts w:ascii="Arial" w:hAnsi="Arial" w:cs="Arial" w:eastAsia="Arial" w:hint="default"/>
        </w:rPr>
      </w:pPr>
      <w:r>
        <w:rPr/>
        <w:pict>
          <v:group style="position:absolute;margin-left:319.5pt;margin-top:17.778389pt;width:223.9pt;height:2.2pt;mso-position-horizontal-relative:page;mso-position-vertical-relative:paragraph;z-index:7912" coordorigin="6390,356" coordsize="4478,44">
            <v:group style="position:absolute;left:6397;top:392;width:2231;height:2" coordorigin="6397,392" coordsize="2231,2">
              <v:shape style="position:absolute;left:6397;top:392;width:2231;height:2" coordorigin="6397,392" coordsize="2231,0" path="m6397,392l8628,392e" filled="false" stroked="true" strokeweight=".72pt" strokecolor="#000000">
                <v:path arrowok="t"/>
              </v:shape>
            </v:group>
            <v:group style="position:absolute;left:6397;top:363;width:2231;height:2" coordorigin="6397,363" coordsize="2231,2">
              <v:shape style="position:absolute;left:6397;top:363;width:2231;height:2" coordorigin="6397,363" coordsize="2231,0" path="m6397,363l8628,363e" filled="false" stroked="true" strokeweight=".72pt" strokecolor="#000000">
                <v:path arrowok="t"/>
              </v:shape>
            </v:group>
            <v:group style="position:absolute;left:8686;top:392;width:2175;height:2" coordorigin="8686,392" coordsize="2175,2">
              <v:shape style="position:absolute;left:8686;top:392;width:2175;height:2" coordorigin="8686,392" coordsize="2175,0" path="m8686,392l10860,392e" filled="false" stroked="true" strokeweight=".72pt" strokecolor="#000000">
                <v:path arrowok="t"/>
              </v:shape>
            </v:group>
            <v:group style="position:absolute;left:8686;top:363;width:2175;height:2" coordorigin="8686,363" coordsize="2175,2">
              <v:shape style="position:absolute;left:8686;top:363;width:2175;height:2" coordorigin="8686,363" coordsize="2175,0" path="m8686,363l10860,363e" filled="false" stroked="true" strokeweight=".72pt" strokecolor="#000000">
                <v:path arrowok="t"/>
              </v:shape>
            </v:group>
            <w10:wrap type="none"/>
          </v:group>
        </w:pict>
      </w:r>
      <w:r>
        <w:rPr>
          <w:w w:val="95"/>
          <w:position w:val="2"/>
        </w:rPr>
        <w:t>基本每股收益</w:t>
        <w:tab/>
      </w:r>
      <w:r>
        <w:rPr>
          <w:rFonts w:ascii="Arial" w:hAnsi="Arial" w:cs="Arial" w:eastAsia="Arial" w:hint="default"/>
        </w:rPr>
        <w:t>0.0666</w:t>
        <w:tab/>
        <w:t>0.0582</w:t>
      </w:r>
    </w:p>
    <w:p>
      <w:pPr>
        <w:pStyle w:val="BodyText"/>
        <w:spacing w:line="240" w:lineRule="auto" w:before="264"/>
        <w:ind w:left="128" w:right="97"/>
        <w:jc w:val="left"/>
      </w:pPr>
      <w:r>
        <w:rPr>
          <w:rFonts w:ascii="Arial" w:hAnsi="Arial" w:cs="Arial" w:eastAsia="Arial" w:hint="default"/>
        </w:rPr>
        <w:t>(b) </w:t>
      </w:r>
      <w:r>
        <w:rPr>
          <w:rFonts w:ascii="Arial" w:hAnsi="Arial" w:cs="Arial" w:eastAsia="Arial" w:hint="default"/>
          <w:spacing w:val="40"/>
        </w:rPr>
        <w:t> </w:t>
      </w:r>
      <w:r>
        <w:rPr/>
        <w:t>稀释每股收益</w:t>
      </w:r>
    </w:p>
    <w:p>
      <w:pPr>
        <w:pStyle w:val="BodyText"/>
        <w:spacing w:line="232" w:lineRule="auto" w:before="243"/>
        <w:ind w:left="589" w:right="163"/>
        <w:jc w:val="both"/>
      </w:pPr>
      <w:r>
        <w:rPr>
          <w:spacing w:val="5"/>
        </w:rPr>
        <w:t>稀释每股收益以根据稀释性潜在普通股调整后的归属于母公司普通股股东的合并净利润除以</w:t>
      </w:r>
      <w:r>
        <w:rPr>
          <w:spacing w:val="6"/>
          <w:w w:val="99"/>
        </w:rPr>
        <w:t> </w:t>
      </w:r>
      <w:r>
        <w:rPr/>
        <w:t>调整后的本公司发行在外普通股的加权平均数计算。于 </w:t>
      </w:r>
      <w:r>
        <w:rPr>
          <w:rFonts w:ascii="Arial" w:hAnsi="Arial" w:cs="Arial" w:eastAsia="Arial" w:hint="default"/>
        </w:rPr>
        <w:t>2011 </w:t>
      </w:r>
      <w:r>
        <w:rPr/>
        <w:t>年度和 </w:t>
      </w:r>
      <w:r>
        <w:rPr>
          <w:rFonts w:ascii="Arial" w:hAnsi="Arial" w:cs="Arial" w:eastAsia="Arial" w:hint="default"/>
        </w:rPr>
        <w:t>2010</w:t>
      </w:r>
      <w:r>
        <w:rPr>
          <w:rFonts w:ascii="Arial" w:hAnsi="Arial" w:cs="Arial" w:eastAsia="Arial" w:hint="default"/>
          <w:spacing w:val="-26"/>
        </w:rPr>
        <w:t> </w:t>
      </w:r>
      <w:r>
        <w:rPr/>
        <w:t>年度，本公司所属</w:t>
      </w:r>
      <w:r>
        <w:rPr>
          <w:w w:val="99"/>
        </w:rPr>
        <w:t> </w:t>
      </w:r>
      <w:r>
        <w:rPr>
          <w:spacing w:val="5"/>
        </w:rPr>
        <w:t>子公司联通红筹公司授予员工的股份期权对本公司归属于母公司普通股股东的合并净利润具</w:t>
      </w:r>
      <w:r>
        <w:rPr>
          <w:spacing w:val="6"/>
          <w:w w:val="99"/>
        </w:rPr>
        <w:t> </w:t>
      </w:r>
      <w:r>
        <w:rPr/>
        <w:t>有稀释性影响，相关计算结果如下：</w:t>
      </w:r>
    </w:p>
    <w:p>
      <w:pPr>
        <w:spacing w:line="240" w:lineRule="auto" w:before="11"/>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5043"/>
        <w:gridCol w:w="4505"/>
      </w:tblGrid>
      <w:tr>
        <w:trPr>
          <w:trHeight w:val="361" w:hRule="exact"/>
        </w:trPr>
        <w:tc>
          <w:tcPr>
            <w:tcW w:w="5043" w:type="dxa"/>
            <w:vMerge w:val="restart"/>
            <w:tcBorders>
              <w:top w:val="nil" w:sz="6" w:space="0" w:color="auto"/>
              <w:left w:val="nil" w:sz="6" w:space="0" w:color="auto"/>
              <w:right w:val="nil" w:sz="6" w:space="0" w:color="auto"/>
            </w:tcBorders>
          </w:tcPr>
          <w:p>
            <w:pPr/>
          </w:p>
        </w:tc>
        <w:tc>
          <w:tcPr>
            <w:tcW w:w="4505" w:type="dxa"/>
            <w:tcBorders>
              <w:top w:val="nil" w:sz="6" w:space="0" w:color="auto"/>
              <w:left w:val="nil" w:sz="6" w:space="0" w:color="auto"/>
              <w:bottom w:val="single" w:sz="6" w:space="0" w:color="000000"/>
              <w:right w:val="nil" w:sz="6" w:space="0" w:color="auto"/>
            </w:tcBorders>
          </w:tcPr>
          <w:p>
            <w:pPr>
              <w:pStyle w:val="TableParagraph"/>
              <w:tabs>
                <w:tab w:pos="2187" w:val="left" w:leader="none"/>
              </w:tabs>
              <w:spacing w:line="240" w:lineRule="auto" w:before="31"/>
              <w:ind w:right="88"/>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tab/>
            </w: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321" w:hRule="exact"/>
        </w:trPr>
        <w:tc>
          <w:tcPr>
            <w:tcW w:w="5043" w:type="dxa"/>
            <w:vMerge/>
            <w:tcBorders>
              <w:left w:val="nil" w:sz="6" w:space="0" w:color="auto"/>
              <w:bottom w:val="nil" w:sz="6" w:space="0" w:color="auto"/>
              <w:right w:val="nil" w:sz="6" w:space="0" w:color="auto"/>
            </w:tcBorders>
          </w:tcPr>
          <w:p>
            <w:pPr/>
          </w:p>
        </w:tc>
        <w:tc>
          <w:tcPr>
            <w:tcW w:w="4505" w:type="dxa"/>
            <w:tcBorders>
              <w:top w:val="single" w:sz="6" w:space="0" w:color="000000"/>
              <w:left w:val="nil" w:sz="6" w:space="0" w:color="auto"/>
              <w:bottom w:val="nil" w:sz="6" w:space="0" w:color="auto"/>
              <w:right w:val="nil" w:sz="6" w:space="0" w:color="auto"/>
            </w:tcBorders>
          </w:tcPr>
          <w:p>
            <w:pPr>
              <w:pStyle w:val="TableParagraph"/>
              <w:spacing w:line="252" w:lineRule="exact"/>
              <w:ind w:right="89"/>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485" w:hRule="exact"/>
        </w:trPr>
        <w:tc>
          <w:tcPr>
            <w:tcW w:w="5043" w:type="dxa"/>
            <w:tcBorders>
              <w:top w:val="nil" w:sz="6" w:space="0" w:color="auto"/>
              <w:left w:val="nil" w:sz="6" w:space="0" w:color="auto"/>
              <w:bottom w:val="nil" w:sz="6" w:space="0" w:color="auto"/>
              <w:right w:val="nil" w:sz="6" w:space="0" w:color="auto"/>
            </w:tcBorders>
          </w:tcPr>
          <w:p>
            <w:pPr>
              <w:pStyle w:val="TableParagraph"/>
              <w:spacing w:line="282" w:lineRule="exact"/>
              <w:ind w:left="510" w:right="0"/>
              <w:jc w:val="left"/>
              <w:rPr>
                <w:rFonts w:ascii="宋体" w:hAnsi="宋体" w:cs="宋体" w:eastAsia="宋体" w:hint="default"/>
                <w:sz w:val="22"/>
                <w:szCs w:val="22"/>
              </w:rPr>
            </w:pPr>
            <w:r>
              <w:rPr>
                <w:rFonts w:ascii="宋体" w:hAnsi="宋体" w:cs="宋体" w:eastAsia="宋体" w:hint="default"/>
                <w:sz w:val="22"/>
                <w:szCs w:val="22"/>
              </w:rPr>
              <w:t>稀释后归属于母公司普通股股东的合并净利润</w:t>
            </w:r>
          </w:p>
        </w:tc>
        <w:tc>
          <w:tcPr>
            <w:tcW w:w="4505" w:type="dxa"/>
            <w:tcBorders>
              <w:top w:val="nil" w:sz="6" w:space="0" w:color="auto"/>
              <w:left w:val="nil" w:sz="6" w:space="0" w:color="auto"/>
              <w:bottom w:val="nil" w:sz="6" w:space="0" w:color="auto"/>
              <w:right w:val="nil" w:sz="6" w:space="0" w:color="auto"/>
            </w:tcBorders>
          </w:tcPr>
          <w:p>
            <w:pPr>
              <w:pStyle w:val="TableParagraph"/>
              <w:tabs>
                <w:tab w:pos="800" w:val="left" w:leader="none"/>
                <w:tab w:pos="2946" w:val="left" w:leader="none"/>
                <w:tab w:pos="4455" w:val="left" w:leader="none"/>
              </w:tabs>
              <w:spacing w:line="240" w:lineRule="auto" w:before="60"/>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1,399,028,542</w:t>
            </w:r>
            <w:r>
              <w:rPr>
                <w:rFonts w:ascii="Arial"/>
                <w:spacing w:val="-1"/>
                <w:sz w:val="22"/>
              </w:rPr>
            </w:r>
            <w:r>
              <w:rPr>
                <w:rFonts w:ascii="Arial"/>
                <w:spacing w:val="-1"/>
                <w:sz w:val="22"/>
                <w:u w:val="single" w:color="000000"/>
              </w:rPr>
              <w:t> </w:t>
              <w:tab/>
              <w:t>1,226,959,283</w:t>
              <w:tab/>
            </w:r>
            <w:r>
              <w:rPr>
                <w:rFonts w:ascii="Arial"/>
                <w:spacing w:val="-1"/>
                <w:sz w:val="22"/>
              </w:rPr>
            </w:r>
          </w:p>
        </w:tc>
      </w:tr>
      <w:tr>
        <w:trPr>
          <w:trHeight w:val="598" w:hRule="exact"/>
        </w:trPr>
        <w:tc>
          <w:tcPr>
            <w:tcW w:w="504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10" w:right="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本公司发行在外普通股的加权平均数</w:t>
            </w:r>
          </w:p>
        </w:tc>
        <w:tc>
          <w:tcPr>
            <w:tcW w:w="4505" w:type="dxa"/>
            <w:tcBorders>
              <w:top w:val="nil" w:sz="6" w:space="0" w:color="auto"/>
              <w:left w:val="nil" w:sz="6" w:space="0" w:color="auto"/>
              <w:bottom w:val="nil" w:sz="6" w:space="0" w:color="auto"/>
              <w:right w:val="nil" w:sz="6" w:space="0" w:color="auto"/>
            </w:tcBorders>
          </w:tcPr>
          <w:p>
            <w:pPr>
              <w:pStyle w:val="TableParagraph"/>
              <w:tabs>
                <w:tab w:pos="677" w:val="left" w:leader="none"/>
                <w:tab w:pos="2824" w:val="left" w:leader="none"/>
                <w:tab w:pos="4455" w:val="left" w:leader="none"/>
              </w:tabs>
              <w:spacing w:line="240" w:lineRule="auto" w:before="174"/>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21,196,596,395</w:t>
            </w:r>
            <w:r>
              <w:rPr>
                <w:rFonts w:ascii="Arial"/>
                <w:spacing w:val="-1"/>
                <w:sz w:val="22"/>
              </w:rPr>
            </w:r>
            <w:r>
              <w:rPr>
                <w:rFonts w:ascii="Arial"/>
                <w:spacing w:val="-1"/>
                <w:sz w:val="22"/>
                <w:u w:val="single" w:color="000000"/>
              </w:rPr>
              <w:t> </w:t>
              <w:tab/>
              <w:t>21,196,596,395</w:t>
              <w:tab/>
            </w:r>
            <w:r>
              <w:rPr>
                <w:rFonts w:ascii="Arial"/>
                <w:spacing w:val="-1"/>
                <w:sz w:val="22"/>
              </w:rPr>
            </w:r>
          </w:p>
        </w:tc>
      </w:tr>
      <w:tr>
        <w:trPr>
          <w:trHeight w:val="452" w:hRule="exact"/>
        </w:trPr>
        <w:tc>
          <w:tcPr>
            <w:tcW w:w="504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10" w:right="0"/>
              <w:jc w:val="left"/>
              <w:rPr>
                <w:rFonts w:ascii="宋体" w:hAnsi="宋体" w:cs="宋体" w:eastAsia="宋体" w:hint="default"/>
                <w:sz w:val="22"/>
                <w:szCs w:val="22"/>
              </w:rPr>
            </w:pPr>
            <w:r>
              <w:rPr>
                <w:rFonts w:ascii="宋体" w:hAnsi="宋体" w:cs="宋体" w:eastAsia="宋体" w:hint="default"/>
                <w:sz w:val="22"/>
                <w:szCs w:val="22"/>
              </w:rPr>
              <w:t>稀释每股收益</w:t>
            </w:r>
          </w:p>
        </w:tc>
        <w:tc>
          <w:tcPr>
            <w:tcW w:w="4505" w:type="dxa"/>
            <w:tcBorders>
              <w:top w:val="nil" w:sz="6" w:space="0" w:color="auto"/>
              <w:left w:val="nil" w:sz="6" w:space="0" w:color="auto"/>
              <w:bottom w:val="single" w:sz="17" w:space="0" w:color="000000"/>
              <w:right w:val="nil" w:sz="6" w:space="0" w:color="auto"/>
            </w:tcBorders>
          </w:tcPr>
          <w:p>
            <w:pPr>
              <w:pStyle w:val="TableParagraph"/>
              <w:tabs>
                <w:tab w:pos="2144" w:val="left" w:leader="none"/>
              </w:tabs>
              <w:spacing w:line="240" w:lineRule="auto" w:before="173"/>
              <w:ind w:right="120"/>
              <w:jc w:val="right"/>
              <w:rPr>
                <w:rFonts w:ascii="Arial" w:hAnsi="Arial" w:cs="Arial" w:eastAsia="Arial" w:hint="default"/>
                <w:sz w:val="22"/>
                <w:szCs w:val="22"/>
              </w:rPr>
            </w:pPr>
            <w:r>
              <w:rPr>
                <w:rFonts w:ascii="Arial"/>
                <w:w w:val="95"/>
                <w:sz w:val="22"/>
              </w:rPr>
              <w:t>0.0660</w:t>
              <w:tab/>
              <w:t>0.0579</w:t>
            </w:r>
            <w:r>
              <w:rPr>
                <w:rFonts w:ascii="Arial"/>
                <w:sz w:val="22"/>
              </w:rPr>
            </w:r>
          </w:p>
        </w:tc>
      </w:tr>
      <w:tr>
        <w:trPr>
          <w:trHeight w:val="691" w:hRule="exact"/>
        </w:trPr>
        <w:tc>
          <w:tcPr>
            <w:tcW w:w="50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47</w:t>
            </w:r>
            <w:r>
              <w:rPr>
                <w:rFonts w:ascii="宋体" w:hAnsi="宋体" w:cs="宋体" w:eastAsia="宋体" w:hint="default"/>
                <w:sz w:val="22"/>
                <w:szCs w:val="22"/>
              </w:rPr>
              <w:t>、其他综合收益</w:t>
            </w:r>
          </w:p>
        </w:tc>
        <w:tc>
          <w:tcPr>
            <w:tcW w:w="4505" w:type="dxa"/>
            <w:tcBorders>
              <w:top w:val="single" w:sz="17" w:space="0" w:color="000000"/>
              <w:left w:val="nil" w:sz="6" w:space="0" w:color="auto"/>
              <w:bottom w:val="nil" w:sz="6" w:space="0" w:color="auto"/>
              <w:right w:val="nil" w:sz="6" w:space="0" w:color="auto"/>
            </w:tcBorders>
          </w:tcPr>
          <w:p>
            <w:pPr/>
          </w:p>
        </w:tc>
      </w:tr>
      <w:tr>
        <w:trPr>
          <w:trHeight w:val="415" w:hRule="exact"/>
        </w:trPr>
        <w:tc>
          <w:tcPr>
            <w:tcW w:w="5043" w:type="dxa"/>
            <w:tcBorders>
              <w:top w:val="nil" w:sz="6" w:space="0" w:color="auto"/>
              <w:left w:val="nil" w:sz="6" w:space="0" w:color="auto"/>
              <w:bottom w:val="nil" w:sz="6" w:space="0" w:color="auto"/>
              <w:right w:val="nil" w:sz="6" w:space="0" w:color="auto"/>
            </w:tcBorders>
          </w:tcPr>
          <w:p>
            <w:pPr/>
          </w:p>
        </w:tc>
        <w:tc>
          <w:tcPr>
            <w:tcW w:w="4505" w:type="dxa"/>
            <w:tcBorders>
              <w:top w:val="nil" w:sz="6" w:space="0" w:color="auto"/>
              <w:left w:val="nil" w:sz="6" w:space="0" w:color="auto"/>
              <w:bottom w:val="single" w:sz="6" w:space="0" w:color="000000"/>
              <w:right w:val="nil" w:sz="6" w:space="0" w:color="auto"/>
            </w:tcBorders>
          </w:tcPr>
          <w:p>
            <w:pPr>
              <w:pStyle w:val="TableParagraph"/>
              <w:tabs>
                <w:tab w:pos="1799" w:val="left" w:leader="none"/>
              </w:tabs>
              <w:spacing w:line="240" w:lineRule="auto" w:before="86"/>
              <w:ind w:right="161"/>
              <w:jc w:val="right"/>
              <w:rPr>
                <w:rFonts w:ascii="宋体" w:hAnsi="宋体" w:cs="宋体" w:eastAsia="宋体" w:hint="default"/>
                <w:sz w:val="22"/>
                <w:szCs w:val="22"/>
              </w:rPr>
            </w:pPr>
            <w:r>
              <w:rPr>
                <w:rFonts w:ascii="Arial" w:hAnsi="Arial" w:cs="Arial" w:eastAsia="Arial" w:hint="default"/>
                <w:w w:val="95"/>
                <w:sz w:val="22"/>
                <w:szCs w:val="22"/>
              </w:rPr>
              <w:t>2011</w:t>
            </w:r>
            <w:r>
              <w:rPr>
                <w:rFonts w:ascii="宋体" w:hAnsi="宋体" w:cs="宋体" w:eastAsia="宋体" w:hint="default"/>
                <w:w w:val="95"/>
                <w:sz w:val="22"/>
                <w:szCs w:val="22"/>
              </w:rPr>
              <w:t>年度</w:t>
              <w:tab/>
            </w:r>
            <w:r>
              <w:rPr>
                <w:rFonts w:ascii="Arial" w:hAnsi="Arial" w:cs="Arial" w:eastAsia="Arial" w:hint="default"/>
                <w:w w:val="95"/>
                <w:sz w:val="22"/>
                <w:szCs w:val="22"/>
              </w:rPr>
              <w:t>2010</w:t>
            </w:r>
            <w:r>
              <w:rPr>
                <w:rFonts w:ascii="宋体" w:hAnsi="宋体" w:cs="宋体" w:eastAsia="宋体" w:hint="default"/>
                <w:w w:val="95"/>
                <w:sz w:val="22"/>
                <w:szCs w:val="22"/>
              </w:rPr>
              <w:t>年度</w:t>
            </w:r>
            <w:r>
              <w:rPr>
                <w:rFonts w:ascii="宋体" w:hAnsi="宋体" w:cs="宋体" w:eastAsia="宋体" w:hint="default"/>
                <w:sz w:val="22"/>
                <w:szCs w:val="22"/>
              </w:rPr>
            </w:r>
          </w:p>
        </w:tc>
      </w:tr>
      <w:tr>
        <w:trPr>
          <w:trHeight w:val="558" w:hRule="exact"/>
        </w:trPr>
        <w:tc>
          <w:tcPr>
            <w:tcW w:w="50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11" w:right="0"/>
              <w:jc w:val="left"/>
              <w:rPr>
                <w:rFonts w:ascii="宋体" w:hAnsi="宋体" w:cs="宋体" w:eastAsia="宋体" w:hint="default"/>
                <w:sz w:val="22"/>
                <w:szCs w:val="22"/>
              </w:rPr>
            </w:pPr>
            <w:r>
              <w:rPr>
                <w:rFonts w:ascii="宋体" w:hAnsi="宋体" w:cs="宋体" w:eastAsia="宋体" w:hint="default"/>
                <w:sz w:val="22"/>
                <w:szCs w:val="22"/>
              </w:rPr>
              <w:t>可供出售金融资产公允价值变动金额</w:t>
            </w:r>
          </w:p>
        </w:tc>
        <w:tc>
          <w:tcPr>
            <w:tcW w:w="4505" w:type="dxa"/>
            <w:tcBorders>
              <w:top w:val="single" w:sz="6" w:space="0" w:color="000000"/>
              <w:left w:val="nil" w:sz="6" w:space="0" w:color="auto"/>
              <w:bottom w:val="nil" w:sz="6" w:space="0" w:color="auto"/>
              <w:right w:val="nil" w:sz="6" w:space="0" w:color="auto"/>
            </w:tcBorders>
          </w:tcPr>
          <w:p>
            <w:pPr>
              <w:pStyle w:val="TableParagraph"/>
              <w:spacing w:line="20" w:lineRule="exact"/>
              <w:ind w:left="879" w:right="0"/>
              <w:jc w:val="left"/>
              <w:rPr>
                <w:rFonts w:ascii="宋体" w:hAnsi="宋体" w:cs="宋体" w:eastAsia="宋体" w:hint="default"/>
                <w:sz w:val="2"/>
                <w:szCs w:val="2"/>
              </w:rPr>
            </w:pPr>
            <w:r>
              <w:rPr>
                <w:rFonts w:ascii="宋体" w:hAnsi="宋体" w:cs="宋体" w:eastAsia="宋体" w:hint="default"/>
                <w:sz w:val="2"/>
                <w:szCs w:val="2"/>
              </w:rPr>
              <w:pict>
                <v:group style="width:90.3pt;height:.75pt;mso-position-horizontal-relative:char;mso-position-vertical-relative:line" coordorigin="0,0" coordsize="1806,15">
                  <v:group style="position:absolute;left:7;top:7;width:1792;height:2" coordorigin="7,7" coordsize="1792,2">
                    <v:shape style="position:absolute;left:7;top:7;width:1792;height:2" coordorigin="7,7" coordsize="1792,0" path="m7,7l179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31"/>
              <w:jc w:val="right"/>
              <w:rPr>
                <w:rFonts w:ascii="Arial" w:hAnsi="Arial" w:cs="Arial" w:eastAsia="Arial" w:hint="default"/>
                <w:sz w:val="22"/>
                <w:szCs w:val="22"/>
              </w:rPr>
            </w:pPr>
            <w:r>
              <w:rPr>
                <w:rFonts w:ascii="Arial"/>
                <w:sz w:val="22"/>
              </w:rPr>
              <w:t>(2,629,018,539) </w:t>
            </w:r>
            <w:r>
              <w:rPr>
                <w:rFonts w:ascii="Arial"/>
                <w:spacing w:val="58"/>
                <w:sz w:val="22"/>
              </w:rPr>
              <w:t> </w:t>
            </w:r>
            <w:r>
              <w:rPr>
                <w:rFonts w:ascii="Arial"/>
                <w:sz w:val="22"/>
              </w:rPr>
              <w:t>(1,776,918,393)</w:t>
            </w:r>
          </w:p>
        </w:tc>
      </w:tr>
      <w:tr>
        <w:trPr>
          <w:trHeight w:val="293" w:hRule="exact"/>
        </w:trPr>
        <w:tc>
          <w:tcPr>
            <w:tcW w:w="5043" w:type="dxa"/>
            <w:tcBorders>
              <w:top w:val="nil" w:sz="6" w:space="0" w:color="auto"/>
              <w:left w:val="nil" w:sz="6" w:space="0" w:color="auto"/>
              <w:bottom w:val="nil" w:sz="6" w:space="0" w:color="auto"/>
              <w:right w:val="nil" w:sz="6" w:space="0" w:color="auto"/>
            </w:tcBorders>
          </w:tcPr>
          <w:p>
            <w:pPr>
              <w:pStyle w:val="TableParagraph"/>
              <w:spacing w:line="239" w:lineRule="exact"/>
              <w:ind w:left="511" w:right="0"/>
              <w:jc w:val="left"/>
              <w:rPr>
                <w:rFonts w:ascii="宋体" w:hAnsi="宋体" w:cs="宋体" w:eastAsia="宋体" w:hint="default"/>
                <w:sz w:val="22"/>
                <w:szCs w:val="22"/>
              </w:rPr>
            </w:pPr>
            <w:r>
              <w:rPr>
                <w:rFonts w:ascii="宋体" w:hAnsi="宋体" w:cs="宋体" w:eastAsia="宋体" w:hint="default"/>
                <w:sz w:val="22"/>
                <w:szCs w:val="22"/>
              </w:rPr>
              <w:t>减：可供出售金融资产的所得税影响</w:t>
            </w:r>
          </w:p>
        </w:tc>
        <w:tc>
          <w:tcPr>
            <w:tcW w:w="4505" w:type="dxa"/>
            <w:tcBorders>
              <w:top w:val="nil" w:sz="6" w:space="0" w:color="auto"/>
              <w:left w:val="nil" w:sz="6" w:space="0" w:color="auto"/>
              <w:bottom w:val="nil" w:sz="6" w:space="0" w:color="auto"/>
              <w:right w:val="nil" w:sz="6" w:space="0" w:color="auto"/>
            </w:tcBorders>
          </w:tcPr>
          <w:p>
            <w:pPr>
              <w:pStyle w:val="TableParagraph"/>
              <w:tabs>
                <w:tab w:pos="447" w:val="left" w:leader="none"/>
                <w:tab w:pos="2188" w:val="left" w:leader="none"/>
                <w:tab w:pos="3562" w:val="left" w:leader="none"/>
              </w:tabs>
              <w:spacing w:line="240" w:lineRule="auto" w:before="17"/>
              <w:ind w:right="5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655,980,803</w:t>
            </w:r>
            <w:r>
              <w:rPr>
                <w:rFonts w:ascii="Arial"/>
                <w:w w:val="95"/>
                <w:sz w:val="22"/>
              </w:rPr>
            </w:r>
            <w:r>
              <w:rPr>
                <w:rFonts w:ascii="Arial"/>
                <w:w w:val="95"/>
                <w:sz w:val="22"/>
                <w:u w:val="single" w:color="000000"/>
              </w:rPr>
              <w:t> </w:t>
              <w:tab/>
              <w:t>436,758,778</w:t>
            </w:r>
            <w:r>
              <w:rPr>
                <w:rFonts w:ascii="Arial"/>
                <w:sz w:val="22"/>
                <w:u w:val="single" w:color="000000"/>
              </w:rPr>
              <w:tab/>
            </w:r>
            <w:r>
              <w:rPr>
                <w:rFonts w:ascii="Arial"/>
                <w:sz w:val="22"/>
              </w:rPr>
            </w:r>
          </w:p>
        </w:tc>
      </w:tr>
      <w:tr>
        <w:trPr>
          <w:trHeight w:val="419" w:hRule="exact"/>
        </w:trPr>
        <w:tc>
          <w:tcPr>
            <w:tcW w:w="5043" w:type="dxa"/>
            <w:tcBorders>
              <w:top w:val="nil" w:sz="6" w:space="0" w:color="auto"/>
              <w:left w:val="nil" w:sz="6" w:space="0" w:color="auto"/>
              <w:bottom w:val="nil" w:sz="6" w:space="0" w:color="auto"/>
              <w:right w:val="nil" w:sz="6" w:space="0" w:color="auto"/>
            </w:tcBorders>
          </w:tcPr>
          <w:p>
            <w:pPr>
              <w:pStyle w:val="TableParagraph"/>
              <w:spacing w:line="247" w:lineRule="exact"/>
              <w:ind w:left="511"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45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1"/>
              <w:jc w:val="right"/>
              <w:rPr>
                <w:rFonts w:ascii="Arial" w:hAnsi="Arial" w:cs="Arial" w:eastAsia="Arial" w:hint="default"/>
                <w:sz w:val="22"/>
                <w:szCs w:val="22"/>
              </w:rPr>
            </w:pPr>
            <w:r>
              <w:rPr>
                <w:rFonts w:ascii="Arial"/>
                <w:sz w:val="22"/>
              </w:rPr>
              <w:t>(1,973,037,736) </w:t>
            </w:r>
            <w:r>
              <w:rPr>
                <w:rFonts w:ascii="Arial"/>
                <w:spacing w:val="58"/>
                <w:sz w:val="22"/>
              </w:rPr>
              <w:t> </w:t>
            </w:r>
            <w:r>
              <w:rPr>
                <w:rFonts w:ascii="Arial"/>
                <w:sz w:val="22"/>
              </w:rPr>
              <w:t>(1,340,159,615)</w:t>
            </w:r>
          </w:p>
        </w:tc>
      </w:tr>
      <w:tr>
        <w:trPr>
          <w:trHeight w:val="545" w:hRule="exact"/>
        </w:trPr>
        <w:tc>
          <w:tcPr>
            <w:tcW w:w="504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1" w:right="0"/>
              <w:jc w:val="left"/>
              <w:rPr>
                <w:rFonts w:ascii="宋体" w:hAnsi="宋体" w:cs="宋体" w:eastAsia="宋体" w:hint="default"/>
                <w:sz w:val="22"/>
                <w:szCs w:val="22"/>
              </w:rPr>
            </w:pPr>
            <w:r>
              <w:rPr>
                <w:rFonts w:ascii="宋体" w:hAnsi="宋体" w:cs="宋体" w:eastAsia="宋体" w:hint="default"/>
                <w:sz w:val="22"/>
                <w:szCs w:val="22"/>
              </w:rPr>
              <w:t>外币财务报表折算差额</w:t>
            </w:r>
          </w:p>
        </w:tc>
        <w:tc>
          <w:tcPr>
            <w:tcW w:w="4505" w:type="dxa"/>
            <w:tcBorders>
              <w:top w:val="nil" w:sz="6" w:space="0" w:color="auto"/>
              <w:left w:val="nil" w:sz="6" w:space="0" w:color="auto"/>
              <w:bottom w:val="nil" w:sz="6" w:space="0" w:color="auto"/>
              <w:right w:val="nil" w:sz="6" w:space="0" w:color="auto"/>
            </w:tcBorders>
          </w:tcPr>
          <w:p>
            <w:pPr>
              <w:pStyle w:val="TableParagraph"/>
              <w:tabs>
                <w:tab w:pos="495" w:val="left" w:leader="none"/>
                <w:tab w:pos="2432" w:val="left" w:leader="none"/>
                <w:tab w:pos="3562" w:val="left" w:leader="none"/>
              </w:tabs>
              <w:spacing w:line="240" w:lineRule="auto" w:before="143"/>
              <w:ind w:right="5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(17,441,095)</w:t>
            </w:r>
            <w:r>
              <w:rPr>
                <w:rFonts w:ascii="Arial"/>
                <w:w w:val="95"/>
                <w:sz w:val="22"/>
              </w:rPr>
            </w:r>
            <w:r>
              <w:rPr>
                <w:rFonts w:ascii="Arial"/>
                <w:w w:val="95"/>
                <w:sz w:val="22"/>
                <w:u w:val="single" w:color="000000"/>
              </w:rPr>
              <w:t> </w:t>
              <w:tab/>
              <w:t>5,343,984</w:t>
            </w:r>
            <w:r>
              <w:rPr>
                <w:rFonts w:ascii="Arial"/>
                <w:sz w:val="22"/>
                <w:u w:val="single" w:color="000000"/>
              </w:rPr>
              <w:tab/>
            </w:r>
            <w:r>
              <w:rPr>
                <w:rFonts w:ascii="Arial"/>
                <w:sz w:val="22"/>
              </w:rPr>
            </w:r>
          </w:p>
        </w:tc>
      </w:tr>
      <w:tr>
        <w:trPr>
          <w:trHeight w:val="431" w:hRule="exact"/>
        </w:trPr>
        <w:tc>
          <w:tcPr>
            <w:tcW w:w="504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1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450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31"/>
              <w:jc w:val="right"/>
              <w:rPr>
                <w:rFonts w:ascii="Arial" w:hAnsi="Arial" w:cs="Arial" w:eastAsia="Arial" w:hint="default"/>
                <w:sz w:val="22"/>
                <w:szCs w:val="22"/>
              </w:rPr>
            </w:pPr>
            <w:r>
              <w:rPr>
                <w:rFonts w:ascii="Arial"/>
                <w:sz w:val="22"/>
              </w:rPr>
              <w:t>(1,990,478,831) </w:t>
            </w:r>
            <w:r>
              <w:rPr>
                <w:rFonts w:ascii="Arial"/>
                <w:spacing w:val="58"/>
                <w:sz w:val="22"/>
              </w:rPr>
              <w:t> </w:t>
            </w:r>
            <w:r>
              <w:rPr>
                <w:rFonts w:ascii="Arial"/>
                <w:sz w:val="22"/>
              </w:rPr>
              <w:t>(1,334,815,631)</w:t>
            </w:r>
          </w:p>
        </w:tc>
      </w:tr>
    </w:tbl>
    <w:p>
      <w:pPr>
        <w:spacing w:after="0" w:line="240" w:lineRule="auto"/>
        <w:jc w:val="right"/>
        <w:rPr>
          <w:rFonts w:ascii="Arial" w:hAnsi="Arial" w:cs="Arial" w:eastAsia="Arial" w:hint="default"/>
          <w:sz w:val="22"/>
          <w:szCs w:val="22"/>
        </w:rPr>
        <w:sectPr>
          <w:headerReference w:type="default" r:id="rId134"/>
          <w:pgSz w:w="11900" w:h="16840"/>
          <w:pgMar w:header="1189" w:footer="752" w:top="3040" w:bottom="940" w:left="1240" w:right="900"/>
        </w:sectPr>
      </w:pPr>
    </w:p>
    <w:p>
      <w:pPr>
        <w:spacing w:line="240" w:lineRule="auto" w:before="9"/>
        <w:rPr>
          <w:rFonts w:ascii="宋体" w:hAnsi="宋体" w:cs="宋体" w:eastAsia="宋体" w:hint="default"/>
          <w:sz w:val="16"/>
          <w:szCs w:val="16"/>
        </w:rPr>
      </w:pPr>
    </w:p>
    <w:p>
      <w:pPr>
        <w:pStyle w:val="BodyText"/>
        <w:spacing w:line="240" w:lineRule="auto" w:before="31"/>
        <w:ind w:left="170" w:right="0"/>
        <w:jc w:val="left"/>
      </w:pPr>
      <w:r>
        <w:rPr>
          <w:rFonts w:ascii="Arial" w:hAnsi="Arial" w:cs="Arial" w:eastAsia="Arial" w:hint="default"/>
        </w:rPr>
        <w:t>48</w:t>
      </w:r>
      <w:r>
        <w:rPr/>
        <w:t>、现金流量表项目注释</w:t>
      </w:r>
    </w:p>
    <w:p>
      <w:pPr>
        <w:spacing w:line="240" w:lineRule="auto" w:before="13"/>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(a) </w:t>
      </w:r>
      <w:r>
        <w:rPr>
          <w:rFonts w:ascii="Arial" w:hAnsi="Arial" w:cs="Arial" w:eastAsia="Arial" w:hint="default"/>
          <w:spacing w:val="24"/>
        </w:rPr>
        <w:t> </w:t>
      </w:r>
      <w:r>
        <w:rPr/>
        <w:t>收到的其他与经营活动有关的现金</w:t>
      </w:r>
    </w:p>
    <w:p>
      <w:pPr>
        <w:spacing w:line="240" w:lineRule="auto" w:before="13"/>
        <w:rPr>
          <w:rFonts w:ascii="宋体" w:hAnsi="宋体" w:cs="宋体" w:eastAsia="宋体" w:hint="default"/>
          <w:sz w:val="17"/>
          <w:szCs w:val="17"/>
        </w:rPr>
      </w:pPr>
    </w:p>
    <w:p>
      <w:pPr>
        <w:pStyle w:val="BodyText"/>
        <w:tabs>
          <w:tab w:pos="2211" w:val="left" w:leader="none"/>
        </w:tabs>
        <w:spacing w:line="302" w:lineRule="exact"/>
        <w:ind w:left="0" w:right="206"/>
        <w:jc w:val="right"/>
      </w:pPr>
      <w:r>
        <w:rPr>
          <w:rFonts w:ascii="Arial" w:hAnsi="Arial" w:cs="Arial" w:eastAsia="Arial" w:hint="default"/>
        </w:rPr>
        <w:t>2011</w:t>
      </w:r>
      <w:r>
        <w:rPr>
          <w:rFonts w:ascii="Arial" w:hAnsi="Arial" w:cs="Arial" w:eastAsia="Arial" w:hint="default"/>
          <w:spacing w:val="-8"/>
        </w:rPr>
        <w:t> </w:t>
      </w:r>
      <w:r>
        <w:rPr/>
        <w:t>年度</w:t>
        <w:tab/>
      </w:r>
      <w:r>
        <w:rPr>
          <w:rFonts w:ascii="Arial" w:hAnsi="Arial" w:cs="Arial" w:eastAsia="Arial" w:hint="default"/>
        </w:rPr>
        <w:t>2010</w:t>
      </w:r>
      <w:r>
        <w:rPr>
          <w:rFonts w:ascii="Arial" w:hAnsi="Arial" w:cs="Arial" w:eastAsia="Arial" w:hint="default"/>
          <w:spacing w:val="-8"/>
        </w:rPr>
        <w:t> </w:t>
      </w:r>
      <w:r>
        <w:rPr/>
        <w:t>年度</w:t>
      </w:r>
    </w:p>
    <w:p>
      <w:pPr>
        <w:pStyle w:val="BodyText"/>
        <w:spacing w:line="283" w:lineRule="exact"/>
        <w:ind w:left="0" w:right="207"/>
        <w:jc w:val="right"/>
      </w:pPr>
      <w:r>
        <w:rPr/>
        <w:pict>
          <v:group style="position:absolute;margin-left:331.980011pt;margin-top:.938403pt;width:214.9pt;height:.75pt;mso-position-horizontal-relative:page;mso-position-vertical-relative:paragraph;z-index:-816352" coordorigin="6640,19" coordsize="4298,15">
            <v:group style="position:absolute;left:6647;top:26;width:2030;height:2" coordorigin="6647,26" coordsize="2030,2">
              <v:shape style="position:absolute;left:6647;top:26;width:2030;height:2" coordorigin="6647,26" coordsize="2030,0" path="m6647,26l8676,26e" filled="false" stroked="true" strokeweight=".72pt" strokecolor="#000000">
                <v:path arrowok="t"/>
              </v:shape>
            </v:group>
            <v:group style="position:absolute;left:8746;top:26;width:2184;height:2" coordorigin="8746,26" coordsize="2184,2">
              <v:shape style="position:absolute;left:8746;top:26;width:2184;height:2" coordorigin="8746,26" coordsize="2184,0" path="m8746,26l10930,26e" filled="false" stroked="true" strokeweight=".71997pt" strokecolor="#000000">
                <v:path arrowok="t"/>
              </v:shape>
            </v:group>
            <w10:wrap type="none"/>
          </v:group>
        </w:pict>
      </w:r>
      <w:r>
        <w:rPr>
          <w:w w:val="95"/>
        </w:rPr>
        <w:t>（经重列）</w:t>
      </w:r>
      <w:r>
        <w:rPr/>
      </w:r>
    </w:p>
    <w:p>
      <w:pPr>
        <w:pStyle w:val="BodyText"/>
        <w:tabs>
          <w:tab w:pos="6119" w:val="left" w:leader="none"/>
          <w:tab w:pos="8354" w:val="left" w:leader="none"/>
        </w:tabs>
        <w:spacing w:line="301" w:lineRule="exact"/>
        <w:ind w:left="605" w:right="0"/>
        <w:jc w:val="left"/>
        <w:rPr>
          <w:rFonts w:ascii="Arial" w:hAnsi="Arial" w:cs="Arial" w:eastAsia="Arial" w:hint="default"/>
        </w:rPr>
      </w:pPr>
      <w:r>
        <w:rPr>
          <w:w w:val="95"/>
          <w:position w:val="2"/>
        </w:rPr>
        <w:t>违约赔款收入</w:t>
        <w:tab/>
      </w:r>
      <w:r>
        <w:rPr>
          <w:rFonts w:ascii="Arial" w:hAnsi="Arial" w:cs="Arial" w:eastAsia="Arial" w:hint="default"/>
          <w:w w:val="95"/>
        </w:rPr>
        <w:t>283,366,673</w:t>
        <w:tab/>
      </w:r>
      <w:r>
        <w:rPr>
          <w:rFonts w:ascii="Arial" w:hAnsi="Arial" w:cs="Arial" w:eastAsia="Arial" w:hint="default"/>
        </w:rPr>
        <w:t>230,181,345</w:t>
      </w:r>
    </w:p>
    <w:p>
      <w:pPr>
        <w:pStyle w:val="BodyText"/>
        <w:tabs>
          <w:tab w:pos="6240" w:val="left" w:leader="none"/>
          <w:tab w:pos="8476" w:val="left" w:leader="none"/>
        </w:tabs>
        <w:spacing w:line="285" w:lineRule="exact"/>
        <w:ind w:left="605" w:right="0"/>
        <w:jc w:val="left"/>
        <w:rPr>
          <w:rFonts w:ascii="Arial" w:hAnsi="Arial" w:cs="Arial" w:eastAsia="Arial" w:hint="default"/>
        </w:rPr>
      </w:pPr>
      <w:r>
        <w:rPr>
          <w:w w:val="95"/>
          <w:position w:val="2"/>
        </w:rPr>
        <w:t>政府补助</w:t>
        <w:tab/>
      </w:r>
      <w:r>
        <w:rPr>
          <w:rFonts w:ascii="Arial" w:hAnsi="Arial" w:cs="Arial" w:eastAsia="Arial" w:hint="default"/>
          <w:w w:val="95"/>
        </w:rPr>
        <w:t>90,339,218</w:t>
        <w:tab/>
      </w:r>
      <w:r>
        <w:rPr>
          <w:rFonts w:ascii="Arial" w:hAnsi="Arial" w:cs="Arial" w:eastAsia="Arial" w:hint="default"/>
        </w:rPr>
        <w:t>84,722,153</w:t>
      </w:r>
    </w:p>
    <w:p>
      <w:pPr>
        <w:pStyle w:val="BodyText"/>
        <w:tabs>
          <w:tab w:pos="7269" w:val="left" w:leader="none"/>
          <w:tab w:pos="8171" w:val="left" w:leader="none"/>
        </w:tabs>
        <w:spacing w:line="286" w:lineRule="exact"/>
        <w:ind w:left="605" w:right="0"/>
        <w:jc w:val="left"/>
        <w:rPr>
          <w:rFonts w:ascii="Arial" w:hAnsi="Arial" w:cs="Arial" w:eastAsia="Arial" w:hint="default"/>
        </w:rPr>
      </w:pPr>
      <w:r>
        <w:rPr>
          <w:spacing w:val="-2"/>
          <w:position w:val="2"/>
        </w:rPr>
        <w:t>预缴企业所得税超过实际应缴额部分的退回（注）</w:t>
        <w:tab/>
      </w:r>
      <w:r>
        <w:rPr>
          <w:rFonts w:ascii="Arial" w:hAnsi="Arial" w:cs="Arial" w:eastAsia="Arial" w:hint="default"/>
          <w:w w:val="95"/>
        </w:rPr>
        <w:t>-</w:t>
        <w:tab/>
      </w:r>
      <w:r>
        <w:rPr>
          <w:rFonts w:ascii="Arial" w:hAnsi="Arial" w:cs="Arial" w:eastAsia="Arial" w:hint="default"/>
          <w:spacing w:val="-1"/>
        </w:rPr>
        <w:t>1,427,565,930</w:t>
      </w:r>
    </w:p>
    <w:p>
      <w:pPr>
        <w:pStyle w:val="BodyText"/>
        <w:tabs>
          <w:tab w:pos="5406" w:val="left" w:leader="none"/>
          <w:tab w:pos="6119" w:val="left" w:leader="none"/>
          <w:tab w:pos="8354" w:val="left" w:leader="none"/>
          <w:tab w:pos="9689" w:val="left" w:leader="none"/>
        </w:tabs>
        <w:spacing w:line="305" w:lineRule="exact"/>
        <w:ind w:left="605" w:right="0"/>
        <w:jc w:val="left"/>
        <w:rPr>
          <w:rFonts w:ascii="Arial" w:hAnsi="Arial" w:cs="Arial" w:eastAsia="Arial" w:hint="default"/>
        </w:rPr>
      </w:pPr>
      <w:r>
        <w:rPr>
          <w:w w:val="95"/>
          <w:position w:val="2"/>
        </w:rPr>
        <w:t>其他</w:t>
        <w:tab/>
      </w:r>
      <w:r>
        <w:rPr>
          <w:rFonts w:ascii="Arial" w:hAnsi="Arial" w:cs="Arial" w:eastAsia="Arial" w:hint="default"/>
          <w:w w:val="95"/>
        </w:rPr>
      </w:r>
      <w:r>
        <w:rPr>
          <w:rFonts w:ascii="Arial" w:hAnsi="Arial" w:cs="Arial" w:eastAsia="Arial" w:hint="default"/>
          <w:w w:val="95"/>
          <w:u w:val="single" w:color="000000"/>
        </w:rPr>
        <w:t> </w:t>
        <w:tab/>
        <w:t>174,225,618</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145,344,123</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6119" w:val="left" w:leader="none"/>
          <w:tab w:pos="8171" w:val="left" w:leader="none"/>
        </w:tabs>
        <w:spacing w:line="240" w:lineRule="auto" w:before="27"/>
        <w:ind w:left="605" w:right="0"/>
        <w:jc w:val="left"/>
        <w:rPr>
          <w:rFonts w:ascii="Arial" w:hAnsi="Arial" w:cs="Arial" w:eastAsia="Arial" w:hint="default"/>
        </w:rPr>
      </w:pPr>
      <w:r>
        <w:rPr>
          <w:w w:val="95"/>
          <w:position w:val="2"/>
        </w:rPr>
        <w:t>合计</w:t>
        <w:tab/>
      </w:r>
      <w:r>
        <w:rPr>
          <w:rFonts w:ascii="Arial" w:hAnsi="Arial" w:cs="Arial" w:eastAsia="Arial" w:hint="default"/>
          <w:w w:val="95"/>
        </w:rPr>
        <w:t>547,931,509</w:t>
        <w:tab/>
      </w:r>
      <w:r>
        <w:rPr>
          <w:rFonts w:ascii="Arial" w:hAnsi="Arial" w:cs="Arial" w:eastAsia="Arial" w:hint="default"/>
        </w:rPr>
        <w:t>1,887,813,551</w:t>
      </w:r>
    </w:p>
    <w:p>
      <w:pPr>
        <w:spacing w:line="43" w:lineRule="exact"/>
        <w:ind w:left="5385" w:right="0" w:firstLine="0"/>
        <w:rPr>
          <w:rFonts w:ascii="Arial" w:hAnsi="Arial" w:cs="Arial" w:eastAsia="Arial" w:hint="default"/>
          <w:sz w:val="4"/>
          <w:szCs w:val="4"/>
        </w:rPr>
      </w:pPr>
      <w:r>
        <w:rPr>
          <w:rFonts w:ascii="Arial" w:hAnsi="Arial" w:cs="Arial" w:eastAsia="Arial" w:hint="default"/>
          <w:position w:val="0"/>
          <w:sz w:val="4"/>
          <w:szCs w:val="4"/>
        </w:rPr>
        <w:pict>
          <v:group style="width:215.6pt;height:2.2pt;mso-position-horizontal-relative:char;mso-position-vertical-relative:line" coordorigin="0,0" coordsize="4312,44">
            <v:group style="position:absolute;left:7;top:36;width:2044;height:2" coordorigin="7,36" coordsize="2044,2">
              <v:shape style="position:absolute;left:7;top:36;width:2044;height:2" coordorigin="7,36" coordsize="2044,0" path="m7,36l2051,36e" filled="false" stroked="true" strokeweight=".72pt" strokecolor="#000000">
                <v:path arrowok="t"/>
              </v:shape>
            </v:group>
            <v:group style="position:absolute;left:7;top:7;width:2044;height:2" coordorigin="7,7" coordsize="2044,2">
              <v:shape style="position:absolute;left:7;top:7;width:2044;height:2" coordorigin="7,7" coordsize="2044,0" path="m7,7l2051,7e" filled="false" stroked="true" strokeweight=".72pt" strokecolor="#000000">
                <v:path arrowok="t"/>
              </v:shape>
            </v:group>
            <v:group style="position:absolute;left:2106;top:36;width:2199;height:2" coordorigin="2106,36" coordsize="2199,2">
              <v:shape style="position:absolute;left:2106;top:36;width:2199;height:2" coordorigin="2106,36" coordsize="2199,0" path="m2106,36l4304,36e" filled="false" stroked="true" strokeweight=".72pt" strokecolor="#000000">
                <v:path arrowok="t"/>
              </v:shape>
            </v:group>
            <v:group style="position:absolute;left:2106;top:7;width:2199;height:2" coordorigin="2106,7" coordsize="2199,2">
              <v:shape style="position:absolute;left:2106;top:7;width:2199;height:2" coordorigin="2106,7" coordsize="2199,0" path="m2106,7l4304,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600" w:right="0"/>
        <w:jc w:val="left"/>
      </w:pPr>
      <w:r>
        <w:rPr>
          <w:spacing w:val="-16"/>
        </w:rPr>
        <w:t>注：于</w:t>
      </w:r>
      <w:r>
        <w:rPr>
          <w:spacing w:val="-68"/>
        </w:rPr>
        <w:t> </w:t>
      </w:r>
      <w:r>
        <w:rPr>
          <w:rFonts w:ascii="Arial" w:hAnsi="Arial" w:cs="Arial" w:eastAsia="Arial" w:hint="default"/>
        </w:rPr>
        <w:t>2010</w:t>
      </w:r>
      <w:r>
        <w:rPr>
          <w:rFonts w:ascii="Arial" w:hAnsi="Arial" w:cs="Arial" w:eastAsia="Arial" w:hint="default"/>
          <w:spacing w:val="-19"/>
        </w:rPr>
        <w:t> </w:t>
      </w:r>
      <w:r>
        <w:rPr/>
        <w:t>年度，本公司所属子公司联通运营公司收到主管税务机关退回的</w:t>
      </w:r>
      <w:r>
        <w:rPr>
          <w:spacing w:val="-68"/>
        </w:rPr>
        <w:t> </w:t>
      </w:r>
      <w:r>
        <w:rPr>
          <w:rFonts w:ascii="Arial" w:hAnsi="Arial" w:cs="Arial" w:eastAsia="Arial" w:hint="default"/>
        </w:rPr>
        <w:t>2009</w:t>
      </w:r>
      <w:r>
        <w:rPr>
          <w:rFonts w:ascii="Arial" w:hAnsi="Arial" w:cs="Arial" w:eastAsia="Arial" w:hint="default"/>
          <w:spacing w:val="-19"/>
        </w:rPr>
        <w:t> </w:t>
      </w:r>
      <w:r>
        <w:rPr/>
        <w:t>年度预缴企</w:t>
      </w:r>
    </w:p>
    <w:p>
      <w:pPr>
        <w:pStyle w:val="BodyText"/>
        <w:spacing w:line="295" w:lineRule="exact"/>
        <w:ind w:left="1042" w:right="0"/>
        <w:jc w:val="left"/>
      </w:pPr>
      <w:r>
        <w:rPr/>
        <w:t>业所得税超过实际</w:t>
      </w:r>
      <w:r>
        <w:rPr>
          <w:spacing w:val="-57"/>
        </w:rPr>
        <w:t> </w:t>
      </w:r>
      <w:r>
        <w:rPr>
          <w:rFonts w:ascii="Arial" w:hAnsi="Arial" w:cs="Arial" w:eastAsia="Arial" w:hint="default"/>
        </w:rPr>
        <w:t>2009</w:t>
      </w:r>
      <w:r>
        <w:rPr>
          <w:rFonts w:ascii="Arial" w:hAnsi="Arial" w:cs="Arial" w:eastAsia="Arial" w:hint="default"/>
          <w:spacing w:val="-8"/>
        </w:rPr>
        <w:t> </w:t>
      </w:r>
      <w:r>
        <w:rPr/>
        <w:t>年度应缴额的税款</w:t>
      </w:r>
      <w:r>
        <w:rPr>
          <w:spacing w:val="-57"/>
        </w:rPr>
        <w:t> </w:t>
      </w:r>
      <w:r>
        <w:rPr>
          <w:rFonts w:ascii="Arial" w:hAnsi="Arial" w:cs="Arial" w:eastAsia="Arial" w:hint="default"/>
        </w:rPr>
        <w:t>14.28</w:t>
      </w:r>
      <w:r>
        <w:rPr>
          <w:rFonts w:ascii="Arial" w:hAnsi="Arial" w:cs="Arial" w:eastAsia="Arial" w:hint="default"/>
          <w:spacing w:val="-8"/>
        </w:rPr>
        <w:t> </w:t>
      </w:r>
      <w:r>
        <w:rPr/>
        <w:t>亿元。</w:t>
      </w:r>
    </w:p>
    <w:p>
      <w:pPr>
        <w:spacing w:line="240" w:lineRule="auto" w:before="6"/>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385"/>
        <w:gridCol w:w="4914"/>
        <w:gridCol w:w="2372"/>
        <w:gridCol w:w="1889"/>
      </w:tblGrid>
      <w:tr>
        <w:trPr>
          <w:trHeight w:val="900" w:hRule="exact"/>
        </w:trPr>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Arial" w:hAnsi="Arial" w:cs="Arial" w:eastAsia="Arial" w:hint="default"/>
                <w:sz w:val="22"/>
                <w:szCs w:val="22"/>
              </w:rPr>
            </w:pPr>
            <w:r>
              <w:rPr>
                <w:rFonts w:ascii="Arial"/>
                <w:sz w:val="22"/>
              </w:rPr>
              <w:t>(b)</w:t>
            </w:r>
          </w:p>
        </w:tc>
        <w:tc>
          <w:tcPr>
            <w:tcW w:w="491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7" w:right="0"/>
              <w:jc w:val="left"/>
              <w:rPr>
                <w:rFonts w:ascii="宋体" w:hAnsi="宋体" w:cs="宋体" w:eastAsia="宋体" w:hint="default"/>
                <w:sz w:val="22"/>
                <w:szCs w:val="22"/>
              </w:rPr>
            </w:pPr>
            <w:r>
              <w:rPr>
                <w:rFonts w:ascii="宋体" w:hAnsi="宋体" w:cs="宋体" w:eastAsia="宋体" w:hint="default"/>
                <w:sz w:val="22"/>
                <w:szCs w:val="22"/>
              </w:rPr>
              <w:t>收到的其他与投资活动有关的现金</w:t>
            </w:r>
          </w:p>
        </w:tc>
        <w:tc>
          <w:tcPr>
            <w:tcW w:w="237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1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89"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5"/>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822" w:hRule="exact"/>
        </w:trPr>
        <w:tc>
          <w:tcPr>
            <w:tcW w:w="385" w:type="dxa"/>
            <w:tcBorders>
              <w:top w:val="nil" w:sz="6" w:space="0" w:color="auto"/>
              <w:left w:val="nil" w:sz="6" w:space="0" w:color="auto"/>
              <w:bottom w:val="nil" w:sz="6" w:space="0" w:color="auto"/>
              <w:right w:val="nil" w:sz="6" w:space="0" w:color="auto"/>
            </w:tcBorders>
          </w:tcPr>
          <w:p>
            <w:pPr/>
          </w:p>
        </w:tc>
        <w:tc>
          <w:tcPr>
            <w:tcW w:w="49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left="112"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9"/>
                <w:sz w:val="22"/>
                <w:szCs w:val="22"/>
              </w:rPr>
              <w:t> </w:t>
            </w:r>
            <w:r>
              <w:rPr>
                <w:rFonts w:ascii="宋体" w:hAnsi="宋体" w:cs="宋体" w:eastAsia="宋体" w:hint="default"/>
                <w:sz w:val="22"/>
                <w:szCs w:val="22"/>
              </w:rPr>
              <w:t>个月以上银行存款及限制性存款的减少</w:t>
            </w:r>
          </w:p>
        </w:tc>
        <w:tc>
          <w:tcPr>
            <w:tcW w:w="2372"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6" w:right="0"/>
              <w:jc w:val="left"/>
              <w:rPr>
                <w:rFonts w:ascii="Arial" w:hAnsi="Arial" w:cs="Arial" w:eastAsia="Arial" w:hint="default"/>
                <w:sz w:val="22"/>
                <w:szCs w:val="22"/>
              </w:rPr>
            </w:pPr>
            <w:r>
              <w:rPr>
                <w:rFonts w:ascii="Arial"/>
                <w:sz w:val="22"/>
              </w:rPr>
              <w:t>181,172,648</w:t>
            </w:r>
          </w:p>
        </w:tc>
        <w:tc>
          <w:tcPr>
            <w:tcW w:w="1889"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1" w:right="0"/>
              <w:jc w:val="left"/>
              <w:rPr>
                <w:rFonts w:ascii="Arial" w:hAnsi="Arial" w:cs="Arial" w:eastAsia="Arial" w:hint="default"/>
                <w:sz w:val="22"/>
                <w:szCs w:val="22"/>
              </w:rPr>
            </w:pPr>
            <w:r>
              <w:rPr>
                <w:rFonts w:ascii="Arial"/>
                <w:sz w:val="22"/>
              </w:rPr>
              <w:t>1,200,945,107</w:t>
            </w:r>
          </w:p>
        </w:tc>
      </w:tr>
      <w:tr>
        <w:trPr>
          <w:trHeight w:val="1105" w:hRule="exact"/>
        </w:trPr>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9" w:right="0"/>
              <w:jc w:val="left"/>
              <w:rPr>
                <w:rFonts w:ascii="Arial" w:hAnsi="Arial" w:cs="Arial" w:eastAsia="Arial" w:hint="default"/>
                <w:sz w:val="22"/>
                <w:szCs w:val="22"/>
              </w:rPr>
            </w:pPr>
            <w:r>
              <w:rPr>
                <w:rFonts w:ascii="Arial"/>
                <w:sz w:val="22"/>
              </w:rPr>
              <w:t>(c)</w:t>
            </w:r>
          </w:p>
        </w:tc>
        <w:tc>
          <w:tcPr>
            <w:tcW w:w="49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2"/>
                <w:szCs w:val="22"/>
              </w:rPr>
            </w:pPr>
            <w:r>
              <w:rPr>
                <w:rFonts w:ascii="宋体" w:hAnsi="宋体" w:cs="宋体" w:eastAsia="宋体" w:hint="default"/>
                <w:sz w:val="22"/>
                <w:szCs w:val="22"/>
              </w:rPr>
              <w:t>支付的其他与投资活动有关的现金</w:t>
            </w:r>
          </w:p>
        </w:tc>
        <w:tc>
          <w:tcPr>
            <w:tcW w:w="2372" w:type="dxa"/>
            <w:tcBorders>
              <w:top w:val="single" w:sz="17"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9"/>
              <w:ind w:right="39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89" w:type="dxa"/>
            <w:tcBorders>
              <w:top w:val="single" w:sz="17"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9"/>
              <w:ind w:right="7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823" w:hRule="exact"/>
        </w:trPr>
        <w:tc>
          <w:tcPr>
            <w:tcW w:w="385" w:type="dxa"/>
            <w:tcBorders>
              <w:top w:val="nil" w:sz="6" w:space="0" w:color="auto"/>
              <w:left w:val="nil" w:sz="6" w:space="0" w:color="auto"/>
              <w:bottom w:val="nil" w:sz="6" w:space="0" w:color="auto"/>
              <w:right w:val="nil" w:sz="6" w:space="0" w:color="auto"/>
            </w:tcBorders>
          </w:tcPr>
          <w:p>
            <w:pPr/>
          </w:p>
        </w:tc>
        <w:tc>
          <w:tcPr>
            <w:tcW w:w="49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left="112"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9"/>
                <w:sz w:val="22"/>
                <w:szCs w:val="22"/>
              </w:rPr>
              <w:t> </w:t>
            </w:r>
            <w:r>
              <w:rPr>
                <w:rFonts w:ascii="宋体" w:hAnsi="宋体" w:cs="宋体" w:eastAsia="宋体" w:hint="default"/>
                <w:sz w:val="22"/>
                <w:szCs w:val="22"/>
              </w:rPr>
              <w:t>个月以上银行存款及限制性存款的增加</w:t>
            </w:r>
          </w:p>
        </w:tc>
        <w:tc>
          <w:tcPr>
            <w:tcW w:w="2372"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69"/>
              <w:jc w:val="right"/>
              <w:rPr>
                <w:rFonts w:ascii="Arial" w:hAnsi="Arial" w:cs="Arial" w:eastAsia="Arial" w:hint="default"/>
                <w:sz w:val="22"/>
                <w:szCs w:val="22"/>
              </w:rPr>
            </w:pPr>
            <w:r>
              <w:rPr>
                <w:rFonts w:ascii="Arial"/>
                <w:w w:val="95"/>
                <w:sz w:val="22"/>
              </w:rPr>
              <w:t>(212,436,455)</w:t>
            </w:r>
            <w:r>
              <w:rPr>
                <w:rFonts w:ascii="Arial"/>
                <w:sz w:val="22"/>
              </w:rPr>
            </w:r>
          </w:p>
        </w:tc>
        <w:tc>
          <w:tcPr>
            <w:tcW w:w="1889"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Arial" w:hAnsi="Arial" w:cs="Arial" w:eastAsia="Arial" w:hint="default"/>
                <w:sz w:val="22"/>
                <w:szCs w:val="22"/>
              </w:rPr>
            </w:pPr>
            <w:r>
              <w:rPr>
                <w:rFonts w:ascii="Arial"/>
                <w:w w:val="95"/>
                <w:sz w:val="22"/>
              </w:rPr>
              <w:t>(477,672,520)</w:t>
            </w:r>
            <w:r>
              <w:rPr>
                <w:rFonts w:ascii="Arial"/>
                <w:sz w:val="22"/>
              </w:rPr>
            </w:r>
          </w:p>
        </w:tc>
      </w:tr>
      <w:tr>
        <w:trPr>
          <w:trHeight w:val="1105" w:hRule="exact"/>
        </w:trPr>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9" w:right="0"/>
              <w:jc w:val="left"/>
              <w:rPr>
                <w:rFonts w:ascii="Arial" w:hAnsi="Arial" w:cs="Arial" w:eastAsia="Arial" w:hint="default"/>
                <w:sz w:val="22"/>
                <w:szCs w:val="22"/>
              </w:rPr>
            </w:pPr>
            <w:r>
              <w:rPr>
                <w:rFonts w:ascii="Arial"/>
                <w:sz w:val="22"/>
              </w:rPr>
              <w:t>(d)</w:t>
            </w:r>
          </w:p>
        </w:tc>
        <w:tc>
          <w:tcPr>
            <w:tcW w:w="49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2"/>
                <w:szCs w:val="22"/>
              </w:rPr>
            </w:pPr>
            <w:r>
              <w:rPr>
                <w:rFonts w:ascii="宋体" w:hAnsi="宋体" w:cs="宋体" w:eastAsia="宋体" w:hint="default"/>
                <w:sz w:val="22"/>
                <w:szCs w:val="22"/>
              </w:rPr>
              <w:t>终止经营业务投资活动产生的现金流量净额</w:t>
            </w:r>
          </w:p>
        </w:tc>
        <w:tc>
          <w:tcPr>
            <w:tcW w:w="2372" w:type="dxa"/>
            <w:tcBorders>
              <w:top w:val="single" w:sz="17"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9"/>
              <w:ind w:right="39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89" w:type="dxa"/>
            <w:tcBorders>
              <w:top w:val="single" w:sz="17"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9"/>
              <w:ind w:right="7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822" w:hRule="exact"/>
        </w:trPr>
        <w:tc>
          <w:tcPr>
            <w:tcW w:w="385" w:type="dxa"/>
            <w:tcBorders>
              <w:top w:val="nil" w:sz="6" w:space="0" w:color="auto"/>
              <w:left w:val="nil" w:sz="6" w:space="0" w:color="auto"/>
              <w:bottom w:val="nil" w:sz="6" w:space="0" w:color="auto"/>
              <w:right w:val="nil" w:sz="6" w:space="0" w:color="auto"/>
            </w:tcBorders>
          </w:tcPr>
          <w:p>
            <w:pPr/>
          </w:p>
        </w:tc>
        <w:tc>
          <w:tcPr>
            <w:tcW w:w="49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left="112" w:right="0"/>
              <w:jc w:val="left"/>
              <w:rPr>
                <w:rFonts w:ascii="宋体" w:hAnsi="宋体" w:cs="宋体" w:eastAsia="宋体" w:hint="default"/>
                <w:sz w:val="22"/>
                <w:szCs w:val="22"/>
              </w:rPr>
            </w:pPr>
            <w:r>
              <w:rPr>
                <w:rFonts w:ascii="宋体" w:hAnsi="宋体" w:cs="宋体" w:eastAsia="宋体" w:hint="default"/>
                <w:sz w:val="22"/>
                <w:szCs w:val="22"/>
              </w:rPr>
              <w:t>收到的出售</w:t>
            </w:r>
            <w:r>
              <w:rPr>
                <w:rFonts w:ascii="宋体" w:hAnsi="宋体" w:cs="宋体" w:eastAsia="宋体" w:hint="default"/>
                <w:spacing w:val="-57"/>
                <w:sz w:val="22"/>
                <w:szCs w:val="22"/>
              </w:rPr>
              <w:t> </w:t>
            </w:r>
            <w:r>
              <w:rPr>
                <w:rFonts w:ascii="Arial" w:hAnsi="Arial" w:cs="Arial" w:eastAsia="Arial" w:hint="default"/>
                <w:sz w:val="22"/>
                <w:szCs w:val="22"/>
              </w:rPr>
              <w:t>CDMA</w:t>
            </w:r>
            <w:r>
              <w:rPr>
                <w:rFonts w:ascii="Arial" w:hAnsi="Arial" w:cs="Arial" w:eastAsia="Arial" w:hint="default"/>
                <w:spacing w:val="-9"/>
                <w:sz w:val="22"/>
                <w:szCs w:val="22"/>
              </w:rPr>
              <w:t> </w:t>
            </w:r>
            <w:r>
              <w:rPr>
                <w:rFonts w:ascii="宋体" w:hAnsi="宋体" w:cs="宋体" w:eastAsia="宋体" w:hint="default"/>
                <w:sz w:val="22"/>
                <w:szCs w:val="22"/>
              </w:rPr>
              <w:t>业务结算款</w:t>
            </w:r>
          </w:p>
        </w:tc>
        <w:tc>
          <w:tcPr>
            <w:tcW w:w="2372"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43"/>
              <w:jc w:val="right"/>
              <w:rPr>
                <w:rFonts w:ascii="Arial" w:hAnsi="Arial" w:cs="Arial" w:eastAsia="Arial" w:hint="default"/>
                <w:sz w:val="22"/>
                <w:szCs w:val="22"/>
              </w:rPr>
            </w:pPr>
            <w:r>
              <w:rPr>
                <w:rFonts w:ascii="Arial"/>
                <w:w w:val="99"/>
                <w:sz w:val="22"/>
              </w:rPr>
              <w:t>-</w:t>
            </w:r>
            <w:r>
              <w:rPr>
                <w:rFonts w:ascii="Arial"/>
                <w:sz w:val="22"/>
              </w:rPr>
            </w:r>
          </w:p>
        </w:tc>
        <w:tc>
          <w:tcPr>
            <w:tcW w:w="1889"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2" w:right="0"/>
              <w:jc w:val="left"/>
              <w:rPr>
                <w:rFonts w:ascii="Arial" w:hAnsi="Arial" w:cs="Arial" w:eastAsia="Arial" w:hint="default"/>
                <w:sz w:val="22"/>
                <w:szCs w:val="22"/>
              </w:rPr>
            </w:pPr>
            <w:r>
              <w:rPr>
                <w:rFonts w:ascii="Arial"/>
                <w:sz w:val="22"/>
              </w:rPr>
              <w:t>5,121,123,007</w:t>
            </w:r>
          </w:p>
        </w:tc>
      </w:tr>
    </w:tbl>
    <w:p>
      <w:pPr>
        <w:spacing w:line="240" w:lineRule="auto" w:before="7"/>
        <w:rPr>
          <w:rFonts w:ascii="宋体" w:hAnsi="宋体" w:cs="宋体" w:eastAsia="宋体" w:hint="default"/>
          <w:sz w:val="12"/>
          <w:szCs w:val="12"/>
        </w:rPr>
      </w:pPr>
    </w:p>
    <w:p>
      <w:pPr>
        <w:pStyle w:val="BodyText"/>
        <w:spacing w:line="230" w:lineRule="auto" w:before="42"/>
        <w:ind w:left="1042" w:right="168" w:hanging="442"/>
        <w:jc w:val="both"/>
      </w:pPr>
      <w:r>
        <w:rPr>
          <w:spacing w:val="-14"/>
        </w:rPr>
        <w:t>注：于</w:t>
      </w:r>
      <w:r>
        <w:rPr>
          <w:spacing w:val="-62"/>
        </w:rPr>
        <w:t> </w:t>
      </w:r>
      <w:r>
        <w:rPr>
          <w:rFonts w:ascii="Arial" w:hAnsi="Arial" w:cs="Arial" w:eastAsia="Arial" w:hint="default"/>
        </w:rPr>
        <w:t>2008</w:t>
      </w:r>
      <w:r>
        <w:rPr>
          <w:rFonts w:ascii="Arial" w:hAnsi="Arial" w:cs="Arial" w:eastAsia="Arial" w:hint="default"/>
          <w:spacing w:val="-13"/>
        </w:rPr>
        <w:t> </w:t>
      </w:r>
      <w:r>
        <w:rPr/>
        <w:t>年</w:t>
      </w:r>
      <w:r>
        <w:rPr>
          <w:spacing w:val="-62"/>
        </w:rPr>
        <w:t> </w:t>
      </w:r>
      <w:r>
        <w:rPr>
          <w:rFonts w:ascii="Arial" w:hAnsi="Arial" w:cs="Arial" w:eastAsia="Arial" w:hint="default"/>
        </w:rPr>
        <w:t>10</w:t>
      </w:r>
      <w:r>
        <w:rPr>
          <w:rFonts w:ascii="Arial" w:hAnsi="Arial" w:cs="Arial" w:eastAsia="Arial" w:hint="default"/>
          <w:spacing w:val="-13"/>
        </w:rPr>
        <w:t> </w:t>
      </w:r>
      <w:r>
        <w:rPr/>
        <w:t>月</w:t>
      </w:r>
      <w:r>
        <w:rPr>
          <w:spacing w:val="-62"/>
        </w:rPr>
        <w:t> </w:t>
      </w:r>
      <w:r>
        <w:rPr>
          <w:rFonts w:ascii="Arial" w:hAnsi="Arial" w:cs="Arial" w:eastAsia="Arial" w:hint="default"/>
        </w:rPr>
        <w:t>1</w:t>
      </w:r>
      <w:r>
        <w:rPr>
          <w:rFonts w:ascii="Arial" w:hAnsi="Arial" w:cs="Arial" w:eastAsia="Arial" w:hint="default"/>
          <w:spacing w:val="-13"/>
        </w:rPr>
        <w:t> </w:t>
      </w:r>
      <w:r>
        <w:rPr/>
        <w:t>日，本公司所属子公司联通红筹公司和联通运营公司完成了向中国电信</w:t>
      </w:r>
      <w:r>
        <w:rPr>
          <w:w w:val="99"/>
        </w:rPr>
        <w:t> </w:t>
      </w:r>
      <w:r>
        <w:rPr/>
        <w:t>股份有限公司（“中国电信”）出售本集团经营的</w:t>
      </w:r>
      <w:r>
        <w:rPr>
          <w:spacing w:val="-51"/>
        </w:rPr>
        <w:t> </w:t>
      </w:r>
      <w:r>
        <w:rPr>
          <w:rFonts w:ascii="Arial" w:hAnsi="Arial" w:cs="Arial" w:eastAsia="Arial" w:hint="default"/>
        </w:rPr>
        <w:t>CDMA</w:t>
      </w:r>
      <w:r>
        <w:rPr>
          <w:rFonts w:ascii="Arial" w:hAnsi="Arial" w:cs="Arial" w:eastAsia="Arial" w:hint="default"/>
          <w:spacing w:val="-1"/>
        </w:rPr>
        <w:t> </w:t>
      </w:r>
      <w:r>
        <w:rPr/>
        <w:t>业务的交易，该等</w:t>
      </w:r>
      <w:r>
        <w:rPr>
          <w:spacing w:val="-50"/>
        </w:rPr>
        <w:t> </w:t>
      </w:r>
      <w:r>
        <w:rPr>
          <w:rFonts w:ascii="Arial" w:hAnsi="Arial" w:cs="Arial" w:eastAsia="Arial" w:hint="default"/>
        </w:rPr>
        <w:t>CDMA</w:t>
      </w:r>
      <w:r>
        <w:rPr>
          <w:rFonts w:ascii="Arial" w:hAnsi="Arial" w:cs="Arial" w:eastAsia="Arial" w:hint="default"/>
          <w:spacing w:val="-2"/>
        </w:rPr>
        <w:t> </w:t>
      </w:r>
      <w:r>
        <w:rPr/>
        <w:t>业务</w:t>
      </w:r>
      <w:r>
        <w:rPr>
          <w:spacing w:val="-2"/>
          <w:w w:val="99"/>
        </w:rPr>
        <w:t> </w:t>
      </w:r>
      <w:r>
        <w:rPr/>
        <w:t>被本集团视为“终止经营业务”，并在本集团的财务报表中单独进行披露。本集团应收中</w:t>
      </w:r>
      <w:r>
        <w:rPr>
          <w:w w:val="99"/>
        </w:rPr>
        <w:t> </w:t>
      </w:r>
      <w:r>
        <w:rPr/>
        <w:t>国电信出售</w:t>
      </w:r>
      <w:r>
        <w:rPr>
          <w:spacing w:val="-56"/>
        </w:rPr>
        <w:t> </w:t>
      </w:r>
      <w:r>
        <w:rPr>
          <w:rFonts w:ascii="Arial" w:hAnsi="Arial" w:cs="Arial" w:eastAsia="Arial" w:hint="default"/>
        </w:rPr>
        <w:t>CDMA</w:t>
      </w:r>
      <w:r>
        <w:rPr>
          <w:rFonts w:ascii="Arial" w:hAnsi="Arial" w:cs="Arial" w:eastAsia="Arial" w:hint="default"/>
          <w:spacing w:val="-8"/>
        </w:rPr>
        <w:t> </w:t>
      </w:r>
      <w:r>
        <w:rPr/>
        <w:t>业务款尾款约人民币</w:t>
      </w:r>
      <w:r>
        <w:rPr>
          <w:spacing w:val="-57"/>
        </w:rPr>
        <w:t> </w:t>
      </w:r>
      <w:r>
        <w:rPr>
          <w:rFonts w:ascii="Arial" w:hAnsi="Arial" w:cs="Arial" w:eastAsia="Arial" w:hint="default"/>
        </w:rPr>
        <w:t>51.21</w:t>
      </w:r>
      <w:r>
        <w:rPr>
          <w:rFonts w:ascii="Arial" w:hAnsi="Arial" w:cs="Arial" w:eastAsia="Arial" w:hint="default"/>
          <w:spacing w:val="-8"/>
        </w:rPr>
        <w:t> </w:t>
      </w:r>
      <w:r>
        <w:rPr/>
        <w:t>亿元于</w:t>
      </w:r>
      <w:r>
        <w:rPr>
          <w:spacing w:val="-57"/>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月收回。</w:t>
      </w:r>
    </w:p>
    <w:p>
      <w:pPr>
        <w:spacing w:after="0" w:line="230" w:lineRule="auto"/>
        <w:jc w:val="both"/>
        <w:sectPr>
          <w:headerReference w:type="default" r:id="rId135"/>
          <w:pgSz w:w="11900" w:h="16840"/>
          <w:pgMar w:header="1189" w:footer="752" w:top="3040" w:bottom="940" w:left="1240" w:right="860"/>
        </w:sectPr>
      </w:pPr>
    </w:p>
    <w:p>
      <w:pPr>
        <w:spacing w:line="240" w:lineRule="auto" w:before="9"/>
        <w:rPr>
          <w:rFonts w:ascii="宋体" w:hAnsi="宋体" w:cs="宋体" w:eastAsia="宋体" w:hint="default"/>
          <w:sz w:val="16"/>
          <w:szCs w:val="16"/>
        </w:rPr>
      </w:pPr>
    </w:p>
    <w:p>
      <w:pPr>
        <w:pStyle w:val="BodyText"/>
        <w:spacing w:line="367" w:lineRule="auto" w:before="31"/>
        <w:ind w:left="102" w:right="7293"/>
        <w:jc w:val="left"/>
      </w:pPr>
      <w:r>
        <w:rPr>
          <w:rFonts w:ascii="Arial" w:hAnsi="Arial" w:cs="Arial" w:eastAsia="Arial" w:hint="default"/>
        </w:rPr>
        <w:t>49</w:t>
      </w:r>
      <w:r>
        <w:rPr/>
        <w:t>、现金流量表补充资料</w:t>
      </w:r>
      <w:r>
        <w:rPr>
          <w:w w:val="99"/>
        </w:rPr>
        <w:t> </w:t>
      </w:r>
      <w:r>
        <w:rPr>
          <w:rFonts w:ascii="Arial" w:hAnsi="Arial" w:cs="Arial" w:eastAsia="Arial" w:hint="default"/>
        </w:rPr>
        <w:t>(a)  </w:t>
      </w:r>
      <w:r>
        <w:rPr>
          <w:rFonts w:ascii="Arial" w:hAnsi="Arial" w:cs="Arial" w:eastAsia="Arial" w:hint="default"/>
          <w:spacing w:val="3"/>
        </w:rPr>
        <w:t> </w:t>
      </w:r>
      <w:r>
        <w:rPr/>
        <w:t>现金流量表补充资料</w:t>
      </w:r>
    </w:p>
    <w:tbl>
      <w:tblPr>
        <w:tblW w:w="0" w:type="auto"/>
        <w:jc w:val="left"/>
        <w:tblInd w:w="484" w:type="dxa"/>
        <w:tblLayout w:type="fixed"/>
        <w:tblCellMar>
          <w:top w:w="0" w:type="dxa"/>
          <w:left w:w="0" w:type="dxa"/>
          <w:bottom w:w="0" w:type="dxa"/>
          <w:right w:w="0" w:type="dxa"/>
        </w:tblCellMar>
        <w:tblLook w:val="01E0"/>
      </w:tblPr>
      <w:tblGrid>
        <w:gridCol w:w="7023"/>
        <w:gridCol w:w="112"/>
        <w:gridCol w:w="2122"/>
      </w:tblGrid>
      <w:tr>
        <w:trPr>
          <w:trHeight w:val="825" w:hRule="exact"/>
        </w:trPr>
        <w:tc>
          <w:tcPr>
            <w:tcW w:w="7023"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将合并净利润调节为经营活动现金流量：</w:t>
            </w:r>
          </w:p>
          <w:p>
            <w:pPr>
              <w:pStyle w:val="TableParagraph"/>
              <w:spacing w:line="240" w:lineRule="auto" w:before="177"/>
              <w:ind w:right="7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2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293" w:hRule="exact"/>
        </w:trPr>
        <w:tc>
          <w:tcPr>
            <w:tcW w:w="7023" w:type="dxa"/>
            <w:tcBorders>
              <w:top w:val="single" w:sz="6" w:space="0" w:color="000000"/>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single" w:sz="6" w:space="0" w:color="000000"/>
              <w:left w:val="nil" w:sz="6" w:space="0" w:color="auto"/>
              <w:bottom w:val="nil" w:sz="6" w:space="0" w:color="auto"/>
              <w:right w:val="nil" w:sz="6" w:space="0" w:color="auto"/>
            </w:tcBorders>
          </w:tcPr>
          <w:p>
            <w:pPr>
              <w:pStyle w:val="TableParagraph"/>
              <w:spacing w:line="253" w:lineRule="exact"/>
              <w:ind w:right="169"/>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98"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482" w:val="left" w:leader="none"/>
              </w:tabs>
              <w:spacing w:line="284" w:lineRule="exact"/>
              <w:ind w:left="65" w:right="0"/>
              <w:jc w:val="left"/>
              <w:rPr>
                <w:rFonts w:ascii="Arial" w:hAnsi="Arial" w:cs="Arial" w:eastAsia="Arial" w:hint="default"/>
                <w:sz w:val="22"/>
                <w:szCs w:val="22"/>
              </w:rPr>
            </w:pPr>
            <w:r>
              <w:rPr>
                <w:rFonts w:ascii="宋体" w:hAnsi="宋体" w:cs="宋体" w:eastAsia="宋体" w:hint="default"/>
                <w:w w:val="95"/>
                <w:position w:val="2"/>
                <w:sz w:val="22"/>
                <w:szCs w:val="22"/>
              </w:rPr>
              <w:t>合并净利润</w:t>
              <w:tab/>
            </w:r>
            <w:r>
              <w:rPr>
                <w:rFonts w:ascii="Arial" w:hAnsi="Arial" w:cs="Arial" w:eastAsia="Arial" w:hint="default"/>
                <w:sz w:val="22"/>
                <w:szCs w:val="22"/>
              </w:rPr>
              <w:t>4,187,965,385</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9"/>
              <w:jc w:val="right"/>
              <w:rPr>
                <w:rFonts w:ascii="Arial" w:hAnsi="Arial" w:cs="Arial" w:eastAsia="Arial" w:hint="default"/>
                <w:sz w:val="22"/>
                <w:szCs w:val="22"/>
              </w:rPr>
            </w:pPr>
            <w:r>
              <w:rPr>
                <w:rFonts w:ascii="Arial"/>
                <w:spacing w:val="-1"/>
                <w:sz w:val="22"/>
              </w:rPr>
              <w:t>3,691,632,735</w:t>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482" w:val="left" w:leader="none"/>
              </w:tabs>
              <w:spacing w:line="270" w:lineRule="exact"/>
              <w:ind w:left="65" w:right="0"/>
              <w:jc w:val="left"/>
              <w:rPr>
                <w:rFonts w:ascii="Arial" w:hAnsi="Arial" w:cs="Arial" w:eastAsia="Arial" w:hint="default"/>
                <w:sz w:val="22"/>
                <w:szCs w:val="22"/>
              </w:rPr>
            </w:pPr>
            <w:r>
              <w:rPr>
                <w:rFonts w:ascii="宋体" w:hAnsi="宋体" w:cs="宋体" w:eastAsia="宋体" w:hint="default"/>
                <w:w w:val="95"/>
                <w:position w:val="2"/>
                <w:sz w:val="22"/>
                <w:szCs w:val="22"/>
              </w:rPr>
              <w:t>加：资产减值损失</w:t>
              <w:tab/>
            </w:r>
            <w:r>
              <w:rPr>
                <w:rFonts w:ascii="Arial" w:hAnsi="Arial" w:cs="Arial" w:eastAsia="Arial" w:hint="default"/>
                <w:sz w:val="22"/>
                <w:szCs w:val="22"/>
              </w:rPr>
              <w:t>2,771,213,069</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22"/>
                <w:szCs w:val="22"/>
              </w:rPr>
            </w:pPr>
            <w:r>
              <w:rPr>
                <w:rFonts w:ascii="Arial"/>
                <w:spacing w:val="-1"/>
                <w:sz w:val="22"/>
              </w:rPr>
              <w:t>2,667,652,270</w:t>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4833" w:val="left" w:leader="none"/>
              </w:tabs>
              <w:spacing w:line="270" w:lineRule="exact"/>
              <w:ind w:right="131"/>
              <w:jc w:val="right"/>
              <w:rPr>
                <w:rFonts w:ascii="Arial" w:hAnsi="Arial" w:cs="Arial" w:eastAsia="Arial" w:hint="default"/>
                <w:sz w:val="22"/>
                <w:szCs w:val="22"/>
              </w:rPr>
            </w:pPr>
            <w:r>
              <w:rPr>
                <w:rFonts w:ascii="宋体" w:hAnsi="宋体" w:cs="宋体" w:eastAsia="宋体" w:hint="default"/>
                <w:w w:val="95"/>
                <w:position w:val="2"/>
                <w:sz w:val="22"/>
                <w:szCs w:val="22"/>
              </w:rPr>
              <w:t>固定资产折旧</w:t>
              <w:tab/>
            </w:r>
            <w:r>
              <w:rPr>
                <w:rFonts w:ascii="Arial" w:hAnsi="Arial" w:cs="Arial" w:eastAsia="Arial" w:hint="default"/>
                <w:spacing w:val="-1"/>
                <w:sz w:val="22"/>
                <w:szCs w:val="22"/>
              </w:rPr>
              <w:t>55,227,798,412</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22"/>
                <w:szCs w:val="22"/>
              </w:rPr>
            </w:pPr>
            <w:r>
              <w:rPr>
                <w:rFonts w:ascii="Arial"/>
                <w:spacing w:val="-1"/>
                <w:sz w:val="22"/>
              </w:rPr>
              <w:t>52,344,363,285</w:t>
            </w:r>
          </w:p>
        </w:tc>
      </w:tr>
      <w:tr>
        <w:trPr>
          <w:trHeight w:val="285"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4955" w:val="left" w:leader="none"/>
              </w:tabs>
              <w:spacing w:line="270" w:lineRule="exact"/>
              <w:ind w:right="131"/>
              <w:jc w:val="right"/>
              <w:rPr>
                <w:rFonts w:ascii="Arial" w:hAnsi="Arial" w:cs="Arial" w:eastAsia="Arial" w:hint="default"/>
                <w:sz w:val="22"/>
                <w:szCs w:val="22"/>
              </w:rPr>
            </w:pPr>
            <w:r>
              <w:rPr>
                <w:rFonts w:ascii="宋体" w:hAnsi="宋体" w:cs="宋体" w:eastAsia="宋体" w:hint="default"/>
                <w:w w:val="95"/>
                <w:position w:val="2"/>
                <w:sz w:val="22"/>
                <w:szCs w:val="22"/>
              </w:rPr>
              <w:t>无形资产摊销</w:t>
              <w:tab/>
            </w:r>
            <w:r>
              <w:rPr>
                <w:rFonts w:ascii="Arial" w:hAnsi="Arial" w:cs="Arial" w:eastAsia="Arial" w:hint="default"/>
                <w:spacing w:val="-1"/>
                <w:sz w:val="22"/>
                <w:szCs w:val="22"/>
              </w:rPr>
              <w:t>1,982,376,679</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9"/>
              <w:jc w:val="right"/>
              <w:rPr>
                <w:rFonts w:ascii="Arial" w:hAnsi="Arial" w:cs="Arial" w:eastAsia="Arial" w:hint="default"/>
                <w:sz w:val="22"/>
                <w:szCs w:val="22"/>
              </w:rPr>
            </w:pPr>
            <w:r>
              <w:rPr>
                <w:rFonts w:ascii="Arial"/>
                <w:spacing w:val="-1"/>
                <w:sz w:val="22"/>
              </w:rPr>
              <w:t>1,645,456,536</w:t>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4955" w:val="left" w:leader="none"/>
              </w:tabs>
              <w:spacing w:line="271" w:lineRule="exact"/>
              <w:ind w:right="131"/>
              <w:jc w:val="right"/>
              <w:rPr>
                <w:rFonts w:ascii="Arial" w:hAnsi="Arial" w:cs="Arial" w:eastAsia="Arial" w:hint="default"/>
                <w:sz w:val="22"/>
                <w:szCs w:val="22"/>
              </w:rPr>
            </w:pPr>
            <w:r>
              <w:rPr>
                <w:rFonts w:ascii="宋体" w:hAnsi="宋体" w:cs="宋体" w:eastAsia="宋体" w:hint="default"/>
                <w:w w:val="95"/>
                <w:position w:val="2"/>
                <w:sz w:val="22"/>
                <w:szCs w:val="22"/>
              </w:rPr>
              <w:t>长期待摊费用摊销</w:t>
              <w:tab/>
            </w:r>
            <w:r>
              <w:rPr>
                <w:rFonts w:ascii="Arial" w:hAnsi="Arial" w:cs="Arial" w:eastAsia="Arial" w:hint="default"/>
                <w:spacing w:val="-1"/>
                <w:sz w:val="22"/>
                <w:szCs w:val="22"/>
              </w:rPr>
              <w:t>2,526,823,562</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9"/>
              <w:jc w:val="right"/>
              <w:rPr>
                <w:rFonts w:ascii="Arial" w:hAnsi="Arial" w:cs="Arial" w:eastAsia="Arial" w:hint="default"/>
                <w:sz w:val="22"/>
                <w:szCs w:val="22"/>
              </w:rPr>
            </w:pPr>
            <w:r>
              <w:rPr>
                <w:rFonts w:ascii="Arial"/>
                <w:spacing w:val="-1"/>
                <w:sz w:val="22"/>
              </w:rPr>
              <w:t>2,691,415,913</w:t>
            </w:r>
          </w:p>
        </w:tc>
      </w:tr>
      <w:tr>
        <w:trPr>
          <w:trHeight w:val="285"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4881" w:val="left" w:leader="none"/>
              </w:tabs>
              <w:spacing w:line="270" w:lineRule="exact"/>
              <w:ind w:right="58"/>
              <w:jc w:val="right"/>
              <w:rPr>
                <w:rFonts w:ascii="Arial" w:hAnsi="Arial" w:cs="Arial" w:eastAsia="Arial" w:hint="default"/>
                <w:sz w:val="22"/>
                <w:szCs w:val="22"/>
              </w:rPr>
            </w:pPr>
            <w:r>
              <w:rPr>
                <w:rFonts w:ascii="宋体" w:hAnsi="宋体" w:cs="宋体" w:eastAsia="宋体" w:hint="default"/>
                <w:w w:val="95"/>
                <w:position w:val="1"/>
                <w:sz w:val="22"/>
                <w:szCs w:val="22"/>
              </w:rPr>
              <w:t>长期待摊费用增加</w:t>
              <w:tab/>
            </w:r>
            <w:r>
              <w:rPr>
                <w:rFonts w:ascii="Arial" w:hAnsi="Arial" w:cs="Arial" w:eastAsia="Arial" w:hint="default"/>
                <w:w w:val="95"/>
                <w:sz w:val="22"/>
                <w:szCs w:val="22"/>
              </w:rPr>
              <w:t>(1,543,341,733)</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(1,459,565,414)</w:t>
            </w:r>
            <w:r>
              <w:rPr>
                <w:rFonts w:ascii="Arial"/>
                <w:sz w:val="22"/>
              </w:rPr>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065" w:val="left" w:leader="none"/>
              </w:tabs>
              <w:spacing w:line="270" w:lineRule="exact"/>
              <w:ind w:right="58"/>
              <w:jc w:val="right"/>
              <w:rPr>
                <w:rFonts w:ascii="Arial" w:hAnsi="Arial" w:cs="Arial" w:eastAsia="Arial" w:hint="default"/>
                <w:sz w:val="22"/>
                <w:szCs w:val="22"/>
              </w:rPr>
            </w:pPr>
            <w:r>
              <w:rPr>
                <w:rFonts w:ascii="宋体" w:hAnsi="宋体" w:cs="宋体" w:eastAsia="宋体" w:hint="default"/>
                <w:spacing w:val="-7"/>
                <w:position w:val="2"/>
                <w:sz w:val="22"/>
                <w:szCs w:val="22"/>
              </w:rPr>
              <w:t>处置固定资产、无形资产的净损失（减：收益）</w:t>
              <w:tab/>
            </w:r>
            <w:r>
              <w:rPr>
                <w:rFonts w:ascii="Arial" w:hAnsi="Arial" w:cs="Arial" w:eastAsia="Arial" w:hint="default"/>
                <w:w w:val="95"/>
                <w:sz w:val="22"/>
                <w:szCs w:val="22"/>
              </w:rPr>
              <w:t>(433,460,678)</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22"/>
                <w:szCs w:val="22"/>
              </w:rPr>
            </w:pPr>
            <w:r>
              <w:rPr>
                <w:rFonts w:ascii="Arial"/>
                <w:w w:val="95"/>
                <w:sz w:val="22"/>
              </w:rPr>
              <w:t>117,025</w:t>
            </w:r>
            <w:r>
              <w:rPr>
                <w:rFonts w:ascii="Arial"/>
                <w:sz w:val="22"/>
              </w:rPr>
            </w:r>
          </w:p>
        </w:tc>
      </w:tr>
      <w:tr>
        <w:trPr>
          <w:trHeight w:val="285"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6289" w:val="left" w:leader="none"/>
              </w:tabs>
              <w:spacing w:line="270" w:lineRule="exact"/>
              <w:ind w:right="131"/>
              <w:jc w:val="right"/>
              <w:rPr>
                <w:rFonts w:ascii="Arial" w:hAnsi="Arial" w:cs="Arial" w:eastAsia="Arial" w:hint="default"/>
                <w:sz w:val="22"/>
                <w:szCs w:val="22"/>
              </w:rPr>
            </w:pPr>
            <w:r>
              <w:rPr>
                <w:rFonts w:ascii="宋体" w:hAnsi="宋体" w:cs="宋体" w:eastAsia="宋体" w:hint="default"/>
                <w:w w:val="95"/>
                <w:position w:val="2"/>
                <w:sz w:val="22"/>
                <w:szCs w:val="22"/>
              </w:rPr>
              <w:t>非货币性资产交换净收益</w:t>
              <w:tab/>
            </w:r>
            <w:r>
              <w:rPr>
                <w:rFonts w:ascii="Arial" w:hAnsi="Arial" w:cs="Arial" w:eastAsia="Arial" w:hint="default"/>
                <w:w w:val="95"/>
                <w:sz w:val="22"/>
                <w:szCs w:val="22"/>
              </w:rPr>
              <w:t>-</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(9,781,442)</w:t>
            </w:r>
            <w:r>
              <w:rPr>
                <w:rFonts w:ascii="Arial"/>
                <w:sz w:val="22"/>
              </w:rPr>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260" w:val="left" w:leader="none"/>
              </w:tabs>
              <w:spacing w:line="271" w:lineRule="exact"/>
              <w:ind w:right="131"/>
              <w:jc w:val="right"/>
              <w:rPr>
                <w:rFonts w:ascii="Arial" w:hAnsi="Arial" w:cs="Arial" w:eastAsia="Arial" w:hint="default"/>
                <w:sz w:val="22"/>
                <w:szCs w:val="22"/>
              </w:rPr>
            </w:pPr>
            <w:r>
              <w:rPr>
                <w:rFonts w:ascii="宋体" w:hAnsi="宋体" w:cs="宋体" w:eastAsia="宋体" w:hint="default"/>
                <w:w w:val="95"/>
                <w:position w:val="2"/>
                <w:sz w:val="22"/>
                <w:szCs w:val="22"/>
              </w:rPr>
              <w:t>以股份为基础支付的员工薪酬</w:t>
              <w:tab/>
            </w:r>
            <w:r>
              <w:rPr>
                <w:rFonts w:ascii="Arial" w:hAnsi="Arial" w:cs="Arial" w:eastAsia="Arial" w:hint="default"/>
                <w:w w:val="95"/>
                <w:sz w:val="22"/>
                <w:szCs w:val="22"/>
              </w:rPr>
              <w:t>17,356,207</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9"/>
              <w:jc w:val="right"/>
              <w:rPr>
                <w:rFonts w:ascii="Arial" w:hAnsi="Arial" w:cs="Arial" w:eastAsia="Arial" w:hint="default"/>
                <w:sz w:val="22"/>
                <w:szCs w:val="22"/>
              </w:rPr>
            </w:pPr>
            <w:r>
              <w:rPr>
                <w:rFonts w:ascii="Arial"/>
                <w:w w:val="95"/>
                <w:sz w:val="22"/>
              </w:rPr>
              <w:t>56,928,031</w:t>
            </w:r>
            <w:r>
              <w:rPr>
                <w:rFonts w:ascii="Arial"/>
                <w:sz w:val="22"/>
              </w:rPr>
            </w:r>
          </w:p>
        </w:tc>
      </w:tr>
      <w:tr>
        <w:trPr>
          <w:trHeight w:val="285"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4955" w:val="left" w:leader="none"/>
              </w:tabs>
              <w:spacing w:line="271" w:lineRule="exact"/>
              <w:ind w:right="131"/>
              <w:jc w:val="right"/>
              <w:rPr>
                <w:rFonts w:ascii="Arial" w:hAnsi="Arial" w:cs="Arial" w:eastAsia="Arial" w:hint="default"/>
                <w:sz w:val="22"/>
                <w:szCs w:val="22"/>
              </w:rPr>
            </w:pPr>
            <w:r>
              <w:rPr>
                <w:rFonts w:ascii="宋体" w:hAnsi="宋体" w:cs="宋体" w:eastAsia="宋体" w:hint="default"/>
                <w:w w:val="95"/>
                <w:position w:val="2"/>
                <w:sz w:val="22"/>
                <w:szCs w:val="22"/>
              </w:rPr>
              <w:t>财务费用</w:t>
              <w:tab/>
            </w:r>
            <w:r>
              <w:rPr>
                <w:rFonts w:ascii="Arial" w:hAnsi="Arial" w:cs="Arial" w:eastAsia="Arial" w:hint="default"/>
                <w:spacing w:val="-1"/>
                <w:sz w:val="22"/>
                <w:szCs w:val="22"/>
              </w:rPr>
              <w:t>1,035,135,140</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9"/>
              <w:jc w:val="right"/>
              <w:rPr>
                <w:rFonts w:ascii="Arial" w:hAnsi="Arial" w:cs="Arial" w:eastAsia="Arial" w:hint="default"/>
                <w:sz w:val="22"/>
                <w:szCs w:val="22"/>
              </w:rPr>
            </w:pPr>
            <w:r>
              <w:rPr>
                <w:rFonts w:ascii="Arial"/>
                <w:spacing w:val="-1"/>
                <w:sz w:val="22"/>
              </w:rPr>
              <w:t>1,784,090,745</w:t>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065" w:val="left" w:leader="none"/>
              </w:tabs>
              <w:spacing w:line="270" w:lineRule="exact"/>
              <w:ind w:right="58"/>
              <w:jc w:val="right"/>
              <w:rPr>
                <w:rFonts w:ascii="Arial" w:hAnsi="Arial" w:cs="Arial" w:eastAsia="Arial" w:hint="default"/>
                <w:sz w:val="22"/>
                <w:szCs w:val="22"/>
              </w:rPr>
            </w:pPr>
            <w:r>
              <w:rPr>
                <w:rFonts w:ascii="宋体" w:hAnsi="宋体" w:cs="宋体" w:eastAsia="宋体" w:hint="default"/>
                <w:w w:val="95"/>
                <w:position w:val="2"/>
                <w:sz w:val="22"/>
                <w:szCs w:val="22"/>
              </w:rPr>
              <w:t>投资收益</w:t>
              <w:tab/>
            </w:r>
            <w:r>
              <w:rPr>
                <w:rFonts w:ascii="Arial" w:hAnsi="Arial" w:cs="Arial" w:eastAsia="Arial" w:hint="default"/>
                <w:w w:val="95"/>
                <w:sz w:val="22"/>
                <w:szCs w:val="22"/>
              </w:rPr>
              <w:t>(866,240,576)</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Arial" w:hAnsi="Arial" w:cs="Arial" w:eastAsia="Arial" w:hint="default"/>
                <w:sz w:val="22"/>
                <w:szCs w:val="22"/>
              </w:rPr>
            </w:pPr>
            <w:r>
              <w:rPr>
                <w:rFonts w:ascii="Arial"/>
                <w:w w:val="95"/>
                <w:sz w:val="22"/>
              </w:rPr>
              <w:t>(484,626,759)</w:t>
            </w:r>
            <w:r>
              <w:rPr>
                <w:rFonts w:ascii="Arial"/>
                <w:sz w:val="22"/>
              </w:rPr>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260" w:val="left" w:leader="none"/>
              </w:tabs>
              <w:spacing w:line="270" w:lineRule="exact"/>
              <w:ind w:right="131"/>
              <w:jc w:val="right"/>
              <w:rPr>
                <w:rFonts w:ascii="Arial" w:hAnsi="Arial" w:cs="Arial" w:eastAsia="Arial" w:hint="default"/>
                <w:sz w:val="22"/>
                <w:szCs w:val="22"/>
              </w:rPr>
            </w:pPr>
            <w:r>
              <w:rPr>
                <w:rFonts w:ascii="宋体" w:hAnsi="宋体" w:cs="宋体" w:eastAsia="宋体" w:hint="default"/>
                <w:w w:val="95"/>
                <w:position w:val="2"/>
                <w:sz w:val="22"/>
                <w:szCs w:val="22"/>
              </w:rPr>
              <w:t>西班牙电信代扣代缴所分配股利所得税</w:t>
              <w:tab/>
            </w:r>
            <w:r>
              <w:rPr>
                <w:rFonts w:ascii="Arial" w:hAnsi="Arial" w:cs="Arial" w:eastAsia="Arial" w:hint="default"/>
                <w:w w:val="95"/>
                <w:sz w:val="22"/>
                <w:szCs w:val="22"/>
              </w:rPr>
              <w:t>50,745,543</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22"/>
                <w:szCs w:val="22"/>
              </w:rPr>
            </w:pPr>
            <w:r>
              <w:rPr>
                <w:rFonts w:ascii="Arial"/>
                <w:w w:val="95"/>
                <w:sz w:val="22"/>
              </w:rPr>
              <w:t>68,592,602</w:t>
            </w:r>
            <w:r>
              <w:rPr>
                <w:rFonts w:ascii="Arial"/>
                <w:sz w:val="22"/>
              </w:rPr>
            </w:r>
          </w:p>
        </w:tc>
      </w:tr>
      <w:tr>
        <w:trPr>
          <w:trHeight w:val="285"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139" w:val="left" w:leader="none"/>
              </w:tabs>
              <w:spacing w:line="270" w:lineRule="exact"/>
              <w:ind w:right="130"/>
              <w:jc w:val="right"/>
              <w:rPr>
                <w:rFonts w:ascii="Arial" w:hAnsi="Arial" w:cs="Arial" w:eastAsia="Arial" w:hint="default"/>
                <w:sz w:val="22"/>
                <w:szCs w:val="22"/>
              </w:rPr>
            </w:pPr>
            <w:r>
              <w:rPr>
                <w:rFonts w:ascii="宋体" w:hAnsi="宋体" w:cs="宋体" w:eastAsia="宋体" w:hint="default"/>
                <w:w w:val="95"/>
                <w:position w:val="2"/>
                <w:sz w:val="22"/>
                <w:szCs w:val="22"/>
              </w:rPr>
              <w:t>递延所得税资产减少</w:t>
              <w:tab/>
            </w:r>
            <w:r>
              <w:rPr>
                <w:rFonts w:ascii="Arial" w:hAnsi="Arial" w:cs="Arial" w:eastAsia="Arial" w:hint="default"/>
                <w:w w:val="95"/>
                <w:sz w:val="22"/>
                <w:szCs w:val="22"/>
              </w:rPr>
              <w:t>611,939,293</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8"/>
              <w:jc w:val="right"/>
              <w:rPr>
                <w:rFonts w:ascii="Arial" w:hAnsi="Arial" w:cs="Arial" w:eastAsia="Arial" w:hint="default"/>
                <w:sz w:val="22"/>
                <w:szCs w:val="22"/>
              </w:rPr>
            </w:pPr>
            <w:r>
              <w:rPr>
                <w:rFonts w:ascii="Arial"/>
                <w:w w:val="95"/>
                <w:sz w:val="22"/>
              </w:rPr>
              <w:t>569,780,508</w:t>
            </w:r>
            <w:r>
              <w:rPr>
                <w:rFonts w:ascii="Arial"/>
                <w:sz w:val="22"/>
              </w:rPr>
            </w:r>
          </w:p>
        </w:tc>
      </w:tr>
      <w:tr>
        <w:trPr>
          <w:trHeight w:val="285"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309" w:val="left" w:leader="none"/>
              </w:tabs>
              <w:spacing w:line="271" w:lineRule="exact"/>
              <w:ind w:right="57"/>
              <w:jc w:val="right"/>
              <w:rPr>
                <w:rFonts w:ascii="Arial" w:hAnsi="Arial" w:cs="Arial" w:eastAsia="Arial" w:hint="default"/>
                <w:sz w:val="22"/>
                <w:szCs w:val="22"/>
              </w:rPr>
            </w:pPr>
            <w:r>
              <w:rPr>
                <w:rFonts w:ascii="宋体" w:hAnsi="宋体" w:cs="宋体" w:eastAsia="宋体" w:hint="default"/>
                <w:w w:val="95"/>
                <w:position w:val="2"/>
                <w:sz w:val="22"/>
                <w:szCs w:val="22"/>
              </w:rPr>
              <w:t>递延所得税负债（减少）增加</w:t>
              <w:tab/>
            </w:r>
            <w:r>
              <w:rPr>
                <w:rFonts w:ascii="Arial" w:hAnsi="Arial" w:cs="Arial" w:eastAsia="Arial" w:hint="default"/>
                <w:w w:val="95"/>
                <w:sz w:val="22"/>
                <w:szCs w:val="22"/>
              </w:rPr>
              <w:t>(6,571,836)</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8"/>
              <w:jc w:val="right"/>
              <w:rPr>
                <w:rFonts w:ascii="Arial" w:hAnsi="Arial" w:cs="Arial" w:eastAsia="Arial" w:hint="default"/>
                <w:sz w:val="22"/>
                <w:szCs w:val="22"/>
              </w:rPr>
            </w:pPr>
            <w:r>
              <w:rPr>
                <w:rFonts w:ascii="Arial"/>
                <w:w w:val="95"/>
                <w:sz w:val="22"/>
              </w:rPr>
              <w:t>54,260,986</w:t>
            </w:r>
            <w:r>
              <w:rPr>
                <w:rFonts w:ascii="Arial"/>
                <w:sz w:val="22"/>
              </w:rPr>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4881" w:val="left" w:leader="none"/>
              </w:tabs>
              <w:spacing w:line="270" w:lineRule="exact"/>
              <w:ind w:right="58"/>
              <w:jc w:val="right"/>
              <w:rPr>
                <w:rFonts w:ascii="Arial" w:hAnsi="Arial" w:cs="Arial" w:eastAsia="Arial" w:hint="default"/>
                <w:sz w:val="22"/>
                <w:szCs w:val="22"/>
              </w:rPr>
            </w:pPr>
            <w:r>
              <w:rPr>
                <w:rFonts w:ascii="宋体" w:hAnsi="宋体" w:cs="宋体" w:eastAsia="宋体" w:hint="default"/>
                <w:w w:val="95"/>
                <w:position w:val="2"/>
                <w:sz w:val="22"/>
                <w:szCs w:val="22"/>
              </w:rPr>
              <w:t>存货的增加</w:t>
              <w:tab/>
            </w:r>
            <w:r>
              <w:rPr>
                <w:rFonts w:ascii="Arial" w:hAnsi="Arial" w:cs="Arial" w:eastAsia="Arial" w:hint="default"/>
                <w:w w:val="95"/>
                <w:sz w:val="22"/>
                <w:szCs w:val="22"/>
              </w:rPr>
              <w:t>(1,049,541,543)</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Arial" w:hAnsi="Arial" w:cs="Arial" w:eastAsia="Arial" w:hint="default"/>
                <w:sz w:val="22"/>
                <w:szCs w:val="22"/>
              </w:rPr>
            </w:pPr>
            <w:r>
              <w:rPr>
                <w:rFonts w:ascii="Arial"/>
                <w:w w:val="95"/>
                <w:sz w:val="22"/>
              </w:rPr>
              <w:t>(1,397,085,285)</w:t>
            </w:r>
            <w:r>
              <w:rPr>
                <w:rFonts w:ascii="Arial"/>
                <w:sz w:val="22"/>
              </w:rPr>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4881" w:val="left" w:leader="none"/>
              </w:tabs>
              <w:spacing w:line="270" w:lineRule="exact"/>
              <w:ind w:right="58"/>
              <w:jc w:val="right"/>
              <w:rPr>
                <w:rFonts w:ascii="Arial" w:hAnsi="Arial" w:cs="Arial" w:eastAsia="Arial" w:hint="default"/>
                <w:sz w:val="22"/>
                <w:szCs w:val="22"/>
              </w:rPr>
            </w:pPr>
            <w:r>
              <w:rPr>
                <w:rFonts w:ascii="宋体" w:hAnsi="宋体" w:cs="宋体" w:eastAsia="宋体" w:hint="default"/>
                <w:w w:val="95"/>
                <w:position w:val="2"/>
                <w:sz w:val="22"/>
                <w:szCs w:val="22"/>
              </w:rPr>
              <w:t>经营性应收项目的增加</w:t>
              <w:tab/>
            </w:r>
            <w:r>
              <w:rPr>
                <w:rFonts w:ascii="Arial" w:hAnsi="Arial" w:cs="Arial" w:eastAsia="Arial" w:hint="default"/>
                <w:w w:val="95"/>
                <w:sz w:val="22"/>
                <w:szCs w:val="22"/>
              </w:rPr>
              <w:t>(5,550,033,348)</w:t>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Arial" w:hAnsi="Arial" w:cs="Arial" w:eastAsia="Arial" w:hint="default"/>
                <w:sz w:val="22"/>
                <w:szCs w:val="22"/>
              </w:rPr>
            </w:pPr>
            <w:r>
              <w:rPr>
                <w:rFonts w:ascii="Arial"/>
                <w:w w:val="95"/>
                <w:sz w:val="22"/>
              </w:rPr>
              <w:t>(4,392,904,648)</w:t>
            </w:r>
            <w:r>
              <w:rPr>
                <w:rFonts w:ascii="Arial"/>
                <w:sz w:val="22"/>
              </w:rPr>
            </w:r>
          </w:p>
        </w:tc>
      </w:tr>
      <w:tr>
        <w:trPr>
          <w:trHeight w:val="292"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4414" w:val="left" w:leader="none"/>
                <w:tab w:pos="4833" w:val="left" w:leader="none"/>
                <w:tab w:pos="6495" w:val="left" w:leader="none"/>
              </w:tabs>
              <w:spacing w:line="270" w:lineRule="exact"/>
              <w:ind w:right="0"/>
              <w:jc w:val="right"/>
              <w:rPr>
                <w:rFonts w:ascii="Arial" w:hAnsi="Arial" w:cs="Arial" w:eastAsia="Arial" w:hint="default"/>
                <w:sz w:val="22"/>
                <w:szCs w:val="22"/>
              </w:rPr>
            </w:pPr>
            <w:r>
              <w:rPr>
                <w:rFonts w:ascii="宋体" w:hAnsi="宋体" w:cs="宋体" w:eastAsia="宋体" w:hint="default"/>
                <w:w w:val="95"/>
                <w:position w:val="2"/>
                <w:sz w:val="22"/>
                <w:szCs w:val="22"/>
              </w:rPr>
              <w:t>经营性应付项目的增加</w:t>
              <w:tab/>
            </w:r>
            <w:r>
              <w:rPr>
                <w:rFonts w:ascii="Arial" w:hAnsi="Arial" w:cs="Arial" w:eastAsia="Arial" w:hint="default"/>
                <w:w w:val="95"/>
                <w:sz w:val="22"/>
                <w:szCs w:val="22"/>
              </w:rPr>
            </w:r>
            <w:r>
              <w:rPr>
                <w:rFonts w:ascii="Arial" w:hAnsi="Arial" w:cs="Arial" w:eastAsia="Arial" w:hint="default"/>
                <w:w w:val="95"/>
                <w:sz w:val="22"/>
                <w:szCs w:val="22"/>
                <w:u w:val="single" w:color="000000"/>
              </w:rPr>
              <w:t> </w:t>
              <w:tab/>
            </w:r>
            <w:r>
              <w:rPr>
                <w:rFonts w:ascii="Arial" w:hAnsi="Arial" w:cs="Arial" w:eastAsia="Arial" w:hint="default"/>
                <w:spacing w:val="-1"/>
                <w:sz w:val="22"/>
                <w:szCs w:val="22"/>
                <w:u w:val="single" w:color="000000"/>
              </w:rPr>
              <w:t>10,490,699,330</w:t>
              <w:tab/>
            </w:r>
            <w:r>
              <w:rPr>
                <w:rFonts w:ascii="Arial" w:hAnsi="Arial" w:cs="Arial" w:eastAsia="Arial" w:hint="default"/>
                <w:spacing w:val="-1"/>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tabs>
                <w:tab w:pos="407" w:val="left" w:leader="none"/>
                <w:tab w:pos="2072"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10,410,679,368</w:t>
              <w:tab/>
            </w:r>
            <w:r>
              <w:rPr>
                <w:rFonts w:ascii="Arial"/>
                <w:spacing w:val="-1"/>
                <w:sz w:val="22"/>
              </w:rPr>
            </w:r>
          </w:p>
        </w:tc>
      </w:tr>
      <w:tr>
        <w:trPr>
          <w:trHeight w:val="304" w:hRule="exact"/>
        </w:trPr>
        <w:tc>
          <w:tcPr>
            <w:tcW w:w="7023" w:type="dxa"/>
            <w:tcBorders>
              <w:top w:val="nil" w:sz="6" w:space="0" w:color="auto"/>
              <w:left w:val="nil" w:sz="6" w:space="0" w:color="auto"/>
              <w:bottom w:val="single" w:sz="17" w:space="0" w:color="000000"/>
              <w:right w:val="nil" w:sz="6" w:space="0" w:color="auto"/>
            </w:tcBorders>
          </w:tcPr>
          <w:p>
            <w:pPr>
              <w:pStyle w:val="TableParagraph"/>
              <w:tabs>
                <w:tab w:pos="5360" w:val="left" w:leader="none"/>
              </w:tabs>
              <w:spacing w:line="278" w:lineRule="exact"/>
              <w:ind w:left="65" w:right="0"/>
              <w:jc w:val="left"/>
              <w:rPr>
                <w:rFonts w:ascii="Arial" w:hAnsi="Arial" w:cs="Arial" w:eastAsia="Arial" w:hint="default"/>
                <w:sz w:val="22"/>
                <w:szCs w:val="22"/>
              </w:rPr>
            </w:pPr>
            <w:r>
              <w:rPr>
                <w:rFonts w:ascii="宋体" w:hAnsi="宋体" w:cs="宋体" w:eastAsia="宋体" w:hint="default"/>
                <w:w w:val="95"/>
                <w:position w:val="2"/>
                <w:sz w:val="22"/>
                <w:szCs w:val="22"/>
              </w:rPr>
              <w:t>经营活动产生的现金流量净额</w:t>
              <w:tab/>
            </w:r>
            <w:r>
              <w:rPr>
                <w:rFonts w:ascii="Arial" w:hAnsi="Arial" w:cs="Arial" w:eastAsia="Arial" w:hint="default"/>
                <w:sz w:val="22"/>
                <w:szCs w:val="22"/>
              </w:rPr>
              <w:t>69,452,862,906</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68"/>
              <w:jc w:val="right"/>
              <w:rPr>
                <w:rFonts w:ascii="Arial" w:hAnsi="Arial" w:cs="Arial" w:eastAsia="Arial" w:hint="default"/>
                <w:sz w:val="22"/>
                <w:szCs w:val="22"/>
              </w:rPr>
            </w:pPr>
            <w:r>
              <w:rPr>
                <w:rFonts w:ascii="Arial"/>
                <w:spacing w:val="-1"/>
                <w:sz w:val="22"/>
              </w:rPr>
              <w:t>68,241,006,456</w:t>
            </w:r>
          </w:p>
        </w:tc>
      </w:tr>
      <w:tr>
        <w:trPr>
          <w:trHeight w:val="576" w:hRule="exact"/>
        </w:trPr>
        <w:tc>
          <w:tcPr>
            <w:tcW w:w="7023"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left="35" w:right="0"/>
              <w:jc w:val="left"/>
              <w:rPr>
                <w:rFonts w:ascii="宋体" w:hAnsi="宋体" w:cs="宋体" w:eastAsia="宋体" w:hint="default"/>
                <w:sz w:val="22"/>
                <w:szCs w:val="22"/>
              </w:rPr>
            </w:pPr>
            <w:r>
              <w:rPr>
                <w:rFonts w:ascii="宋体" w:hAnsi="宋体" w:cs="宋体" w:eastAsia="宋体" w:hint="default"/>
                <w:sz w:val="22"/>
                <w:szCs w:val="22"/>
              </w:rPr>
              <w:t>不涉及现金收支的重大投资筹资活动</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single" w:sz="17" w:space="0" w:color="000000"/>
              <w:left w:val="nil" w:sz="6" w:space="0" w:color="auto"/>
              <w:bottom w:val="nil" w:sz="6" w:space="0" w:color="auto"/>
              <w:right w:val="nil" w:sz="6" w:space="0" w:color="auto"/>
            </w:tcBorders>
          </w:tcPr>
          <w:p>
            <w:pPr/>
          </w:p>
        </w:tc>
      </w:tr>
      <w:tr>
        <w:trPr>
          <w:trHeight w:val="384" w:hRule="exact"/>
        </w:trPr>
        <w:tc>
          <w:tcPr>
            <w:tcW w:w="7023"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right="10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right="11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70" w:hRule="exact"/>
        </w:trPr>
        <w:tc>
          <w:tcPr>
            <w:tcW w:w="7023" w:type="dxa"/>
            <w:tcBorders>
              <w:top w:val="single" w:sz="6" w:space="0" w:color="000000"/>
              <w:left w:val="nil" w:sz="6" w:space="0" w:color="auto"/>
              <w:bottom w:val="single" w:sz="17" w:space="0" w:color="000000"/>
              <w:right w:val="nil" w:sz="6" w:space="0" w:color="auto"/>
            </w:tcBorders>
          </w:tcPr>
          <w:p>
            <w:pPr>
              <w:pStyle w:val="TableParagraph"/>
              <w:tabs>
                <w:tab w:pos="6814" w:val="left" w:leader="none"/>
              </w:tabs>
              <w:spacing w:line="240" w:lineRule="auto" w:before="212"/>
              <w:ind w:left="65" w:right="0"/>
              <w:jc w:val="left"/>
              <w:rPr>
                <w:rFonts w:ascii="Arial" w:hAnsi="Arial" w:cs="Arial" w:eastAsia="Arial" w:hint="default"/>
                <w:sz w:val="22"/>
                <w:szCs w:val="22"/>
              </w:rPr>
            </w:pPr>
            <w:r>
              <w:rPr>
                <w:rFonts w:ascii="宋体" w:hAnsi="宋体" w:cs="宋体" w:eastAsia="宋体" w:hint="default"/>
                <w:w w:val="95"/>
                <w:position w:val="2"/>
                <w:sz w:val="22"/>
                <w:szCs w:val="22"/>
              </w:rPr>
              <w:t>融资租赁（附注十二）</w:t>
              <w:tab/>
            </w:r>
            <w:r>
              <w:rPr>
                <w:rFonts w:ascii="Arial" w:hAnsi="Arial" w:cs="Arial" w:eastAsia="Arial" w:hint="default"/>
                <w:sz w:val="22"/>
                <w:szCs w:val="22"/>
              </w:rPr>
              <w:t>-</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8"/>
              <w:jc w:val="right"/>
              <w:rPr>
                <w:rFonts w:ascii="Arial" w:hAnsi="Arial" w:cs="Arial" w:eastAsia="Arial" w:hint="default"/>
                <w:sz w:val="22"/>
                <w:szCs w:val="22"/>
              </w:rPr>
            </w:pPr>
            <w:r>
              <w:rPr>
                <w:rFonts w:ascii="Arial"/>
                <w:w w:val="95"/>
                <w:sz w:val="22"/>
              </w:rPr>
              <w:t>103,012,393</w:t>
            </w:r>
            <w:r>
              <w:rPr>
                <w:rFonts w:ascii="Arial"/>
                <w:sz w:val="22"/>
              </w:rPr>
            </w:r>
          </w:p>
        </w:tc>
      </w:tr>
      <w:tr>
        <w:trPr>
          <w:trHeight w:val="580" w:hRule="exact"/>
        </w:trPr>
        <w:tc>
          <w:tcPr>
            <w:tcW w:w="7023" w:type="dxa"/>
            <w:tcBorders>
              <w:top w:val="single" w:sz="17" w:space="0" w:color="000000"/>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2"/>
                <w:szCs w:val="22"/>
              </w:rPr>
            </w:pPr>
            <w:r>
              <w:rPr>
                <w:rFonts w:ascii="宋体" w:hAnsi="宋体" w:cs="宋体" w:eastAsia="宋体" w:hint="default"/>
                <w:sz w:val="22"/>
                <w:szCs w:val="22"/>
              </w:rPr>
              <w:t>现金及现金等价物净变动情况</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single" w:sz="17" w:space="0" w:color="000000"/>
              <w:left w:val="nil" w:sz="6" w:space="0" w:color="auto"/>
              <w:bottom w:val="nil" w:sz="6" w:space="0" w:color="auto"/>
              <w:right w:val="nil" w:sz="6" w:space="0" w:color="auto"/>
            </w:tcBorders>
          </w:tcPr>
          <w:p>
            <w:pPr/>
          </w:p>
        </w:tc>
      </w:tr>
      <w:tr>
        <w:trPr>
          <w:trHeight w:val="383" w:hRule="exact"/>
        </w:trPr>
        <w:tc>
          <w:tcPr>
            <w:tcW w:w="7023"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right="10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right="11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293" w:hRule="exact"/>
        </w:trPr>
        <w:tc>
          <w:tcPr>
            <w:tcW w:w="7023" w:type="dxa"/>
            <w:tcBorders>
              <w:top w:val="single" w:sz="6" w:space="0" w:color="000000"/>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single" w:sz="6" w:space="0" w:color="000000"/>
              <w:left w:val="nil" w:sz="6" w:space="0" w:color="auto"/>
              <w:bottom w:val="nil" w:sz="6" w:space="0" w:color="auto"/>
              <w:right w:val="nil" w:sz="6" w:space="0" w:color="auto"/>
            </w:tcBorders>
          </w:tcPr>
          <w:p>
            <w:pPr>
              <w:pStyle w:val="TableParagraph"/>
              <w:spacing w:line="253" w:lineRule="exact"/>
              <w:ind w:right="35"/>
              <w:jc w:val="right"/>
              <w:rPr>
                <w:rFonts w:ascii="宋体" w:hAnsi="宋体" w:cs="宋体" w:eastAsia="宋体" w:hint="default"/>
                <w:sz w:val="22"/>
                <w:szCs w:val="22"/>
              </w:rPr>
            </w:pPr>
            <w:r>
              <w:rPr>
                <w:rFonts w:ascii="宋体" w:hAnsi="宋体" w:cs="宋体" w:eastAsia="宋体" w:hint="default"/>
                <w:w w:val="95"/>
                <w:sz w:val="22"/>
                <w:szCs w:val="22"/>
              </w:rPr>
              <w:t>（经重列）</w:t>
            </w:r>
            <w:r>
              <w:rPr>
                <w:rFonts w:ascii="宋体" w:hAnsi="宋体" w:cs="宋体" w:eastAsia="宋体" w:hint="default"/>
                <w:sz w:val="22"/>
                <w:szCs w:val="22"/>
              </w:rPr>
            </w:r>
          </w:p>
        </w:tc>
      </w:tr>
      <w:tr>
        <w:trPr>
          <w:trHeight w:val="298"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355" w:val="left" w:leader="none"/>
              </w:tabs>
              <w:spacing w:line="284" w:lineRule="exact"/>
              <w:ind w:left="60" w:right="0"/>
              <w:jc w:val="left"/>
              <w:rPr>
                <w:rFonts w:ascii="Arial" w:hAnsi="Arial" w:cs="Arial" w:eastAsia="Arial" w:hint="default"/>
                <w:sz w:val="22"/>
                <w:szCs w:val="22"/>
              </w:rPr>
            </w:pPr>
            <w:r>
              <w:rPr>
                <w:rFonts w:ascii="宋体" w:hAnsi="宋体" w:cs="宋体" w:eastAsia="宋体" w:hint="default"/>
                <w:w w:val="95"/>
                <w:position w:val="2"/>
                <w:sz w:val="22"/>
                <w:szCs w:val="22"/>
              </w:rPr>
              <w:t>现金的年末余额</w:t>
              <w:tab/>
            </w:r>
            <w:r>
              <w:rPr>
                <w:rFonts w:ascii="Arial" w:hAnsi="Arial" w:cs="Arial" w:eastAsia="Arial" w:hint="default"/>
                <w:sz w:val="22"/>
                <w:szCs w:val="22"/>
              </w:rPr>
              <w:t>14,699,332,974</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
              <w:jc w:val="right"/>
              <w:rPr>
                <w:rFonts w:ascii="Arial" w:hAnsi="Arial" w:cs="Arial" w:eastAsia="Arial" w:hint="default"/>
                <w:sz w:val="22"/>
                <w:szCs w:val="22"/>
              </w:rPr>
            </w:pPr>
            <w:r>
              <w:rPr>
                <w:rFonts w:ascii="Arial"/>
                <w:spacing w:val="-1"/>
                <w:sz w:val="22"/>
              </w:rPr>
              <w:t>22,194,701,544</w:t>
            </w:r>
          </w:p>
        </w:tc>
      </w:tr>
      <w:tr>
        <w:trPr>
          <w:trHeight w:val="285"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281" w:val="left" w:leader="none"/>
              </w:tabs>
              <w:spacing w:line="270" w:lineRule="exact"/>
              <w:ind w:left="60" w:right="0"/>
              <w:jc w:val="left"/>
              <w:rPr>
                <w:rFonts w:ascii="Arial" w:hAnsi="Arial" w:cs="Arial" w:eastAsia="Arial" w:hint="default"/>
                <w:sz w:val="22"/>
                <w:szCs w:val="22"/>
              </w:rPr>
            </w:pPr>
            <w:r>
              <w:rPr>
                <w:rFonts w:ascii="宋体" w:hAnsi="宋体" w:cs="宋体" w:eastAsia="宋体" w:hint="default"/>
                <w:w w:val="95"/>
                <w:position w:val="2"/>
                <w:sz w:val="22"/>
                <w:szCs w:val="22"/>
              </w:rPr>
              <w:t>减：现金的年初余额</w:t>
              <w:tab/>
            </w:r>
            <w:r>
              <w:rPr>
                <w:rFonts w:ascii="Arial" w:hAnsi="Arial" w:cs="Arial" w:eastAsia="Arial" w:hint="default"/>
                <w:sz w:val="22"/>
                <w:szCs w:val="22"/>
              </w:rPr>
              <w:t>(22,194,701,544)</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2"/>
              <w:jc w:val="right"/>
              <w:rPr>
                <w:rFonts w:ascii="Arial" w:hAnsi="Arial" w:cs="Arial" w:eastAsia="Arial" w:hint="default"/>
                <w:sz w:val="22"/>
                <w:szCs w:val="22"/>
              </w:rPr>
            </w:pPr>
            <w:r>
              <w:rPr>
                <w:rFonts w:ascii="Arial"/>
                <w:w w:val="95"/>
                <w:sz w:val="22"/>
              </w:rPr>
              <w:t>(7,550,771,565)</w:t>
            </w:r>
            <w:r>
              <w:rPr>
                <w:rFonts w:ascii="Arial"/>
                <w:sz w:val="22"/>
              </w:rPr>
            </w:r>
          </w:p>
        </w:tc>
      </w:tr>
      <w:tr>
        <w:trPr>
          <w:trHeight w:val="286"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5661" w:val="left" w:leader="none"/>
              </w:tabs>
              <w:spacing w:line="271" w:lineRule="exact"/>
              <w:ind w:left="60" w:right="0"/>
              <w:jc w:val="left"/>
              <w:rPr>
                <w:rFonts w:ascii="Arial" w:hAnsi="Arial" w:cs="Arial" w:eastAsia="Arial" w:hint="default"/>
                <w:sz w:val="22"/>
                <w:szCs w:val="22"/>
              </w:rPr>
            </w:pPr>
            <w:r>
              <w:rPr>
                <w:rFonts w:ascii="宋体" w:hAnsi="宋体" w:cs="宋体" w:eastAsia="宋体" w:hint="default"/>
                <w:w w:val="95"/>
                <w:position w:val="2"/>
                <w:sz w:val="22"/>
                <w:szCs w:val="22"/>
              </w:rPr>
              <w:t>加：现金等价物的年末余额</w:t>
              <w:tab/>
            </w:r>
            <w:r>
              <w:rPr>
                <w:rFonts w:ascii="Arial" w:hAnsi="Arial" w:cs="Arial" w:eastAsia="Arial" w:hint="default"/>
                <w:sz w:val="22"/>
                <w:szCs w:val="22"/>
              </w:rPr>
              <w:t>435,638,569</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5"/>
              <w:jc w:val="right"/>
              <w:rPr>
                <w:rFonts w:ascii="Arial" w:hAnsi="Arial" w:cs="Arial" w:eastAsia="Arial" w:hint="default"/>
                <w:sz w:val="22"/>
                <w:szCs w:val="22"/>
              </w:rPr>
            </w:pPr>
            <w:r>
              <w:rPr>
                <w:rFonts w:ascii="Arial"/>
                <w:w w:val="95"/>
                <w:sz w:val="22"/>
              </w:rPr>
              <w:t>425,087,038</w:t>
            </w:r>
            <w:r>
              <w:rPr>
                <w:rFonts w:ascii="Arial"/>
                <w:sz w:val="22"/>
              </w:rPr>
            </w:r>
          </w:p>
        </w:tc>
      </w:tr>
      <w:tr>
        <w:trPr>
          <w:trHeight w:val="293" w:hRule="exact"/>
        </w:trPr>
        <w:tc>
          <w:tcPr>
            <w:tcW w:w="7023" w:type="dxa"/>
            <w:tcBorders>
              <w:top w:val="nil" w:sz="6" w:space="0" w:color="auto"/>
              <w:left w:val="nil" w:sz="6" w:space="0" w:color="auto"/>
              <w:bottom w:val="nil" w:sz="6" w:space="0" w:color="auto"/>
              <w:right w:val="nil" w:sz="6" w:space="0" w:color="auto"/>
            </w:tcBorders>
          </w:tcPr>
          <w:p>
            <w:pPr>
              <w:pStyle w:val="TableParagraph"/>
              <w:tabs>
                <w:tab w:pos="4936" w:val="left" w:leader="none"/>
                <w:tab w:pos="5587" w:val="left" w:leader="none"/>
                <w:tab w:pos="7022" w:val="left" w:leader="none"/>
              </w:tabs>
              <w:spacing w:line="271" w:lineRule="exact"/>
              <w:ind w:left="60" w:right="0"/>
              <w:jc w:val="left"/>
              <w:rPr>
                <w:rFonts w:ascii="Arial" w:hAnsi="Arial" w:cs="Arial" w:eastAsia="Arial" w:hint="default"/>
                <w:sz w:val="22"/>
                <w:szCs w:val="22"/>
              </w:rPr>
            </w:pPr>
            <w:r>
              <w:rPr>
                <w:rFonts w:ascii="宋体" w:hAnsi="宋体" w:cs="宋体" w:eastAsia="宋体" w:hint="default"/>
                <w:w w:val="95"/>
                <w:position w:val="2"/>
                <w:sz w:val="22"/>
                <w:szCs w:val="22"/>
              </w:rPr>
              <w:t>减：现金等价物的年初余额</w:t>
              <w:tab/>
            </w:r>
            <w:r>
              <w:rPr>
                <w:rFonts w:ascii="Arial" w:hAnsi="Arial" w:cs="Arial" w:eastAsia="Arial" w:hint="default"/>
                <w:w w:val="95"/>
                <w:sz w:val="22"/>
                <w:szCs w:val="22"/>
              </w:rPr>
            </w:r>
            <w:r>
              <w:rPr>
                <w:rFonts w:ascii="Arial" w:hAnsi="Arial" w:cs="Arial" w:eastAsia="Arial" w:hint="default"/>
                <w:w w:val="95"/>
                <w:sz w:val="22"/>
                <w:szCs w:val="22"/>
                <w:u w:val="single" w:color="000000"/>
              </w:rPr>
              <w:t> </w:t>
              <w:tab/>
            </w:r>
            <w:r>
              <w:rPr>
                <w:rFonts w:ascii="Arial" w:hAnsi="Arial" w:cs="Arial" w:eastAsia="Arial" w:hint="default"/>
                <w:sz w:val="22"/>
                <w:szCs w:val="22"/>
                <w:u w:val="single" w:color="000000"/>
              </w:rPr>
              <w:t>(425,087,038)</w:t>
              <w:tab/>
            </w:r>
            <w:r>
              <w:rPr>
                <w:rFonts w:ascii="Arial" w:hAnsi="Arial" w:cs="Arial" w:eastAsia="Arial" w:hint="default"/>
                <w:sz w:val="22"/>
                <w:szCs w:val="22"/>
              </w:rPr>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tabs>
                <w:tab w:pos="649" w:val="left" w:leader="none"/>
                <w:tab w:pos="2079"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(355,765,737)</w:t>
            </w:r>
            <w:r>
              <w:rPr>
                <w:rFonts w:ascii="Arial"/>
                <w:sz w:val="22"/>
                <w:u w:val="single" w:color="000000"/>
              </w:rPr>
              <w:tab/>
            </w:r>
            <w:r>
              <w:rPr>
                <w:rFonts w:ascii="Arial"/>
                <w:sz w:val="22"/>
              </w:rPr>
            </w:r>
          </w:p>
        </w:tc>
      </w:tr>
      <w:tr>
        <w:trPr>
          <w:trHeight w:val="303" w:hRule="exact"/>
        </w:trPr>
        <w:tc>
          <w:tcPr>
            <w:tcW w:w="7023" w:type="dxa"/>
            <w:tcBorders>
              <w:top w:val="nil" w:sz="6" w:space="0" w:color="auto"/>
              <w:left w:val="nil" w:sz="6" w:space="0" w:color="auto"/>
              <w:bottom w:val="single" w:sz="17" w:space="0" w:color="000000"/>
              <w:right w:val="nil" w:sz="6" w:space="0" w:color="auto"/>
            </w:tcBorders>
          </w:tcPr>
          <w:p>
            <w:pPr>
              <w:pStyle w:val="TableParagraph"/>
              <w:tabs>
                <w:tab w:pos="5403" w:val="left" w:leader="none"/>
              </w:tabs>
              <w:spacing w:line="278" w:lineRule="exact"/>
              <w:ind w:left="60" w:right="0"/>
              <w:jc w:val="left"/>
              <w:rPr>
                <w:rFonts w:ascii="Arial" w:hAnsi="Arial" w:cs="Arial" w:eastAsia="Arial" w:hint="default"/>
                <w:sz w:val="22"/>
                <w:szCs w:val="22"/>
              </w:rPr>
            </w:pPr>
            <w:r>
              <w:rPr>
                <w:rFonts w:ascii="宋体" w:hAnsi="宋体" w:cs="宋体" w:eastAsia="宋体" w:hint="default"/>
                <w:w w:val="95"/>
                <w:position w:val="2"/>
                <w:sz w:val="22"/>
                <w:szCs w:val="22"/>
              </w:rPr>
              <w:t>现金及现金等价物净增加（减少）额</w:t>
              <w:tab/>
            </w:r>
            <w:r>
              <w:rPr>
                <w:rFonts w:ascii="Arial" w:hAnsi="Arial" w:cs="Arial" w:eastAsia="Arial" w:hint="default"/>
                <w:sz w:val="22"/>
                <w:szCs w:val="22"/>
              </w:rPr>
              <w:t>(7,484,817,039)</w:t>
            </w:r>
          </w:p>
        </w:tc>
        <w:tc>
          <w:tcPr>
            <w:tcW w:w="11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66"/>
              <w:jc w:val="right"/>
              <w:rPr>
                <w:rFonts w:ascii="Arial" w:hAnsi="Arial" w:cs="Arial" w:eastAsia="Arial" w:hint="default"/>
                <w:sz w:val="22"/>
                <w:szCs w:val="22"/>
              </w:rPr>
            </w:pPr>
            <w:r>
              <w:rPr>
                <w:rFonts w:ascii="Arial"/>
                <w:spacing w:val="-1"/>
                <w:sz w:val="22"/>
              </w:rPr>
              <w:t>14,713,251,280</w:t>
            </w:r>
          </w:p>
        </w:tc>
      </w:tr>
    </w:tbl>
    <w:p>
      <w:pPr>
        <w:spacing w:after="0" w:line="240" w:lineRule="auto"/>
        <w:jc w:val="right"/>
        <w:rPr>
          <w:rFonts w:ascii="Arial" w:hAnsi="Arial" w:cs="Arial" w:eastAsia="Arial" w:hint="default"/>
          <w:sz w:val="22"/>
          <w:szCs w:val="22"/>
        </w:rPr>
        <w:sectPr>
          <w:headerReference w:type="default" r:id="rId136"/>
          <w:pgSz w:w="11900" w:h="16840"/>
          <w:pgMar w:header="1189" w:footer="752" w:top="3040" w:bottom="940" w:left="1280" w:right="760"/>
        </w:sectPr>
      </w:pPr>
    </w:p>
    <w:p>
      <w:pPr>
        <w:spacing w:line="240" w:lineRule="auto" w:before="10"/>
        <w:rPr>
          <w:rFonts w:ascii="宋体" w:hAnsi="宋体" w:cs="宋体" w:eastAsia="宋体" w:hint="default"/>
          <w:sz w:val="16"/>
          <w:szCs w:val="16"/>
        </w:rPr>
      </w:pPr>
    </w:p>
    <w:p>
      <w:pPr>
        <w:pStyle w:val="BodyText"/>
        <w:tabs>
          <w:tab w:pos="552" w:val="left" w:leader="none"/>
        </w:tabs>
        <w:spacing w:line="240" w:lineRule="auto" w:before="31"/>
        <w:ind w:left="102"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p>
      <w:pPr>
        <w:spacing w:line="240" w:lineRule="auto" w:before="9"/>
        <w:rPr>
          <w:rFonts w:ascii="黑体" w:hAnsi="黑体" w:cs="黑体" w:eastAsia="黑体" w:hint="default"/>
          <w:sz w:val="16"/>
          <w:szCs w:val="16"/>
        </w:rPr>
      </w:pPr>
    </w:p>
    <w:p>
      <w:pPr>
        <w:pStyle w:val="BodyText"/>
        <w:spacing w:line="408" w:lineRule="auto" w:before="31"/>
        <w:ind w:left="102" w:right="6319"/>
        <w:jc w:val="left"/>
      </w:pPr>
      <w:r>
        <w:rPr>
          <w:rFonts w:ascii="Arial" w:hAnsi="Arial" w:cs="Arial" w:eastAsia="Arial" w:hint="default"/>
          <w:w w:val="95"/>
        </w:rPr>
        <w:t>49</w:t>
      </w:r>
      <w:r>
        <w:rPr>
          <w:w w:val="95"/>
        </w:rPr>
        <w:t>、现金流量表补充资料（续）</w:t>
      </w:r>
      <w:r>
        <w:rPr>
          <w:spacing w:val="48"/>
          <w:w w:val="95"/>
        </w:rPr>
        <w:t> </w:t>
      </w:r>
      <w:r>
        <w:rPr>
          <w:spacing w:val="48"/>
          <w:w w:val="95"/>
        </w:rPr>
      </w:r>
      <w:r>
        <w:rPr>
          <w:rFonts w:ascii="Arial" w:hAnsi="Arial" w:cs="Arial" w:eastAsia="Arial" w:hint="default"/>
        </w:rPr>
        <w:t>(b)  </w:t>
      </w:r>
      <w:r>
        <w:rPr>
          <w:rFonts w:ascii="Arial" w:hAnsi="Arial" w:cs="Arial" w:eastAsia="Arial" w:hint="default"/>
          <w:spacing w:val="4"/>
        </w:rPr>
        <w:t> </w:t>
      </w:r>
      <w:r>
        <w:rPr/>
        <w:t>现金及现金等价物</w:t>
      </w:r>
    </w:p>
    <w:p>
      <w:pPr>
        <w:spacing w:after="0" w:line="408" w:lineRule="auto"/>
        <w:jc w:val="left"/>
        <w:sectPr>
          <w:headerReference w:type="default" r:id="rId137"/>
          <w:pgSz w:w="11900" w:h="16840"/>
          <w:pgMar w:header="1184" w:footer="752" w:top="2500" w:bottom="940" w:left="1280" w:right="1000"/>
        </w:sectPr>
      </w:pPr>
    </w:p>
    <w:p>
      <w:pPr>
        <w:pStyle w:val="BodyText"/>
        <w:spacing w:line="295" w:lineRule="exact" w:before="62"/>
        <w:ind w:left="0" w:right="0"/>
        <w:jc w:val="right"/>
      </w:pPr>
      <w:r>
        <w:rPr>
          <w:rFonts w:ascii="Arial" w:hAnsi="Arial" w:cs="Arial" w:eastAsia="Arial" w:hint="default"/>
        </w:rPr>
        <w:t>2011</w:t>
      </w:r>
      <w:r>
        <w:rPr>
          <w:rFonts w:ascii="Arial" w:hAnsi="Arial" w:cs="Arial" w:eastAsia="Arial" w:hint="default"/>
          <w:spacing w:val="-8"/>
        </w:rPr>
        <w:t> </w:t>
      </w:r>
      <w:r>
        <w:rPr/>
        <w:t>年</w:t>
      </w:r>
    </w:p>
    <w:p>
      <w:pPr>
        <w:pStyle w:val="BodyText"/>
        <w:spacing w:line="295" w:lineRule="exact"/>
        <w:ind w:left="0" w:right="0"/>
        <w:jc w:val="right"/>
      </w:pP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95" w:lineRule="exact" w:before="62"/>
        <w:ind w:left="1553" w:right="0"/>
        <w:jc w:val="left"/>
      </w:pPr>
      <w:r>
        <w:rPr/>
        <w:br w:type="column"/>
      </w:r>
      <w:r>
        <w:rPr>
          <w:rFonts w:ascii="Arial" w:hAnsi="Arial" w:cs="Arial" w:eastAsia="Arial" w:hint="default"/>
        </w:rPr>
        <w:t>2010</w:t>
      </w:r>
      <w:r>
        <w:rPr>
          <w:rFonts w:ascii="Arial" w:hAnsi="Arial" w:cs="Arial" w:eastAsia="Arial" w:hint="default"/>
          <w:spacing w:val="-8"/>
        </w:rPr>
        <w:t> </w:t>
      </w:r>
      <w:r>
        <w:rPr/>
        <w:t>年</w:t>
      </w:r>
    </w:p>
    <w:p>
      <w:pPr>
        <w:pStyle w:val="BodyText"/>
        <w:spacing w:line="293" w:lineRule="exact"/>
        <w:ind w:left="1223" w:right="0"/>
        <w:jc w:val="left"/>
      </w:pP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6" w:lineRule="exact"/>
        <w:ind w:left="1269" w:right="0"/>
        <w:jc w:val="left"/>
      </w:pPr>
      <w:r>
        <w:rPr/>
        <w:pict>
          <v:group style="position:absolute;margin-left:312pt;margin-top:1.360736pt;width:109.9pt;height:.1pt;mso-position-horizontal-relative:page;mso-position-vertical-relative:paragraph;z-index:8032" coordorigin="6240,27" coordsize="2198,2">
            <v:shape style="position:absolute;left:6240;top:27;width:2198;height:2" coordorigin="6240,27" coordsize="2198,0" path="m6240,27l8437,27e" filled="false" stroked="true" strokeweight=".72pt" strokecolor="#000000">
              <v:path arrowok="t"/>
            </v:shape>
            <w10:wrap type="none"/>
          </v:group>
        </w:pict>
      </w:r>
      <w:r>
        <w:rPr/>
        <w:pict>
          <v:group style="position:absolute;margin-left:429pt;margin-top:1.360721pt;width:109.8pt;height:.1pt;mso-position-horizontal-relative:page;mso-position-vertical-relative:paragraph;z-index:-816256" coordorigin="8580,27" coordsize="2196,2">
            <v:shape style="position:absolute;left:8580;top:27;width:2196;height:2" coordorigin="8580,27" coordsize="2196,0" path="m8580,27l10776,27e" filled="false" stroked="true" strokeweight=".72003pt" strokecolor="#000000">
              <v:path arrowok="t"/>
            </v:shape>
            <w10:wrap type="none"/>
          </v:group>
        </w:pict>
      </w:r>
      <w:r>
        <w:rPr/>
        <w:t>（经重列）</w:t>
      </w:r>
    </w:p>
    <w:p>
      <w:pPr>
        <w:spacing w:after="0" w:line="286" w:lineRule="exact"/>
        <w:jc w:val="left"/>
        <w:sectPr>
          <w:type w:val="continuous"/>
          <w:pgSz w:w="11900" w:h="16840"/>
          <w:pgMar w:top="1600" w:bottom="280" w:left="1280" w:right="1000"/>
          <w:cols w:num="2" w:equalWidth="0">
            <w:col w:w="7060" w:space="40"/>
            <w:col w:w="2520"/>
          </w:cols>
        </w:sectPr>
      </w:pPr>
    </w:p>
    <w:p>
      <w:pPr>
        <w:pStyle w:val="BodyText"/>
        <w:tabs>
          <w:tab w:pos="5489" w:val="left" w:leader="none"/>
          <w:tab w:pos="7841" w:val="left" w:leader="none"/>
        </w:tabs>
        <w:spacing w:line="305" w:lineRule="exact"/>
        <w:ind w:left="545" w:right="0"/>
        <w:jc w:val="left"/>
        <w:rPr>
          <w:rFonts w:ascii="Arial" w:hAnsi="Arial" w:cs="Arial" w:eastAsia="Arial" w:hint="default"/>
        </w:rPr>
      </w:pPr>
      <w:r>
        <w:rPr>
          <w:w w:val="95"/>
          <w:position w:val="2"/>
        </w:rPr>
        <w:t>现金</w:t>
        <w:tab/>
      </w:r>
      <w:r>
        <w:rPr>
          <w:rFonts w:ascii="Arial" w:hAnsi="Arial" w:cs="Arial" w:eastAsia="Arial" w:hint="default"/>
          <w:spacing w:val="-1"/>
        </w:rPr>
        <w:t>14,699,332,974</w:t>
        <w:tab/>
        <w:t>22,194,701,544</w:t>
      </w:r>
    </w:p>
    <w:p>
      <w:pPr>
        <w:pStyle w:val="BodyText"/>
        <w:tabs>
          <w:tab w:pos="6045" w:val="left" w:leader="none"/>
          <w:tab w:pos="8390" w:val="left" w:leader="none"/>
        </w:tabs>
        <w:spacing w:line="293" w:lineRule="exact"/>
        <w:ind w:left="545" w:right="0"/>
        <w:jc w:val="left"/>
        <w:rPr>
          <w:rFonts w:ascii="Arial" w:hAnsi="Arial" w:cs="Arial" w:eastAsia="Arial" w:hint="default"/>
        </w:rPr>
      </w:pPr>
      <w:r>
        <w:rPr/>
        <w:pict>
          <v:group style="position:absolute;margin-left:311.279999pt;margin-top:.358984pt;width:228.25pt;height:30.75pt;mso-position-horizontal-relative:page;mso-position-vertical-relative:paragraph;z-index:-816232" coordorigin="6226,7" coordsize="4565,615">
            <v:group style="position:absolute;left:6233;top:22;width:4536;height:2" coordorigin="6233,22" coordsize="4536,2">
              <v:shape style="position:absolute;left:6233;top:22;width:4536;height:2" coordorigin="6233,22" coordsize="4536,0" path="m6233,22l10769,22e" filled="false" stroked="true" strokeweight=".71997pt" strokecolor="#000000">
                <v:path arrowok="t"/>
              </v:shape>
            </v:group>
            <v:group style="position:absolute;left:6240;top:14;width:2;height:600" coordorigin="6240,14" coordsize="2,600">
              <v:shape style="position:absolute;left:6240;top:14;width:2;height:600" coordorigin="6240,14" coordsize="0,600" path="m6240,14l6240,614e" filled="false" stroked="true" strokeweight=".72pt" strokecolor="#000000">
                <v:path arrowok="t"/>
              </v:shape>
            </v:group>
            <v:group style="position:absolute;left:10776;top:14;width:2;height:586" coordorigin="10776,14" coordsize="2,586">
              <v:shape style="position:absolute;left:10776;top:14;width:2;height:586" coordorigin="10776,14" coordsize="0,586" path="m10776,14l10776,600e" filled="false" stroked="true" strokeweight=".72003pt" strokecolor="#000000">
                <v:path arrowok="t"/>
              </v:shape>
            </v:group>
            <v:group style="position:absolute;left:6233;top:607;width:4551;height:2" coordorigin="6233,607" coordsize="4551,2">
              <v:shape style="position:absolute;left:6233;top:607;width:4551;height:2" coordorigin="6233,607" coordsize="4551,0" path="m6233,607l10783,607e" filled="false" stroked="true" strokeweight=".72003pt" strokecolor="#000000">
                <v:path arrowok="t"/>
              </v:shape>
            </v:group>
            <w10:wrap type="none"/>
          </v:group>
        </w:pict>
      </w:r>
      <w:r>
        <w:rPr>
          <w:w w:val="95"/>
          <w:position w:val="2"/>
        </w:rPr>
        <w:t>其中：库存现金</w:t>
        <w:tab/>
      </w:r>
      <w:r>
        <w:rPr>
          <w:rFonts w:ascii="Arial" w:hAnsi="Arial" w:cs="Arial" w:eastAsia="Arial" w:hint="default"/>
          <w:w w:val="95"/>
        </w:rPr>
        <w:t>5,991,560</w:t>
        <w:tab/>
      </w:r>
      <w:r>
        <w:rPr>
          <w:rFonts w:ascii="Arial" w:hAnsi="Arial" w:cs="Arial" w:eastAsia="Arial" w:hint="default"/>
        </w:rPr>
        <w:t>6,433,905</w:t>
      </w:r>
    </w:p>
    <w:p>
      <w:pPr>
        <w:pStyle w:val="BodyText"/>
        <w:tabs>
          <w:tab w:pos="5496" w:val="left" w:leader="none"/>
          <w:tab w:pos="7841" w:val="left" w:leader="none"/>
        </w:tabs>
        <w:spacing w:line="305" w:lineRule="exact"/>
        <w:ind w:left="1208" w:right="0"/>
        <w:jc w:val="left"/>
        <w:rPr>
          <w:rFonts w:ascii="Arial" w:hAnsi="Arial" w:cs="Arial" w:eastAsia="Arial" w:hint="default"/>
        </w:rPr>
      </w:pPr>
      <w:r>
        <w:rPr>
          <w:w w:val="95"/>
          <w:position w:val="2"/>
        </w:rPr>
        <w:t>可随时用于支付的银行存款</w:t>
        <w:tab/>
      </w:r>
      <w:r>
        <w:rPr>
          <w:rFonts w:ascii="Arial" w:hAnsi="Arial" w:cs="Arial" w:eastAsia="Arial" w:hint="default"/>
          <w:spacing w:val="-1"/>
        </w:rPr>
        <w:t>14,693,341,414</w:t>
        <w:tab/>
        <w:t>22,188,267,639</w:t>
      </w:r>
    </w:p>
    <w:p>
      <w:pPr>
        <w:spacing w:line="240" w:lineRule="auto" w:before="7"/>
        <w:rPr>
          <w:rFonts w:ascii="Arial" w:hAnsi="Arial" w:cs="Arial" w:eastAsia="Arial" w:hint="default"/>
          <w:sz w:val="17"/>
          <w:szCs w:val="17"/>
        </w:rPr>
      </w:pPr>
    </w:p>
    <w:p>
      <w:pPr>
        <w:pStyle w:val="BodyText"/>
        <w:tabs>
          <w:tab w:pos="4959" w:val="left" w:leader="none"/>
          <w:tab w:pos="5795" w:val="left" w:leader="none"/>
          <w:tab w:pos="8146" w:val="left" w:leader="none"/>
          <w:tab w:pos="9495" w:val="left" w:leader="none"/>
        </w:tabs>
        <w:spacing w:line="240" w:lineRule="auto" w:before="27"/>
        <w:ind w:left="545" w:right="0"/>
        <w:jc w:val="left"/>
        <w:rPr>
          <w:rFonts w:ascii="Arial" w:hAnsi="Arial" w:cs="Arial" w:eastAsia="Arial" w:hint="default"/>
        </w:rPr>
      </w:pPr>
      <w:r>
        <w:rPr>
          <w:w w:val="95"/>
          <w:position w:val="2"/>
        </w:rPr>
        <w:t>其他</w:t>
        <w:tab/>
      </w:r>
      <w:r>
        <w:rPr>
          <w:rFonts w:ascii="Arial" w:hAnsi="Arial" w:cs="Arial" w:eastAsia="Arial" w:hint="default"/>
          <w:w w:val="95"/>
        </w:rPr>
      </w:r>
      <w:r>
        <w:rPr>
          <w:rFonts w:ascii="Arial" w:hAnsi="Arial" w:cs="Arial" w:eastAsia="Arial" w:hint="default"/>
          <w:w w:val="95"/>
          <w:u w:val="single" w:color="000000"/>
        </w:rPr>
        <w:t> </w:t>
        <w:tab/>
        <w:t>435,638,569</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425,087,038</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489" w:val="left" w:leader="none"/>
          <w:tab w:pos="7840" w:val="left" w:leader="none"/>
        </w:tabs>
        <w:spacing w:line="240" w:lineRule="auto" w:before="27"/>
        <w:ind w:left="545" w:right="0"/>
        <w:jc w:val="left"/>
        <w:rPr>
          <w:rFonts w:ascii="Arial" w:hAnsi="Arial" w:cs="Arial" w:eastAsia="Arial" w:hint="default"/>
        </w:rPr>
      </w:pPr>
      <w:r>
        <w:rPr>
          <w:w w:val="95"/>
          <w:position w:val="2"/>
        </w:rPr>
        <w:t>年末现金及现金等价物余额</w:t>
        <w:tab/>
      </w:r>
      <w:r>
        <w:rPr>
          <w:rFonts w:ascii="Arial" w:hAnsi="Arial" w:cs="Arial" w:eastAsia="Arial" w:hint="default"/>
          <w:spacing w:val="-1"/>
        </w:rPr>
        <w:t>15,134,971,543</w:t>
        <w:tab/>
        <w:t>22,619,788,582</w:t>
      </w:r>
    </w:p>
    <w:p>
      <w:pPr>
        <w:spacing w:line="43" w:lineRule="exact"/>
        <w:ind w:left="4938" w:right="0" w:firstLine="0"/>
        <w:rPr>
          <w:rFonts w:ascii="Arial" w:hAnsi="Arial" w:cs="Arial" w:eastAsia="Arial" w:hint="default"/>
          <w:sz w:val="4"/>
          <w:szCs w:val="4"/>
        </w:rPr>
      </w:pPr>
      <w:r>
        <w:rPr>
          <w:rFonts w:ascii="Arial"/>
          <w:position w:val="0"/>
          <w:sz w:val="4"/>
        </w:rPr>
        <w:pict>
          <v:group style="width:111.3pt;height:2.2pt;mso-position-horizontal-relative:char;mso-position-vertical-relative:line" coordorigin="0,0" coordsize="2226,44">
            <v:group style="position:absolute;left:7;top:36;width:2212;height:2" coordorigin="7,36" coordsize="2212,2">
              <v:shape style="position:absolute;left:7;top:36;width:2212;height:2" coordorigin="7,36" coordsize="2212,0" path="m7,36l2219,36e" filled="false" stroked="true" strokeweight=".72pt" strokecolor="#000000">
                <v:path arrowok="t"/>
              </v:shape>
            </v:group>
            <v:group style="position:absolute;left:7;top:7;width:2212;height:2" coordorigin="7,7" coordsize="2212,2">
              <v:shape style="position:absolute;left:7;top:7;width:2212;height:2" coordorigin="7,7" coordsize="2212,0" path="m7,7l2219,7e" filled="false" stroked="true" strokeweight=".72pt" strokecolor="#000000">
                <v:path arrowok="t"/>
              </v:shape>
            </v:group>
          </v:group>
        </w:pict>
      </w:r>
      <w:r>
        <w:rPr>
          <w:rFonts w:ascii="Arial"/>
          <w:position w:val="0"/>
          <w:sz w:val="4"/>
        </w:rPr>
      </w:r>
      <w:r>
        <w:rPr>
          <w:rFonts w:ascii="Times New Roman"/>
          <w:spacing w:val="99"/>
          <w:position w:val="0"/>
          <w:sz w:val="4"/>
        </w:rPr>
        <w:t> </w:t>
      </w:r>
      <w:r>
        <w:rPr>
          <w:rFonts w:ascii="Arial"/>
          <w:spacing w:val="99"/>
          <w:position w:val="0"/>
          <w:sz w:val="4"/>
        </w:rPr>
        <w:pict>
          <v:group style="width:111.25pt;height:2.2pt;mso-position-horizontal-relative:char;mso-position-vertical-relative:line" coordorigin="0,0" coordsize="2225,44">
            <v:group style="position:absolute;left:7;top:36;width:2211;height:2" coordorigin="7,36" coordsize="2211,2">
              <v:shape style="position:absolute;left:7;top:36;width:2211;height:2" coordorigin="7,36" coordsize="2211,0" path="m7,36l2218,36e" filled="false" stroked="true" strokeweight=".72pt" strokecolor="#000000">
                <v:path arrowok="t"/>
              </v:shape>
            </v:group>
            <v:group style="position:absolute;left:7;top:7;width:2211;height:2" coordorigin="7,7" coordsize="2211,2">
              <v:shape style="position:absolute;left:7;top:7;width:2211;height:2" coordorigin="7,7" coordsize="2211,0" path="m7,7l2218,7e" filled="false" stroked="true" strokeweight=".72003pt" strokecolor="#000000">
                <v:path arrowok="t"/>
              </v:shape>
            </v:group>
          </v:group>
        </w:pict>
      </w:r>
      <w:r>
        <w:rPr>
          <w:rFonts w:ascii="Arial"/>
          <w:spacing w:val="99"/>
          <w:position w:val="0"/>
          <w:sz w:val="4"/>
        </w:rPr>
      </w:r>
    </w:p>
    <w:p>
      <w:pPr>
        <w:spacing w:line="240" w:lineRule="auto" w:before="5"/>
        <w:rPr>
          <w:rFonts w:ascii="Arial" w:hAnsi="Arial" w:cs="Arial" w:eastAsia="Arial" w:hint="default"/>
          <w:sz w:val="16"/>
          <w:szCs w:val="16"/>
        </w:rPr>
      </w:pPr>
    </w:p>
    <w:p>
      <w:pPr>
        <w:pStyle w:val="BodyText"/>
        <w:spacing w:line="240" w:lineRule="auto" w:before="31"/>
        <w:ind w:left="102" w:right="0"/>
        <w:jc w:val="left"/>
        <w:rPr>
          <w:rFonts w:ascii="黑体" w:hAnsi="黑体" w:cs="黑体" w:eastAsia="黑体" w:hint="default"/>
        </w:rPr>
      </w:pPr>
      <w:r>
        <w:rPr>
          <w:rFonts w:ascii="黑体" w:hAnsi="黑体" w:cs="黑体" w:eastAsia="黑体" w:hint="default"/>
        </w:rPr>
        <w:t>六</w:t>
      </w:r>
      <w:r>
        <w:rPr>
          <w:rFonts w:ascii="黑体" w:hAnsi="黑体" w:cs="黑体" w:eastAsia="黑体" w:hint="default"/>
          <w:spacing w:val="86"/>
        </w:rPr>
        <w:t> </w:t>
      </w:r>
      <w:r>
        <w:rPr>
          <w:rFonts w:ascii="黑体" w:hAnsi="黑体" w:cs="黑体" w:eastAsia="黑体" w:hint="default"/>
        </w:rPr>
        <w:t>分部信息</w:t>
      </w:r>
    </w:p>
    <w:p>
      <w:pPr>
        <w:spacing w:line="240" w:lineRule="auto" w:before="5"/>
        <w:rPr>
          <w:rFonts w:ascii="黑体" w:hAnsi="黑体" w:cs="黑体" w:eastAsia="黑体" w:hint="default"/>
          <w:sz w:val="19"/>
          <w:szCs w:val="19"/>
        </w:rPr>
      </w:pPr>
    </w:p>
    <w:p>
      <w:pPr>
        <w:pStyle w:val="BodyText"/>
        <w:spacing w:line="237" w:lineRule="auto"/>
        <w:ind w:left="534" w:right="121"/>
        <w:jc w:val="both"/>
      </w:pPr>
      <w:r>
        <w:rPr>
          <w:spacing w:val="-2"/>
        </w:rPr>
        <w:t>本集团以内部组织结构、管理要求、内部报告制度为依据确定经营分部，以经营分部为基础确</w:t>
      </w:r>
      <w:r>
        <w:rPr>
          <w:spacing w:val="-92"/>
        </w:rPr>
        <w:t> </w:t>
      </w:r>
      <w:r>
        <w:rPr>
          <w:spacing w:val="-92"/>
        </w:rPr>
      </w:r>
      <w:r>
        <w:rPr>
          <w:spacing w:val="-2"/>
        </w:rPr>
        <w:t>定报告分部。本集团的主要经营决策者（即本集团董事会）在内部报告和管理过程中评价各个</w:t>
      </w:r>
      <w:r>
        <w:rPr>
          <w:spacing w:val="-92"/>
        </w:rPr>
        <w:t> </w:t>
      </w:r>
      <w:r>
        <w:rPr>
          <w:spacing w:val="-92"/>
        </w:rPr>
      </w:r>
      <w:r>
        <w:rPr>
          <w:spacing w:val="-2"/>
        </w:rPr>
        <w:t>经营分部时主要基于各个经营分部收入和直接成本费用，故本集团的经营分部包括各个经营分</w:t>
      </w:r>
      <w:r>
        <w:rPr>
          <w:spacing w:val="-90"/>
        </w:rPr>
        <w:t> </w:t>
      </w:r>
      <w:r>
        <w:rPr>
          <w:spacing w:val="-90"/>
        </w:rPr>
      </w:r>
      <w:r>
        <w:rPr>
          <w:spacing w:val="-2"/>
        </w:rPr>
        <w:t>部收入和直接成本费用，而其他不可分摊至各经营分部的损益项目，主要是不可直接分配到下</w:t>
      </w:r>
      <w:r>
        <w:rPr>
          <w:spacing w:val="-90"/>
        </w:rPr>
        <w:t> </w:t>
      </w:r>
      <w:r>
        <w:rPr>
          <w:spacing w:val="-90"/>
        </w:rPr>
      </w:r>
      <w:r>
        <w:rPr>
          <w:spacing w:val="-2"/>
        </w:rPr>
        <w:t>述任何一个经营分部的集团总部及共享服务开支、人工成本、财务费用、营业外收支和所得税</w:t>
      </w:r>
      <w:r>
        <w:rPr>
          <w:spacing w:val="-92"/>
        </w:rPr>
        <w:t> </w:t>
      </w:r>
      <w:r>
        <w:rPr>
          <w:spacing w:val="-92"/>
        </w:rPr>
      </w:r>
      <w:r>
        <w:rPr>
          <w:spacing w:val="-2"/>
        </w:rPr>
        <w:t>等，均作为不可分摊项目进行呈报。另外，本集团的主要经营决策者以业务种类而非地区角度</w:t>
      </w:r>
      <w:r>
        <w:rPr>
          <w:spacing w:val="-92"/>
        </w:rPr>
        <w:t> </w:t>
      </w:r>
      <w:r>
        <w:rPr>
          <w:spacing w:val="-92"/>
        </w:rPr>
      </w:r>
      <w:r>
        <w:rPr>
          <w:spacing w:val="-2"/>
        </w:rPr>
        <w:t>进行经营决策，因此本公司的经营分部已为客户提供的不同种类的电信服务来确定。本集团的</w:t>
      </w:r>
      <w:r>
        <w:rPr>
          <w:spacing w:val="-90"/>
        </w:rPr>
        <w:t> </w:t>
      </w:r>
      <w:r>
        <w:rPr>
          <w:spacing w:val="-90"/>
        </w:rPr>
      </w:r>
      <w:r>
        <w:rPr/>
        <w:t>主要经营分部列示如下：</w:t>
      </w:r>
    </w:p>
    <w:p>
      <w:pPr>
        <w:spacing w:line="240" w:lineRule="auto" w:before="5"/>
        <w:rPr>
          <w:rFonts w:ascii="宋体" w:hAnsi="宋体" w:cs="宋体" w:eastAsia="宋体" w:hint="default"/>
          <w:sz w:val="21"/>
          <w:szCs w:val="21"/>
        </w:rPr>
      </w:pPr>
    </w:p>
    <w:p>
      <w:pPr>
        <w:pStyle w:val="BodyText"/>
        <w:spacing w:line="286" w:lineRule="exact"/>
        <w:ind w:left="1974" w:right="0" w:hanging="1341"/>
        <w:jc w:val="left"/>
      </w:pPr>
      <w:r>
        <w:rPr>
          <w:rFonts w:ascii="Symbol" w:hAnsi="Symbol" w:cs="Symbol" w:eastAsia="Symbol" w:hint="default"/>
        </w:rPr>
        <w:t></w:t>
      </w:r>
      <w:r>
        <w:rPr>
          <w:rFonts w:ascii="Symbol" w:hAnsi="Symbol" w:cs="Symbol" w:eastAsia="Symbol" w:hint="default"/>
          <w:spacing w:val="24"/>
        </w:rPr>
        <w:t></w:t>
      </w:r>
      <w:r>
        <w:rPr>
          <w:rFonts w:ascii="Times New Roman" w:hAnsi="Times New Roman" w:cs="Times New Roman" w:eastAsia="Times New Roman" w:hint="default"/>
          <w:spacing w:val="24"/>
        </w:rPr>
      </w:r>
      <w:r>
        <w:rPr/>
        <w:t>移动业务：在中国大陆的</w:t>
      </w:r>
      <w:r>
        <w:rPr>
          <w:spacing w:val="-61"/>
        </w:rPr>
        <w:t> </w:t>
      </w:r>
      <w:r>
        <w:rPr>
          <w:rFonts w:ascii="Arial" w:hAnsi="Arial" w:cs="Arial" w:eastAsia="Arial" w:hint="default"/>
        </w:rPr>
        <w:t>31</w:t>
      </w:r>
      <w:r>
        <w:rPr>
          <w:rFonts w:ascii="Arial" w:hAnsi="Arial" w:cs="Arial" w:eastAsia="Arial" w:hint="default"/>
          <w:spacing w:val="-12"/>
        </w:rPr>
        <w:t> </w:t>
      </w:r>
      <w:r>
        <w:rPr/>
        <w:t>省、直辖市及自治区提供</w:t>
      </w:r>
      <w:r>
        <w:rPr>
          <w:spacing w:val="-61"/>
        </w:rPr>
        <w:t> </w:t>
      </w:r>
      <w:r>
        <w:rPr>
          <w:rFonts w:ascii="Arial" w:hAnsi="Arial" w:cs="Arial" w:eastAsia="Arial" w:hint="default"/>
        </w:rPr>
        <w:t>GSM</w:t>
      </w:r>
      <w:r>
        <w:rPr>
          <w:rFonts w:ascii="Arial" w:hAnsi="Arial" w:cs="Arial" w:eastAsia="Arial" w:hint="default"/>
          <w:spacing w:val="-13"/>
        </w:rPr>
        <w:t> </w:t>
      </w:r>
      <w:r>
        <w:rPr>
          <w:spacing w:val="-5"/>
        </w:rPr>
        <w:t>通信、</w:t>
      </w:r>
      <w:r>
        <w:rPr>
          <w:rFonts w:ascii="Arial" w:hAnsi="Arial" w:cs="Arial" w:eastAsia="Arial" w:hint="default"/>
          <w:spacing w:val="-5"/>
        </w:rPr>
        <w:t>WCDMA</w:t>
      </w:r>
      <w:r>
        <w:rPr>
          <w:spacing w:val="-5"/>
        </w:rPr>
        <w:t>（</w:t>
      </w:r>
      <w:r>
        <w:rPr>
          <w:rFonts w:ascii="Arial" w:hAnsi="Arial" w:cs="Arial" w:eastAsia="Arial" w:hint="default"/>
          <w:spacing w:val="-5"/>
        </w:rPr>
        <w:t>3G</w:t>
      </w:r>
      <w:r>
        <w:rPr>
          <w:spacing w:val="-5"/>
        </w:rPr>
        <w:t>）通信及</w:t>
      </w:r>
      <w:r>
        <w:rPr>
          <w:w w:val="99"/>
        </w:rPr>
        <w:t> </w:t>
      </w:r>
      <w:r>
        <w:rPr/>
        <w:t>相关业务；</w:t>
      </w:r>
    </w:p>
    <w:p>
      <w:pPr>
        <w:spacing w:line="240" w:lineRule="auto" w:before="3"/>
        <w:rPr>
          <w:rFonts w:ascii="宋体" w:hAnsi="宋体" w:cs="宋体" w:eastAsia="宋体" w:hint="default"/>
          <w:sz w:val="19"/>
          <w:szCs w:val="19"/>
        </w:rPr>
      </w:pPr>
    </w:p>
    <w:p>
      <w:pPr>
        <w:pStyle w:val="BodyText"/>
        <w:spacing w:line="286" w:lineRule="exact"/>
        <w:ind w:left="1974" w:right="0" w:hanging="1341"/>
        <w:jc w:val="left"/>
      </w:pPr>
      <w:r>
        <w:rPr>
          <w:rFonts w:ascii="Symbol" w:hAnsi="Symbol" w:cs="Symbol" w:eastAsia="Symbol" w:hint="default"/>
        </w:rPr>
        <w:t></w:t>
      </w:r>
      <w:r>
        <w:rPr>
          <w:rFonts w:ascii="Times New Roman" w:hAnsi="Times New Roman" w:cs="Times New Roman" w:eastAsia="Times New Roman" w:hint="default"/>
        </w:rPr>
      </w:r>
      <w:r>
        <w:rPr>
          <w:spacing w:val="-3"/>
        </w:rPr>
        <w:t>固网业务：在中国大陆的 </w:t>
      </w:r>
      <w:r>
        <w:rPr>
          <w:rFonts w:ascii="Arial" w:hAnsi="Arial" w:cs="Arial" w:eastAsia="Arial" w:hint="default"/>
        </w:rPr>
        <w:t>31</w:t>
      </w:r>
      <w:r>
        <w:rPr>
          <w:rFonts w:ascii="Arial" w:hAnsi="Arial" w:cs="Arial" w:eastAsia="Arial" w:hint="default"/>
          <w:spacing w:val="-15"/>
        </w:rPr>
        <w:t> </w:t>
      </w:r>
      <w:r>
        <w:rPr>
          <w:spacing w:val="-3"/>
        </w:rPr>
        <w:t>省、直辖市及自治区提供固定网络通信服务及相关业务，国内</w:t>
      </w:r>
      <w:r>
        <w:rPr>
          <w:w w:val="99"/>
        </w:rPr>
        <w:t> </w:t>
      </w:r>
      <w:r>
        <w:rPr/>
        <w:t>及国际数据和互联网相关服务，以及国内及国际长途及相关服务。</w:t>
      </w:r>
    </w:p>
    <w:p>
      <w:pPr>
        <w:spacing w:line="240" w:lineRule="auto" w:before="7"/>
        <w:rPr>
          <w:rFonts w:ascii="宋体" w:hAnsi="宋体" w:cs="宋体" w:eastAsia="宋体" w:hint="default"/>
          <w:sz w:val="17"/>
          <w:szCs w:val="17"/>
        </w:rPr>
      </w:pPr>
    </w:p>
    <w:p>
      <w:pPr>
        <w:pStyle w:val="BodyText"/>
        <w:spacing w:line="235" w:lineRule="auto"/>
        <w:ind w:left="552" w:right="121"/>
        <w:jc w:val="both"/>
      </w:pPr>
      <w:r>
        <w:rPr>
          <w:spacing w:val="-2"/>
        </w:rPr>
        <w:t>分部间结算价格参照市场价格或相关政府部门指导价格。分部资产主要包括固定资产、无形资</w:t>
      </w:r>
      <w:r>
        <w:rPr>
          <w:w w:val="99"/>
        </w:rPr>
        <w:t> </w:t>
      </w:r>
      <w:r>
        <w:rPr>
          <w:spacing w:val="-2"/>
        </w:rPr>
        <w:t>产、长期待摊费用、存货及应收款项。分部负债主要包括了预收账款等经营负债。资本性支出</w:t>
      </w:r>
      <w:r>
        <w:rPr>
          <w:w w:val="99"/>
        </w:rPr>
        <w:t> </w:t>
      </w:r>
      <w:r>
        <w:rPr>
          <w:spacing w:val="-2"/>
        </w:rPr>
        <w:t>主要为新增固定资产及无形资产等的支出，列示于不作分摊项目下的分部资本性支出为购置可</w:t>
      </w:r>
      <w:r>
        <w:rPr>
          <w:spacing w:val="-108"/>
        </w:rPr>
        <w:t> </w:t>
      </w:r>
      <w:r>
        <w:rPr>
          <w:spacing w:val="-108"/>
        </w:rPr>
      </w:r>
      <w:r>
        <w:rPr>
          <w:spacing w:val="-2"/>
        </w:rPr>
        <w:t>使各经营分部都受益的通用设备的资本性支出。本集团主要服务用户都在中国内地。在本集团</w:t>
      </w:r>
      <w:r>
        <w:rPr>
          <w:w w:val="99"/>
        </w:rPr>
        <w:t> </w:t>
      </w:r>
      <w:r>
        <w:rPr>
          <w:spacing w:val="-2"/>
        </w:rPr>
        <w:t>来自外部客户的收入中，其他地区收入在本集团收入中并不重大。虽然本集团的部分子公司设</w:t>
      </w:r>
      <w:r>
        <w:rPr>
          <w:w w:val="99"/>
        </w:rPr>
        <w:t> </w:t>
      </w:r>
      <w:r>
        <w:rPr>
          <w:spacing w:val="-2"/>
        </w:rPr>
        <w:t>立在香港或其他地区，由于本集团主要在中国内地经营业务，因此本集团大部分非流动性资产</w:t>
      </w:r>
      <w:r>
        <w:rPr>
          <w:w w:val="99"/>
        </w:rPr>
        <w:t> </w:t>
      </w:r>
      <w:r>
        <w:rPr/>
        <w:t>都在中国内地。于</w:t>
      </w:r>
      <w:r>
        <w:rPr>
          <w:spacing w:val="-46"/>
        </w:rPr>
        <w:t> </w:t>
      </w:r>
      <w:r>
        <w:rPr>
          <w:rFonts w:ascii="Arial" w:hAnsi="Arial" w:cs="Arial" w:eastAsia="Arial" w:hint="default"/>
        </w:rPr>
        <w:t>2011</w:t>
      </w:r>
      <w:r>
        <w:rPr>
          <w:rFonts w:ascii="Arial" w:hAnsi="Arial" w:cs="Arial" w:eastAsia="Arial" w:hint="default"/>
          <w:spacing w:val="3"/>
        </w:rPr>
        <w:t> </w:t>
      </w:r>
      <w:r>
        <w:rPr/>
        <w:t>年度及</w:t>
      </w:r>
      <w:r>
        <w:rPr>
          <w:spacing w:val="-46"/>
        </w:rPr>
        <w:t> </w:t>
      </w:r>
      <w:r>
        <w:rPr>
          <w:rFonts w:ascii="Arial" w:hAnsi="Arial" w:cs="Arial" w:eastAsia="Arial" w:hint="default"/>
        </w:rPr>
        <w:t>2010</w:t>
      </w:r>
      <w:r>
        <w:rPr>
          <w:rFonts w:ascii="Arial" w:hAnsi="Arial" w:cs="Arial" w:eastAsia="Arial" w:hint="default"/>
          <w:spacing w:val="3"/>
        </w:rPr>
        <w:t> </w:t>
      </w:r>
      <w:r>
        <w:rPr/>
        <w:t>年度，本集团于中国内地以外的非流动资产及业务在本</w:t>
      </w:r>
      <w:r>
        <w:rPr>
          <w:w w:val="99"/>
        </w:rPr>
        <w:t> </w:t>
      </w:r>
      <w:r>
        <w:rPr/>
        <w:t>集团非流动资产及业务中并不重大。</w:t>
      </w:r>
    </w:p>
    <w:p>
      <w:pPr>
        <w:spacing w:after="0" w:line="235" w:lineRule="auto"/>
        <w:jc w:val="both"/>
        <w:sectPr>
          <w:type w:val="continuous"/>
          <w:pgSz w:w="11900" w:h="16840"/>
          <w:pgMar w:top="1600" w:bottom="280" w:left="1280" w:right="1000"/>
        </w:sectPr>
      </w:pPr>
    </w:p>
    <w:p>
      <w:pPr>
        <w:pStyle w:val="BodyText"/>
        <w:spacing w:line="333" w:lineRule="auto" w:before="12"/>
        <w:ind w:left="110" w:right="13030"/>
        <w:jc w:val="left"/>
        <w:rPr>
          <w:rFonts w:ascii="黑体" w:hAnsi="黑体" w:cs="黑体" w:eastAsia="黑体" w:hint="default"/>
        </w:rPr>
      </w:pPr>
      <w:r>
        <w:rPr>
          <w:rFonts w:ascii="黑体" w:hAnsi="黑体" w:cs="黑体" w:eastAsia="黑体" w:hint="default"/>
        </w:rPr>
        <w:t>中国联合网络通信股份有限公司</w:t>
      </w:r>
      <w:r>
        <w:rPr>
          <w:rFonts w:ascii="黑体" w:hAnsi="黑体" w:cs="黑体" w:eastAsia="黑体" w:hint="default"/>
          <w:w w:val="99"/>
        </w:rPr>
        <w:t> </w:t>
      </w:r>
      <w:r>
        <w:rPr>
          <w:rFonts w:ascii="黑体" w:hAnsi="黑体" w:cs="黑体" w:eastAsia="黑体" w:hint="default"/>
        </w:rPr>
        <w:t>财务报表附注</w:t>
      </w:r>
    </w:p>
    <w:p>
      <w:pPr>
        <w:pStyle w:val="BodyText"/>
        <w:spacing w:line="205" w:lineRule="exact"/>
        <w:ind w:left="110" w:right="1303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410" w:lineRule="auto"/>
        <w:ind w:left="110" w:right="12150"/>
        <w:jc w:val="left"/>
        <w:rPr>
          <w:rFonts w:ascii="黑体" w:hAnsi="黑体" w:cs="黑体" w:eastAsia="黑体" w:hint="default"/>
        </w:rPr>
      </w:pPr>
      <w:r>
        <w:rPr>
          <w:rFonts w:ascii="黑体" w:hAnsi="黑体" w:cs="黑体" w:eastAsia="黑体" w:hint="default"/>
        </w:rPr>
        <w:t>（除特别注明外，金额单位为人民币元）</w:t>
      </w:r>
      <w:r>
        <w:rPr>
          <w:rFonts w:ascii="黑体" w:hAnsi="黑体" w:cs="黑体" w:eastAsia="黑体" w:hint="default"/>
          <w:w w:val="99"/>
        </w:rPr>
        <w:t> </w:t>
      </w:r>
      <w:r>
        <w:rPr>
          <w:rFonts w:ascii="黑体" w:hAnsi="黑体" w:cs="黑体" w:eastAsia="黑体" w:hint="default"/>
        </w:rPr>
        <w:t>六</w:t>
      </w:r>
      <w:r>
        <w:rPr>
          <w:rFonts w:ascii="黑体" w:hAnsi="黑体" w:cs="黑体" w:eastAsia="黑体" w:hint="default"/>
          <w:spacing w:val="-16"/>
        </w:rPr>
        <w:t> </w:t>
      </w:r>
      <w:r>
        <w:rPr>
          <w:rFonts w:ascii="黑体" w:hAnsi="黑体" w:cs="黑体" w:eastAsia="黑体" w:hint="default"/>
        </w:rPr>
        <w:t>分部信息（续）</w:t>
      </w:r>
    </w:p>
    <w:p>
      <w:pPr>
        <w:spacing w:after="0" w:line="410" w:lineRule="auto"/>
        <w:jc w:val="left"/>
        <w:rPr>
          <w:rFonts w:ascii="黑体" w:hAnsi="黑体" w:cs="黑体" w:eastAsia="黑体" w:hint="default"/>
        </w:rPr>
        <w:sectPr>
          <w:headerReference w:type="default" r:id="rId138"/>
          <w:footerReference w:type="default" r:id="rId139"/>
          <w:pgSz w:w="16840" w:h="11900" w:orient="landscape"/>
          <w:pgMar w:header="0" w:footer="0" w:top="240" w:bottom="0" w:left="320" w:right="280"/>
        </w:sectPr>
      </w:pPr>
    </w:p>
    <w:p>
      <w:pPr>
        <w:spacing w:before="8"/>
        <w:ind w:left="380" w:right="-2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、利润表</w:t>
      </w:r>
    </w:p>
    <w:p>
      <w:pPr>
        <w:spacing w:line="240" w:lineRule="auto" w:before="0"/>
        <w:rPr>
          <w:rFonts w:ascii="宋体" w:hAnsi="宋体" w:cs="宋体" w:eastAsia="宋体" w:hint="default"/>
          <w:sz w:val="12"/>
          <w:szCs w:val="12"/>
        </w:rPr>
      </w:pPr>
      <w:r>
        <w:rPr/>
        <w:br w:type="column"/>
      </w:r>
      <w:r>
        <w:rPr>
          <w:rFonts w:ascii="宋体"/>
          <w:sz w:val="12"/>
        </w:rPr>
      </w:r>
    </w:p>
    <w:p>
      <w:pPr>
        <w:tabs>
          <w:tab w:pos="8000" w:val="left" w:leader="none"/>
        </w:tabs>
        <w:spacing w:before="90"/>
        <w:ind w:left="380" w:right="0" w:firstLine="0"/>
        <w:jc w:val="left"/>
        <w:rPr>
          <w:rFonts w:ascii="宋体" w:hAnsi="宋体" w:cs="宋体" w:eastAsia="宋体" w:hint="default"/>
          <w:sz w:val="12"/>
          <w:szCs w:val="12"/>
        </w:rPr>
      </w:pPr>
      <w:r>
        <w:rPr>
          <w:rFonts w:ascii="Arial" w:hAnsi="Arial" w:cs="Arial" w:eastAsia="Arial" w:hint="default"/>
          <w:spacing w:val="-1"/>
          <w:sz w:val="12"/>
          <w:szCs w:val="12"/>
        </w:rPr>
        <w:t>2011</w:t>
      </w:r>
      <w:r>
        <w:rPr>
          <w:rFonts w:ascii="宋体" w:hAnsi="宋体" w:cs="宋体" w:eastAsia="宋体" w:hint="default"/>
          <w:spacing w:val="-1"/>
          <w:sz w:val="12"/>
          <w:szCs w:val="12"/>
        </w:rPr>
        <w:t>年度</w:t>
        <w:tab/>
      </w:r>
      <w:r>
        <w:rPr>
          <w:rFonts w:ascii="Arial" w:hAnsi="Arial" w:cs="Arial" w:eastAsia="Arial" w:hint="default"/>
          <w:spacing w:val="-1"/>
          <w:sz w:val="12"/>
          <w:szCs w:val="12"/>
        </w:rPr>
        <w:t>2010</w:t>
      </w:r>
      <w:r>
        <w:rPr>
          <w:rFonts w:ascii="宋体" w:hAnsi="宋体" w:cs="宋体" w:eastAsia="宋体" w:hint="default"/>
          <w:spacing w:val="-1"/>
          <w:sz w:val="12"/>
          <w:szCs w:val="12"/>
        </w:rPr>
        <w:t>年度（经重列）</w:t>
      </w:r>
    </w:p>
    <w:p>
      <w:pPr>
        <w:tabs>
          <w:tab w:pos="8622" w:val="left" w:leader="none"/>
        </w:tabs>
        <w:spacing w:before="5"/>
        <w:ind w:left="1434" w:right="0" w:firstLine="0"/>
        <w:jc w:val="left"/>
        <w:rPr>
          <w:rFonts w:ascii="宋体" w:hAnsi="宋体" w:cs="宋体" w:eastAsia="宋体" w:hint="default"/>
          <w:sz w:val="12"/>
          <w:szCs w:val="12"/>
        </w:rPr>
      </w:pPr>
      <w:r>
        <w:rPr/>
        <w:pict>
          <v:group style="position:absolute;margin-left:110.210999pt;margin-top:1.077816pt;width:363.15pt;height:.1pt;mso-position-horizontal-relative:page;mso-position-vertical-relative:paragraph;z-index:-816016" coordorigin="2204,22" coordsize="7263,2">
            <v:shape style="position:absolute;left:2204;top:22;width:7263;height:2" coordorigin="2204,22" coordsize="7263,0" path="m2204,22l9467,22e" filled="false" stroked="true" strokeweight=".72pt" strokecolor="#000000">
              <v:path arrowok="t"/>
            </v:shape>
            <w10:wrap type="none"/>
          </v:group>
        </w:pict>
      </w:r>
      <w:r>
        <w:rPr/>
        <w:pict>
          <v:group style="position:absolute;margin-left:480.050995pt;margin-top:1.077816pt;width:340.3pt;height:.1pt;mso-position-horizontal-relative:page;mso-position-vertical-relative:paragraph;z-index:-815992" coordorigin="9601,22" coordsize="6806,2">
            <v:shape style="position:absolute;left:9601;top:22;width:6806;height:2" coordorigin="9601,22" coordsize="6806,0" path="m9601,22l16406,22e" filled="false" stroked="true" strokeweight=".72pt" strokecolor="#000000">
              <v:path arrowok="t"/>
            </v:shape>
            <w10:wrap type="none"/>
          </v:group>
        </w:pict>
      </w:r>
      <w:r>
        <w:rPr/>
        <w:pict>
          <v:group style="position:absolute;margin-left:289.730988pt;margin-top:9.657816pt;width:110.35pt;height:.1pt;mso-position-horizontal-relative:page;mso-position-vertical-relative:paragraph;z-index:-815968" coordorigin="5795,193" coordsize="2207,2">
            <v:shape style="position:absolute;left:5795;top:193;width:2207;height:2" coordorigin="5795,193" coordsize="2207,0" path="m5795,193l8001,193e" filled="false" stroked="true" strokeweight=".72pt" strokecolor="#000000">
              <v:path arrowok="t"/>
            </v:shape>
            <w10:wrap type="none"/>
          </v:group>
        </w:pict>
      </w:r>
      <w:r>
        <w:rPr/>
        <w:pict>
          <v:group style="position:absolute;margin-left:650.98999pt;margin-top:9.657816pt;width:108.9pt;height:.1pt;mso-position-horizontal-relative:page;mso-position-vertical-relative:paragraph;z-index:-815944" coordorigin="13020,193" coordsize="2178,2">
            <v:shape style="position:absolute;left:13020;top:193;width:2178;height:2" coordorigin="13020,193" coordsize="2178,0" path="m13020,193l15198,193e" filled="false" stroked="true" strokeweight=".72pt" strokecolor="#000000">
              <v:path arrowok="t"/>
            </v:shape>
            <w10:wrap type="none"/>
          </v:group>
        </w:pict>
      </w:r>
      <w:r>
        <w:rPr>
          <w:rFonts w:ascii="宋体" w:hAnsi="宋体" w:cs="宋体" w:eastAsia="宋体" w:hint="default"/>
          <w:sz w:val="12"/>
          <w:szCs w:val="12"/>
        </w:rPr>
        <w:t>调节项目</w:t>
        <w:tab/>
        <w:t>调节项目</w:t>
      </w:r>
    </w:p>
    <w:p>
      <w:pPr>
        <w:spacing w:after="0"/>
        <w:jc w:val="left"/>
        <w:rPr>
          <w:rFonts w:ascii="宋体" w:hAnsi="宋体" w:cs="宋体" w:eastAsia="宋体" w:hint="default"/>
          <w:sz w:val="12"/>
          <w:szCs w:val="12"/>
        </w:rPr>
        <w:sectPr>
          <w:type w:val="continuous"/>
          <w:pgSz w:w="16840" w:h="11900" w:orient="landscape"/>
          <w:pgMar w:top="1600" w:bottom="280" w:left="320" w:right="280"/>
          <w:cols w:num="2" w:equalWidth="0">
            <w:col w:w="1201" w:space="3702"/>
            <w:col w:w="11337"/>
          </w:cols>
        </w:sectPr>
      </w:pPr>
    </w:p>
    <w:p>
      <w:pPr>
        <w:tabs>
          <w:tab w:pos="2242" w:val="left" w:leader="none"/>
          <w:tab w:pos="3404" w:val="left" w:leader="none"/>
          <w:tab w:pos="4702" w:val="left" w:leader="none"/>
          <w:tab w:pos="5664" w:val="left" w:leader="none"/>
          <w:tab w:pos="7045" w:val="left" w:leader="none"/>
          <w:tab w:pos="8334" w:val="left" w:leader="none"/>
          <w:tab w:pos="9579" w:val="left" w:leader="none"/>
          <w:tab w:pos="10692" w:val="left" w:leader="none"/>
          <w:tab w:pos="11948" w:val="left" w:leader="none"/>
          <w:tab w:pos="12868" w:val="left" w:leader="none"/>
          <w:tab w:pos="14242" w:val="left" w:leader="none"/>
          <w:tab w:pos="15403" w:val="left" w:leader="none"/>
        </w:tabs>
        <w:spacing w:before="13"/>
        <w:ind w:left="1011" w:right="0" w:firstLine="0"/>
        <w:jc w:val="left"/>
        <w:rPr>
          <w:rFonts w:ascii="宋体" w:hAnsi="宋体" w:cs="宋体" w:eastAsia="宋体" w:hint="default"/>
          <w:sz w:val="12"/>
          <w:szCs w:val="12"/>
        </w:rPr>
      </w:pPr>
      <w:r>
        <w:rPr>
          <w:rFonts w:ascii="宋体" w:hAnsi="宋体" w:cs="宋体" w:eastAsia="宋体" w:hint="default"/>
          <w:sz w:val="12"/>
          <w:szCs w:val="12"/>
        </w:rPr>
        <w:t>项目</w:t>
        <w:tab/>
        <w:t>移动业务</w:t>
        <w:tab/>
        <w:t>固网业务</w:t>
        <w:tab/>
        <w:t>小计</w:t>
        <w:tab/>
        <w:t>不可分摊项目</w:t>
        <w:tab/>
        <w:t>抵销</w:t>
        <w:tab/>
        <w:t>合计</w:t>
        <w:tab/>
        <w:t>移动业务</w:t>
        <w:tab/>
        <w:t>固网业务</w:t>
        <w:tab/>
        <w:t>小计</w:t>
        <w:tab/>
        <w:t>不可分摊项目</w:t>
        <w:tab/>
        <w:t>抵销</w:t>
        <w:tab/>
        <w:t>合计</w:t>
      </w:r>
    </w:p>
    <w:p>
      <w:pPr>
        <w:spacing w:before="13"/>
        <w:ind w:left="380" w:right="13030" w:firstLine="0"/>
        <w:jc w:val="left"/>
        <w:rPr>
          <w:rFonts w:ascii="宋体" w:hAnsi="宋体" w:cs="宋体" w:eastAsia="宋体" w:hint="default"/>
          <w:sz w:val="12"/>
          <w:szCs w:val="12"/>
        </w:rPr>
      </w:pPr>
      <w:r>
        <w:rPr/>
        <w:pict>
          <v:group style="position:absolute;margin-left:34.671001pt;margin-top:1.177808pt;width:365.8pt;height:.75pt;mso-position-horizontal-relative:page;mso-position-vertical-relative:paragraph;z-index:-815920" coordorigin="693,24" coordsize="7316,15">
            <v:group style="position:absolute;left:701;top:31;width:1504;height:2" coordorigin="701,31" coordsize="1504,2">
              <v:shape style="position:absolute;left:701;top:31;width:1504;height:2" coordorigin="701,31" coordsize="1504,0" path="m701,31l2204,31e" filled="false" stroked="true" strokeweight=".72pt" strokecolor="#000000">
                <v:path arrowok="t"/>
              </v:shape>
            </v:group>
            <v:group style="position:absolute;left:2246;top:31;width:1114;height:2" coordorigin="2246,31" coordsize="1114,2">
              <v:shape style="position:absolute;left:2246;top:31;width:1114;height:2" coordorigin="2246,31" coordsize="1114,0" path="m2246,31l3360,31e" filled="false" stroked="true" strokeweight=".72pt" strokecolor="#000000">
                <v:path arrowok="t"/>
              </v:shape>
            </v:group>
            <v:group style="position:absolute;left:3428;top:31;width:1073;height:2" coordorigin="3428,31" coordsize="1073,2">
              <v:shape style="position:absolute;left:3428;top:31;width:1073;height:2" coordorigin="3428,31" coordsize="1073,0" path="m3428,31l4501,31e" filled="false" stroked="true" strokeweight=".72pt" strokecolor="#000000">
                <v:path arrowok="t"/>
              </v:shape>
            </v:group>
            <v:group style="position:absolute;left:4563;top:31;width:1160;height:2" coordorigin="4563,31" coordsize="1160,2">
              <v:shape style="position:absolute;left:4563;top:31;width:1160;height:2" coordorigin="4563,31" coordsize="1160,0" path="m4563,31l5723,31e" filled="false" stroked="true" strokeweight=".72pt" strokecolor="#000000">
                <v:path arrowok="t"/>
              </v:shape>
            </v:group>
            <v:group style="position:absolute;left:5795;top:31;width:1101;height:2" coordorigin="5795,31" coordsize="1101,2">
              <v:shape style="position:absolute;left:5795;top:31;width:1101;height:2" coordorigin="5795,31" coordsize="1101,0" path="m5795,31l6895,31e" filled="false" stroked="true" strokeweight=".72pt" strokecolor="#000000">
                <v:path arrowok="t"/>
              </v:shape>
            </v:group>
            <v:group style="position:absolute;left:6968;top:31;width:1034;height:2" coordorigin="6968,31" coordsize="1034,2">
              <v:shape style="position:absolute;left:6968;top:31;width:1034;height:2" coordorigin="6968,31" coordsize="1034,0" path="m6968,31l8001,31e" filled="false" stroked="true" strokeweight=".72pt" strokecolor="#000000">
                <v:path arrowok="t"/>
              </v:shape>
            </v:group>
            <w10:wrap type="none"/>
          </v:group>
        </w:pict>
      </w:r>
      <w:r>
        <w:rPr/>
        <w:pict>
          <v:group style="position:absolute;margin-left:404.151001pt;margin-top:1.537808pt;width:69.2pt;height:.1pt;mso-position-horizontal-relative:page;mso-position-vertical-relative:paragraph;z-index:8416" coordorigin="8083,31" coordsize="1384,2">
            <v:shape style="position:absolute;left:8083;top:31;width:1384;height:2" coordorigin="8083,31" coordsize="1384,0" path="m8083,31l9467,31e" filled="false" stroked="true" strokeweight=".72pt" strokecolor="#000000">
              <v:path arrowok="t"/>
            </v:shape>
            <w10:wrap type="none"/>
          </v:group>
        </w:pict>
      </w:r>
      <w:r>
        <w:rPr/>
        <w:pict>
          <v:group style="position:absolute;margin-left:479.69101pt;margin-top:1.177808pt;width:167.8pt;height:.75pt;mso-position-horizontal-relative:page;mso-position-vertical-relative:paragraph;z-index:8440" coordorigin="9594,24" coordsize="3356,15">
            <v:group style="position:absolute;left:9601;top:31;width:1077;height:2" coordorigin="9601,31" coordsize="1077,2">
              <v:shape style="position:absolute;left:9601;top:31;width:1077;height:2" coordorigin="9601,31" coordsize="1077,0" path="m9601,31l10677,31e" filled="false" stroked="true" strokeweight=".72pt" strokecolor="#000000">
                <v:path arrowok="t"/>
              </v:shape>
            </v:group>
            <v:group style="position:absolute;left:10747;top:31;width:1012;height:2" coordorigin="10747,31" coordsize="1012,2">
              <v:shape style="position:absolute;left:10747;top:31;width:1012;height:2" coordorigin="10747,31" coordsize="1012,0" path="m10747,31l11759,31e" filled="false" stroked="true" strokeweight=".72pt" strokecolor="#000000">
                <v:path arrowok="t"/>
              </v:shape>
            </v:group>
            <v:group style="position:absolute;left:11834;top:31;width:1108;height:2" coordorigin="11834,31" coordsize="1108,2">
              <v:shape style="position:absolute;left:11834;top:31;width:1108;height:2" coordorigin="11834,31" coordsize="1108,0" path="m11834,31l12942,31e" filled="false" stroked="true" strokeweight=".72pt" strokecolor="#000000">
                <v:path arrowok="t"/>
              </v:shape>
            </v:group>
            <w10:wrap type="none"/>
          </v:group>
        </w:pict>
      </w:r>
      <w:r>
        <w:rPr/>
        <w:pict>
          <v:group style="position:absolute;margin-left:650.98999pt;margin-top:1.537808pt;width:53pt;height:.1pt;mso-position-horizontal-relative:page;mso-position-vertical-relative:paragraph;z-index:8464" coordorigin="13020,31" coordsize="1060,2">
            <v:shape style="position:absolute;left:13020;top:31;width:1060;height:2" coordorigin="13020,31" coordsize="1060,0" path="m13020,31l14079,31e" filled="false" stroked="true" strokeweight=".72pt" strokecolor="#000000">
              <v:path arrowok="t"/>
            </v:shape>
            <w10:wrap type="none"/>
          </v:group>
        </w:pict>
      </w:r>
      <w:r>
        <w:rPr/>
        <w:pict>
          <v:group style="position:absolute;margin-left:708.471008pt;margin-top:1.537808pt;width:51.45pt;height:.1pt;mso-position-horizontal-relative:page;mso-position-vertical-relative:paragraph;z-index:8488" coordorigin="14169,31" coordsize="1029,2">
            <v:shape style="position:absolute;left:14169;top:31;width:1029;height:2" coordorigin="14169,31" coordsize="1029,0" path="m14169,31l15198,31e" filled="false" stroked="true" strokeweight=".72pt" strokecolor="#000000">
              <v:path arrowok="t"/>
            </v:shape>
            <w10:wrap type="none"/>
          </v:group>
        </w:pict>
      </w:r>
      <w:r>
        <w:rPr/>
        <w:pict>
          <v:group style="position:absolute;margin-left:764.031006pt;margin-top:1.537808pt;width:56.3pt;height:.1pt;mso-position-horizontal-relative:page;mso-position-vertical-relative:paragraph;z-index:8512" coordorigin="15281,31" coordsize="1126,2">
            <v:shape style="position:absolute;left:15281;top:31;width:1126;height:2" coordorigin="15281,31" coordsize="1126,0" path="m15281,31l16406,31e" filled="false" stroked="true" strokeweight=".72pt" strokecolor="#000000">
              <v:path arrowok="t"/>
            </v:shape>
            <w10:wrap type="none"/>
          </v:group>
        </w:pict>
      </w:r>
      <w:r>
        <w:rPr/>
        <w:pict>
          <v:shape style="position:absolute;margin-left:33.280499pt;margin-top:9.719305pt;width:788.8pt;height:45.15pt;mso-position-horizontal-relative:page;mso-position-vertical-relative:paragraph;z-index:8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8"/>
                    <w:gridCol w:w="7340"/>
                    <w:gridCol w:w="6907"/>
                  </w:tblGrid>
                  <w:tr>
                    <w:trPr>
                      <w:trHeight w:val="159"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132" w:lineRule="exact"/>
                          <w:ind w:left="152" w:right="0"/>
                          <w:jc w:val="left"/>
                          <w:rPr>
                            <w:rFonts w:ascii="宋体" w:hAnsi="宋体" w:cs="宋体" w:eastAsia="宋体" w:hint="default"/>
                            <w:sz w:val="12"/>
                            <w:szCs w:val="12"/>
                          </w:rPr>
                        </w:pPr>
                        <w:r>
                          <w:rPr>
                            <w:rFonts w:ascii="宋体" w:hAnsi="宋体" w:cs="宋体" w:eastAsia="宋体" w:hint="default"/>
                            <w:sz w:val="12"/>
                            <w:szCs w:val="12"/>
                          </w:rPr>
                          <w:t>服务收入合计</w:t>
                        </w:r>
                      </w:p>
                    </w:tc>
                    <w:tc>
                      <w:tcPr>
                        <w:tcW w:w="7340" w:type="dxa"/>
                        <w:tcBorders>
                          <w:top w:val="nil" w:sz="6" w:space="0" w:color="auto"/>
                          <w:left w:val="nil" w:sz="6" w:space="0" w:color="auto"/>
                          <w:bottom w:val="nil" w:sz="6" w:space="0" w:color="auto"/>
                          <w:right w:val="nil" w:sz="6" w:space="0" w:color="auto"/>
                        </w:tcBorders>
                      </w:tcPr>
                      <w:p>
                        <w:pPr>
                          <w:pStyle w:val="TableParagraph"/>
                          <w:tabs>
                            <w:tab w:pos="1247" w:val="left" w:leader="none"/>
                            <w:tab w:pos="2399" w:val="left" w:leader="none"/>
                            <w:tab w:pos="3704" w:val="left" w:leader="none"/>
                            <w:tab w:pos="5527" w:val="left" w:leader="none"/>
                            <w:tab w:pos="6108" w:val="left" w:leader="none"/>
                          </w:tabs>
                          <w:spacing w:line="240" w:lineRule="auto" w:before="15"/>
                          <w:ind w:left="34" w:right="0"/>
                          <w:jc w:val="center"/>
                          <w:rPr>
                            <w:rFonts w:ascii="Arial" w:hAnsi="Arial" w:cs="Arial" w:eastAsia="Arial" w:hint="default"/>
                            <w:sz w:val="12"/>
                            <w:szCs w:val="12"/>
                          </w:rPr>
                        </w:pPr>
                        <w:r>
                          <w:rPr>
                            <w:rFonts w:ascii="Arial"/>
                            <w:spacing w:val="-1"/>
                            <w:sz w:val="12"/>
                          </w:rPr>
                          <w:t>106,332,793,313</w:t>
                          <w:tab/>
                          <w:t>84,397,343,403</w:t>
                          <w:tab/>
                          <w:t>190,730,136,716</w:t>
                          <w:tab/>
                          <w:t>1,041,059,076</w:t>
                          <w:tab/>
                        </w:r>
                        <w:r>
                          <w:rPr>
                            <w:rFonts w:ascii="Arial"/>
                            <w:sz w:val="12"/>
                          </w:rPr>
                          <w:t>-</w:t>
                          <w:tab/>
                        </w:r>
                        <w:r>
                          <w:rPr>
                            <w:rFonts w:ascii="Arial"/>
                            <w:spacing w:val="-1"/>
                            <w:sz w:val="12"/>
                          </w:rPr>
                          <w:t>191,771,195,792</w:t>
                        </w:r>
                      </w:p>
                    </w:tc>
                    <w:tc>
                      <w:tcPr>
                        <w:tcW w:w="6907" w:type="dxa"/>
                        <w:tcBorders>
                          <w:top w:val="nil" w:sz="6" w:space="0" w:color="auto"/>
                          <w:left w:val="nil" w:sz="6" w:space="0" w:color="auto"/>
                          <w:bottom w:val="nil" w:sz="6" w:space="0" w:color="auto"/>
                          <w:right w:val="nil" w:sz="6" w:space="0" w:color="auto"/>
                        </w:tcBorders>
                      </w:tcPr>
                      <w:p>
                        <w:pPr>
                          <w:pStyle w:val="TableParagraph"/>
                          <w:tabs>
                            <w:tab w:pos="1180" w:val="left" w:leader="none"/>
                            <w:tab w:pos="2304" w:val="left" w:leader="none"/>
                            <w:tab w:pos="3569" w:val="left" w:leader="none"/>
                            <w:tab w:pos="5403" w:val="left" w:leader="none"/>
                            <w:tab w:pos="5721" w:val="left" w:leader="none"/>
                          </w:tabs>
                          <w:spacing w:line="240" w:lineRule="auto" w:before="15"/>
                          <w:ind w:left="100" w:right="0"/>
                          <w:jc w:val="center"/>
                          <w:rPr>
                            <w:rFonts w:ascii="Arial" w:hAnsi="Arial" w:cs="Arial" w:eastAsia="Arial" w:hint="default"/>
                            <w:sz w:val="12"/>
                            <w:szCs w:val="12"/>
                          </w:rPr>
                        </w:pPr>
                        <w:r>
                          <w:rPr>
                            <w:rFonts w:ascii="Arial"/>
                            <w:spacing w:val="-1"/>
                            <w:sz w:val="12"/>
                          </w:rPr>
                          <w:t>84,600,763,487</w:t>
                          <w:tab/>
                          <w:t>82,377,201,166</w:t>
                          <w:tab/>
                          <w:t>166,977,964,653</w:t>
                          <w:tab/>
                          <w:t>1,804,240,774</w:t>
                          <w:tab/>
                        </w:r>
                        <w:r>
                          <w:rPr>
                            <w:rFonts w:ascii="Arial"/>
                            <w:sz w:val="12"/>
                          </w:rPr>
                          <w:t>-</w:t>
                          <w:tab/>
                        </w:r>
                        <w:r>
                          <w:rPr>
                            <w:rFonts w:ascii="Arial"/>
                            <w:spacing w:val="-1"/>
                            <w:sz w:val="12"/>
                          </w:rPr>
                          <w:t>168,782,205,427</w:t>
                        </w:r>
                      </w:p>
                    </w:tc>
                  </w:tr>
                  <w:tr>
                    <w:trPr>
                      <w:trHeight w:val="163"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128" w:lineRule="exact"/>
                          <w:ind w:left="152" w:right="0"/>
                          <w:jc w:val="left"/>
                          <w:rPr>
                            <w:rFonts w:ascii="宋体" w:hAnsi="宋体" w:cs="宋体" w:eastAsia="宋体" w:hint="default"/>
                            <w:sz w:val="12"/>
                            <w:szCs w:val="12"/>
                          </w:rPr>
                        </w:pPr>
                        <w:r>
                          <w:rPr>
                            <w:rFonts w:ascii="宋体" w:hAnsi="宋体" w:cs="宋体" w:eastAsia="宋体" w:hint="default"/>
                            <w:sz w:val="12"/>
                            <w:szCs w:val="12"/>
                          </w:rPr>
                          <w:t>销售通信产品收入</w:t>
                        </w:r>
                      </w:p>
                    </w:tc>
                    <w:tc>
                      <w:tcPr>
                        <w:tcW w:w="7340" w:type="dxa"/>
                        <w:tcBorders>
                          <w:top w:val="nil" w:sz="6" w:space="0" w:color="auto"/>
                          <w:left w:val="nil" w:sz="6" w:space="0" w:color="auto"/>
                          <w:bottom w:val="nil" w:sz="6" w:space="0" w:color="auto"/>
                          <w:right w:val="nil" w:sz="6" w:space="0" w:color="auto"/>
                        </w:tcBorders>
                      </w:tcPr>
                      <w:p>
                        <w:pPr>
                          <w:pStyle w:val="TableParagraph"/>
                          <w:tabs>
                            <w:tab w:pos="1593" w:val="left" w:leader="none"/>
                            <w:tab w:pos="2578" w:val="left" w:leader="none"/>
                            <w:tab w:pos="4544" w:val="left" w:leader="none"/>
                            <w:tab w:pos="5639" w:val="left" w:leader="none"/>
                            <w:tab w:pos="6287" w:val="left" w:leader="none"/>
                            <w:tab w:pos="7220" w:val="left" w:leader="none"/>
                          </w:tabs>
                          <w:spacing w:line="240" w:lineRule="auto" w:before="11"/>
                          <w:ind w:right="12"/>
                          <w:jc w:val="center"/>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3"/>
                            <w:sz w:val="12"/>
                            <w:u w:val="single" w:color="000000"/>
                          </w:rPr>
                          <w:t> </w:t>
                        </w:r>
                        <w:r>
                          <w:rPr>
                            <w:rFonts w:ascii="Arial"/>
                            <w:spacing w:val="-1"/>
                            <w:sz w:val="12"/>
                            <w:u w:val="single" w:color="000000"/>
                          </w:rPr>
                          <w:t>23,679,889,604</w:t>
                        </w:r>
                        <w:r>
                          <w:rPr>
                            <w:rFonts w:ascii="Arial"/>
                            <w:spacing w:val="-1"/>
                            <w:sz w:val="12"/>
                          </w:rPr>
                        </w:r>
                        <w:r>
                          <w:rPr>
                            <w:rFonts w:ascii="Arial"/>
                            <w:spacing w:val="-1"/>
                            <w:sz w:val="12"/>
                            <w:u w:val="single" w:color="000000"/>
                          </w:rPr>
                          <w:t> </w:t>
                          <w:tab/>
                          <w:t>67,426,062</w:t>
                        </w:r>
                        <w:r>
                          <w:rPr>
                            <w:rFonts w:ascii="Arial"/>
                            <w:spacing w:val="-1"/>
                            <w:sz w:val="12"/>
                          </w:rPr>
                        </w:r>
                        <w:r>
                          <w:rPr>
                            <w:rFonts w:ascii="Arial"/>
                            <w:spacing w:val="-1"/>
                            <w:sz w:val="12"/>
                            <w:u w:val="single" w:color="000000"/>
                          </w:rPr>
                          <w:t> </w:t>
                          <w:tab/>
                          <w:t>23,747,315,666</w:t>
                        </w:r>
                        <w:r>
                          <w:rPr>
                            <w:rFonts w:ascii="Arial"/>
                            <w:spacing w:val="-1"/>
                            <w:sz w:val="12"/>
                          </w:rPr>
                        </w:r>
                        <w:r>
                          <w:rPr>
                            <w:rFonts w:ascii="Arial"/>
                            <w:spacing w:val="-1"/>
                            <w:sz w:val="12"/>
                            <w:u w:val="single" w:color="000000"/>
                          </w:rPr>
                          <w:t> </w:t>
                          <w:tab/>
                        </w:r>
                        <w:r>
                          <w:rPr>
                            <w:rFonts w:ascii="Arial"/>
                            <w:sz w:val="12"/>
                            <w:u w:val="single" w:color="000000"/>
                          </w:rPr>
                          <w:t>-</w:t>
                        </w:r>
                        <w:r>
                          <w:rPr>
                            <w:rFonts w:ascii="Arial"/>
                            <w:sz w:val="12"/>
                          </w:rPr>
                        </w:r>
                        <w:r>
                          <w:rPr>
                            <w:rFonts w:ascii="Arial"/>
                            <w:sz w:val="12"/>
                            <w:u w:val="single" w:color="000000"/>
                          </w:rPr>
                          <w:t> </w:t>
                          <w:tab/>
                          <w:t>-</w:t>
                        </w:r>
                        <w:r>
                          <w:rPr>
                            <w:rFonts w:ascii="Arial"/>
                            <w:sz w:val="12"/>
                          </w:rPr>
                        </w:r>
                        <w:r>
                          <w:rPr>
                            <w:rFonts w:ascii="Arial"/>
                            <w:sz w:val="12"/>
                            <w:u w:val="single" w:color="000000"/>
                          </w:rPr>
                          <w:t> </w:t>
                          <w:tab/>
                        </w:r>
                        <w:r>
                          <w:rPr>
                            <w:rFonts w:ascii="Arial"/>
                            <w:spacing w:val="-1"/>
                            <w:sz w:val="12"/>
                            <w:u w:val="single" w:color="000000"/>
                          </w:rPr>
                          <w:t>23,747,315,666</w:t>
                          <w:tab/>
                        </w:r>
                        <w:r>
                          <w:rPr>
                            <w:rFonts w:ascii="Arial"/>
                            <w:spacing w:val="-1"/>
                            <w:sz w:val="12"/>
                          </w:rPr>
                        </w:r>
                      </w:p>
                    </w:tc>
                    <w:tc>
                      <w:tcPr>
                        <w:tcW w:w="6907" w:type="dxa"/>
                        <w:tcBorders>
                          <w:top w:val="nil" w:sz="6" w:space="0" w:color="auto"/>
                          <w:left w:val="nil" w:sz="6" w:space="0" w:color="auto"/>
                          <w:bottom w:val="nil" w:sz="6" w:space="0" w:color="auto"/>
                          <w:right w:val="nil" w:sz="6" w:space="0" w:color="auto"/>
                        </w:tcBorders>
                      </w:tcPr>
                      <w:p>
                        <w:pPr>
                          <w:pStyle w:val="TableParagraph"/>
                          <w:tabs>
                            <w:tab w:pos="274" w:val="left" w:leader="none"/>
                            <w:tab w:pos="1453" w:val="left" w:leader="none"/>
                            <w:tab w:pos="2545" w:val="left" w:leader="none"/>
                            <w:tab w:pos="4403" w:val="left" w:leader="none"/>
                            <w:tab w:pos="5509" w:val="left" w:leader="none"/>
                            <w:tab w:pos="5962" w:val="left" w:leader="none"/>
                            <w:tab w:pos="6837" w:val="left" w:leader="none"/>
                          </w:tabs>
                          <w:spacing w:line="240" w:lineRule="auto" w:before="11"/>
                          <w:ind w:left="32" w:right="0"/>
                          <w:jc w:val="center"/>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7,341,241,724</w:t>
                        </w:r>
                        <w:r>
                          <w:rPr>
                            <w:rFonts w:ascii="Arial"/>
                            <w:spacing w:val="-1"/>
                            <w:sz w:val="12"/>
                          </w:rPr>
                        </w:r>
                        <w:r>
                          <w:rPr>
                            <w:rFonts w:ascii="Arial"/>
                            <w:spacing w:val="-1"/>
                            <w:sz w:val="12"/>
                            <w:u w:val="single" w:color="000000"/>
                          </w:rPr>
                          <w:t> </w:t>
                          <w:tab/>
                          <w:t>119,974,973</w:t>
                        </w:r>
                        <w:r>
                          <w:rPr>
                            <w:rFonts w:ascii="Arial"/>
                            <w:spacing w:val="-1"/>
                            <w:sz w:val="12"/>
                          </w:rPr>
                        </w:r>
                        <w:r>
                          <w:rPr>
                            <w:rFonts w:ascii="Arial"/>
                            <w:spacing w:val="-1"/>
                            <w:sz w:val="12"/>
                            <w:u w:val="single" w:color="000000"/>
                          </w:rPr>
                          <w:t> </w:t>
                          <w:tab/>
                          <w:t>7,461,216,697</w:t>
                        </w:r>
                        <w:r>
                          <w:rPr>
                            <w:rFonts w:ascii="Arial"/>
                            <w:spacing w:val="-1"/>
                            <w:sz w:val="12"/>
                          </w:rPr>
                        </w:r>
                        <w:r>
                          <w:rPr>
                            <w:rFonts w:ascii="Arial"/>
                            <w:spacing w:val="-1"/>
                            <w:sz w:val="12"/>
                            <w:u w:val="single" w:color="000000"/>
                          </w:rPr>
                          <w:t> </w:t>
                          <w:tab/>
                        </w:r>
                        <w:r>
                          <w:rPr>
                            <w:rFonts w:ascii="Arial"/>
                            <w:sz w:val="12"/>
                            <w:u w:val="single" w:color="000000"/>
                          </w:rPr>
                          <w:t>-</w:t>
                        </w:r>
                        <w:r>
                          <w:rPr>
                            <w:rFonts w:ascii="Arial"/>
                            <w:sz w:val="12"/>
                          </w:rPr>
                        </w:r>
                        <w:r>
                          <w:rPr>
                            <w:rFonts w:ascii="Arial"/>
                            <w:sz w:val="12"/>
                            <w:u w:val="single" w:color="000000"/>
                          </w:rPr>
                          <w:t> </w:t>
                          <w:tab/>
                          <w:t>-</w:t>
                        </w:r>
                        <w:r>
                          <w:rPr>
                            <w:rFonts w:ascii="Arial"/>
                            <w:sz w:val="12"/>
                          </w:rPr>
                        </w:r>
                        <w:r>
                          <w:rPr>
                            <w:rFonts w:ascii="Arial"/>
                            <w:sz w:val="12"/>
                            <w:u w:val="single" w:color="000000"/>
                          </w:rPr>
                          <w:t> </w:t>
                          <w:tab/>
                        </w:r>
                        <w:r>
                          <w:rPr>
                            <w:rFonts w:ascii="Arial"/>
                            <w:spacing w:val="-1"/>
                            <w:sz w:val="12"/>
                            <w:u w:val="single" w:color="000000"/>
                          </w:rPr>
                          <w:t>7,461,216,697</w:t>
                          <w:tab/>
                        </w:r>
                        <w:r>
                          <w:rPr>
                            <w:rFonts w:ascii="Arial"/>
                            <w:spacing w:val="-1"/>
                            <w:sz w:val="12"/>
                          </w:rPr>
                        </w:r>
                      </w:p>
                    </w:tc>
                  </w:tr>
                  <w:tr>
                    <w:trPr>
                      <w:trHeight w:val="164"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136" w:lineRule="exact"/>
                          <w:ind w:left="35" w:right="0"/>
                          <w:jc w:val="left"/>
                          <w:rPr>
                            <w:rFonts w:ascii="宋体" w:hAnsi="宋体" w:cs="宋体" w:eastAsia="宋体" w:hint="default"/>
                            <w:sz w:val="12"/>
                            <w:szCs w:val="12"/>
                          </w:rPr>
                        </w:pPr>
                        <w:r>
                          <w:rPr>
                            <w:rFonts w:ascii="宋体" w:hAnsi="宋体" w:cs="宋体" w:eastAsia="宋体" w:hint="default"/>
                            <w:sz w:val="12"/>
                            <w:szCs w:val="12"/>
                          </w:rPr>
                          <w:t>从外界顾客取得的收入合计</w:t>
                        </w:r>
                      </w:p>
                    </w:tc>
                    <w:tc>
                      <w:tcPr>
                        <w:tcW w:w="7340" w:type="dxa"/>
                        <w:tcBorders>
                          <w:top w:val="nil" w:sz="6" w:space="0" w:color="auto"/>
                          <w:left w:val="nil" w:sz="6" w:space="0" w:color="auto"/>
                          <w:bottom w:val="nil" w:sz="6" w:space="0" w:color="auto"/>
                          <w:right w:val="nil" w:sz="6" w:space="0" w:color="auto"/>
                        </w:tcBorders>
                      </w:tcPr>
                      <w:p>
                        <w:pPr>
                          <w:pStyle w:val="TableParagraph"/>
                          <w:tabs>
                            <w:tab w:pos="1247" w:val="left" w:leader="none"/>
                            <w:tab w:pos="2399" w:val="left" w:leader="none"/>
                            <w:tab w:pos="3704" w:val="left" w:leader="none"/>
                            <w:tab w:pos="5527" w:val="left" w:leader="none"/>
                            <w:tab w:pos="6108" w:val="left" w:leader="none"/>
                          </w:tabs>
                          <w:spacing w:line="240" w:lineRule="auto" w:before="20"/>
                          <w:ind w:left="34" w:right="0"/>
                          <w:jc w:val="center"/>
                          <w:rPr>
                            <w:rFonts w:ascii="Arial" w:hAnsi="Arial" w:cs="Arial" w:eastAsia="Arial" w:hint="default"/>
                            <w:sz w:val="12"/>
                            <w:szCs w:val="12"/>
                          </w:rPr>
                        </w:pPr>
                        <w:r>
                          <w:rPr>
                            <w:rFonts w:ascii="Arial"/>
                            <w:spacing w:val="-1"/>
                            <w:sz w:val="12"/>
                          </w:rPr>
                          <w:t>130,012,682,917</w:t>
                          <w:tab/>
                          <w:t>84,464,769,465</w:t>
                          <w:tab/>
                          <w:t>214,477,452,382</w:t>
                          <w:tab/>
                          <w:t>1,041,059,076</w:t>
                          <w:tab/>
                        </w:r>
                        <w:r>
                          <w:rPr>
                            <w:rFonts w:ascii="Arial"/>
                            <w:sz w:val="12"/>
                          </w:rPr>
                          <w:t>-</w:t>
                          <w:tab/>
                        </w:r>
                        <w:r>
                          <w:rPr>
                            <w:rFonts w:ascii="Arial"/>
                            <w:spacing w:val="-1"/>
                            <w:sz w:val="12"/>
                          </w:rPr>
                          <w:t>215,518,511,458</w:t>
                        </w:r>
                      </w:p>
                    </w:tc>
                    <w:tc>
                      <w:tcPr>
                        <w:tcW w:w="6907" w:type="dxa"/>
                        <w:tcBorders>
                          <w:top w:val="nil" w:sz="6" w:space="0" w:color="auto"/>
                          <w:left w:val="nil" w:sz="6" w:space="0" w:color="auto"/>
                          <w:bottom w:val="nil" w:sz="6" w:space="0" w:color="auto"/>
                          <w:right w:val="nil" w:sz="6" w:space="0" w:color="auto"/>
                        </w:tcBorders>
                      </w:tcPr>
                      <w:p>
                        <w:pPr>
                          <w:pStyle w:val="TableParagraph"/>
                          <w:tabs>
                            <w:tab w:pos="1180" w:val="left" w:leader="none"/>
                            <w:tab w:pos="2304" w:val="left" w:leader="none"/>
                            <w:tab w:pos="3569" w:val="left" w:leader="none"/>
                            <w:tab w:pos="5403" w:val="left" w:leader="none"/>
                            <w:tab w:pos="5721" w:val="left" w:leader="none"/>
                          </w:tabs>
                          <w:spacing w:line="240" w:lineRule="auto" w:before="20"/>
                          <w:ind w:left="100" w:right="0"/>
                          <w:jc w:val="center"/>
                          <w:rPr>
                            <w:rFonts w:ascii="Arial" w:hAnsi="Arial" w:cs="Arial" w:eastAsia="Arial" w:hint="default"/>
                            <w:sz w:val="12"/>
                            <w:szCs w:val="12"/>
                          </w:rPr>
                        </w:pPr>
                        <w:r>
                          <w:rPr>
                            <w:rFonts w:ascii="Arial"/>
                            <w:spacing w:val="-1"/>
                            <w:sz w:val="12"/>
                          </w:rPr>
                          <w:t>91,942,005,211</w:t>
                          <w:tab/>
                          <w:t>82,497,176,139</w:t>
                          <w:tab/>
                          <w:t>174,439,181,350</w:t>
                          <w:tab/>
                          <w:t>1,804,240,774</w:t>
                          <w:tab/>
                        </w:r>
                        <w:r>
                          <w:rPr>
                            <w:rFonts w:ascii="Arial"/>
                            <w:sz w:val="12"/>
                          </w:rPr>
                          <w:t>-</w:t>
                          <w:tab/>
                        </w:r>
                        <w:r>
                          <w:rPr>
                            <w:rFonts w:ascii="Arial"/>
                            <w:spacing w:val="-1"/>
                            <w:sz w:val="12"/>
                          </w:rPr>
                          <w:t>176,243,422,124</w:t>
                        </w:r>
                      </w:p>
                    </w:tc>
                  </w:tr>
                  <w:tr>
                    <w:trPr>
                      <w:trHeight w:val="163"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128" w:lineRule="exact"/>
                          <w:ind w:left="35" w:right="0"/>
                          <w:jc w:val="left"/>
                          <w:rPr>
                            <w:rFonts w:ascii="宋体" w:hAnsi="宋体" w:cs="宋体" w:eastAsia="宋体" w:hint="default"/>
                            <w:sz w:val="12"/>
                            <w:szCs w:val="12"/>
                          </w:rPr>
                        </w:pPr>
                        <w:r>
                          <w:rPr>
                            <w:rFonts w:ascii="宋体" w:hAnsi="宋体" w:cs="宋体" w:eastAsia="宋体" w:hint="default"/>
                            <w:sz w:val="12"/>
                            <w:szCs w:val="12"/>
                          </w:rPr>
                          <w:t>专业间结算收入</w:t>
                        </w:r>
                      </w:p>
                    </w:tc>
                    <w:tc>
                      <w:tcPr>
                        <w:tcW w:w="7340" w:type="dxa"/>
                        <w:tcBorders>
                          <w:top w:val="nil" w:sz="6" w:space="0" w:color="auto"/>
                          <w:left w:val="nil" w:sz="6" w:space="0" w:color="auto"/>
                          <w:bottom w:val="nil" w:sz="6" w:space="0" w:color="auto"/>
                          <w:right w:val="nil" w:sz="6" w:space="0" w:color="auto"/>
                        </w:tcBorders>
                      </w:tcPr>
                      <w:p>
                        <w:pPr>
                          <w:pStyle w:val="TableParagraph"/>
                          <w:tabs>
                            <w:tab w:pos="380" w:val="left" w:leader="none"/>
                            <w:tab w:pos="1426" w:val="left" w:leader="none"/>
                            <w:tab w:pos="2645" w:val="left" w:leader="none"/>
                            <w:tab w:pos="3916" w:val="left" w:leader="none"/>
                            <w:tab w:pos="7081" w:val="left" w:leader="none"/>
                            <w:tab w:pos="7220" w:val="left" w:leader="none"/>
                          </w:tabs>
                          <w:spacing w:line="240" w:lineRule="auto" w:before="11"/>
                          <w:ind w:right="12"/>
                          <w:jc w:val="center"/>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209,253,636</w:t>
                        </w:r>
                        <w:r>
                          <w:rPr>
                            <w:rFonts w:ascii="Arial"/>
                            <w:spacing w:val="-1"/>
                            <w:sz w:val="12"/>
                          </w:rPr>
                        </w:r>
                        <w:r>
                          <w:rPr>
                            <w:rFonts w:ascii="Arial"/>
                            <w:spacing w:val="-1"/>
                            <w:sz w:val="12"/>
                            <w:u w:val="single" w:color="000000"/>
                          </w:rPr>
                          <w:t> </w:t>
                          <w:tab/>
                          <w:t>4,398,869,172</w:t>
                        </w:r>
                        <w:r>
                          <w:rPr>
                            <w:rFonts w:ascii="Arial"/>
                            <w:spacing w:val="-1"/>
                            <w:sz w:val="12"/>
                          </w:rPr>
                        </w:r>
                        <w:r>
                          <w:rPr>
                            <w:rFonts w:ascii="Arial"/>
                            <w:spacing w:val="-1"/>
                            <w:sz w:val="12"/>
                            <w:u w:val="single" w:color="000000"/>
                          </w:rPr>
                          <w:t> </w:t>
                          <w:tab/>
                          <w:t>4,608,122,808</w:t>
                        </w:r>
                        <w:r>
                          <w:rPr>
                            <w:rFonts w:ascii="Arial"/>
                            <w:spacing w:val="-1"/>
                            <w:sz w:val="12"/>
                          </w:rPr>
                        </w:r>
                        <w:r>
                          <w:rPr>
                            <w:rFonts w:ascii="Arial"/>
                            <w:spacing w:val="-1"/>
                            <w:sz w:val="12"/>
                            <w:u w:val="single" w:color="000000"/>
                          </w:rPr>
                          <w:t> </w:t>
                          <w:tab/>
                          <w:t>777,839,762</w:t>
                        </w:r>
                        <w:r>
                          <w:rPr>
                            <w:rFonts w:ascii="Arial"/>
                            <w:sz w:val="12"/>
                            <w:u w:val="single" w:color="000000"/>
                          </w:rPr>
                          <w:t>        </w:t>
                        </w:r>
                        <w:r>
                          <w:rPr>
                            <w:rFonts w:ascii="Arial"/>
                            <w:spacing w:val="2"/>
                            <w:sz w:val="12"/>
                            <w:u w:val="single" w:color="000000"/>
                          </w:rPr>
                          <w:t> </w:t>
                        </w:r>
                        <w:r>
                          <w:rPr>
                            <w:rFonts w:ascii="Arial"/>
                            <w:spacing w:val="2"/>
                            <w:sz w:val="12"/>
                          </w:rPr>
                        </w:r>
                        <w:r>
                          <w:rPr>
                            <w:rFonts w:ascii="Arial"/>
                            <w:spacing w:val="2"/>
                            <w:sz w:val="12"/>
                            <w:u w:val="single" w:color="000000"/>
                          </w:rPr>
                          <w:t> </w:t>
                        </w:r>
                        <w:r>
                          <w:rPr>
                            <w:rFonts w:ascii="Arial"/>
                            <w:spacing w:val="-1"/>
                            <w:sz w:val="12"/>
                            <w:u w:val="single" w:color="000000"/>
                          </w:rPr>
                          <w:t>(5,385,962,570)</w:t>
                        </w:r>
                        <w:r>
                          <w:rPr>
                            <w:rFonts w:ascii="Arial"/>
                            <w:spacing w:val="-1"/>
                            <w:sz w:val="12"/>
                          </w:rPr>
                        </w:r>
                        <w:r>
                          <w:rPr>
                            <w:rFonts w:ascii="Arial"/>
                            <w:spacing w:val="-1"/>
                            <w:sz w:val="12"/>
                            <w:u w:val="single" w:color="000000"/>
                          </w:rPr>
                          <w:t> </w:t>
                          <w:tab/>
                        </w:r>
                        <w:r>
                          <w:rPr>
                            <w:rFonts w:ascii="Arial"/>
                            <w:sz w:val="12"/>
                            <w:u w:val="single" w:color="000000"/>
                          </w:rPr>
                          <w:t>-</w:t>
                          <w:tab/>
                        </w:r>
                        <w:r>
                          <w:rPr>
                            <w:rFonts w:ascii="Arial"/>
                            <w:sz w:val="12"/>
                          </w:rPr>
                        </w:r>
                      </w:p>
                    </w:tc>
                    <w:tc>
                      <w:tcPr>
                        <w:tcW w:w="6907" w:type="dxa"/>
                        <w:tcBorders>
                          <w:top w:val="nil" w:sz="6" w:space="0" w:color="auto"/>
                          <w:left w:val="nil" w:sz="6" w:space="0" w:color="auto"/>
                          <w:bottom w:val="nil" w:sz="6" w:space="0" w:color="auto"/>
                          <w:right w:val="nil" w:sz="6" w:space="0" w:color="auto"/>
                        </w:tcBorders>
                      </w:tcPr>
                      <w:p>
                        <w:pPr>
                          <w:pStyle w:val="TableParagraph"/>
                          <w:tabs>
                            <w:tab w:pos="373" w:val="left" w:leader="none"/>
                            <w:tab w:pos="2545" w:val="left" w:leader="none"/>
                            <w:tab w:pos="3775" w:val="left" w:leader="none"/>
                            <w:tab w:pos="6689" w:val="left" w:leader="none"/>
                            <w:tab w:pos="6837" w:val="left" w:leader="none"/>
                          </w:tabs>
                          <w:spacing w:line="240" w:lineRule="auto" w:before="11"/>
                          <w:ind w:left="32" w:right="0"/>
                          <w:jc w:val="center"/>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205,203,689</w:t>
                        </w:r>
                        <w:r>
                          <w:rPr>
                            <w:rFonts w:ascii="Arial"/>
                            <w:sz w:val="12"/>
                            <w:u w:val="single" w:color="000000"/>
                          </w:rPr>
                          <w:t>        </w:t>
                        </w:r>
                        <w:r>
                          <w:rPr>
                            <w:rFonts w:ascii="Arial"/>
                            <w:spacing w:val="27"/>
                            <w:sz w:val="12"/>
                            <w:u w:val="single" w:color="000000"/>
                          </w:rPr>
                          <w:t> </w:t>
                        </w:r>
                        <w:r>
                          <w:rPr>
                            <w:rFonts w:ascii="Arial"/>
                            <w:spacing w:val="27"/>
                            <w:sz w:val="12"/>
                          </w:rPr>
                        </w:r>
                        <w:r>
                          <w:rPr>
                            <w:rFonts w:ascii="Arial"/>
                            <w:spacing w:val="27"/>
                            <w:sz w:val="12"/>
                            <w:u w:val="single" w:color="000000"/>
                          </w:rPr>
                          <w:t> </w:t>
                        </w:r>
                        <w:r>
                          <w:rPr>
                            <w:rFonts w:ascii="Arial"/>
                            <w:spacing w:val="-1"/>
                            <w:sz w:val="12"/>
                            <w:u w:val="single" w:color="000000"/>
                          </w:rPr>
                          <w:t>4,233,336,039</w:t>
                        </w:r>
                        <w:r>
                          <w:rPr>
                            <w:rFonts w:ascii="Arial"/>
                            <w:spacing w:val="-1"/>
                            <w:sz w:val="12"/>
                          </w:rPr>
                        </w:r>
                        <w:r>
                          <w:rPr>
                            <w:rFonts w:ascii="Arial"/>
                            <w:spacing w:val="-1"/>
                            <w:sz w:val="12"/>
                            <w:u w:val="single" w:color="000000"/>
                          </w:rPr>
                          <w:t> </w:t>
                          <w:tab/>
                          <w:t>4,438,539,728</w:t>
                        </w:r>
                        <w:r>
                          <w:rPr>
                            <w:rFonts w:ascii="Arial"/>
                            <w:spacing w:val="-1"/>
                            <w:sz w:val="12"/>
                          </w:rPr>
                        </w:r>
                        <w:r>
                          <w:rPr>
                            <w:rFonts w:ascii="Arial"/>
                            <w:spacing w:val="-1"/>
                            <w:sz w:val="12"/>
                            <w:u w:val="single" w:color="000000"/>
                          </w:rPr>
                          <w:t> </w:t>
                          <w:tab/>
                          <w:t>741,312,800</w:t>
                        </w:r>
                        <w:r>
                          <w:rPr>
                            <w:rFonts w:ascii="Arial"/>
                            <w:sz w:val="12"/>
                            <w:u w:val="single" w:color="000000"/>
                          </w:rPr>
                          <w:t>        </w:t>
                        </w:r>
                        <w:r>
                          <w:rPr>
                            <w:rFonts w:ascii="Arial"/>
                            <w:spacing w:val="15"/>
                            <w:sz w:val="12"/>
                            <w:u w:val="single" w:color="000000"/>
                          </w:rPr>
                          <w:t> </w:t>
                        </w:r>
                        <w:r>
                          <w:rPr>
                            <w:rFonts w:ascii="Arial"/>
                            <w:spacing w:val="15"/>
                            <w:sz w:val="12"/>
                          </w:rPr>
                        </w:r>
                        <w:r>
                          <w:rPr>
                            <w:rFonts w:ascii="Arial"/>
                            <w:spacing w:val="15"/>
                            <w:sz w:val="12"/>
                            <w:u w:val="single" w:color="000000"/>
                          </w:rPr>
                          <w:t> </w:t>
                        </w:r>
                        <w:r>
                          <w:rPr>
                            <w:rFonts w:ascii="Arial"/>
                            <w:spacing w:val="-1"/>
                            <w:sz w:val="12"/>
                            <w:u w:val="single" w:color="000000"/>
                          </w:rPr>
                          <w:t>(5,179,852,528)</w:t>
                        </w:r>
                        <w:r>
                          <w:rPr>
                            <w:rFonts w:ascii="Arial"/>
                            <w:spacing w:val="-1"/>
                            <w:sz w:val="12"/>
                          </w:rPr>
                        </w:r>
                        <w:r>
                          <w:rPr>
                            <w:rFonts w:ascii="Arial"/>
                            <w:spacing w:val="-1"/>
                            <w:sz w:val="12"/>
                            <w:u w:val="single" w:color="000000"/>
                          </w:rPr>
                          <w:t> </w:t>
                          <w:tab/>
                        </w:r>
                        <w:r>
                          <w:rPr>
                            <w:rFonts w:ascii="Arial"/>
                            <w:sz w:val="12"/>
                            <w:u w:val="single" w:color="000000"/>
                          </w:rPr>
                          <w:t>-</w:t>
                          <w:tab/>
                        </w:r>
                        <w:r>
                          <w:rPr>
                            <w:rFonts w:ascii="Arial"/>
                            <w:sz w:val="12"/>
                          </w:rPr>
                        </w:r>
                      </w:p>
                    </w:tc>
                  </w:tr>
                  <w:tr>
                    <w:trPr>
                      <w:trHeight w:val="254"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136" w:lineRule="exact"/>
                          <w:ind w:left="35" w:right="0"/>
                          <w:jc w:val="left"/>
                          <w:rPr>
                            <w:rFonts w:ascii="宋体" w:hAnsi="宋体" w:cs="宋体" w:eastAsia="宋体" w:hint="default"/>
                            <w:sz w:val="12"/>
                            <w:szCs w:val="12"/>
                          </w:rPr>
                        </w:pPr>
                        <w:r>
                          <w:rPr>
                            <w:rFonts w:ascii="宋体" w:hAnsi="宋体" w:cs="宋体" w:eastAsia="宋体" w:hint="default"/>
                            <w:sz w:val="12"/>
                            <w:szCs w:val="12"/>
                          </w:rPr>
                          <w:t>营业收入合计</w:t>
                        </w:r>
                      </w:p>
                    </w:tc>
                    <w:tc>
                      <w:tcPr>
                        <w:tcW w:w="7340" w:type="dxa"/>
                        <w:tcBorders>
                          <w:top w:val="nil" w:sz="6" w:space="0" w:color="auto"/>
                          <w:left w:val="nil" w:sz="6" w:space="0" w:color="auto"/>
                          <w:bottom w:val="nil" w:sz="6" w:space="0" w:color="auto"/>
                          <w:right w:val="nil" w:sz="6" w:space="0" w:color="auto"/>
                        </w:tcBorders>
                      </w:tcPr>
                      <w:p>
                        <w:pPr>
                          <w:pStyle w:val="TableParagraph"/>
                          <w:tabs>
                            <w:tab w:pos="3816" w:val="left" w:leader="none"/>
                            <w:tab w:pos="6220" w:val="left" w:leader="none"/>
                            <w:tab w:pos="7220" w:val="left" w:leader="none"/>
                          </w:tabs>
                          <w:spacing w:line="240" w:lineRule="auto" w:before="19"/>
                          <w:ind w:right="12"/>
                          <w:jc w:val="center"/>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3"/>
                            <w:sz w:val="12"/>
                            <w:u w:val="single" w:color="000000"/>
                          </w:rPr>
                          <w:t> </w:t>
                        </w:r>
                        <w:r>
                          <w:rPr>
                            <w:rFonts w:ascii="Arial"/>
                            <w:sz w:val="12"/>
                            <w:u w:val="single" w:color="000000"/>
                          </w:rPr>
                          <w:t>130,221,936,553         </w:t>
                        </w:r>
                        <w:r>
                          <w:rPr>
                            <w:rFonts w:ascii="Arial"/>
                            <w:sz w:val="12"/>
                          </w:rPr>
                        </w:r>
                        <w:r>
                          <w:rPr>
                            <w:rFonts w:ascii="Arial"/>
                            <w:sz w:val="12"/>
                            <w:u w:val="single" w:color="000000"/>
                          </w:rPr>
                          <w:t> 88,863,638,637        </w:t>
                        </w:r>
                        <w:r>
                          <w:rPr>
                            <w:rFonts w:ascii="Arial"/>
                            <w:spacing w:val="11"/>
                            <w:sz w:val="12"/>
                            <w:u w:val="single" w:color="000000"/>
                          </w:rPr>
                          <w:t> </w:t>
                        </w:r>
                        <w:r>
                          <w:rPr>
                            <w:rFonts w:ascii="Arial"/>
                            <w:spacing w:val="11"/>
                            <w:sz w:val="12"/>
                          </w:rPr>
                        </w:r>
                        <w:r>
                          <w:rPr>
                            <w:rFonts w:ascii="Arial"/>
                            <w:spacing w:val="11"/>
                            <w:sz w:val="12"/>
                            <w:u w:val="single" w:color="000000"/>
                          </w:rPr>
                          <w:t> </w:t>
                        </w:r>
                        <w:r>
                          <w:rPr>
                            <w:rFonts w:ascii="Arial"/>
                            <w:sz w:val="12"/>
                            <w:u w:val="single" w:color="000000"/>
                          </w:rPr>
                          <w:t>219,085,575,190</w:t>
                        </w:r>
                        <w:r>
                          <w:rPr>
                            <w:rFonts w:ascii="Arial"/>
                            <w:sz w:val="12"/>
                          </w:rPr>
                        </w:r>
                        <w:r>
                          <w:rPr>
                            <w:rFonts w:ascii="Arial"/>
                            <w:sz w:val="12"/>
                            <w:u w:val="single" w:color="000000"/>
                          </w:rPr>
                          <w:t> </w:t>
                          <w:tab/>
                          <w:t>1,818,898,838       </w:t>
                        </w:r>
                        <w:r>
                          <w:rPr>
                            <w:rFonts w:ascii="Arial"/>
                            <w:spacing w:val="9"/>
                            <w:sz w:val="12"/>
                            <w:u w:val="single" w:color="000000"/>
                          </w:rPr>
                          <w:t> </w:t>
                        </w:r>
                        <w:r>
                          <w:rPr>
                            <w:rFonts w:ascii="Arial"/>
                            <w:spacing w:val="9"/>
                            <w:sz w:val="12"/>
                          </w:rPr>
                        </w:r>
                        <w:r>
                          <w:rPr>
                            <w:rFonts w:ascii="Arial"/>
                            <w:spacing w:val="9"/>
                            <w:sz w:val="12"/>
                            <w:u w:val="single" w:color="000000"/>
                          </w:rPr>
                          <w:t> </w:t>
                        </w:r>
                        <w:r>
                          <w:rPr>
                            <w:rFonts w:ascii="Arial"/>
                            <w:sz w:val="12"/>
                            <w:u w:val="single" w:color="000000"/>
                          </w:rPr>
                          <w:t>(5,385,962,570)</w:t>
                        </w:r>
                        <w:r>
                          <w:rPr>
                            <w:rFonts w:ascii="Arial"/>
                            <w:sz w:val="12"/>
                          </w:rPr>
                        </w:r>
                        <w:r>
                          <w:rPr>
                            <w:rFonts w:ascii="Arial"/>
                            <w:sz w:val="12"/>
                            <w:u w:val="single" w:color="000000"/>
                          </w:rPr>
                          <w:t> </w:t>
                          <w:tab/>
                          <w:t>215,518,511,458</w:t>
                          <w:tab/>
                        </w:r>
                        <w:r>
                          <w:rPr>
                            <w:rFonts w:ascii="Arial"/>
                            <w:sz w:val="12"/>
                          </w:rPr>
                        </w:r>
                      </w:p>
                    </w:tc>
                    <w:tc>
                      <w:tcPr>
                        <w:tcW w:w="6907" w:type="dxa"/>
                        <w:tcBorders>
                          <w:top w:val="nil" w:sz="6" w:space="0" w:color="auto"/>
                          <w:left w:val="nil" w:sz="6" w:space="0" w:color="auto"/>
                          <w:bottom w:val="nil" w:sz="6" w:space="0" w:color="auto"/>
                          <w:right w:val="nil" w:sz="6" w:space="0" w:color="auto"/>
                        </w:tcBorders>
                      </w:tcPr>
                      <w:p>
                        <w:pPr>
                          <w:pStyle w:val="TableParagraph"/>
                          <w:tabs>
                            <w:tab w:pos="6837" w:val="left" w:leader="none"/>
                          </w:tabs>
                          <w:spacing w:line="240" w:lineRule="auto" w:before="19"/>
                          <w:ind w:left="32" w:right="0"/>
                          <w:jc w:val="center"/>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7"/>
                            <w:sz w:val="12"/>
                            <w:u w:val="single" w:color="000000"/>
                          </w:rPr>
                          <w:t> </w:t>
                        </w:r>
                        <w:r>
                          <w:rPr>
                            <w:rFonts w:ascii="Arial"/>
                            <w:sz w:val="12"/>
                            <w:u w:val="single" w:color="000000"/>
                          </w:rPr>
                          <w:t>92,147,208,900       </w:t>
                        </w:r>
                        <w:r>
                          <w:rPr>
                            <w:rFonts w:ascii="Arial"/>
                            <w:sz w:val="12"/>
                          </w:rPr>
                        </w:r>
                        <w:r>
                          <w:rPr>
                            <w:rFonts w:ascii="Arial"/>
                            <w:sz w:val="12"/>
                            <w:u w:val="single" w:color="000000"/>
                          </w:rPr>
                          <w:t> 86,730,512,178        </w:t>
                        </w:r>
                        <w:r>
                          <w:rPr>
                            <w:rFonts w:ascii="Arial"/>
                            <w:sz w:val="12"/>
                          </w:rPr>
                        </w:r>
                        <w:r>
                          <w:rPr>
                            <w:rFonts w:ascii="Arial"/>
                            <w:sz w:val="12"/>
                            <w:u w:val="single" w:color="000000"/>
                          </w:rPr>
                          <w:t> 178,877,721,078           </w:t>
                        </w:r>
                        <w:r>
                          <w:rPr>
                            <w:rFonts w:ascii="Arial"/>
                            <w:sz w:val="12"/>
                          </w:rPr>
                        </w:r>
                        <w:r>
                          <w:rPr>
                            <w:rFonts w:ascii="Arial"/>
                            <w:sz w:val="12"/>
                            <w:u w:val="single" w:color="000000"/>
                          </w:rPr>
                          <w:t> 2,545,553,574         </w:t>
                        </w:r>
                        <w:r>
                          <w:rPr>
                            <w:rFonts w:ascii="Arial"/>
                            <w:sz w:val="12"/>
                          </w:rPr>
                        </w:r>
                        <w:r>
                          <w:rPr>
                            <w:rFonts w:ascii="Arial"/>
                            <w:sz w:val="12"/>
                            <w:u w:val="single" w:color="000000"/>
                          </w:rPr>
                          <w:t> (5,179,852,528)       </w:t>
                        </w:r>
                        <w:r>
                          <w:rPr>
                            <w:rFonts w:ascii="Arial"/>
                            <w:sz w:val="12"/>
                          </w:rPr>
                        </w:r>
                        <w:r>
                          <w:rPr>
                            <w:rFonts w:ascii="Arial"/>
                            <w:sz w:val="12"/>
                            <w:u w:val="single" w:color="000000"/>
                          </w:rPr>
                          <w:t> 176,243,422,124</w:t>
                          <w:tab/>
                        </w:r>
                        <w:r>
                          <w:rPr>
                            <w:rFonts w:ascii="Arial"/>
                            <w:sz w:val="12"/>
                          </w:rPr>
                        </w:r>
                      </w:p>
                    </w:tc>
                  </w:tr>
                </w:tbl>
                <w:p>
                  <w:pPr/>
                </w:p>
              </w:txbxContent>
            </v:textbox>
            <w10:wrap type="none"/>
          </v:shape>
        </w:pict>
      </w:r>
      <w:r>
        <w:rPr>
          <w:rFonts w:ascii="宋体" w:hAnsi="宋体" w:cs="宋体" w:eastAsia="宋体" w:hint="default"/>
          <w:sz w:val="12"/>
          <w:szCs w:val="12"/>
        </w:rPr>
        <w:t>营业收入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tbl>
      <w:tblPr>
        <w:tblW w:w="0" w:type="auto"/>
        <w:jc w:val="left"/>
        <w:tblInd w:w="345" w:type="dxa"/>
        <w:tblLayout w:type="fixed"/>
        <w:tblCellMar>
          <w:top w:w="0" w:type="dxa"/>
          <w:left w:w="0" w:type="dxa"/>
          <w:bottom w:w="0" w:type="dxa"/>
          <w:right w:w="0" w:type="dxa"/>
        </w:tblCellMar>
        <w:tblLook w:val="01E0"/>
      </w:tblPr>
      <w:tblGrid>
        <w:gridCol w:w="1559"/>
        <w:gridCol w:w="1225"/>
        <w:gridCol w:w="1149"/>
        <w:gridCol w:w="1229"/>
        <w:gridCol w:w="1187"/>
        <w:gridCol w:w="987"/>
        <w:gridCol w:w="82"/>
        <w:gridCol w:w="1384"/>
        <w:gridCol w:w="134"/>
        <w:gridCol w:w="1132"/>
        <w:gridCol w:w="1026"/>
        <w:gridCol w:w="76"/>
        <w:gridCol w:w="1195"/>
        <w:gridCol w:w="1050"/>
        <w:gridCol w:w="90"/>
        <w:gridCol w:w="1028"/>
        <w:gridCol w:w="83"/>
        <w:gridCol w:w="1161"/>
      </w:tblGrid>
      <w:tr>
        <w:trPr>
          <w:trHeight w:val="248"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2"/>
                <w:szCs w:val="12"/>
              </w:rPr>
            </w:pPr>
            <w:r>
              <w:rPr>
                <w:rFonts w:ascii="宋体" w:hAnsi="宋体" w:cs="宋体" w:eastAsia="宋体" w:hint="default"/>
                <w:sz w:val="12"/>
                <w:szCs w:val="12"/>
              </w:rPr>
              <w:t>减：营业成本</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3"/>
              <w:jc w:val="right"/>
              <w:rPr>
                <w:rFonts w:ascii="Arial" w:hAnsi="Arial" w:cs="Arial" w:eastAsia="Arial" w:hint="default"/>
                <w:sz w:val="12"/>
                <w:szCs w:val="12"/>
              </w:rPr>
            </w:pPr>
            <w:r>
              <w:rPr>
                <w:rFonts w:ascii="Arial"/>
                <w:spacing w:val="-1"/>
                <w:sz w:val="12"/>
              </w:rPr>
              <w:t>(77,617,891,642)</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6"/>
              <w:jc w:val="right"/>
              <w:rPr>
                <w:rFonts w:ascii="Arial" w:hAnsi="Arial" w:cs="Arial" w:eastAsia="Arial" w:hint="default"/>
                <w:sz w:val="12"/>
                <w:szCs w:val="12"/>
              </w:rPr>
            </w:pPr>
            <w:r>
              <w:rPr>
                <w:rFonts w:ascii="Arial"/>
                <w:spacing w:val="-1"/>
                <w:sz w:val="12"/>
              </w:rPr>
              <w:t>(43,969,497,623)</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6"/>
              <w:jc w:val="right"/>
              <w:rPr>
                <w:rFonts w:ascii="Arial" w:hAnsi="Arial" w:cs="Arial" w:eastAsia="Arial" w:hint="default"/>
                <w:sz w:val="12"/>
                <w:szCs w:val="12"/>
              </w:rPr>
            </w:pPr>
            <w:r>
              <w:rPr>
                <w:rFonts w:ascii="Arial"/>
                <w:spacing w:val="-1"/>
                <w:sz w:val="12"/>
              </w:rPr>
              <w:t>(121,587,389,265)</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42"/>
              <w:jc w:val="right"/>
              <w:rPr>
                <w:rFonts w:ascii="Arial" w:hAnsi="Arial" w:cs="Arial" w:eastAsia="Arial" w:hint="default"/>
                <w:sz w:val="12"/>
                <w:szCs w:val="12"/>
              </w:rPr>
            </w:pPr>
            <w:r>
              <w:rPr>
                <w:rFonts w:ascii="Arial"/>
                <w:spacing w:val="-1"/>
                <w:sz w:val="12"/>
              </w:rPr>
              <w:t>(38,046,608,661)</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3"/>
              <w:jc w:val="right"/>
              <w:rPr>
                <w:rFonts w:ascii="Arial" w:hAnsi="Arial" w:cs="Arial" w:eastAsia="Arial" w:hint="default"/>
                <w:sz w:val="12"/>
                <w:szCs w:val="12"/>
              </w:rPr>
            </w:pPr>
            <w:r>
              <w:rPr>
                <w:rFonts w:ascii="Arial"/>
                <w:spacing w:val="-1"/>
                <w:sz w:val="12"/>
              </w:rPr>
              <w:t>5,219,974,240</w:t>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424" w:right="0"/>
              <w:jc w:val="left"/>
              <w:rPr>
                <w:rFonts w:ascii="Arial" w:hAnsi="Arial" w:cs="Arial" w:eastAsia="Arial" w:hint="default"/>
                <w:sz w:val="12"/>
                <w:szCs w:val="12"/>
              </w:rPr>
            </w:pPr>
            <w:r>
              <w:rPr>
                <w:rFonts w:ascii="Arial"/>
                <w:sz w:val="12"/>
              </w:rPr>
              <w:t>(154,414,023,686)</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68" w:right="0"/>
              <w:jc w:val="left"/>
              <w:rPr>
                <w:rFonts w:ascii="Arial" w:hAnsi="Arial" w:cs="Arial" w:eastAsia="Arial" w:hint="default"/>
                <w:sz w:val="12"/>
                <w:szCs w:val="12"/>
              </w:rPr>
            </w:pPr>
            <w:r>
              <w:rPr>
                <w:rFonts w:ascii="Arial"/>
                <w:sz w:val="12"/>
              </w:rPr>
              <w:t>(51,376,855,282)</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Arial" w:hAnsi="Arial" w:cs="Arial" w:eastAsia="Arial" w:hint="default"/>
                <w:sz w:val="12"/>
                <w:szCs w:val="12"/>
              </w:rPr>
            </w:pPr>
            <w:r>
              <w:rPr>
                <w:rFonts w:ascii="Arial"/>
                <w:spacing w:val="-1"/>
                <w:sz w:val="12"/>
              </w:rPr>
              <w:t>(43,424,343,061)</w:t>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48" w:right="0"/>
              <w:jc w:val="left"/>
              <w:rPr>
                <w:rFonts w:ascii="Arial" w:hAnsi="Arial" w:cs="Arial" w:eastAsia="Arial" w:hint="default"/>
                <w:sz w:val="12"/>
                <w:szCs w:val="12"/>
              </w:rPr>
            </w:pPr>
            <w:r>
              <w:rPr>
                <w:rFonts w:ascii="Arial"/>
                <w:sz w:val="12"/>
              </w:rPr>
              <w:t>(94,801,198,343)</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5"/>
              <w:jc w:val="right"/>
              <w:rPr>
                <w:rFonts w:ascii="Arial" w:hAnsi="Arial" w:cs="Arial" w:eastAsia="Arial" w:hint="default"/>
                <w:sz w:val="12"/>
                <w:szCs w:val="12"/>
              </w:rPr>
            </w:pPr>
            <w:r>
              <w:rPr>
                <w:rFonts w:ascii="Arial"/>
                <w:spacing w:val="-1"/>
                <w:sz w:val="12"/>
              </w:rPr>
              <w:t>(33,912,356,178)</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71" w:right="0"/>
              <w:jc w:val="left"/>
              <w:rPr>
                <w:rFonts w:ascii="Arial" w:hAnsi="Arial" w:cs="Arial" w:eastAsia="Arial" w:hint="default"/>
                <w:sz w:val="12"/>
                <w:szCs w:val="12"/>
              </w:rPr>
            </w:pPr>
            <w:r>
              <w:rPr>
                <w:rFonts w:ascii="Arial"/>
                <w:sz w:val="12"/>
              </w:rPr>
              <w:t>4,950,336,145</w:t>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57" w:right="0"/>
              <w:jc w:val="left"/>
              <w:rPr>
                <w:rFonts w:ascii="Arial" w:hAnsi="Arial" w:cs="Arial" w:eastAsia="Arial" w:hint="default"/>
                <w:sz w:val="12"/>
                <w:szCs w:val="12"/>
              </w:rPr>
            </w:pPr>
            <w:r>
              <w:rPr>
                <w:rFonts w:ascii="Arial"/>
                <w:sz w:val="12"/>
              </w:rPr>
              <w:t>(123,763,218,376)</w:t>
            </w:r>
          </w:p>
        </w:tc>
      </w:tr>
      <w:tr>
        <w:trPr>
          <w:trHeight w:val="155"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35" w:right="0"/>
              <w:jc w:val="left"/>
              <w:rPr>
                <w:rFonts w:ascii="宋体" w:hAnsi="宋体" w:cs="宋体" w:eastAsia="宋体" w:hint="default"/>
                <w:sz w:val="12"/>
                <w:szCs w:val="12"/>
              </w:rPr>
            </w:pPr>
            <w:r>
              <w:rPr>
                <w:rFonts w:ascii="宋体" w:hAnsi="宋体" w:cs="宋体" w:eastAsia="宋体" w:hint="default"/>
                <w:sz w:val="12"/>
                <w:szCs w:val="12"/>
              </w:rPr>
              <w:t>其中：网络运行及支撑成本</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3"/>
              <w:jc w:val="right"/>
              <w:rPr>
                <w:rFonts w:ascii="Arial" w:hAnsi="Arial" w:cs="Arial" w:eastAsia="Arial" w:hint="default"/>
                <w:sz w:val="12"/>
                <w:szCs w:val="12"/>
              </w:rPr>
            </w:pPr>
            <w:r>
              <w:rPr>
                <w:rFonts w:ascii="Arial"/>
                <w:spacing w:val="-1"/>
                <w:sz w:val="12"/>
              </w:rPr>
              <w:t>(4,270,075,172)</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6"/>
              <w:jc w:val="right"/>
              <w:rPr>
                <w:rFonts w:ascii="Arial" w:hAnsi="Arial" w:cs="Arial" w:eastAsia="Arial" w:hint="default"/>
                <w:sz w:val="12"/>
                <w:szCs w:val="12"/>
              </w:rPr>
            </w:pPr>
            <w:r>
              <w:rPr>
                <w:rFonts w:ascii="Arial"/>
                <w:spacing w:val="-1"/>
                <w:sz w:val="12"/>
              </w:rPr>
              <w:t>(9,467,372,267)</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5"/>
              <w:jc w:val="right"/>
              <w:rPr>
                <w:rFonts w:ascii="Arial" w:hAnsi="Arial" w:cs="Arial" w:eastAsia="Arial" w:hint="default"/>
                <w:sz w:val="12"/>
                <w:szCs w:val="12"/>
              </w:rPr>
            </w:pPr>
            <w:r>
              <w:rPr>
                <w:rFonts w:ascii="Arial"/>
                <w:spacing w:val="-1"/>
                <w:sz w:val="12"/>
              </w:rPr>
              <w:t>(13,737,447,439)</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2"/>
              <w:jc w:val="right"/>
              <w:rPr>
                <w:rFonts w:ascii="Arial" w:hAnsi="Arial" w:cs="Arial" w:eastAsia="Arial" w:hint="default"/>
                <w:sz w:val="12"/>
                <w:szCs w:val="12"/>
              </w:rPr>
            </w:pPr>
            <w:r>
              <w:rPr>
                <w:rFonts w:ascii="Arial"/>
                <w:spacing w:val="-1"/>
                <w:sz w:val="12"/>
              </w:rPr>
              <w:t>(15,715,274,316)</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3"/>
              <w:jc w:val="right"/>
              <w:rPr>
                <w:rFonts w:ascii="Arial" w:hAnsi="Arial" w:cs="Arial" w:eastAsia="Arial" w:hint="default"/>
                <w:sz w:val="12"/>
                <w:szCs w:val="12"/>
              </w:rPr>
            </w:pPr>
            <w:r>
              <w:rPr>
                <w:rFonts w:ascii="Arial"/>
                <w:spacing w:val="-1"/>
                <w:sz w:val="12"/>
              </w:rPr>
              <w:t>3,928,345</w:t>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91" w:right="0"/>
              <w:jc w:val="left"/>
              <w:rPr>
                <w:rFonts w:ascii="Arial" w:hAnsi="Arial" w:cs="Arial" w:eastAsia="Arial" w:hint="default"/>
                <w:sz w:val="12"/>
                <w:szCs w:val="12"/>
              </w:rPr>
            </w:pPr>
            <w:r>
              <w:rPr>
                <w:rFonts w:ascii="Arial"/>
                <w:sz w:val="12"/>
              </w:rPr>
              <w:t>(29,448,793,410)</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334" w:right="0"/>
              <w:jc w:val="left"/>
              <w:rPr>
                <w:rFonts w:ascii="Arial" w:hAnsi="Arial" w:cs="Arial" w:eastAsia="Arial" w:hint="default"/>
                <w:sz w:val="12"/>
                <w:szCs w:val="12"/>
              </w:rPr>
            </w:pPr>
            <w:r>
              <w:rPr>
                <w:rFonts w:ascii="Arial"/>
                <w:sz w:val="12"/>
              </w:rPr>
              <w:t>(3,106,886,103)</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Arial" w:hAnsi="Arial" w:cs="Arial" w:eastAsia="Arial" w:hint="default"/>
                <w:sz w:val="12"/>
                <w:szCs w:val="12"/>
              </w:rPr>
            </w:pPr>
            <w:r>
              <w:rPr>
                <w:rFonts w:ascii="Arial"/>
                <w:spacing w:val="-1"/>
                <w:sz w:val="12"/>
              </w:rPr>
              <w:t>(9,409,009,695)</w:t>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48" w:right="0"/>
              <w:jc w:val="left"/>
              <w:rPr>
                <w:rFonts w:ascii="Arial" w:hAnsi="Arial" w:cs="Arial" w:eastAsia="Arial" w:hint="default"/>
                <w:sz w:val="12"/>
                <w:szCs w:val="12"/>
              </w:rPr>
            </w:pPr>
            <w:r>
              <w:rPr>
                <w:rFonts w:ascii="Arial"/>
                <w:sz w:val="12"/>
              </w:rPr>
              <w:t>(12,515,895,798)</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Arial" w:hAnsi="Arial" w:cs="Arial" w:eastAsia="Arial" w:hint="default"/>
                <w:sz w:val="12"/>
                <w:szCs w:val="12"/>
              </w:rPr>
            </w:pPr>
            <w:r>
              <w:rPr>
                <w:rFonts w:ascii="Arial"/>
                <w:spacing w:val="-1"/>
                <w:sz w:val="12"/>
              </w:rPr>
              <w:t>(13,875,560,073)</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505" w:right="0"/>
              <w:jc w:val="left"/>
              <w:rPr>
                <w:rFonts w:ascii="Arial" w:hAnsi="Arial" w:cs="Arial" w:eastAsia="Arial" w:hint="default"/>
                <w:sz w:val="12"/>
                <w:szCs w:val="12"/>
              </w:rPr>
            </w:pPr>
            <w:r>
              <w:rPr>
                <w:rFonts w:ascii="Arial"/>
                <w:sz w:val="12"/>
              </w:rPr>
              <w:t>4,064,709</w:t>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25" w:right="0"/>
              <w:jc w:val="left"/>
              <w:rPr>
                <w:rFonts w:ascii="Arial" w:hAnsi="Arial" w:cs="Arial" w:eastAsia="Arial" w:hint="default"/>
                <w:sz w:val="12"/>
                <w:szCs w:val="12"/>
              </w:rPr>
            </w:pPr>
            <w:r>
              <w:rPr>
                <w:rFonts w:ascii="Arial"/>
                <w:sz w:val="12"/>
              </w:rPr>
              <w:t>(26,387,391,162)</w:t>
            </w:r>
          </w:p>
        </w:tc>
      </w:tr>
      <w:tr>
        <w:trPr>
          <w:trHeight w:val="156"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403" w:right="0"/>
              <w:jc w:val="left"/>
              <w:rPr>
                <w:rFonts w:ascii="宋体" w:hAnsi="宋体" w:cs="宋体" w:eastAsia="宋体" w:hint="default"/>
                <w:sz w:val="12"/>
                <w:szCs w:val="12"/>
              </w:rPr>
            </w:pPr>
            <w:r>
              <w:rPr>
                <w:rFonts w:ascii="宋体" w:hAnsi="宋体" w:cs="宋体" w:eastAsia="宋体" w:hint="default"/>
                <w:sz w:val="12"/>
                <w:szCs w:val="12"/>
              </w:rPr>
              <w:t>人工成本</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Arial" w:hAnsi="Arial" w:cs="Arial" w:eastAsia="Arial" w:hint="default"/>
                <w:sz w:val="12"/>
                <w:szCs w:val="12"/>
              </w:rPr>
            </w:pPr>
            <w:r>
              <w:rPr>
                <w:rFonts w:ascii="Arial"/>
                <w:w w:val="99"/>
                <w:sz w:val="12"/>
              </w:rPr>
              <w:t>-</w:t>
            </w:r>
            <w:r>
              <w:rPr>
                <w:rFonts w:ascii="Arial"/>
                <w:sz w:val="12"/>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6"/>
              <w:jc w:val="right"/>
              <w:rPr>
                <w:rFonts w:ascii="Arial" w:hAnsi="Arial" w:cs="Arial" w:eastAsia="Arial" w:hint="default"/>
                <w:sz w:val="12"/>
                <w:szCs w:val="12"/>
              </w:rPr>
            </w:pPr>
            <w:r>
              <w:rPr>
                <w:rFonts w:ascii="Arial"/>
                <w:w w:val="99"/>
                <w:sz w:val="12"/>
              </w:rPr>
              <w:t>-</w:t>
            </w:r>
            <w:r>
              <w:rPr>
                <w:rFonts w:ascii="Arial"/>
                <w:sz w:val="12"/>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5"/>
              <w:jc w:val="right"/>
              <w:rPr>
                <w:rFonts w:ascii="Arial" w:hAnsi="Arial" w:cs="Arial" w:eastAsia="Arial" w:hint="default"/>
                <w:sz w:val="12"/>
                <w:szCs w:val="12"/>
              </w:rPr>
            </w:pPr>
            <w:r>
              <w:rPr>
                <w:rFonts w:ascii="Arial"/>
                <w:w w:val="99"/>
                <w:sz w:val="12"/>
              </w:rPr>
              <w:t>-</w:t>
            </w:r>
            <w:r>
              <w:rPr>
                <w:rFonts w:ascii="Arial"/>
                <w:sz w:val="12"/>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Arial" w:hAnsi="Arial" w:cs="Arial" w:eastAsia="Arial" w:hint="default"/>
                <w:sz w:val="12"/>
                <w:szCs w:val="12"/>
              </w:rPr>
            </w:pPr>
            <w:r>
              <w:rPr>
                <w:rFonts w:ascii="Arial"/>
                <w:spacing w:val="-1"/>
                <w:sz w:val="12"/>
              </w:rPr>
              <w:t>(18,259,569,850)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right"/>
              <w:rPr>
                <w:rFonts w:ascii="Arial" w:hAnsi="Arial" w:cs="Arial" w:eastAsia="Arial" w:hint="default"/>
                <w:sz w:val="12"/>
                <w:szCs w:val="12"/>
              </w:rPr>
            </w:pPr>
            <w:r>
              <w:rPr>
                <w:rFonts w:ascii="Arial"/>
                <w:spacing w:val="-1"/>
                <w:sz w:val="12"/>
              </w:rPr>
              <w:t>171,407,999</w:t>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491" w:right="0"/>
              <w:jc w:val="left"/>
              <w:rPr>
                <w:rFonts w:ascii="Arial" w:hAnsi="Arial" w:cs="Arial" w:eastAsia="Arial" w:hint="default"/>
                <w:sz w:val="12"/>
                <w:szCs w:val="12"/>
              </w:rPr>
            </w:pPr>
            <w:r>
              <w:rPr>
                <w:rFonts w:ascii="Arial"/>
                <w:sz w:val="12"/>
              </w:rPr>
              <w:t>(18,088,161,851)</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120"/>
              <w:jc w:val="right"/>
              <w:rPr>
                <w:rFonts w:ascii="Arial" w:hAnsi="Arial" w:cs="Arial" w:eastAsia="Arial" w:hint="default"/>
                <w:sz w:val="12"/>
                <w:szCs w:val="12"/>
              </w:rPr>
            </w:pPr>
            <w:r>
              <w:rPr>
                <w:rFonts w:ascii="Arial"/>
                <w:w w:val="99"/>
                <w:sz w:val="12"/>
              </w:rPr>
              <w:t>-</w:t>
            </w:r>
            <w:r>
              <w:rPr>
                <w:rFonts w:ascii="Arial"/>
                <w:sz w:val="12"/>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Arial" w:hAnsi="Arial" w:cs="Arial" w:eastAsia="Arial" w:hint="default"/>
                <w:sz w:val="12"/>
                <w:szCs w:val="12"/>
              </w:rPr>
            </w:pPr>
            <w:r>
              <w:rPr>
                <w:rFonts w:ascii="Arial"/>
                <w:w w:val="99"/>
                <w:sz w:val="12"/>
              </w:rPr>
              <w:t>-</w:t>
            </w:r>
            <w:r>
              <w:rPr>
                <w:rFonts w:ascii="Arial"/>
                <w:sz w:val="12"/>
              </w:rPr>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145"/>
              <w:jc w:val="right"/>
              <w:rPr>
                <w:rFonts w:ascii="Arial" w:hAnsi="Arial" w:cs="Arial" w:eastAsia="Arial" w:hint="default"/>
                <w:sz w:val="12"/>
                <w:szCs w:val="12"/>
              </w:rPr>
            </w:pPr>
            <w:r>
              <w:rPr>
                <w:rFonts w:ascii="Arial"/>
                <w:w w:val="99"/>
                <w:sz w:val="12"/>
              </w:rPr>
              <w:t>-</w:t>
            </w:r>
            <w:r>
              <w:rPr>
                <w:rFonts w:ascii="Arial"/>
                <w:sz w:val="12"/>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Arial" w:hAnsi="Arial" w:cs="Arial" w:eastAsia="Arial" w:hint="default"/>
                <w:sz w:val="12"/>
                <w:szCs w:val="12"/>
              </w:rPr>
            </w:pPr>
            <w:r>
              <w:rPr>
                <w:rFonts w:ascii="Arial"/>
                <w:spacing w:val="-1"/>
                <w:sz w:val="12"/>
              </w:rPr>
              <w:t>(15,987,620,073)</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372" w:right="0"/>
              <w:jc w:val="left"/>
              <w:rPr>
                <w:rFonts w:ascii="Arial" w:hAnsi="Arial" w:cs="Arial" w:eastAsia="Arial" w:hint="default"/>
                <w:sz w:val="12"/>
                <w:szCs w:val="12"/>
              </w:rPr>
            </w:pPr>
            <w:r>
              <w:rPr>
                <w:rFonts w:ascii="Arial"/>
                <w:sz w:val="12"/>
              </w:rPr>
              <w:t>190,790,763</w:t>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25" w:right="0"/>
              <w:jc w:val="left"/>
              <w:rPr>
                <w:rFonts w:ascii="Arial" w:hAnsi="Arial" w:cs="Arial" w:eastAsia="Arial" w:hint="default"/>
                <w:sz w:val="12"/>
                <w:szCs w:val="12"/>
              </w:rPr>
            </w:pPr>
            <w:r>
              <w:rPr>
                <w:rFonts w:ascii="Arial"/>
                <w:sz w:val="12"/>
              </w:rPr>
              <w:t>(15,796,829,310)</w:t>
            </w:r>
          </w:p>
        </w:tc>
      </w:tr>
      <w:tr>
        <w:trPr>
          <w:trHeight w:val="156"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403" w:right="0"/>
              <w:jc w:val="left"/>
              <w:rPr>
                <w:rFonts w:ascii="宋体" w:hAnsi="宋体" w:cs="宋体" w:eastAsia="宋体" w:hint="default"/>
                <w:sz w:val="12"/>
                <w:szCs w:val="12"/>
              </w:rPr>
            </w:pPr>
            <w:r>
              <w:rPr>
                <w:rFonts w:ascii="宋体" w:hAnsi="宋体" w:cs="宋体" w:eastAsia="宋体" w:hint="default"/>
                <w:sz w:val="12"/>
                <w:szCs w:val="12"/>
              </w:rPr>
              <w:t>网间结算成本</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3"/>
              <w:jc w:val="right"/>
              <w:rPr>
                <w:rFonts w:ascii="Arial" w:hAnsi="Arial" w:cs="Arial" w:eastAsia="Arial" w:hint="default"/>
                <w:sz w:val="12"/>
                <w:szCs w:val="12"/>
              </w:rPr>
            </w:pPr>
            <w:r>
              <w:rPr>
                <w:rFonts w:ascii="Arial"/>
                <w:spacing w:val="-1"/>
                <w:sz w:val="12"/>
              </w:rPr>
              <w:t>(17,441,828,946)</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6"/>
              <w:jc w:val="right"/>
              <w:rPr>
                <w:rFonts w:ascii="Arial" w:hAnsi="Arial" w:cs="Arial" w:eastAsia="Arial" w:hint="default"/>
                <w:sz w:val="12"/>
                <w:szCs w:val="12"/>
              </w:rPr>
            </w:pPr>
            <w:r>
              <w:rPr>
                <w:rFonts w:ascii="Arial"/>
                <w:spacing w:val="-1"/>
                <w:sz w:val="12"/>
              </w:rPr>
              <w:t>(3,532,926,709)</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6"/>
              <w:jc w:val="right"/>
              <w:rPr>
                <w:rFonts w:ascii="Arial" w:hAnsi="Arial" w:cs="Arial" w:eastAsia="Arial" w:hint="default"/>
                <w:sz w:val="12"/>
                <w:szCs w:val="12"/>
              </w:rPr>
            </w:pPr>
            <w:r>
              <w:rPr>
                <w:rFonts w:ascii="Arial"/>
                <w:spacing w:val="-1"/>
                <w:sz w:val="12"/>
              </w:rPr>
              <w:t>(20,974,755,655)</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2"/>
              <w:jc w:val="right"/>
              <w:rPr>
                <w:rFonts w:ascii="Arial" w:hAnsi="Arial" w:cs="Arial" w:eastAsia="Arial" w:hint="default"/>
                <w:sz w:val="12"/>
                <w:szCs w:val="12"/>
              </w:rPr>
            </w:pPr>
            <w:r>
              <w:rPr>
                <w:rFonts w:ascii="Arial"/>
                <w:w w:val="99"/>
                <w:sz w:val="12"/>
              </w:rPr>
              <w:t>-</w:t>
            </w:r>
            <w:r>
              <w:rPr>
                <w:rFonts w:ascii="Arial"/>
                <w:sz w:val="12"/>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3"/>
              <w:jc w:val="right"/>
              <w:rPr>
                <w:rFonts w:ascii="Arial" w:hAnsi="Arial" w:cs="Arial" w:eastAsia="Arial" w:hint="default"/>
                <w:sz w:val="12"/>
                <w:szCs w:val="12"/>
              </w:rPr>
            </w:pPr>
            <w:r>
              <w:rPr>
                <w:rFonts w:ascii="Arial"/>
                <w:spacing w:val="-1"/>
                <w:sz w:val="12"/>
              </w:rPr>
              <w:t>4,594,925,508</w:t>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491" w:right="0"/>
              <w:jc w:val="left"/>
              <w:rPr>
                <w:rFonts w:ascii="Arial" w:hAnsi="Arial" w:cs="Arial" w:eastAsia="Arial" w:hint="default"/>
                <w:sz w:val="12"/>
                <w:szCs w:val="12"/>
              </w:rPr>
            </w:pPr>
            <w:r>
              <w:rPr>
                <w:rFonts w:ascii="Arial"/>
                <w:sz w:val="12"/>
              </w:rPr>
              <w:t>(16,379,830,147)</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68" w:right="0"/>
              <w:jc w:val="left"/>
              <w:rPr>
                <w:rFonts w:ascii="Arial" w:hAnsi="Arial" w:cs="Arial" w:eastAsia="Arial" w:hint="default"/>
                <w:sz w:val="12"/>
                <w:szCs w:val="12"/>
              </w:rPr>
            </w:pPr>
            <w:r>
              <w:rPr>
                <w:rFonts w:ascii="Arial"/>
                <w:sz w:val="12"/>
              </w:rPr>
              <w:t>(14,452,438,836)</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Arial" w:hAnsi="Arial" w:cs="Arial" w:eastAsia="Arial" w:hint="default"/>
                <w:sz w:val="12"/>
                <w:szCs w:val="12"/>
              </w:rPr>
            </w:pPr>
            <w:r>
              <w:rPr>
                <w:rFonts w:ascii="Arial"/>
                <w:spacing w:val="-1"/>
                <w:sz w:val="12"/>
              </w:rPr>
              <w:t>(3,705,638,057)</w:t>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47" w:right="0"/>
              <w:jc w:val="left"/>
              <w:rPr>
                <w:rFonts w:ascii="Arial" w:hAnsi="Arial" w:cs="Arial" w:eastAsia="Arial" w:hint="default"/>
                <w:sz w:val="12"/>
                <w:szCs w:val="12"/>
              </w:rPr>
            </w:pPr>
            <w:r>
              <w:rPr>
                <w:rFonts w:ascii="Arial"/>
                <w:sz w:val="12"/>
              </w:rPr>
              <w:t>(18,158,076,893)</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4"/>
              <w:jc w:val="right"/>
              <w:rPr>
                <w:rFonts w:ascii="Arial" w:hAnsi="Arial" w:cs="Arial" w:eastAsia="Arial" w:hint="default"/>
                <w:sz w:val="12"/>
                <w:szCs w:val="12"/>
              </w:rPr>
            </w:pPr>
            <w:r>
              <w:rPr>
                <w:rFonts w:ascii="Arial"/>
                <w:w w:val="99"/>
                <w:sz w:val="12"/>
              </w:rPr>
              <w:t>-</w:t>
            </w:r>
            <w:r>
              <w:rPr>
                <w:rFonts w:ascii="Arial"/>
                <w:sz w:val="12"/>
              </w:rPr>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72" w:right="0"/>
              <w:jc w:val="left"/>
              <w:rPr>
                <w:rFonts w:ascii="Arial" w:hAnsi="Arial" w:cs="Arial" w:eastAsia="Arial" w:hint="default"/>
                <w:sz w:val="12"/>
                <w:szCs w:val="12"/>
              </w:rPr>
            </w:pPr>
            <w:r>
              <w:rPr>
                <w:rFonts w:ascii="Arial"/>
                <w:sz w:val="12"/>
              </w:rPr>
              <w:t>4,431,062,827</w:t>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25" w:right="0"/>
              <w:jc w:val="left"/>
              <w:rPr>
                <w:rFonts w:ascii="Arial" w:hAnsi="Arial" w:cs="Arial" w:eastAsia="Arial" w:hint="default"/>
                <w:sz w:val="12"/>
                <w:szCs w:val="12"/>
              </w:rPr>
            </w:pPr>
            <w:r>
              <w:rPr>
                <w:rFonts w:ascii="Arial"/>
                <w:sz w:val="12"/>
              </w:rPr>
              <w:t>(13,727,014,066)</w:t>
            </w:r>
          </w:p>
        </w:tc>
      </w:tr>
      <w:tr>
        <w:trPr>
          <w:trHeight w:val="155"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403" w:right="0"/>
              <w:jc w:val="left"/>
              <w:rPr>
                <w:rFonts w:ascii="宋体" w:hAnsi="宋体" w:cs="宋体" w:eastAsia="宋体" w:hint="default"/>
                <w:sz w:val="12"/>
                <w:szCs w:val="12"/>
              </w:rPr>
            </w:pPr>
            <w:r>
              <w:rPr>
                <w:rFonts w:ascii="宋体" w:hAnsi="宋体" w:cs="宋体" w:eastAsia="宋体" w:hint="default"/>
                <w:sz w:val="12"/>
                <w:szCs w:val="12"/>
              </w:rPr>
              <w:t>销售通信产品支出</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3"/>
              <w:jc w:val="right"/>
              <w:rPr>
                <w:rFonts w:ascii="Arial" w:hAnsi="Arial" w:cs="Arial" w:eastAsia="Arial" w:hint="default"/>
                <w:sz w:val="12"/>
                <w:szCs w:val="12"/>
              </w:rPr>
            </w:pPr>
            <w:r>
              <w:rPr>
                <w:rFonts w:ascii="Arial"/>
                <w:spacing w:val="-1"/>
                <w:sz w:val="12"/>
              </w:rPr>
              <w:t>(29,626,275,726)</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6"/>
              <w:jc w:val="right"/>
              <w:rPr>
                <w:rFonts w:ascii="Arial" w:hAnsi="Arial" w:cs="Arial" w:eastAsia="Arial" w:hint="default"/>
                <w:sz w:val="12"/>
                <w:szCs w:val="12"/>
              </w:rPr>
            </w:pPr>
            <w:r>
              <w:rPr>
                <w:rFonts w:ascii="Arial"/>
                <w:spacing w:val="-1"/>
                <w:sz w:val="12"/>
              </w:rPr>
              <w:t>(112,632,527)</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5"/>
              <w:jc w:val="right"/>
              <w:rPr>
                <w:rFonts w:ascii="Arial" w:hAnsi="Arial" w:cs="Arial" w:eastAsia="Arial" w:hint="default"/>
                <w:sz w:val="12"/>
                <w:szCs w:val="12"/>
              </w:rPr>
            </w:pPr>
            <w:r>
              <w:rPr>
                <w:rFonts w:ascii="Arial"/>
                <w:spacing w:val="-1"/>
                <w:sz w:val="12"/>
              </w:rPr>
              <w:t>(29,738,908,253)</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2"/>
              <w:jc w:val="right"/>
              <w:rPr>
                <w:rFonts w:ascii="Arial" w:hAnsi="Arial" w:cs="Arial" w:eastAsia="Arial" w:hint="default"/>
                <w:sz w:val="12"/>
                <w:szCs w:val="12"/>
              </w:rPr>
            </w:pPr>
            <w:r>
              <w:rPr>
                <w:rFonts w:ascii="Arial"/>
                <w:w w:val="99"/>
                <w:sz w:val="12"/>
              </w:rPr>
              <w:t>-</w:t>
            </w:r>
            <w:r>
              <w:rPr>
                <w:rFonts w:ascii="Arial"/>
                <w:sz w:val="12"/>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3"/>
              <w:jc w:val="right"/>
              <w:rPr>
                <w:rFonts w:ascii="Arial" w:hAnsi="Arial" w:cs="Arial" w:eastAsia="Arial" w:hint="default"/>
                <w:sz w:val="12"/>
                <w:szCs w:val="12"/>
              </w:rPr>
            </w:pPr>
            <w:r>
              <w:rPr>
                <w:rFonts w:ascii="Arial"/>
                <w:w w:val="99"/>
                <w:sz w:val="12"/>
              </w:rPr>
              <w:t>-</w:t>
            </w:r>
            <w:r>
              <w:rPr>
                <w:rFonts w:ascii="Arial"/>
                <w:sz w:val="12"/>
              </w:rPr>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91" w:right="0"/>
              <w:jc w:val="left"/>
              <w:rPr>
                <w:rFonts w:ascii="Arial" w:hAnsi="Arial" w:cs="Arial" w:eastAsia="Arial" w:hint="default"/>
                <w:sz w:val="12"/>
                <w:szCs w:val="12"/>
              </w:rPr>
            </w:pPr>
            <w:r>
              <w:rPr>
                <w:rFonts w:ascii="Arial"/>
                <w:sz w:val="12"/>
              </w:rPr>
              <w:t>(29,738,908,253)</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68" w:right="0"/>
              <w:jc w:val="left"/>
              <w:rPr>
                <w:rFonts w:ascii="Arial" w:hAnsi="Arial" w:cs="Arial" w:eastAsia="Arial" w:hint="default"/>
                <w:sz w:val="12"/>
                <w:szCs w:val="12"/>
              </w:rPr>
            </w:pPr>
            <w:r>
              <w:rPr>
                <w:rFonts w:ascii="Arial"/>
                <w:sz w:val="12"/>
              </w:rPr>
              <w:t>(10,495,491,988)</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Arial" w:hAnsi="Arial" w:cs="Arial" w:eastAsia="Arial" w:hint="default"/>
                <w:sz w:val="12"/>
                <w:szCs w:val="12"/>
              </w:rPr>
            </w:pPr>
            <w:r>
              <w:rPr>
                <w:rFonts w:ascii="Arial"/>
                <w:spacing w:val="-1"/>
                <w:sz w:val="12"/>
              </w:rPr>
              <w:t>(192,093,941)</w:t>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48" w:right="0"/>
              <w:jc w:val="left"/>
              <w:rPr>
                <w:rFonts w:ascii="Arial" w:hAnsi="Arial" w:cs="Arial" w:eastAsia="Arial" w:hint="default"/>
                <w:sz w:val="12"/>
                <w:szCs w:val="12"/>
              </w:rPr>
            </w:pPr>
            <w:r>
              <w:rPr>
                <w:rFonts w:ascii="Arial"/>
                <w:sz w:val="12"/>
              </w:rPr>
              <w:t>(10,687,585,929)</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
              <w:jc w:val="right"/>
              <w:rPr>
                <w:rFonts w:ascii="Arial" w:hAnsi="Arial" w:cs="Arial" w:eastAsia="Arial" w:hint="default"/>
                <w:sz w:val="12"/>
                <w:szCs w:val="12"/>
              </w:rPr>
            </w:pPr>
            <w:r>
              <w:rPr>
                <w:rFonts w:ascii="Arial"/>
                <w:w w:val="99"/>
                <w:sz w:val="12"/>
              </w:rPr>
              <w:t>-</w:t>
            </w:r>
            <w:r>
              <w:rPr>
                <w:rFonts w:ascii="Arial"/>
                <w:sz w:val="12"/>
              </w:rPr>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76"/>
              <w:jc w:val="right"/>
              <w:rPr>
                <w:rFonts w:ascii="Arial" w:hAnsi="Arial" w:cs="Arial" w:eastAsia="Arial" w:hint="default"/>
                <w:sz w:val="12"/>
                <w:szCs w:val="12"/>
              </w:rPr>
            </w:pPr>
            <w:r>
              <w:rPr>
                <w:rFonts w:ascii="Arial"/>
                <w:w w:val="99"/>
                <w:sz w:val="12"/>
              </w:rPr>
              <w:t>-</w:t>
            </w:r>
            <w:r>
              <w:rPr>
                <w:rFonts w:ascii="Arial"/>
                <w:sz w:val="12"/>
              </w:rPr>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25" w:right="0"/>
              <w:jc w:val="left"/>
              <w:rPr>
                <w:rFonts w:ascii="Arial" w:hAnsi="Arial" w:cs="Arial" w:eastAsia="Arial" w:hint="default"/>
                <w:sz w:val="12"/>
                <w:szCs w:val="12"/>
              </w:rPr>
            </w:pPr>
            <w:r>
              <w:rPr>
                <w:rFonts w:ascii="Arial"/>
                <w:sz w:val="12"/>
              </w:rPr>
              <w:t>(10,687,585,929)</w:t>
            </w:r>
          </w:p>
        </w:tc>
      </w:tr>
      <w:tr>
        <w:trPr>
          <w:trHeight w:val="156"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营业税金及附加</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3"/>
              <w:jc w:val="right"/>
              <w:rPr>
                <w:rFonts w:ascii="Arial" w:hAnsi="Arial" w:cs="Arial" w:eastAsia="Arial" w:hint="default"/>
                <w:sz w:val="12"/>
                <w:szCs w:val="12"/>
              </w:rPr>
            </w:pPr>
            <w:r>
              <w:rPr>
                <w:rFonts w:ascii="Arial"/>
                <w:spacing w:val="-1"/>
                <w:sz w:val="12"/>
              </w:rPr>
              <w:t>(3,486,749,249)</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6"/>
              <w:jc w:val="right"/>
              <w:rPr>
                <w:rFonts w:ascii="Arial" w:hAnsi="Arial" w:cs="Arial" w:eastAsia="Arial" w:hint="default"/>
                <w:sz w:val="12"/>
                <w:szCs w:val="12"/>
              </w:rPr>
            </w:pPr>
            <w:r>
              <w:rPr>
                <w:rFonts w:ascii="Arial"/>
                <w:spacing w:val="-1"/>
                <w:sz w:val="12"/>
              </w:rPr>
              <w:t>(2,759,891,385)</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5"/>
              <w:jc w:val="right"/>
              <w:rPr>
                <w:rFonts w:ascii="Arial" w:hAnsi="Arial" w:cs="Arial" w:eastAsia="Arial" w:hint="default"/>
                <w:sz w:val="12"/>
                <w:szCs w:val="12"/>
              </w:rPr>
            </w:pPr>
            <w:r>
              <w:rPr>
                <w:rFonts w:ascii="Arial"/>
                <w:spacing w:val="-1"/>
                <w:sz w:val="12"/>
              </w:rPr>
              <w:t>(6,246,640,634)</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Arial" w:hAnsi="Arial" w:cs="Arial" w:eastAsia="Arial" w:hint="default"/>
                <w:sz w:val="12"/>
                <w:szCs w:val="12"/>
              </w:rPr>
            </w:pPr>
            <w:r>
              <w:rPr>
                <w:rFonts w:ascii="Arial"/>
                <w:spacing w:val="-1"/>
                <w:sz w:val="12"/>
              </w:rPr>
              <w:t>(104,987,534)</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3"/>
              <w:jc w:val="right"/>
              <w:rPr>
                <w:rFonts w:ascii="Arial" w:hAnsi="Arial" w:cs="Arial" w:eastAsia="Arial" w:hint="default"/>
                <w:sz w:val="12"/>
                <w:szCs w:val="12"/>
              </w:rPr>
            </w:pPr>
            <w:r>
              <w:rPr>
                <w:rFonts w:ascii="Arial"/>
                <w:w w:val="99"/>
                <w:sz w:val="12"/>
              </w:rPr>
              <w:t>-</w:t>
            </w:r>
            <w:r>
              <w:rPr>
                <w:rFonts w:ascii="Arial"/>
                <w:sz w:val="12"/>
              </w:rPr>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557" w:right="0"/>
              <w:jc w:val="left"/>
              <w:rPr>
                <w:rFonts w:ascii="Arial" w:hAnsi="Arial" w:cs="Arial" w:eastAsia="Arial" w:hint="default"/>
                <w:sz w:val="12"/>
                <w:szCs w:val="12"/>
              </w:rPr>
            </w:pPr>
            <w:r>
              <w:rPr>
                <w:rFonts w:ascii="Arial"/>
                <w:sz w:val="12"/>
              </w:rPr>
              <w:t>(6,351,628,168)</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334" w:right="0"/>
              <w:jc w:val="left"/>
              <w:rPr>
                <w:rFonts w:ascii="Arial" w:hAnsi="Arial" w:cs="Arial" w:eastAsia="Arial" w:hint="default"/>
                <w:sz w:val="12"/>
                <w:szCs w:val="12"/>
              </w:rPr>
            </w:pPr>
            <w:r>
              <w:rPr>
                <w:rFonts w:ascii="Arial"/>
                <w:sz w:val="12"/>
              </w:rPr>
              <w:t>(2,319,277,624)</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Arial" w:hAnsi="Arial" w:cs="Arial" w:eastAsia="Arial" w:hint="default"/>
                <w:sz w:val="12"/>
                <w:szCs w:val="12"/>
              </w:rPr>
            </w:pPr>
            <w:r>
              <w:rPr>
                <w:rFonts w:ascii="Arial"/>
                <w:spacing w:val="-1"/>
                <w:sz w:val="12"/>
              </w:rPr>
              <w:t>(2,441,628,287)</w:t>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313" w:right="0"/>
              <w:jc w:val="left"/>
              <w:rPr>
                <w:rFonts w:ascii="Arial" w:hAnsi="Arial" w:cs="Arial" w:eastAsia="Arial" w:hint="default"/>
                <w:sz w:val="12"/>
                <w:szCs w:val="12"/>
              </w:rPr>
            </w:pPr>
            <w:r>
              <w:rPr>
                <w:rFonts w:ascii="Arial"/>
                <w:sz w:val="12"/>
              </w:rPr>
              <w:t>(4,760,905,911)</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Arial" w:hAnsi="Arial" w:cs="Arial" w:eastAsia="Arial" w:hint="default"/>
                <w:sz w:val="12"/>
                <w:szCs w:val="12"/>
              </w:rPr>
            </w:pPr>
            <w:r>
              <w:rPr>
                <w:rFonts w:ascii="Arial"/>
                <w:spacing w:val="-1"/>
                <w:sz w:val="12"/>
              </w:rPr>
              <w:t>(112,475,408)</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78"/>
              <w:jc w:val="right"/>
              <w:rPr>
                <w:rFonts w:ascii="Arial" w:hAnsi="Arial" w:cs="Arial" w:eastAsia="Arial" w:hint="default"/>
                <w:sz w:val="12"/>
                <w:szCs w:val="12"/>
              </w:rPr>
            </w:pPr>
            <w:r>
              <w:rPr>
                <w:rFonts w:ascii="Arial"/>
                <w:w w:val="99"/>
                <w:sz w:val="12"/>
              </w:rPr>
              <w:t>-</w:t>
            </w:r>
            <w:r>
              <w:rPr>
                <w:rFonts w:ascii="Arial"/>
                <w:sz w:val="12"/>
              </w:rPr>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91" w:right="0"/>
              <w:jc w:val="left"/>
              <w:rPr>
                <w:rFonts w:ascii="Arial" w:hAnsi="Arial" w:cs="Arial" w:eastAsia="Arial" w:hint="default"/>
                <w:sz w:val="12"/>
                <w:szCs w:val="12"/>
              </w:rPr>
            </w:pPr>
            <w:r>
              <w:rPr>
                <w:rFonts w:ascii="Arial"/>
                <w:sz w:val="12"/>
              </w:rPr>
              <w:t>(4,873,381,319)</w:t>
            </w:r>
          </w:p>
        </w:tc>
      </w:tr>
      <w:tr>
        <w:trPr>
          <w:trHeight w:val="156"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销售费用</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3"/>
              <w:jc w:val="right"/>
              <w:rPr>
                <w:rFonts w:ascii="Arial" w:hAnsi="Arial" w:cs="Arial" w:eastAsia="Arial" w:hint="default"/>
                <w:sz w:val="12"/>
                <w:szCs w:val="12"/>
              </w:rPr>
            </w:pPr>
            <w:r>
              <w:rPr>
                <w:rFonts w:ascii="Arial"/>
                <w:spacing w:val="-1"/>
                <w:sz w:val="12"/>
              </w:rPr>
              <w:t>(12,283,861,555)</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6"/>
              <w:jc w:val="right"/>
              <w:rPr>
                <w:rFonts w:ascii="Arial" w:hAnsi="Arial" w:cs="Arial" w:eastAsia="Arial" w:hint="default"/>
                <w:sz w:val="12"/>
                <w:szCs w:val="12"/>
              </w:rPr>
            </w:pPr>
            <w:r>
              <w:rPr>
                <w:rFonts w:ascii="Arial"/>
                <w:spacing w:val="-1"/>
                <w:sz w:val="12"/>
              </w:rPr>
              <w:t>(7,416,067,850)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6"/>
              <w:jc w:val="right"/>
              <w:rPr>
                <w:rFonts w:ascii="Arial" w:hAnsi="Arial" w:cs="Arial" w:eastAsia="Arial" w:hint="default"/>
                <w:sz w:val="12"/>
                <w:szCs w:val="12"/>
              </w:rPr>
            </w:pPr>
            <w:r>
              <w:rPr>
                <w:rFonts w:ascii="Arial"/>
                <w:spacing w:val="-1"/>
                <w:sz w:val="12"/>
              </w:rPr>
              <w:t>(19,699,929,405)</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Arial" w:hAnsi="Arial" w:cs="Arial" w:eastAsia="Arial" w:hint="default"/>
                <w:sz w:val="12"/>
                <w:szCs w:val="12"/>
              </w:rPr>
            </w:pPr>
            <w:r>
              <w:rPr>
                <w:rFonts w:ascii="Arial"/>
                <w:spacing w:val="-1"/>
                <w:sz w:val="12"/>
              </w:rPr>
              <w:t>(9,062,581,738)</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3"/>
              <w:jc w:val="right"/>
              <w:rPr>
                <w:rFonts w:ascii="Arial" w:hAnsi="Arial" w:cs="Arial" w:eastAsia="Arial" w:hint="default"/>
                <w:sz w:val="12"/>
                <w:szCs w:val="12"/>
              </w:rPr>
            </w:pPr>
            <w:r>
              <w:rPr>
                <w:rFonts w:ascii="Arial"/>
                <w:spacing w:val="-1"/>
                <w:sz w:val="12"/>
              </w:rPr>
              <w:t>11,820,300</w:t>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491" w:right="0"/>
              <w:jc w:val="left"/>
              <w:rPr>
                <w:rFonts w:ascii="Arial" w:hAnsi="Arial" w:cs="Arial" w:eastAsia="Arial" w:hint="default"/>
                <w:sz w:val="12"/>
                <w:szCs w:val="12"/>
              </w:rPr>
            </w:pPr>
            <w:r>
              <w:rPr>
                <w:rFonts w:ascii="Arial"/>
                <w:sz w:val="12"/>
              </w:rPr>
              <w:t>(28,750,690,843)</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334" w:right="0"/>
              <w:jc w:val="left"/>
              <w:rPr>
                <w:rFonts w:ascii="Arial" w:hAnsi="Arial" w:cs="Arial" w:eastAsia="Arial" w:hint="default"/>
                <w:sz w:val="12"/>
                <w:szCs w:val="12"/>
              </w:rPr>
            </w:pPr>
            <w:r>
              <w:rPr>
                <w:rFonts w:ascii="Arial"/>
                <w:sz w:val="12"/>
              </w:rPr>
              <w:t>(9,390,339,806)</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Arial" w:hAnsi="Arial" w:cs="Arial" w:eastAsia="Arial" w:hint="default"/>
                <w:sz w:val="12"/>
                <w:szCs w:val="12"/>
              </w:rPr>
            </w:pPr>
            <w:r>
              <w:rPr>
                <w:rFonts w:ascii="Arial"/>
                <w:spacing w:val="-1"/>
                <w:sz w:val="12"/>
              </w:rPr>
              <w:t>(6,647,454,944)</w:t>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47" w:right="0"/>
              <w:jc w:val="left"/>
              <w:rPr>
                <w:rFonts w:ascii="Arial" w:hAnsi="Arial" w:cs="Arial" w:eastAsia="Arial" w:hint="default"/>
                <w:sz w:val="12"/>
                <w:szCs w:val="12"/>
              </w:rPr>
            </w:pPr>
            <w:r>
              <w:rPr>
                <w:rFonts w:ascii="Arial"/>
                <w:sz w:val="12"/>
              </w:rPr>
              <w:t>(16,037,794,750)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Arial" w:hAnsi="Arial" w:cs="Arial" w:eastAsia="Arial" w:hint="default"/>
                <w:sz w:val="12"/>
                <w:szCs w:val="12"/>
              </w:rPr>
            </w:pPr>
            <w:r>
              <w:rPr>
                <w:rFonts w:ascii="Arial"/>
                <w:spacing w:val="-1"/>
                <w:sz w:val="12"/>
              </w:rPr>
              <w:t>(7,711,104,132)</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439" w:right="0"/>
              <w:jc w:val="left"/>
              <w:rPr>
                <w:rFonts w:ascii="Arial" w:hAnsi="Arial" w:cs="Arial" w:eastAsia="Arial" w:hint="default"/>
                <w:sz w:val="12"/>
                <w:szCs w:val="12"/>
              </w:rPr>
            </w:pPr>
            <w:r>
              <w:rPr>
                <w:rFonts w:ascii="Arial"/>
                <w:sz w:val="12"/>
              </w:rPr>
              <w:t>14,156,096</w:t>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25" w:right="0"/>
              <w:jc w:val="left"/>
              <w:rPr>
                <w:rFonts w:ascii="Arial" w:hAnsi="Arial" w:cs="Arial" w:eastAsia="Arial" w:hint="default"/>
                <w:sz w:val="12"/>
                <w:szCs w:val="12"/>
              </w:rPr>
            </w:pPr>
            <w:r>
              <w:rPr>
                <w:rFonts w:ascii="Arial"/>
                <w:sz w:val="12"/>
              </w:rPr>
              <w:t>(23,734,742,786)</w:t>
            </w:r>
          </w:p>
        </w:tc>
      </w:tr>
      <w:tr>
        <w:trPr>
          <w:trHeight w:val="155"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管理费用</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3"/>
              <w:jc w:val="right"/>
              <w:rPr>
                <w:rFonts w:ascii="Arial" w:hAnsi="Arial" w:cs="Arial" w:eastAsia="Arial" w:hint="default"/>
                <w:sz w:val="12"/>
                <w:szCs w:val="12"/>
              </w:rPr>
            </w:pPr>
            <w:r>
              <w:rPr>
                <w:rFonts w:ascii="Arial"/>
                <w:w w:val="99"/>
                <w:sz w:val="12"/>
              </w:rPr>
              <w:t>-</w:t>
            </w:r>
            <w:r>
              <w:rPr>
                <w:rFonts w:ascii="Arial"/>
                <w:sz w:val="12"/>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6"/>
              <w:jc w:val="right"/>
              <w:rPr>
                <w:rFonts w:ascii="Arial" w:hAnsi="Arial" w:cs="Arial" w:eastAsia="Arial" w:hint="default"/>
                <w:sz w:val="12"/>
                <w:szCs w:val="12"/>
              </w:rPr>
            </w:pPr>
            <w:r>
              <w:rPr>
                <w:rFonts w:ascii="Arial"/>
                <w:w w:val="99"/>
                <w:sz w:val="12"/>
              </w:rPr>
              <w:t>-</w:t>
            </w:r>
            <w:r>
              <w:rPr>
                <w:rFonts w:ascii="Arial"/>
                <w:sz w:val="12"/>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5"/>
              <w:jc w:val="right"/>
              <w:rPr>
                <w:rFonts w:ascii="Arial" w:hAnsi="Arial" w:cs="Arial" w:eastAsia="Arial" w:hint="default"/>
                <w:sz w:val="12"/>
                <w:szCs w:val="12"/>
              </w:rPr>
            </w:pPr>
            <w:r>
              <w:rPr>
                <w:rFonts w:ascii="Arial"/>
                <w:w w:val="99"/>
                <w:sz w:val="12"/>
              </w:rPr>
              <w:t>-</w:t>
            </w:r>
            <w:r>
              <w:rPr>
                <w:rFonts w:ascii="Arial"/>
                <w:sz w:val="12"/>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2"/>
              <w:jc w:val="right"/>
              <w:rPr>
                <w:rFonts w:ascii="Arial" w:hAnsi="Arial" w:cs="Arial" w:eastAsia="Arial" w:hint="default"/>
                <w:sz w:val="12"/>
                <w:szCs w:val="12"/>
              </w:rPr>
            </w:pPr>
            <w:r>
              <w:rPr>
                <w:rFonts w:ascii="Arial"/>
                <w:spacing w:val="-1"/>
                <w:sz w:val="12"/>
              </w:rPr>
              <w:t>(18,224,250,424)</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3"/>
              <w:jc w:val="right"/>
              <w:rPr>
                <w:rFonts w:ascii="Arial" w:hAnsi="Arial" w:cs="Arial" w:eastAsia="Arial" w:hint="default"/>
                <w:sz w:val="12"/>
                <w:szCs w:val="12"/>
              </w:rPr>
            </w:pPr>
            <w:r>
              <w:rPr>
                <w:rFonts w:ascii="Arial"/>
                <w:spacing w:val="-1"/>
                <w:sz w:val="12"/>
              </w:rPr>
              <w:t>24,512,712</w:t>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91" w:right="0"/>
              <w:jc w:val="left"/>
              <w:rPr>
                <w:rFonts w:ascii="Arial" w:hAnsi="Arial" w:cs="Arial" w:eastAsia="Arial" w:hint="default"/>
                <w:sz w:val="12"/>
                <w:szCs w:val="12"/>
              </w:rPr>
            </w:pPr>
            <w:r>
              <w:rPr>
                <w:rFonts w:ascii="Arial"/>
                <w:sz w:val="12"/>
              </w:rPr>
              <w:t>(18,199,737,712)</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120"/>
              <w:jc w:val="right"/>
              <w:rPr>
                <w:rFonts w:ascii="Arial" w:hAnsi="Arial" w:cs="Arial" w:eastAsia="Arial" w:hint="default"/>
                <w:sz w:val="12"/>
                <w:szCs w:val="12"/>
              </w:rPr>
            </w:pPr>
            <w:r>
              <w:rPr>
                <w:rFonts w:ascii="Arial"/>
                <w:w w:val="99"/>
                <w:sz w:val="12"/>
              </w:rPr>
              <w:t>-</w:t>
            </w:r>
            <w:r>
              <w:rPr>
                <w:rFonts w:ascii="Arial"/>
                <w:sz w:val="12"/>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6"/>
              <w:jc w:val="right"/>
              <w:rPr>
                <w:rFonts w:ascii="Arial" w:hAnsi="Arial" w:cs="Arial" w:eastAsia="Arial" w:hint="default"/>
                <w:sz w:val="12"/>
                <w:szCs w:val="12"/>
              </w:rPr>
            </w:pPr>
            <w:r>
              <w:rPr>
                <w:rFonts w:ascii="Arial"/>
                <w:w w:val="99"/>
                <w:sz w:val="12"/>
              </w:rPr>
              <w:t>-</w:t>
            </w:r>
            <w:r>
              <w:rPr>
                <w:rFonts w:ascii="Arial"/>
                <w:sz w:val="12"/>
              </w:rPr>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145"/>
              <w:jc w:val="right"/>
              <w:rPr>
                <w:rFonts w:ascii="Arial" w:hAnsi="Arial" w:cs="Arial" w:eastAsia="Arial" w:hint="default"/>
                <w:sz w:val="12"/>
                <w:szCs w:val="12"/>
              </w:rPr>
            </w:pPr>
            <w:r>
              <w:rPr>
                <w:rFonts w:ascii="Arial"/>
                <w:w w:val="99"/>
                <w:sz w:val="12"/>
              </w:rPr>
              <w:t>-</w:t>
            </w:r>
            <w:r>
              <w:rPr>
                <w:rFonts w:ascii="Arial"/>
                <w:sz w:val="12"/>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Arial" w:hAnsi="Arial" w:cs="Arial" w:eastAsia="Arial" w:hint="default"/>
                <w:sz w:val="12"/>
                <w:szCs w:val="12"/>
              </w:rPr>
            </w:pPr>
            <w:r>
              <w:rPr>
                <w:rFonts w:ascii="Arial"/>
                <w:spacing w:val="-1"/>
                <w:sz w:val="12"/>
              </w:rPr>
              <w:t>(16,166,898,783)</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38" w:right="0"/>
              <w:jc w:val="left"/>
              <w:rPr>
                <w:rFonts w:ascii="Arial" w:hAnsi="Arial" w:cs="Arial" w:eastAsia="Arial" w:hint="default"/>
                <w:sz w:val="12"/>
                <w:szCs w:val="12"/>
              </w:rPr>
            </w:pPr>
            <w:r>
              <w:rPr>
                <w:rFonts w:ascii="Arial"/>
                <w:sz w:val="12"/>
              </w:rPr>
              <w:t>43,625,501</w:t>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25" w:right="0"/>
              <w:jc w:val="left"/>
              <w:rPr>
                <w:rFonts w:ascii="Arial" w:hAnsi="Arial" w:cs="Arial" w:eastAsia="Arial" w:hint="default"/>
                <w:sz w:val="12"/>
                <w:szCs w:val="12"/>
              </w:rPr>
            </w:pPr>
            <w:r>
              <w:rPr>
                <w:rFonts w:ascii="Arial"/>
                <w:sz w:val="12"/>
              </w:rPr>
              <w:t>(16,123,273,282)</w:t>
            </w:r>
          </w:p>
        </w:tc>
      </w:tr>
      <w:tr>
        <w:trPr>
          <w:trHeight w:val="156"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财务费用（加：收入）</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Arial" w:hAnsi="Arial" w:cs="Arial" w:eastAsia="Arial" w:hint="default"/>
                <w:sz w:val="12"/>
                <w:szCs w:val="12"/>
              </w:rPr>
            </w:pPr>
            <w:r>
              <w:rPr>
                <w:rFonts w:ascii="Arial"/>
                <w:w w:val="99"/>
                <w:sz w:val="12"/>
              </w:rPr>
              <w:t>-</w:t>
            </w:r>
            <w:r>
              <w:rPr>
                <w:rFonts w:ascii="Arial"/>
                <w:sz w:val="12"/>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6"/>
              <w:jc w:val="right"/>
              <w:rPr>
                <w:rFonts w:ascii="Arial" w:hAnsi="Arial" w:cs="Arial" w:eastAsia="Arial" w:hint="default"/>
                <w:sz w:val="12"/>
                <w:szCs w:val="12"/>
              </w:rPr>
            </w:pPr>
            <w:r>
              <w:rPr>
                <w:rFonts w:ascii="Arial"/>
                <w:w w:val="99"/>
                <w:sz w:val="12"/>
              </w:rPr>
              <w:t>-</w:t>
            </w:r>
            <w:r>
              <w:rPr>
                <w:rFonts w:ascii="Arial"/>
                <w:sz w:val="12"/>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5"/>
              <w:jc w:val="right"/>
              <w:rPr>
                <w:rFonts w:ascii="Arial" w:hAnsi="Arial" w:cs="Arial" w:eastAsia="Arial" w:hint="default"/>
                <w:sz w:val="12"/>
                <w:szCs w:val="12"/>
              </w:rPr>
            </w:pPr>
            <w:r>
              <w:rPr>
                <w:rFonts w:ascii="Arial"/>
                <w:w w:val="99"/>
                <w:sz w:val="12"/>
              </w:rPr>
              <w:t>-</w:t>
            </w:r>
            <w:r>
              <w:rPr>
                <w:rFonts w:ascii="Arial"/>
                <w:sz w:val="12"/>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Arial" w:hAnsi="Arial" w:cs="Arial" w:eastAsia="Arial" w:hint="default"/>
                <w:sz w:val="12"/>
                <w:szCs w:val="12"/>
              </w:rPr>
            </w:pPr>
            <w:r>
              <w:rPr>
                <w:rFonts w:ascii="Arial"/>
                <w:spacing w:val="-1"/>
                <w:sz w:val="12"/>
              </w:rPr>
              <w:t>(1,243,082,687)</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3"/>
              <w:jc w:val="right"/>
              <w:rPr>
                <w:rFonts w:ascii="Arial" w:hAnsi="Arial" w:cs="Arial" w:eastAsia="Arial" w:hint="default"/>
                <w:sz w:val="12"/>
                <w:szCs w:val="12"/>
              </w:rPr>
            </w:pPr>
            <w:r>
              <w:rPr>
                <w:rFonts w:ascii="Arial"/>
                <w:w w:val="99"/>
                <w:sz w:val="12"/>
              </w:rPr>
              <w:t>-</w:t>
            </w:r>
            <w:r>
              <w:rPr>
                <w:rFonts w:ascii="Arial"/>
                <w:sz w:val="12"/>
              </w:rPr>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557" w:right="0"/>
              <w:jc w:val="left"/>
              <w:rPr>
                <w:rFonts w:ascii="Arial" w:hAnsi="Arial" w:cs="Arial" w:eastAsia="Arial" w:hint="default"/>
                <w:sz w:val="12"/>
                <w:szCs w:val="12"/>
              </w:rPr>
            </w:pPr>
            <w:r>
              <w:rPr>
                <w:rFonts w:ascii="Arial"/>
                <w:sz w:val="12"/>
              </w:rPr>
              <w:t>(1,243,082,687)</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120"/>
              <w:jc w:val="right"/>
              <w:rPr>
                <w:rFonts w:ascii="Arial" w:hAnsi="Arial" w:cs="Arial" w:eastAsia="Arial" w:hint="default"/>
                <w:sz w:val="12"/>
                <w:szCs w:val="12"/>
              </w:rPr>
            </w:pPr>
            <w:r>
              <w:rPr>
                <w:rFonts w:ascii="Arial"/>
                <w:w w:val="99"/>
                <w:sz w:val="12"/>
              </w:rPr>
              <w:t>-</w:t>
            </w:r>
            <w:r>
              <w:rPr>
                <w:rFonts w:ascii="Arial"/>
                <w:sz w:val="12"/>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Arial" w:hAnsi="Arial" w:cs="Arial" w:eastAsia="Arial" w:hint="default"/>
                <w:sz w:val="12"/>
                <w:szCs w:val="12"/>
              </w:rPr>
            </w:pPr>
            <w:r>
              <w:rPr>
                <w:rFonts w:ascii="Arial"/>
                <w:w w:val="99"/>
                <w:sz w:val="12"/>
              </w:rPr>
              <w:t>-</w:t>
            </w:r>
            <w:r>
              <w:rPr>
                <w:rFonts w:ascii="Arial"/>
                <w:sz w:val="12"/>
              </w:rPr>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145"/>
              <w:jc w:val="right"/>
              <w:rPr>
                <w:rFonts w:ascii="Arial" w:hAnsi="Arial" w:cs="Arial" w:eastAsia="Arial" w:hint="default"/>
                <w:sz w:val="12"/>
                <w:szCs w:val="12"/>
              </w:rPr>
            </w:pPr>
            <w:r>
              <w:rPr>
                <w:rFonts w:ascii="Arial"/>
                <w:w w:val="99"/>
                <w:sz w:val="12"/>
              </w:rPr>
              <w:t>-</w:t>
            </w:r>
            <w:r>
              <w:rPr>
                <w:rFonts w:ascii="Arial"/>
                <w:sz w:val="12"/>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Arial" w:hAnsi="Arial" w:cs="Arial" w:eastAsia="Arial" w:hint="default"/>
                <w:sz w:val="12"/>
                <w:szCs w:val="12"/>
              </w:rPr>
            </w:pPr>
            <w:r>
              <w:rPr>
                <w:rFonts w:ascii="Arial"/>
                <w:spacing w:val="-1"/>
                <w:sz w:val="12"/>
              </w:rPr>
              <w:t>(1,624,003,124)</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78"/>
              <w:jc w:val="right"/>
              <w:rPr>
                <w:rFonts w:ascii="Arial" w:hAnsi="Arial" w:cs="Arial" w:eastAsia="Arial" w:hint="default"/>
                <w:sz w:val="12"/>
                <w:szCs w:val="12"/>
              </w:rPr>
            </w:pPr>
            <w:r>
              <w:rPr>
                <w:rFonts w:ascii="Arial"/>
                <w:w w:val="99"/>
                <w:sz w:val="12"/>
              </w:rPr>
              <w:t>-</w:t>
            </w:r>
            <w:r>
              <w:rPr>
                <w:rFonts w:ascii="Arial"/>
                <w:sz w:val="12"/>
              </w:rPr>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91" w:right="0"/>
              <w:jc w:val="left"/>
              <w:rPr>
                <w:rFonts w:ascii="Arial" w:hAnsi="Arial" w:cs="Arial" w:eastAsia="Arial" w:hint="default"/>
                <w:sz w:val="12"/>
                <w:szCs w:val="12"/>
              </w:rPr>
            </w:pPr>
            <w:r>
              <w:rPr>
                <w:rFonts w:ascii="Arial"/>
                <w:sz w:val="12"/>
              </w:rPr>
              <w:t>(1,624,003,124)</w:t>
            </w:r>
          </w:p>
        </w:tc>
      </w:tr>
      <w:tr>
        <w:trPr>
          <w:trHeight w:val="148"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资产减值损失</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3"/>
              <w:jc w:val="right"/>
              <w:rPr>
                <w:rFonts w:ascii="Arial" w:hAnsi="Arial" w:cs="Arial" w:eastAsia="Arial" w:hint="default"/>
                <w:sz w:val="12"/>
                <w:szCs w:val="12"/>
              </w:rPr>
            </w:pPr>
            <w:r>
              <w:rPr>
                <w:rFonts w:ascii="Arial"/>
                <w:spacing w:val="-1"/>
                <w:sz w:val="12"/>
              </w:rPr>
              <w:t>(2,196,161,600)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6"/>
              <w:jc w:val="right"/>
              <w:rPr>
                <w:rFonts w:ascii="Arial" w:hAnsi="Arial" w:cs="Arial" w:eastAsia="Arial" w:hint="default"/>
                <w:sz w:val="12"/>
                <w:szCs w:val="12"/>
              </w:rPr>
            </w:pPr>
            <w:r>
              <w:rPr>
                <w:rFonts w:ascii="Arial"/>
                <w:spacing w:val="-1"/>
                <w:sz w:val="12"/>
              </w:rPr>
              <w:t>(574,238,024)</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6"/>
              <w:jc w:val="right"/>
              <w:rPr>
                <w:rFonts w:ascii="Arial" w:hAnsi="Arial" w:cs="Arial" w:eastAsia="Arial" w:hint="default"/>
                <w:sz w:val="12"/>
                <w:szCs w:val="12"/>
              </w:rPr>
            </w:pPr>
            <w:r>
              <w:rPr>
                <w:rFonts w:ascii="Arial"/>
                <w:spacing w:val="-1"/>
                <w:sz w:val="12"/>
              </w:rPr>
              <w:t>(2,770,399,624)</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Arial" w:hAnsi="Arial" w:cs="Arial" w:eastAsia="Arial" w:hint="default"/>
                <w:sz w:val="12"/>
                <w:szCs w:val="12"/>
              </w:rPr>
            </w:pPr>
            <w:r>
              <w:rPr>
                <w:rFonts w:ascii="Arial"/>
                <w:spacing w:val="-1"/>
                <w:sz w:val="12"/>
              </w:rPr>
              <w:t>(813,445)</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4"/>
              <w:jc w:val="right"/>
              <w:rPr>
                <w:rFonts w:ascii="Arial" w:hAnsi="Arial" w:cs="Arial" w:eastAsia="Arial" w:hint="default"/>
                <w:sz w:val="12"/>
                <w:szCs w:val="12"/>
              </w:rPr>
            </w:pPr>
            <w:r>
              <w:rPr>
                <w:rFonts w:ascii="Arial"/>
                <w:w w:val="99"/>
                <w:sz w:val="12"/>
              </w:rPr>
              <w:t>-</w:t>
            </w:r>
            <w:r>
              <w:rPr>
                <w:rFonts w:ascii="Arial"/>
                <w:sz w:val="12"/>
              </w:rPr>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557" w:right="0"/>
              <w:jc w:val="left"/>
              <w:rPr>
                <w:rFonts w:ascii="Arial" w:hAnsi="Arial" w:cs="Arial" w:eastAsia="Arial" w:hint="default"/>
                <w:sz w:val="12"/>
                <w:szCs w:val="12"/>
              </w:rPr>
            </w:pPr>
            <w:r>
              <w:rPr>
                <w:rFonts w:ascii="Arial"/>
                <w:sz w:val="12"/>
              </w:rPr>
              <w:t>(2,771,213,069)</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334" w:right="0"/>
              <w:jc w:val="left"/>
              <w:rPr>
                <w:rFonts w:ascii="Arial" w:hAnsi="Arial" w:cs="Arial" w:eastAsia="Arial" w:hint="default"/>
                <w:sz w:val="12"/>
                <w:szCs w:val="12"/>
              </w:rPr>
            </w:pPr>
            <w:r>
              <w:rPr>
                <w:rFonts w:ascii="Arial"/>
                <w:sz w:val="12"/>
              </w:rPr>
              <w:t>(2,016,355,241)</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Arial" w:hAnsi="Arial" w:cs="Arial" w:eastAsia="Arial" w:hint="default"/>
                <w:sz w:val="12"/>
                <w:szCs w:val="12"/>
              </w:rPr>
            </w:pPr>
            <w:r>
              <w:rPr>
                <w:rFonts w:ascii="Arial"/>
                <w:spacing w:val="-1"/>
                <w:sz w:val="12"/>
              </w:rPr>
              <w:t>(643,950,847)</w:t>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313" w:right="0"/>
              <w:jc w:val="left"/>
              <w:rPr>
                <w:rFonts w:ascii="Arial" w:hAnsi="Arial" w:cs="Arial" w:eastAsia="Arial" w:hint="default"/>
                <w:sz w:val="12"/>
                <w:szCs w:val="12"/>
              </w:rPr>
            </w:pPr>
            <w:r>
              <w:rPr>
                <w:rFonts w:ascii="Arial"/>
                <w:sz w:val="12"/>
              </w:rPr>
              <w:t>(2,660,306,088)</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Arial" w:hAnsi="Arial" w:cs="Arial" w:eastAsia="Arial" w:hint="default"/>
                <w:sz w:val="12"/>
                <w:szCs w:val="12"/>
              </w:rPr>
            </w:pPr>
            <w:r>
              <w:rPr>
                <w:rFonts w:ascii="Arial"/>
                <w:spacing w:val="-1"/>
                <w:sz w:val="12"/>
              </w:rPr>
              <w:t>(7,346,182)</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right"/>
              <w:rPr>
                <w:rFonts w:ascii="Arial" w:hAnsi="Arial" w:cs="Arial" w:eastAsia="Arial" w:hint="default"/>
                <w:sz w:val="12"/>
                <w:szCs w:val="12"/>
              </w:rPr>
            </w:pPr>
            <w:r>
              <w:rPr>
                <w:rFonts w:ascii="Arial"/>
                <w:w w:val="99"/>
                <w:sz w:val="12"/>
              </w:rPr>
              <w:t>-</w:t>
            </w:r>
            <w:r>
              <w:rPr>
                <w:rFonts w:ascii="Arial"/>
                <w:sz w:val="12"/>
              </w:rPr>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91" w:right="0"/>
              <w:jc w:val="left"/>
              <w:rPr>
                <w:rFonts w:ascii="Arial" w:hAnsi="Arial" w:cs="Arial" w:eastAsia="Arial" w:hint="default"/>
                <w:sz w:val="12"/>
                <w:szCs w:val="12"/>
              </w:rPr>
            </w:pPr>
            <w:r>
              <w:rPr>
                <w:rFonts w:ascii="Arial"/>
                <w:sz w:val="12"/>
              </w:rPr>
              <w:t>(2,667,652,270)</w:t>
            </w:r>
          </w:p>
        </w:tc>
      </w:tr>
      <w:tr>
        <w:trPr>
          <w:trHeight w:val="244" w:hRule="exact"/>
        </w:trPr>
        <w:tc>
          <w:tcPr>
            <w:tcW w:w="15776" w:type="dxa"/>
            <w:gridSpan w:val="18"/>
            <w:tcBorders>
              <w:top w:val="nil" w:sz="6" w:space="0" w:color="auto"/>
              <w:left w:val="nil" w:sz="6" w:space="0" w:color="auto"/>
              <w:bottom w:val="nil" w:sz="6" w:space="0" w:color="auto"/>
              <w:right w:val="nil" w:sz="6" w:space="0" w:color="auto"/>
            </w:tcBorders>
          </w:tcPr>
          <w:p>
            <w:pPr>
              <w:pStyle w:val="TableParagraph"/>
              <w:tabs>
                <w:tab w:pos="1580" w:val="left" w:leader="none"/>
                <w:tab w:pos="2588" w:val="left" w:leader="none"/>
                <w:tab w:pos="3734" w:val="left" w:leader="none"/>
                <w:tab w:pos="4953" w:val="left" w:leader="none"/>
                <w:tab w:pos="5497" w:val="left" w:leader="none"/>
                <w:tab w:pos="7220" w:val="left" w:leader="none"/>
                <w:tab w:pos="8035" w:val="left" w:leader="none"/>
                <w:tab w:pos="9469" w:val="left" w:leader="none"/>
                <w:tab w:pos="10984" w:val="left" w:leader="none"/>
                <w:tab w:pos="11740" w:val="left" w:leader="none"/>
                <w:tab w:pos="12679" w:val="left" w:leader="none"/>
                <w:tab w:pos="14413" w:val="left" w:leader="none"/>
                <w:tab w:pos="14965" w:val="left" w:leader="none"/>
                <w:tab w:pos="15740" w:val="left" w:leader="none"/>
              </w:tabs>
              <w:spacing w:line="159" w:lineRule="exact"/>
              <w:ind w:left="35" w:right="0"/>
              <w:jc w:val="left"/>
              <w:rPr>
                <w:rFonts w:ascii="Arial" w:hAnsi="Arial" w:cs="Arial" w:eastAsia="Arial" w:hint="default"/>
                <w:sz w:val="12"/>
                <w:szCs w:val="12"/>
              </w:rPr>
            </w:pPr>
            <w:r>
              <w:rPr>
                <w:rFonts w:ascii="宋体" w:hAnsi="宋体" w:cs="宋体" w:eastAsia="宋体" w:hint="default"/>
                <w:position w:val="1"/>
                <w:sz w:val="12"/>
                <w:szCs w:val="12"/>
              </w:rPr>
              <w:t>加：投资收益（损失）</w:t>
              <w:tab/>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866,240,576</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866,240,576</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t>(106,753)</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(106,753)</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t>484,733,512</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484,626,759</w:t>
              <w:tab/>
            </w:r>
            <w:r>
              <w:rPr>
                <w:rFonts w:ascii="Arial" w:hAnsi="Arial" w:cs="Arial" w:eastAsia="Arial" w:hint="default"/>
                <w:spacing w:val="-1"/>
                <w:sz w:val="12"/>
                <w:szCs w:val="12"/>
              </w:rPr>
            </w:r>
          </w:p>
        </w:tc>
      </w:tr>
      <w:tr>
        <w:trPr>
          <w:trHeight w:val="235"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2"/>
                <w:szCs w:val="12"/>
              </w:rPr>
            </w:pPr>
            <w:r>
              <w:rPr>
                <w:rFonts w:ascii="宋体" w:hAnsi="宋体" w:cs="宋体" w:eastAsia="宋体" w:hint="default"/>
                <w:sz w:val="12"/>
                <w:szCs w:val="12"/>
              </w:rPr>
              <w:t>营业利润（减：亏损）</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3"/>
              <w:jc w:val="right"/>
              <w:rPr>
                <w:rFonts w:ascii="Arial" w:hAnsi="Arial" w:cs="Arial" w:eastAsia="Arial" w:hint="default"/>
                <w:sz w:val="12"/>
                <w:szCs w:val="12"/>
              </w:rPr>
            </w:pPr>
            <w:r>
              <w:rPr>
                <w:rFonts w:ascii="Arial"/>
                <w:spacing w:val="-1"/>
                <w:sz w:val="12"/>
              </w:rPr>
              <w:t>34,637,272,507</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6"/>
              <w:jc w:val="right"/>
              <w:rPr>
                <w:rFonts w:ascii="Arial" w:hAnsi="Arial" w:cs="Arial" w:eastAsia="Arial" w:hint="default"/>
                <w:sz w:val="12"/>
                <w:szCs w:val="12"/>
              </w:rPr>
            </w:pPr>
            <w:r>
              <w:rPr>
                <w:rFonts w:ascii="Arial"/>
                <w:spacing w:val="-1"/>
                <w:sz w:val="12"/>
              </w:rPr>
              <w:t>34,143,943,755</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5"/>
              <w:jc w:val="right"/>
              <w:rPr>
                <w:rFonts w:ascii="Arial" w:hAnsi="Arial" w:cs="Arial" w:eastAsia="Arial" w:hint="default"/>
                <w:sz w:val="12"/>
                <w:szCs w:val="12"/>
              </w:rPr>
            </w:pPr>
            <w:r>
              <w:rPr>
                <w:rFonts w:ascii="Arial"/>
                <w:spacing w:val="-1"/>
                <w:sz w:val="12"/>
              </w:rPr>
              <w:t>68,781,216,262</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2"/>
              <w:jc w:val="right"/>
              <w:rPr>
                <w:rFonts w:ascii="Arial" w:hAnsi="Arial" w:cs="Arial" w:eastAsia="Arial" w:hint="default"/>
                <w:sz w:val="12"/>
                <w:szCs w:val="12"/>
              </w:rPr>
            </w:pPr>
            <w:r>
              <w:rPr>
                <w:rFonts w:ascii="Arial"/>
                <w:spacing w:val="-1"/>
                <w:sz w:val="12"/>
              </w:rPr>
              <w:t>(63,997,185,075)</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Arial" w:hAnsi="Arial" w:cs="Arial" w:eastAsia="Arial" w:hint="default"/>
                <w:sz w:val="12"/>
                <w:szCs w:val="12"/>
              </w:rPr>
            </w:pPr>
            <w:r>
              <w:rPr>
                <w:rFonts w:ascii="Arial"/>
                <w:spacing w:val="-1"/>
                <w:sz w:val="12"/>
              </w:rPr>
              <w:t>(129,655,318)</w:t>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599" w:right="0"/>
              <w:jc w:val="left"/>
              <w:rPr>
                <w:rFonts w:ascii="Arial" w:hAnsi="Arial" w:cs="Arial" w:eastAsia="Arial" w:hint="default"/>
                <w:sz w:val="12"/>
                <w:szCs w:val="12"/>
              </w:rPr>
            </w:pPr>
            <w:r>
              <w:rPr>
                <w:rFonts w:ascii="Arial"/>
                <w:sz w:val="12"/>
              </w:rPr>
              <w:t>4,654,375,869</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309" w:right="0"/>
              <w:jc w:val="left"/>
              <w:rPr>
                <w:rFonts w:ascii="Arial" w:hAnsi="Arial" w:cs="Arial" w:eastAsia="Arial" w:hint="default"/>
                <w:sz w:val="12"/>
                <w:szCs w:val="12"/>
              </w:rPr>
            </w:pPr>
            <w:r>
              <w:rPr>
                <w:rFonts w:ascii="Arial"/>
                <w:sz w:val="12"/>
              </w:rPr>
              <w:t>27,044,274,194</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
              <w:jc w:val="right"/>
              <w:rPr>
                <w:rFonts w:ascii="Arial" w:hAnsi="Arial" w:cs="Arial" w:eastAsia="Arial" w:hint="default"/>
                <w:sz w:val="12"/>
                <w:szCs w:val="12"/>
              </w:rPr>
            </w:pPr>
            <w:r>
              <w:rPr>
                <w:rFonts w:ascii="Arial"/>
                <w:spacing w:val="-1"/>
                <w:sz w:val="12"/>
              </w:rPr>
              <w:t>33,573,135,039</w:t>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88" w:right="0"/>
              <w:jc w:val="left"/>
              <w:rPr>
                <w:rFonts w:ascii="Arial" w:hAnsi="Arial" w:cs="Arial" w:eastAsia="Arial" w:hint="default"/>
                <w:sz w:val="12"/>
                <w:szCs w:val="12"/>
              </w:rPr>
            </w:pPr>
            <w:r>
              <w:rPr>
                <w:rFonts w:ascii="Arial"/>
                <w:sz w:val="12"/>
              </w:rPr>
              <w:t>60,617,409,233</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
              <w:jc w:val="right"/>
              <w:rPr>
                <w:rFonts w:ascii="Arial" w:hAnsi="Arial" w:cs="Arial" w:eastAsia="Arial" w:hint="default"/>
                <w:sz w:val="12"/>
                <w:szCs w:val="12"/>
              </w:rPr>
            </w:pPr>
            <w:r>
              <w:rPr>
                <w:rFonts w:ascii="Arial"/>
                <w:spacing w:val="-1"/>
                <w:sz w:val="12"/>
              </w:rPr>
              <w:t>(56,503,896,721)</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331" w:right="0"/>
              <w:jc w:val="left"/>
              <w:rPr>
                <w:rFonts w:ascii="Arial" w:hAnsi="Arial" w:cs="Arial" w:eastAsia="Arial" w:hint="default"/>
                <w:sz w:val="12"/>
                <w:szCs w:val="12"/>
              </w:rPr>
            </w:pPr>
            <w:r>
              <w:rPr>
                <w:rFonts w:ascii="Arial"/>
                <w:sz w:val="12"/>
              </w:rPr>
              <w:t>(171,734,786)</w:t>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333" w:right="0"/>
              <w:jc w:val="left"/>
              <w:rPr>
                <w:rFonts w:ascii="Arial" w:hAnsi="Arial" w:cs="Arial" w:eastAsia="Arial" w:hint="default"/>
                <w:sz w:val="12"/>
                <w:szCs w:val="12"/>
              </w:rPr>
            </w:pPr>
            <w:r>
              <w:rPr>
                <w:rFonts w:ascii="Arial"/>
                <w:sz w:val="12"/>
              </w:rPr>
              <w:t>3,941,777,726</w:t>
            </w:r>
          </w:p>
        </w:tc>
      </w:tr>
      <w:tr>
        <w:trPr>
          <w:trHeight w:val="146"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28" w:lineRule="exact"/>
              <w:ind w:left="35" w:right="0"/>
              <w:jc w:val="left"/>
              <w:rPr>
                <w:rFonts w:ascii="宋体" w:hAnsi="宋体" w:cs="宋体" w:eastAsia="宋体" w:hint="default"/>
                <w:sz w:val="12"/>
                <w:szCs w:val="12"/>
              </w:rPr>
            </w:pPr>
            <w:r>
              <w:rPr>
                <w:rFonts w:ascii="宋体" w:hAnsi="宋体" w:cs="宋体" w:eastAsia="宋体" w:hint="default"/>
                <w:sz w:val="12"/>
                <w:szCs w:val="12"/>
              </w:rPr>
              <w:t>加：营业外收入</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3"/>
              <w:jc w:val="right"/>
              <w:rPr>
                <w:rFonts w:ascii="Arial" w:hAnsi="Arial" w:cs="Arial" w:eastAsia="Arial" w:hint="default"/>
                <w:sz w:val="12"/>
                <w:szCs w:val="12"/>
              </w:rPr>
            </w:pPr>
            <w:r>
              <w:rPr>
                <w:rFonts w:ascii="Arial"/>
                <w:w w:val="99"/>
                <w:sz w:val="12"/>
              </w:rPr>
              <w:t>-</w:t>
            </w:r>
            <w:r>
              <w:rPr>
                <w:rFonts w:ascii="Arial"/>
                <w:sz w:val="12"/>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6"/>
              <w:jc w:val="right"/>
              <w:rPr>
                <w:rFonts w:ascii="Arial" w:hAnsi="Arial" w:cs="Arial" w:eastAsia="Arial" w:hint="default"/>
                <w:sz w:val="12"/>
                <w:szCs w:val="12"/>
              </w:rPr>
            </w:pPr>
            <w:r>
              <w:rPr>
                <w:rFonts w:ascii="Arial"/>
                <w:w w:val="99"/>
                <w:sz w:val="12"/>
              </w:rPr>
              <w:t>-</w:t>
            </w:r>
            <w:r>
              <w:rPr>
                <w:rFonts w:ascii="Arial"/>
                <w:sz w:val="12"/>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5"/>
              <w:jc w:val="right"/>
              <w:rPr>
                <w:rFonts w:ascii="Arial" w:hAnsi="Arial" w:cs="Arial" w:eastAsia="Arial" w:hint="default"/>
                <w:sz w:val="12"/>
                <w:szCs w:val="12"/>
              </w:rPr>
            </w:pPr>
            <w:r>
              <w:rPr>
                <w:rFonts w:ascii="Arial"/>
                <w:w w:val="99"/>
                <w:sz w:val="12"/>
              </w:rPr>
              <w:t>-</w:t>
            </w:r>
            <w:r>
              <w:rPr>
                <w:rFonts w:ascii="Arial"/>
                <w:sz w:val="12"/>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1"/>
              <w:jc w:val="right"/>
              <w:rPr>
                <w:rFonts w:ascii="Arial" w:hAnsi="Arial" w:cs="Arial" w:eastAsia="Arial" w:hint="default"/>
                <w:sz w:val="12"/>
                <w:szCs w:val="12"/>
              </w:rPr>
            </w:pPr>
            <w:r>
              <w:rPr>
                <w:rFonts w:ascii="Arial"/>
                <w:spacing w:val="-1"/>
                <w:sz w:val="12"/>
              </w:rPr>
              <w:t>1,874,449,694</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3"/>
              <w:jc w:val="right"/>
              <w:rPr>
                <w:rFonts w:ascii="Arial" w:hAnsi="Arial" w:cs="Arial" w:eastAsia="Arial" w:hint="default"/>
                <w:sz w:val="12"/>
                <w:szCs w:val="12"/>
              </w:rPr>
            </w:pPr>
            <w:r>
              <w:rPr>
                <w:rFonts w:ascii="Arial"/>
                <w:w w:val="99"/>
                <w:sz w:val="12"/>
              </w:rPr>
              <w:t>-</w:t>
            </w:r>
            <w:r>
              <w:rPr>
                <w:rFonts w:ascii="Arial"/>
                <w:sz w:val="12"/>
              </w:rPr>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00" w:right="0"/>
              <w:jc w:val="left"/>
              <w:rPr>
                <w:rFonts w:ascii="Arial" w:hAnsi="Arial" w:cs="Arial" w:eastAsia="Arial" w:hint="default"/>
                <w:sz w:val="12"/>
                <w:szCs w:val="12"/>
              </w:rPr>
            </w:pPr>
            <w:r>
              <w:rPr>
                <w:rFonts w:ascii="Arial"/>
                <w:sz w:val="12"/>
              </w:rPr>
              <w:t>1,874,449,694</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120"/>
              <w:jc w:val="right"/>
              <w:rPr>
                <w:rFonts w:ascii="Arial" w:hAnsi="Arial" w:cs="Arial" w:eastAsia="Arial" w:hint="default"/>
                <w:sz w:val="12"/>
                <w:szCs w:val="12"/>
              </w:rPr>
            </w:pPr>
            <w:r>
              <w:rPr>
                <w:rFonts w:ascii="Arial"/>
                <w:w w:val="99"/>
                <w:sz w:val="12"/>
              </w:rPr>
              <w:t>-</w:t>
            </w:r>
            <w:r>
              <w:rPr>
                <w:rFonts w:ascii="Arial"/>
                <w:sz w:val="12"/>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6"/>
              <w:jc w:val="right"/>
              <w:rPr>
                <w:rFonts w:ascii="Arial" w:hAnsi="Arial" w:cs="Arial" w:eastAsia="Arial" w:hint="default"/>
                <w:sz w:val="12"/>
                <w:szCs w:val="12"/>
              </w:rPr>
            </w:pPr>
            <w:r>
              <w:rPr>
                <w:rFonts w:ascii="Arial"/>
                <w:w w:val="99"/>
                <w:sz w:val="12"/>
              </w:rPr>
              <w:t>-</w:t>
            </w:r>
            <w:r>
              <w:rPr>
                <w:rFonts w:ascii="Arial"/>
                <w:sz w:val="12"/>
              </w:rPr>
            </w:r>
          </w:p>
        </w:tc>
        <w:tc>
          <w:tcPr>
            <w:tcW w:w="12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145"/>
              <w:jc w:val="right"/>
              <w:rPr>
                <w:rFonts w:ascii="Arial" w:hAnsi="Arial" w:cs="Arial" w:eastAsia="Arial" w:hint="default"/>
                <w:sz w:val="12"/>
                <w:szCs w:val="12"/>
              </w:rPr>
            </w:pPr>
            <w:r>
              <w:rPr>
                <w:rFonts w:ascii="Arial"/>
                <w:w w:val="99"/>
                <w:sz w:val="12"/>
              </w:rPr>
              <w:t>-</w:t>
            </w:r>
            <w:r>
              <w:rPr>
                <w:rFonts w:ascii="Arial"/>
                <w:sz w:val="12"/>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
              <w:jc w:val="right"/>
              <w:rPr>
                <w:rFonts w:ascii="Arial" w:hAnsi="Arial" w:cs="Arial" w:eastAsia="Arial" w:hint="default"/>
                <w:sz w:val="12"/>
                <w:szCs w:val="12"/>
              </w:rPr>
            </w:pPr>
            <w:r>
              <w:rPr>
                <w:rFonts w:ascii="Arial"/>
                <w:spacing w:val="-1"/>
                <w:sz w:val="12"/>
              </w:rPr>
              <w:t>1,060,169,149</w:t>
            </w:r>
          </w:p>
        </w:tc>
        <w:tc>
          <w:tcPr>
            <w:tcW w:w="1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76"/>
              <w:jc w:val="right"/>
              <w:rPr>
                <w:rFonts w:ascii="Arial" w:hAnsi="Arial" w:cs="Arial" w:eastAsia="Arial" w:hint="default"/>
                <w:sz w:val="12"/>
                <w:szCs w:val="12"/>
              </w:rPr>
            </w:pPr>
            <w:r>
              <w:rPr>
                <w:rFonts w:ascii="Arial"/>
                <w:w w:val="99"/>
                <w:sz w:val="12"/>
              </w:rPr>
              <w:t>-</w:t>
            </w:r>
            <w:r>
              <w:rPr>
                <w:rFonts w:ascii="Arial"/>
                <w:sz w:val="12"/>
              </w:rPr>
            </w:r>
          </w:p>
        </w:tc>
        <w:tc>
          <w:tcPr>
            <w:tcW w:w="12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333" w:right="0"/>
              <w:jc w:val="left"/>
              <w:rPr>
                <w:rFonts w:ascii="Arial" w:hAnsi="Arial" w:cs="Arial" w:eastAsia="Arial" w:hint="default"/>
                <w:sz w:val="12"/>
                <w:szCs w:val="12"/>
              </w:rPr>
            </w:pPr>
            <w:r>
              <w:rPr>
                <w:rFonts w:ascii="Arial"/>
                <w:sz w:val="12"/>
              </w:rPr>
              <w:t>1,060,169,149</w:t>
            </w:r>
          </w:p>
        </w:tc>
      </w:tr>
      <w:tr>
        <w:trPr>
          <w:trHeight w:val="250" w:hRule="exact"/>
        </w:trPr>
        <w:tc>
          <w:tcPr>
            <w:tcW w:w="15776" w:type="dxa"/>
            <w:gridSpan w:val="18"/>
            <w:tcBorders>
              <w:top w:val="nil" w:sz="6" w:space="0" w:color="auto"/>
              <w:left w:val="nil" w:sz="6" w:space="0" w:color="auto"/>
              <w:bottom w:val="nil" w:sz="6" w:space="0" w:color="auto"/>
              <w:right w:val="nil" w:sz="6" w:space="0" w:color="auto"/>
            </w:tcBorders>
          </w:tcPr>
          <w:p>
            <w:pPr>
              <w:pStyle w:val="TableParagraph"/>
              <w:tabs>
                <w:tab w:pos="1580" w:val="left" w:leader="none"/>
                <w:tab w:pos="2588" w:val="left" w:leader="none"/>
                <w:tab w:pos="3734" w:val="left" w:leader="none"/>
                <w:tab w:pos="4953" w:val="left" w:leader="none"/>
                <w:tab w:pos="5456" w:val="left" w:leader="none"/>
                <w:tab w:pos="7220" w:val="left" w:leader="none"/>
                <w:tab w:pos="7994" w:val="left" w:leader="none"/>
                <w:tab w:pos="9904" w:val="left" w:leader="none"/>
                <w:tab w:pos="10984" w:val="left" w:leader="none"/>
                <w:tab w:pos="12176" w:val="left" w:leader="none"/>
                <w:tab w:pos="12638" w:val="left" w:leader="none"/>
                <w:tab w:pos="14413" w:val="left" w:leader="none"/>
                <w:tab w:pos="14924" w:val="left" w:leader="none"/>
                <w:tab w:pos="15740" w:val="left" w:leader="none"/>
              </w:tabs>
              <w:spacing w:line="159" w:lineRule="exact"/>
              <w:ind w:left="35" w:right="0"/>
              <w:jc w:val="left"/>
              <w:rPr>
                <w:rFonts w:ascii="Arial" w:hAnsi="Arial" w:cs="Arial" w:eastAsia="Arial" w:hint="default"/>
                <w:sz w:val="12"/>
                <w:szCs w:val="12"/>
              </w:rPr>
            </w:pPr>
            <w:r>
              <w:rPr>
                <w:rFonts w:ascii="宋体" w:hAnsi="宋体" w:cs="宋体" w:eastAsia="宋体" w:hint="default"/>
                <w:position w:val="1"/>
                <w:sz w:val="12"/>
                <w:szCs w:val="12"/>
              </w:rPr>
              <w:t>减：营业外支出</w:t>
              <w:tab/>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(864,784,747)</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(864,784,747)</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(330,192,862)</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(330,192,862)</w:t>
              <w:tab/>
            </w:r>
            <w:r>
              <w:rPr>
                <w:rFonts w:ascii="Arial" w:hAnsi="Arial" w:cs="Arial" w:eastAsia="Arial" w:hint="default"/>
                <w:spacing w:val="-1"/>
                <w:sz w:val="12"/>
                <w:szCs w:val="12"/>
              </w:rPr>
            </w:r>
          </w:p>
        </w:tc>
      </w:tr>
      <w:tr>
        <w:trPr>
          <w:trHeight w:val="274"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2"/>
                <w:szCs w:val="12"/>
              </w:rPr>
            </w:pPr>
            <w:r>
              <w:rPr>
                <w:rFonts w:ascii="宋体" w:hAnsi="宋体" w:cs="宋体" w:eastAsia="宋体" w:hint="default"/>
                <w:sz w:val="12"/>
                <w:szCs w:val="12"/>
              </w:rPr>
              <w:t>利润总额（减：亏损）</w:t>
            </w:r>
          </w:p>
        </w:tc>
        <w:tc>
          <w:tcPr>
            <w:tcW w:w="5777" w:type="dxa"/>
            <w:gridSpan w:val="5"/>
            <w:tcBorders>
              <w:top w:val="nil" w:sz="6" w:space="0" w:color="auto"/>
              <w:left w:val="nil" w:sz="6" w:space="0" w:color="auto"/>
              <w:bottom w:val="nil" w:sz="6" w:space="0" w:color="auto"/>
              <w:right w:val="nil" w:sz="6" w:space="0" w:color="auto"/>
            </w:tcBorders>
          </w:tcPr>
          <w:p>
            <w:pPr>
              <w:pStyle w:val="TableParagraph"/>
              <w:tabs>
                <w:tab w:pos="2600" w:val="left" w:leader="none"/>
                <w:tab w:pos="4992" w:val="left" w:leader="none"/>
                <w:tab w:pos="5776" w:val="left" w:leader="none"/>
              </w:tabs>
              <w:spacing w:line="240" w:lineRule="auto" w:before="98"/>
              <w:ind w:left="21"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3"/>
                <w:sz w:val="12"/>
                <w:u w:val="single" w:color="000000"/>
              </w:rPr>
              <w:t> </w:t>
            </w:r>
            <w:r>
              <w:rPr>
                <w:rFonts w:ascii="Arial"/>
                <w:sz w:val="12"/>
                <w:u w:val="single" w:color="000000"/>
              </w:rPr>
              <w:t>34,637,272,507         </w:t>
            </w:r>
            <w:r>
              <w:rPr>
                <w:rFonts w:ascii="Arial"/>
                <w:sz w:val="12"/>
              </w:rPr>
            </w:r>
            <w:r>
              <w:rPr>
                <w:rFonts w:ascii="Arial"/>
                <w:sz w:val="12"/>
                <w:u w:val="single" w:color="000000"/>
              </w:rPr>
              <w:t> 34,143,943,755</w:t>
            </w:r>
            <w:r>
              <w:rPr>
                <w:rFonts w:ascii="Arial"/>
                <w:sz w:val="12"/>
              </w:rPr>
            </w:r>
            <w:r>
              <w:rPr>
                <w:rFonts w:ascii="Arial"/>
                <w:sz w:val="12"/>
                <w:u w:val="single" w:color="000000"/>
              </w:rPr>
              <w:t> </w:t>
              <w:tab/>
              <w:t>68,781,216,262       </w:t>
            </w:r>
            <w:r>
              <w:rPr>
                <w:rFonts w:ascii="Arial"/>
                <w:spacing w:val="18"/>
                <w:sz w:val="12"/>
                <w:u w:val="single" w:color="000000"/>
              </w:rPr>
              <w:t> </w:t>
            </w:r>
            <w:r>
              <w:rPr>
                <w:rFonts w:ascii="Arial"/>
                <w:spacing w:val="18"/>
                <w:sz w:val="12"/>
              </w:rPr>
            </w:r>
            <w:r>
              <w:rPr>
                <w:rFonts w:ascii="Arial"/>
                <w:spacing w:val="18"/>
                <w:sz w:val="12"/>
                <w:u w:val="single" w:color="000000"/>
              </w:rPr>
              <w:t> </w:t>
            </w:r>
            <w:r>
              <w:rPr>
                <w:rFonts w:ascii="Arial"/>
                <w:sz w:val="12"/>
                <w:u w:val="single" w:color="000000"/>
              </w:rPr>
              <w:t>(62,987,520,128)</w:t>
            </w:r>
            <w:r>
              <w:rPr>
                <w:rFonts w:ascii="Arial"/>
                <w:sz w:val="12"/>
              </w:rPr>
            </w:r>
            <w:r>
              <w:rPr>
                <w:rFonts w:ascii="Arial"/>
                <w:sz w:val="12"/>
                <w:u w:val="single" w:color="000000"/>
              </w:rPr>
              <w:t> </w:t>
              <w:tab/>
              <w:t>(129,655,318)</w:t>
              <w:tab/>
            </w:r>
            <w:r>
              <w:rPr>
                <w:rFonts w:ascii="Arial"/>
                <w:sz w:val="12"/>
              </w:rPr>
            </w:r>
          </w:p>
        </w:tc>
        <w:tc>
          <w:tcPr>
            <w:tcW w:w="82"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6"/>
              <w:jc w:val="right"/>
              <w:rPr>
                <w:rFonts w:ascii="Arial" w:hAnsi="Arial" w:cs="Arial" w:eastAsia="Arial" w:hint="default"/>
                <w:sz w:val="12"/>
                <w:szCs w:val="12"/>
              </w:rPr>
            </w:pPr>
            <w:r>
              <w:rPr>
                <w:rFonts w:ascii="Arial"/>
                <w:spacing w:val="-1"/>
                <w:sz w:val="12"/>
              </w:rPr>
              <w:t>5,664,040,816</w:t>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7"/>
                <w:sz w:val="12"/>
                <w:u w:val="single" w:color="000000"/>
              </w:rPr>
              <w:t> </w:t>
            </w:r>
            <w:r>
              <w:rPr>
                <w:rFonts w:ascii="Arial"/>
                <w:sz w:val="12"/>
                <w:u w:val="single" w:color="000000"/>
              </w:rPr>
              <w:t>27,044,274,194       </w:t>
            </w:r>
            <w:r>
              <w:rPr>
                <w:rFonts w:ascii="Arial"/>
                <w:sz w:val="12"/>
              </w:rPr>
            </w:r>
            <w:r>
              <w:rPr>
                <w:rFonts w:ascii="Arial"/>
                <w:sz w:val="12"/>
                <w:u w:val="single" w:color="000000"/>
              </w:rPr>
              <w:t> 33,573,135,039          </w:t>
            </w:r>
            <w:r>
              <w:rPr>
                <w:rFonts w:ascii="Arial"/>
                <w:sz w:val="12"/>
              </w:rPr>
            </w:r>
            <w:r>
              <w:rPr>
                <w:rFonts w:ascii="Arial"/>
                <w:sz w:val="12"/>
                <w:u w:val="single" w:color="000000"/>
              </w:rPr>
              <w:t> 60,617,409,233       </w:t>
            </w:r>
            <w:r>
              <w:rPr>
                <w:rFonts w:ascii="Arial"/>
                <w:spacing w:val="1"/>
                <w:sz w:val="12"/>
                <w:u w:val="single" w:color="000000"/>
              </w:rPr>
              <w:t> </w:t>
            </w:r>
            <w:r>
              <w:rPr>
                <w:rFonts w:ascii="Arial"/>
                <w:spacing w:val="1"/>
                <w:sz w:val="12"/>
              </w:rPr>
            </w:r>
            <w:r>
              <w:rPr>
                <w:rFonts w:ascii="Arial"/>
                <w:spacing w:val="1"/>
                <w:sz w:val="12"/>
                <w:u w:val="single" w:color="000000"/>
              </w:rPr>
              <w:t> </w:t>
            </w:r>
            <w:r>
              <w:rPr>
                <w:rFonts w:ascii="Arial"/>
                <w:sz w:val="12"/>
                <w:u w:val="single" w:color="000000"/>
              </w:rPr>
              <w:t>(55,773,920,434)</w:t>
            </w:r>
            <w:r>
              <w:rPr>
                <w:rFonts w:ascii="Arial"/>
                <w:sz w:val="12"/>
              </w:rPr>
            </w:r>
          </w:p>
        </w:tc>
        <w:tc>
          <w:tcPr>
            <w:tcW w:w="90"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single" w:sz="6" w:space="0" w:color="000000"/>
              <w:right w:val="nil" w:sz="6" w:space="0" w:color="auto"/>
            </w:tcBorders>
          </w:tcPr>
          <w:p>
            <w:pPr>
              <w:pStyle w:val="TableParagraph"/>
              <w:tabs>
                <w:tab w:pos="240" w:val="left" w:leader="none"/>
                <w:tab w:pos="1028" w:val="left" w:leader="none"/>
              </w:tabs>
              <w:spacing w:line="240" w:lineRule="auto" w:before="98"/>
              <w:ind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(171,734,786)</w:t>
              <w:tab/>
            </w:r>
            <w:r>
              <w:rPr>
                <w:rFonts w:ascii="Arial"/>
                <w:sz w:val="12"/>
              </w:rPr>
            </w:r>
          </w:p>
        </w:tc>
        <w:tc>
          <w:tcPr>
            <w:tcW w:w="83"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40"/>
              <w:jc w:val="right"/>
              <w:rPr>
                <w:rFonts w:ascii="Arial" w:hAnsi="Arial" w:cs="Arial" w:eastAsia="Arial" w:hint="default"/>
                <w:sz w:val="12"/>
                <w:szCs w:val="12"/>
              </w:rPr>
            </w:pPr>
            <w:r>
              <w:rPr>
                <w:rFonts w:ascii="Arial"/>
                <w:spacing w:val="-1"/>
                <w:sz w:val="12"/>
              </w:rPr>
              <w:t>4,671,754,013</w:t>
            </w:r>
          </w:p>
        </w:tc>
      </w:tr>
      <w:tr>
        <w:trPr>
          <w:trHeight w:val="17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42" w:lineRule="exact"/>
              <w:ind w:left="35" w:right="0"/>
              <w:jc w:val="left"/>
              <w:rPr>
                <w:rFonts w:ascii="宋体" w:hAnsi="宋体" w:cs="宋体" w:eastAsia="宋体" w:hint="default"/>
                <w:sz w:val="12"/>
                <w:szCs w:val="12"/>
              </w:rPr>
            </w:pPr>
            <w:r>
              <w:rPr>
                <w:rFonts w:ascii="宋体" w:hAnsi="宋体" w:cs="宋体" w:eastAsia="宋体" w:hint="default"/>
                <w:sz w:val="12"/>
                <w:szCs w:val="12"/>
              </w:rPr>
              <w:t>减：所得税费用</w:t>
            </w:r>
          </w:p>
        </w:tc>
        <w:tc>
          <w:tcPr>
            <w:tcW w:w="5777" w:type="dxa"/>
            <w:gridSpan w:val="5"/>
            <w:tcBorders>
              <w:top w:val="nil" w:sz="6" w:space="0" w:color="auto"/>
              <w:left w:val="nil" w:sz="6" w:space="0" w:color="auto"/>
              <w:bottom w:val="nil" w:sz="6" w:space="0" w:color="auto"/>
              <w:right w:val="nil" w:sz="6" w:space="0" w:color="auto"/>
            </w:tcBorders>
          </w:tcPr>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pict>
                <v:group style="width:233.2pt;height:.75pt;mso-position-horizontal-relative:char;mso-position-vertical-relative:line" coordorigin="0,0" coordsize="4664,15">
                  <v:group style="position:absolute;left:7;top:7;width:1114;height:2" coordorigin="7,7" coordsize="1114,2">
                    <v:shape style="position:absolute;left:7;top:7;width:1114;height:2" coordorigin="7,7" coordsize="1114,0" path="m7,7l1121,7e" filled="false" stroked="true" strokeweight=".72pt" strokecolor="#000000">
                      <v:path arrowok="t"/>
                    </v:shape>
                  </v:group>
                  <v:group style="position:absolute;left:1189;top:7;width:1073;height:2" coordorigin="1189,7" coordsize="1073,2">
                    <v:shape style="position:absolute;left:1189;top:7;width:1073;height:2" coordorigin="1189,7" coordsize="1073,0" path="m1189,7l2262,7e" filled="false" stroked="true" strokeweight=".72pt" strokecolor="#000000">
                      <v:path arrowok="t"/>
                    </v:shape>
                  </v:group>
                  <v:group style="position:absolute;left:2324;top:7;width:1160;height:2" coordorigin="2324,7" coordsize="1160,2">
                    <v:shape style="position:absolute;left:2324;top:7;width:1160;height:2" coordorigin="2324,7" coordsize="1160,0" path="m2324,7l3484,7e" filled="false" stroked="true" strokeweight=".72pt" strokecolor="#000000">
                      <v:path arrowok="t"/>
                    </v:shape>
                  </v:group>
                  <v:group style="position:absolute;left:3556;top:7;width:1101;height:2" coordorigin="3556,7" coordsize="1101,2">
                    <v:shape style="position:absolute;left:3556;top:7;width:1101;height:2" coordorigin="3556,7" coordsize="1101,0" path="m3556,7l4656,7e" filled="false" stroked="true" strokeweight=".72pt" strokecolor="#000000">
                      <v:path arrowok="t"/>
                    </v:shape>
                  </v:group>
                </v:group>
              </w:pict>
            </w:r>
            <w:r>
              <w:rPr>
                <w:rFonts w:ascii="宋体" w:hAnsi="宋体" w:cs="宋体" w:eastAsia="宋体" w:hint="default"/>
                <w:sz w:val="2"/>
                <w:szCs w:val="2"/>
              </w:rPr>
            </w:r>
          </w:p>
        </w:tc>
        <w:tc>
          <w:tcPr>
            <w:tcW w:w="82"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right="55"/>
              <w:jc w:val="right"/>
              <w:rPr>
                <w:rFonts w:ascii="Arial" w:hAnsi="Arial" w:cs="Arial" w:eastAsia="Arial" w:hint="default"/>
                <w:sz w:val="12"/>
                <w:szCs w:val="12"/>
              </w:rPr>
            </w:pPr>
            <w:r>
              <w:rPr>
                <w:rFonts w:ascii="Arial"/>
                <w:spacing w:val="-1"/>
                <w:sz w:val="12"/>
              </w:rPr>
              <w:t>(1,476,075,431)</w:t>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5"/>
            <w:tcBorders>
              <w:top w:val="nil" w:sz="6" w:space="0" w:color="auto"/>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167.8pt;height:.75pt;mso-position-horizontal-relative:char;mso-position-vertical-relative:line" coordorigin="0,0" coordsize="3356,15">
                  <v:group style="position:absolute;left:7;top:7;width:1077;height:2" coordorigin="7,7" coordsize="1077,2">
                    <v:shape style="position:absolute;left:7;top:7;width:1077;height:2" coordorigin="7,7" coordsize="1077,0" path="m7,7l1084,7e" filled="false" stroked="true" strokeweight=".72pt" strokecolor="#000000">
                      <v:path arrowok="t"/>
                    </v:shape>
                  </v:group>
                  <v:group style="position:absolute;left:1153;top:7;width:1012;height:2" coordorigin="1153,7" coordsize="1012,2">
                    <v:shape style="position:absolute;left:1153;top:7;width:1012;height:2" coordorigin="1153,7" coordsize="1012,0" path="m1153,7l2165,7e" filled="false" stroked="true" strokeweight=".72pt" strokecolor="#000000">
                      <v:path arrowok="t"/>
                    </v:shape>
                  </v:group>
                  <v:group style="position:absolute;left:2240;top:7;width:1108;height:2" coordorigin="2240,7" coordsize="1108,2">
                    <v:shape style="position:absolute;left:2240;top:7;width:1108;height:2" coordorigin="2240,7" coordsize="1108,0" path="m2240,7l3348,7e" filled="false" stroked="true" strokeweight=".72pt" strokecolor="#000000">
                      <v:path arrowok="t"/>
                    </v:shape>
                  </v:group>
                </v:group>
              </w:pict>
            </w:r>
            <w:r>
              <w:rPr>
                <w:rFonts w:ascii="宋体" w:hAnsi="宋体" w:cs="宋体" w:eastAsia="宋体" w:hint="default"/>
                <w:sz w:val="2"/>
                <w:szCs w:val="2"/>
              </w:rPr>
            </w:r>
          </w:p>
        </w:tc>
        <w:tc>
          <w:tcPr>
            <w:tcW w:w="90" w:type="dxa"/>
            <w:tcBorders>
              <w:top w:val="nil" w:sz="6" w:space="0" w:color="auto"/>
              <w:left w:val="nil" w:sz="6" w:space="0" w:color="auto"/>
              <w:bottom w:val="nil" w:sz="6" w:space="0" w:color="auto"/>
              <w:right w:val="nil" w:sz="6" w:space="0" w:color="auto"/>
            </w:tcBorders>
          </w:tcPr>
          <w:p>
            <w:pPr/>
          </w:p>
        </w:tc>
        <w:tc>
          <w:tcPr>
            <w:tcW w:w="1028" w:type="dxa"/>
            <w:tcBorders>
              <w:top w:val="single" w:sz="6" w:space="0" w:color="000000"/>
              <w:left w:val="nil" w:sz="6" w:space="0" w:color="auto"/>
              <w:bottom w:val="nil" w:sz="6" w:space="0" w:color="auto"/>
              <w:right w:val="nil" w:sz="6" w:space="0" w:color="auto"/>
            </w:tcBorders>
          </w:tcPr>
          <w:p>
            <w:pPr/>
          </w:p>
        </w:tc>
        <w:tc>
          <w:tcPr>
            <w:tcW w:w="83"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right="100"/>
              <w:jc w:val="right"/>
              <w:rPr>
                <w:rFonts w:ascii="Arial" w:hAnsi="Arial" w:cs="Arial" w:eastAsia="Arial" w:hint="default"/>
                <w:sz w:val="12"/>
                <w:szCs w:val="12"/>
              </w:rPr>
            </w:pPr>
            <w:r>
              <w:rPr>
                <w:rFonts w:ascii="Arial"/>
                <w:spacing w:val="-1"/>
                <w:sz w:val="12"/>
              </w:rPr>
              <w:t>(980,121,278)</w:t>
            </w:r>
          </w:p>
        </w:tc>
      </w:tr>
      <w:tr>
        <w:trPr>
          <w:trHeight w:val="343"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2"/>
                <w:szCs w:val="12"/>
              </w:rPr>
            </w:pPr>
            <w:r>
              <w:rPr>
                <w:rFonts w:ascii="宋体" w:hAnsi="宋体" w:cs="宋体" w:eastAsia="宋体" w:hint="default"/>
                <w:sz w:val="12"/>
                <w:szCs w:val="12"/>
              </w:rPr>
              <w:t>净利润</w:t>
            </w:r>
          </w:p>
        </w:tc>
        <w:tc>
          <w:tcPr>
            <w:tcW w:w="5777" w:type="dxa"/>
            <w:gridSpan w:val="5"/>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1384"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5"/>
              <w:jc w:val="right"/>
              <w:rPr>
                <w:rFonts w:ascii="Arial" w:hAnsi="Arial" w:cs="Arial" w:eastAsia="Arial" w:hint="default"/>
                <w:sz w:val="12"/>
                <w:szCs w:val="12"/>
              </w:rPr>
            </w:pPr>
            <w:r>
              <w:rPr>
                <w:rFonts w:ascii="Arial"/>
                <w:spacing w:val="-1"/>
                <w:sz w:val="12"/>
              </w:rPr>
              <w:t>4,187,965,385</w:t>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5"/>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83" w:type="dxa"/>
            <w:tcBorders>
              <w:top w:val="nil" w:sz="6" w:space="0" w:color="auto"/>
              <w:left w:val="nil" w:sz="6" w:space="0" w:color="auto"/>
              <w:bottom w:val="nil" w:sz="6" w:space="0" w:color="auto"/>
              <w:right w:val="nil" w:sz="6" w:space="0" w:color="auto"/>
            </w:tcBorders>
          </w:tcPr>
          <w:p>
            <w:pPr/>
          </w:p>
        </w:tc>
        <w:tc>
          <w:tcPr>
            <w:tcW w:w="1161"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40"/>
              <w:jc w:val="right"/>
              <w:rPr>
                <w:rFonts w:ascii="Arial" w:hAnsi="Arial" w:cs="Arial" w:eastAsia="Arial" w:hint="default"/>
                <w:sz w:val="12"/>
                <w:szCs w:val="12"/>
              </w:rPr>
            </w:pPr>
            <w:r>
              <w:rPr>
                <w:rFonts w:ascii="Arial"/>
                <w:spacing w:val="-1"/>
                <w:sz w:val="12"/>
              </w:rPr>
              <w:t>3,691,632,735</w:t>
            </w:r>
          </w:p>
        </w:tc>
      </w:tr>
      <w:tr>
        <w:trPr>
          <w:trHeight w:val="208"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2"/>
                <w:szCs w:val="12"/>
              </w:rPr>
            </w:pPr>
            <w:r>
              <w:rPr>
                <w:rFonts w:ascii="宋体" w:hAnsi="宋体" w:cs="宋体" w:eastAsia="宋体" w:hint="default"/>
                <w:sz w:val="12"/>
                <w:szCs w:val="12"/>
              </w:rPr>
              <w:t>其中</w:t>
            </w:r>
            <w:r>
              <w:rPr>
                <w:rFonts w:ascii="宋体" w:hAnsi="宋体" w:cs="宋体" w:eastAsia="宋体" w:hint="default"/>
                <w:spacing w:val="-57"/>
                <w:sz w:val="12"/>
                <w:szCs w:val="12"/>
              </w:rPr>
              <w:t>：</w:t>
            </w:r>
            <w:r>
              <w:rPr>
                <w:rFonts w:ascii="宋体" w:hAnsi="宋体" w:cs="宋体" w:eastAsia="宋体" w:hint="default"/>
                <w:sz w:val="12"/>
                <w:szCs w:val="12"/>
              </w:rPr>
              <w:t>归属于母公司</w:t>
            </w:r>
            <w:r>
              <w:rPr>
                <w:rFonts w:ascii="宋体" w:hAnsi="宋体" w:cs="宋体" w:eastAsia="宋体" w:hint="default"/>
                <w:spacing w:val="-2"/>
                <w:sz w:val="12"/>
                <w:szCs w:val="12"/>
              </w:rPr>
              <w:t>普</w:t>
            </w:r>
            <w:r>
              <w:rPr>
                <w:rFonts w:ascii="宋体" w:hAnsi="宋体" w:cs="宋体" w:eastAsia="宋体" w:hint="default"/>
                <w:sz w:val="12"/>
                <w:szCs w:val="12"/>
              </w:rPr>
              <w:t>通股股</w:t>
            </w:r>
          </w:p>
        </w:tc>
        <w:tc>
          <w:tcPr>
            <w:tcW w:w="5777" w:type="dxa"/>
            <w:gridSpan w:val="5"/>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1384" w:type="dxa"/>
            <w:tcBorders>
              <w:top w:val="single" w:sz="6"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5"/>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83" w:type="dxa"/>
            <w:tcBorders>
              <w:top w:val="nil" w:sz="6" w:space="0" w:color="auto"/>
              <w:left w:val="nil" w:sz="6" w:space="0" w:color="auto"/>
              <w:bottom w:val="nil" w:sz="6" w:space="0" w:color="auto"/>
              <w:right w:val="nil" w:sz="6" w:space="0" w:color="auto"/>
            </w:tcBorders>
          </w:tcPr>
          <w:p>
            <w:pPr/>
          </w:p>
        </w:tc>
        <w:tc>
          <w:tcPr>
            <w:tcW w:w="1161" w:type="dxa"/>
            <w:tcBorders>
              <w:top w:val="single" w:sz="6" w:space="0" w:color="000000"/>
              <w:left w:val="nil" w:sz="6" w:space="0" w:color="auto"/>
              <w:bottom w:val="nil" w:sz="6" w:space="0" w:color="auto"/>
              <w:right w:val="nil" w:sz="6" w:space="0" w:color="auto"/>
            </w:tcBorders>
          </w:tcPr>
          <w:p>
            <w:pPr/>
          </w:p>
        </w:tc>
      </w:tr>
      <w:tr>
        <w:trPr>
          <w:trHeight w:val="181" w:hRule="exact"/>
        </w:trPr>
        <w:tc>
          <w:tcPr>
            <w:tcW w:w="8801" w:type="dxa"/>
            <w:gridSpan w:val="8"/>
            <w:tcBorders>
              <w:top w:val="nil" w:sz="6" w:space="0" w:color="auto"/>
              <w:left w:val="nil" w:sz="6" w:space="0" w:color="auto"/>
              <w:bottom w:val="nil" w:sz="6" w:space="0" w:color="auto"/>
              <w:right w:val="nil" w:sz="6" w:space="0" w:color="auto"/>
            </w:tcBorders>
          </w:tcPr>
          <w:p>
            <w:pPr>
              <w:pStyle w:val="TableParagraph"/>
              <w:tabs>
                <w:tab w:pos="7417" w:val="left" w:leader="none"/>
                <w:tab w:pos="7935" w:val="left" w:leader="none"/>
                <w:tab w:pos="8800" w:val="left" w:leader="none"/>
              </w:tabs>
              <w:spacing w:line="150" w:lineRule="exact"/>
              <w:ind w:left="457" w:right="0"/>
              <w:jc w:val="left"/>
              <w:rPr>
                <w:rFonts w:ascii="Arial" w:hAnsi="Arial" w:cs="Arial" w:eastAsia="Arial" w:hint="default"/>
                <w:sz w:val="12"/>
                <w:szCs w:val="12"/>
              </w:rPr>
            </w:pPr>
            <w:r>
              <w:rPr>
                <w:rFonts w:ascii="宋体" w:hAnsi="宋体" w:cs="宋体" w:eastAsia="宋体" w:hint="default"/>
                <w:position w:val="1"/>
                <w:sz w:val="12"/>
                <w:szCs w:val="12"/>
              </w:rPr>
              <w:t>东的净利润</w:t>
              <w:tab/>
            </w:r>
            <w:r>
              <w:rPr>
                <w:rFonts w:ascii="Arial" w:hAnsi="Arial" w:cs="Arial" w:eastAsia="Arial" w:hint="default"/>
                <w:sz w:val="12"/>
                <w:szCs w:val="12"/>
              </w:rPr>
            </w:r>
            <w:r>
              <w:rPr>
                <w:rFonts w:ascii="Arial" w:hAnsi="Arial" w:cs="Arial" w:eastAsia="Arial" w:hint="default"/>
                <w:sz w:val="12"/>
                <w:szCs w:val="12"/>
                <w:u w:val="single" w:color="000000"/>
              </w:rPr>
              <w:t> </w:t>
              <w:tab/>
              <w:t>1,412,245,739</w:t>
              <w:tab/>
            </w:r>
            <w:r>
              <w:rPr>
                <w:rFonts w:ascii="Arial" w:hAnsi="Arial" w:cs="Arial" w:eastAsia="Arial" w:hint="default"/>
                <w:sz w:val="12"/>
                <w:szCs w:val="12"/>
              </w:rPr>
            </w:r>
          </w:p>
        </w:tc>
        <w:tc>
          <w:tcPr>
            <w:tcW w:w="134" w:type="dxa"/>
            <w:tcBorders>
              <w:top w:val="nil" w:sz="6" w:space="0" w:color="auto"/>
              <w:left w:val="nil" w:sz="6" w:space="0" w:color="auto"/>
              <w:bottom w:val="nil" w:sz="6" w:space="0" w:color="auto"/>
              <w:right w:val="nil" w:sz="6" w:space="0" w:color="auto"/>
            </w:tcBorders>
          </w:tcPr>
          <w:p>
            <w:pPr/>
          </w:p>
        </w:tc>
        <w:tc>
          <w:tcPr>
            <w:tcW w:w="2158" w:type="dxa"/>
            <w:gridSpan w:val="2"/>
            <w:tcBorders>
              <w:top w:val="nil" w:sz="6" w:space="0" w:color="auto"/>
              <w:left w:val="nil" w:sz="6" w:space="0" w:color="auto"/>
              <w:bottom w:val="nil" w:sz="6" w:space="0" w:color="auto"/>
              <w:right w:val="nil" w:sz="6" w:space="0" w:color="auto"/>
            </w:tcBorders>
          </w:tcPr>
          <w:p>
            <w:pPr/>
          </w:p>
        </w:tc>
        <w:tc>
          <w:tcPr>
            <w:tcW w:w="76" w:type="dxa"/>
            <w:tcBorders>
              <w:top w:val="nil" w:sz="6" w:space="0" w:color="auto"/>
              <w:left w:val="nil" w:sz="6" w:space="0" w:color="auto"/>
              <w:bottom w:val="nil" w:sz="6" w:space="0" w:color="auto"/>
              <w:right w:val="nil" w:sz="6" w:space="0" w:color="auto"/>
            </w:tcBorders>
          </w:tcPr>
          <w:p>
            <w:pPr/>
          </w:p>
        </w:tc>
        <w:tc>
          <w:tcPr>
            <w:tcW w:w="2245" w:type="dxa"/>
            <w:gridSpan w:val="2"/>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2272" w:type="dxa"/>
            <w:gridSpan w:val="3"/>
            <w:tcBorders>
              <w:top w:val="nil" w:sz="6" w:space="0" w:color="auto"/>
              <w:left w:val="nil" w:sz="6" w:space="0" w:color="auto"/>
              <w:bottom w:val="nil" w:sz="6" w:space="0" w:color="auto"/>
              <w:right w:val="nil" w:sz="6" w:space="0" w:color="auto"/>
            </w:tcBorders>
          </w:tcPr>
          <w:p>
            <w:pPr>
              <w:pStyle w:val="TableParagraph"/>
              <w:tabs>
                <w:tab w:pos="1370" w:val="left" w:leader="none"/>
                <w:tab w:pos="2236" w:val="left" w:leader="none"/>
              </w:tabs>
              <w:spacing w:line="240" w:lineRule="auto" w:before="12"/>
              <w:ind w:left="1111"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1,234,506,831</w:t>
              <w:tab/>
            </w:r>
            <w:r>
              <w:rPr>
                <w:rFonts w:ascii="Arial"/>
                <w:sz w:val="12"/>
              </w:rPr>
            </w:r>
          </w:p>
        </w:tc>
      </w:tr>
      <w:tr>
        <w:trPr>
          <w:trHeight w:val="464" w:hRule="exact"/>
        </w:trPr>
        <w:tc>
          <w:tcPr>
            <w:tcW w:w="8801" w:type="dxa"/>
            <w:gridSpan w:val="8"/>
            <w:tcBorders>
              <w:top w:val="nil" w:sz="6" w:space="0" w:color="auto"/>
              <w:left w:val="nil" w:sz="6" w:space="0" w:color="auto"/>
              <w:bottom w:val="nil" w:sz="6" w:space="0" w:color="auto"/>
              <w:right w:val="nil" w:sz="6" w:space="0" w:color="auto"/>
            </w:tcBorders>
          </w:tcPr>
          <w:p>
            <w:pPr>
              <w:pStyle w:val="TableParagraph"/>
              <w:tabs>
                <w:tab w:pos="7417" w:val="left" w:leader="none"/>
                <w:tab w:pos="7935" w:val="left" w:leader="none"/>
                <w:tab w:pos="8800" w:val="left" w:leader="none"/>
              </w:tabs>
              <w:spacing w:line="156" w:lineRule="exact"/>
              <w:ind w:left="341" w:right="0"/>
              <w:jc w:val="left"/>
              <w:rPr>
                <w:rFonts w:ascii="Arial" w:hAnsi="Arial" w:cs="Arial" w:eastAsia="Arial" w:hint="default"/>
                <w:sz w:val="12"/>
                <w:szCs w:val="12"/>
              </w:rPr>
            </w:pPr>
            <w:r>
              <w:rPr>
                <w:rFonts w:ascii="宋体" w:hAnsi="宋体" w:cs="宋体" w:eastAsia="宋体" w:hint="default"/>
                <w:position w:val="1"/>
                <w:sz w:val="12"/>
                <w:szCs w:val="12"/>
              </w:rPr>
              <w:t>少数股东损益</w:t>
              <w:tab/>
            </w:r>
            <w:r>
              <w:rPr>
                <w:rFonts w:ascii="Arial" w:hAnsi="Arial" w:cs="Arial" w:eastAsia="Arial" w:hint="default"/>
                <w:sz w:val="12"/>
                <w:szCs w:val="12"/>
              </w:rPr>
            </w:r>
            <w:r>
              <w:rPr>
                <w:rFonts w:ascii="Arial" w:hAnsi="Arial" w:cs="Arial" w:eastAsia="Arial" w:hint="default"/>
                <w:sz w:val="12"/>
                <w:szCs w:val="12"/>
                <w:u w:val="single" w:color="000000"/>
              </w:rPr>
              <w:t> </w:t>
              <w:tab/>
              <w:t>2,775,719,646</w:t>
              <w:tab/>
            </w:r>
            <w:r>
              <w:rPr>
                <w:rFonts w:ascii="Arial" w:hAnsi="Arial" w:cs="Arial" w:eastAsia="Arial" w:hint="default"/>
                <w:sz w:val="12"/>
                <w:szCs w:val="12"/>
              </w:rPr>
            </w:r>
          </w:p>
          <w:p>
            <w:pPr>
              <w:pStyle w:val="TableParagraph"/>
              <w:spacing w:line="224" w:lineRule="exact" w:before="124"/>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、补充信息</w:t>
            </w:r>
          </w:p>
        </w:tc>
        <w:tc>
          <w:tcPr>
            <w:tcW w:w="134" w:type="dxa"/>
            <w:tcBorders>
              <w:top w:val="nil" w:sz="6" w:space="0" w:color="auto"/>
              <w:left w:val="nil" w:sz="6" w:space="0" w:color="auto"/>
              <w:bottom w:val="nil" w:sz="6" w:space="0" w:color="auto"/>
              <w:right w:val="nil" w:sz="6" w:space="0" w:color="auto"/>
            </w:tcBorders>
          </w:tcPr>
          <w:p>
            <w:pPr/>
          </w:p>
        </w:tc>
        <w:tc>
          <w:tcPr>
            <w:tcW w:w="2158" w:type="dxa"/>
            <w:gridSpan w:val="2"/>
            <w:tcBorders>
              <w:top w:val="nil" w:sz="6" w:space="0" w:color="auto"/>
              <w:left w:val="nil" w:sz="6" w:space="0" w:color="auto"/>
              <w:bottom w:val="nil" w:sz="6" w:space="0" w:color="auto"/>
              <w:right w:val="nil" w:sz="6" w:space="0" w:color="auto"/>
            </w:tcBorders>
          </w:tcPr>
          <w:p>
            <w:pPr/>
          </w:p>
        </w:tc>
        <w:tc>
          <w:tcPr>
            <w:tcW w:w="76" w:type="dxa"/>
            <w:tcBorders>
              <w:top w:val="nil" w:sz="6" w:space="0" w:color="auto"/>
              <w:left w:val="nil" w:sz="6" w:space="0" w:color="auto"/>
              <w:bottom w:val="nil" w:sz="6" w:space="0" w:color="auto"/>
              <w:right w:val="nil" w:sz="6" w:space="0" w:color="auto"/>
            </w:tcBorders>
          </w:tcPr>
          <w:p>
            <w:pPr/>
          </w:p>
        </w:tc>
        <w:tc>
          <w:tcPr>
            <w:tcW w:w="2245" w:type="dxa"/>
            <w:gridSpan w:val="2"/>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2272" w:type="dxa"/>
            <w:gridSpan w:val="3"/>
            <w:tcBorders>
              <w:top w:val="nil" w:sz="6" w:space="0" w:color="auto"/>
              <w:left w:val="nil" w:sz="6" w:space="0" w:color="auto"/>
              <w:bottom w:val="nil" w:sz="6" w:space="0" w:color="auto"/>
              <w:right w:val="nil" w:sz="6" w:space="0" w:color="auto"/>
            </w:tcBorders>
          </w:tcPr>
          <w:p>
            <w:pPr>
              <w:pStyle w:val="TableParagraph"/>
              <w:tabs>
                <w:tab w:pos="1370" w:val="left" w:leader="none"/>
                <w:tab w:pos="2236" w:val="left" w:leader="none"/>
              </w:tabs>
              <w:spacing w:line="240" w:lineRule="auto" w:before="18"/>
              <w:ind w:left="1111"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2,457,125,904</w:t>
              <w:tab/>
            </w:r>
            <w:r>
              <w:rPr>
                <w:rFonts w:ascii="Arial"/>
                <w:sz w:val="12"/>
              </w:rPr>
            </w:r>
          </w:p>
        </w:tc>
      </w:tr>
      <w:tr>
        <w:trPr>
          <w:trHeight w:val="472" w:hRule="exact"/>
        </w:trPr>
        <w:tc>
          <w:tcPr>
            <w:tcW w:w="880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tabs>
                <w:tab w:pos="1580" w:val="left" w:leader="none"/>
                <w:tab w:pos="6592" w:val="left" w:leader="none"/>
                <w:tab w:pos="7852" w:val="left" w:leader="none"/>
                <w:tab w:pos="8800" w:val="left" w:leader="none"/>
              </w:tabs>
              <w:spacing w:line="240" w:lineRule="auto"/>
              <w:ind w:left="35" w:right="0"/>
              <w:jc w:val="left"/>
              <w:rPr>
                <w:rFonts w:ascii="Arial" w:hAnsi="Arial" w:cs="Arial" w:eastAsia="Arial" w:hint="default"/>
                <w:sz w:val="12"/>
                <w:szCs w:val="12"/>
              </w:rPr>
            </w:pPr>
            <w:r>
              <w:rPr>
                <w:rFonts w:ascii="宋体" w:hAnsi="宋体" w:cs="宋体" w:eastAsia="宋体" w:hint="default"/>
                <w:position w:val="1"/>
                <w:sz w:val="12"/>
                <w:szCs w:val="12"/>
              </w:rPr>
              <w:t>折旧及摊销</w:t>
              <w:tab/>
            </w:r>
            <w:r>
              <w:rPr>
                <w:rFonts w:ascii="Arial" w:hAnsi="Arial" w:cs="Arial" w:eastAsia="Arial" w:hint="default"/>
                <w:sz w:val="12"/>
                <w:szCs w:val="12"/>
              </w:rPr>
            </w:r>
            <w:r>
              <w:rPr>
                <w:rFonts w:ascii="Arial" w:hAnsi="Arial" w:cs="Arial" w:eastAsia="Arial" w:hint="default"/>
                <w:sz w:val="12"/>
                <w:szCs w:val="12"/>
                <w:u w:val="single" w:color="000000"/>
              </w:rPr>
              <w:t> </w:t>
            </w:r>
            <w:r>
              <w:rPr>
                <w:rFonts w:ascii="Arial" w:hAnsi="Arial" w:cs="Arial" w:eastAsia="Arial" w:hint="default"/>
                <w:spacing w:val="-1"/>
                <w:sz w:val="12"/>
                <w:szCs w:val="12"/>
                <w:u w:val="single" w:color="000000"/>
              </w:rPr>
              <w:t>(25,987,110,888)</w:t>
            </w:r>
            <w:r>
              <w:rPr>
                <w:rFonts w:ascii="Arial" w:hAnsi="Arial" w:cs="Arial" w:eastAsia="Arial" w:hint="default"/>
                <w:sz w:val="12"/>
                <w:szCs w:val="12"/>
                <w:u w:val="single" w:color="000000"/>
              </w:rPr>
              <w:t>       </w:t>
            </w:r>
            <w:r>
              <w:rPr>
                <w:rFonts w:ascii="Arial" w:hAnsi="Arial" w:cs="Arial" w:eastAsia="Arial" w:hint="default"/>
                <w:sz w:val="12"/>
                <w:szCs w:val="12"/>
              </w:rPr>
            </w:r>
            <w:r>
              <w:rPr>
                <w:rFonts w:ascii="Arial" w:hAnsi="Arial" w:cs="Arial" w:eastAsia="Arial" w:hint="default"/>
                <w:sz w:val="12"/>
                <w:szCs w:val="12"/>
                <w:u w:val="single" w:color="000000"/>
              </w:rPr>
              <w:t> </w:t>
            </w:r>
            <w:r>
              <w:rPr>
                <w:rFonts w:ascii="Arial" w:hAnsi="Arial" w:cs="Arial" w:eastAsia="Arial" w:hint="default"/>
                <w:spacing w:val="-1"/>
                <w:sz w:val="12"/>
                <w:szCs w:val="12"/>
                <w:u w:val="single" w:color="000000"/>
              </w:rPr>
              <w:t>(29,246,839,917)</w:t>
            </w:r>
            <w:r>
              <w:rPr>
                <w:rFonts w:ascii="Arial" w:hAnsi="Arial" w:cs="Arial" w:eastAsia="Arial" w:hint="default"/>
                <w:sz w:val="12"/>
                <w:szCs w:val="12"/>
                <w:u w:val="single" w:color="000000"/>
              </w:rPr>
              <w:t>          </w:t>
            </w:r>
            <w:r>
              <w:rPr>
                <w:rFonts w:ascii="Arial" w:hAnsi="Arial" w:cs="Arial" w:eastAsia="Arial" w:hint="default"/>
                <w:sz w:val="12"/>
                <w:szCs w:val="12"/>
              </w:rPr>
            </w:r>
            <w:r>
              <w:rPr>
                <w:rFonts w:ascii="Arial" w:hAnsi="Arial" w:cs="Arial" w:eastAsia="Arial" w:hint="default"/>
                <w:sz w:val="12"/>
                <w:szCs w:val="12"/>
                <w:u w:val="single" w:color="000000"/>
              </w:rPr>
              <w:t> </w:t>
            </w:r>
            <w:r>
              <w:rPr>
                <w:rFonts w:ascii="Arial" w:hAnsi="Arial" w:cs="Arial" w:eastAsia="Arial" w:hint="default"/>
                <w:spacing w:val="-1"/>
                <w:sz w:val="12"/>
                <w:szCs w:val="12"/>
                <w:u w:val="single" w:color="000000"/>
              </w:rPr>
              <w:t>(55,233,950,805)</w:t>
            </w:r>
            <w:r>
              <w:rPr>
                <w:rFonts w:ascii="Arial" w:hAnsi="Arial" w:cs="Arial" w:eastAsia="Arial" w:hint="default"/>
                <w:sz w:val="12"/>
                <w:szCs w:val="12"/>
                <w:u w:val="single" w:color="000000"/>
              </w:rPr>
              <w:t>        </w:t>
            </w:r>
            <w:r>
              <w:rPr>
                <w:rFonts w:ascii="Arial" w:hAnsi="Arial" w:cs="Arial" w:eastAsia="Arial" w:hint="default"/>
                <w:spacing w:val="31"/>
                <w:sz w:val="12"/>
                <w:szCs w:val="12"/>
                <w:u w:val="single" w:color="000000"/>
              </w:rPr>
              <w:t> </w:t>
            </w:r>
            <w:r>
              <w:rPr>
                <w:rFonts w:ascii="Arial" w:hAnsi="Arial" w:cs="Arial" w:eastAsia="Arial" w:hint="default"/>
                <w:spacing w:val="31"/>
                <w:sz w:val="12"/>
                <w:szCs w:val="12"/>
              </w:rPr>
            </w:r>
            <w:r>
              <w:rPr>
                <w:rFonts w:ascii="Arial" w:hAnsi="Arial" w:cs="Arial" w:eastAsia="Arial" w:hint="default"/>
                <w:spacing w:val="31"/>
                <w:sz w:val="12"/>
                <w:szCs w:val="12"/>
                <w:u w:val="single" w:color="000000"/>
              </w:rPr>
              <w:t> </w:t>
            </w:r>
            <w:r>
              <w:rPr>
                <w:rFonts w:ascii="Arial" w:hAnsi="Arial" w:cs="Arial" w:eastAsia="Arial" w:hint="default"/>
                <w:spacing w:val="-1"/>
                <w:sz w:val="12"/>
                <w:szCs w:val="12"/>
                <w:u w:val="single" w:color="000000"/>
              </w:rPr>
              <w:t>(3,077,539,438)</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t>117,528,948</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t>(58,193,961,295)</w:t>
              <w:tab/>
            </w:r>
            <w:r>
              <w:rPr>
                <w:rFonts w:ascii="Arial" w:hAnsi="Arial" w:cs="Arial" w:eastAsia="Arial" w:hint="default"/>
                <w:spacing w:val="-1"/>
                <w:sz w:val="12"/>
                <w:szCs w:val="12"/>
              </w:rPr>
            </w:r>
          </w:p>
        </w:tc>
        <w:tc>
          <w:tcPr>
            <w:tcW w:w="134" w:type="dxa"/>
            <w:tcBorders>
              <w:top w:val="nil" w:sz="6" w:space="0" w:color="auto"/>
              <w:left w:val="nil" w:sz="6" w:space="0" w:color="auto"/>
              <w:bottom w:val="nil" w:sz="6" w:space="0" w:color="auto"/>
              <w:right w:val="nil" w:sz="6" w:space="0" w:color="auto"/>
            </w:tcBorders>
          </w:tcPr>
          <w:p>
            <w:pPr/>
          </w:p>
        </w:tc>
        <w:tc>
          <w:tcPr>
            <w:tcW w:w="215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(23,164,187,205)   </w:t>
            </w:r>
            <w:r>
              <w:rPr>
                <w:rFonts w:ascii="Arial"/>
                <w:spacing w:val="20"/>
                <w:sz w:val="12"/>
                <w:u w:val="single" w:color="000000"/>
              </w:rPr>
              <w:t> </w:t>
            </w:r>
            <w:r>
              <w:rPr>
                <w:rFonts w:ascii="Arial"/>
                <w:spacing w:val="20"/>
                <w:sz w:val="12"/>
              </w:rPr>
            </w:r>
            <w:r>
              <w:rPr>
                <w:rFonts w:ascii="Arial"/>
                <w:spacing w:val="20"/>
                <w:sz w:val="12"/>
                <w:u w:val="single" w:color="000000"/>
              </w:rPr>
              <w:t> </w:t>
            </w:r>
            <w:r>
              <w:rPr>
                <w:rFonts w:ascii="Arial"/>
                <w:sz w:val="12"/>
                <w:u w:val="single" w:color="000000"/>
              </w:rPr>
              <w:t>(29,110,440,719)</w:t>
            </w:r>
            <w:r>
              <w:rPr>
                <w:rFonts w:ascii="Arial"/>
                <w:sz w:val="12"/>
              </w:rPr>
            </w:r>
          </w:p>
        </w:tc>
        <w:tc>
          <w:tcPr>
            <w:tcW w:w="76" w:type="dxa"/>
            <w:tcBorders>
              <w:top w:val="nil" w:sz="6" w:space="0" w:color="auto"/>
              <w:left w:val="nil" w:sz="6" w:space="0" w:color="auto"/>
              <w:bottom w:val="nil" w:sz="6" w:space="0" w:color="auto"/>
              <w:right w:val="nil" w:sz="6" w:space="0" w:color="auto"/>
            </w:tcBorders>
          </w:tcPr>
          <w:p>
            <w:pPr/>
          </w:p>
        </w:tc>
        <w:tc>
          <w:tcPr>
            <w:tcW w:w="224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6"/>
                <w:sz w:val="12"/>
                <w:u w:val="single" w:color="000000"/>
              </w:rPr>
              <w:t> </w:t>
            </w:r>
            <w:r>
              <w:rPr>
                <w:rFonts w:ascii="Arial"/>
                <w:sz w:val="12"/>
                <w:u w:val="single" w:color="000000"/>
              </w:rPr>
              <w:t>(52,274,627,924)       </w:t>
            </w:r>
            <w:r>
              <w:rPr>
                <w:rFonts w:ascii="Arial"/>
                <w:spacing w:val="4"/>
                <w:sz w:val="12"/>
                <w:u w:val="single" w:color="000000"/>
              </w:rPr>
              <w:t> </w:t>
            </w:r>
            <w:r>
              <w:rPr>
                <w:rFonts w:ascii="Arial"/>
                <w:spacing w:val="4"/>
                <w:sz w:val="12"/>
              </w:rPr>
            </w:r>
            <w:r>
              <w:rPr>
                <w:rFonts w:ascii="Arial"/>
                <w:spacing w:val="4"/>
                <w:sz w:val="12"/>
                <w:u w:val="single" w:color="000000"/>
              </w:rPr>
              <w:t> </w:t>
            </w:r>
            <w:r>
              <w:rPr>
                <w:rFonts w:ascii="Arial"/>
                <w:sz w:val="12"/>
                <w:u w:val="single" w:color="000000"/>
              </w:rPr>
              <w:t>(2,589,419,524)</w:t>
            </w:r>
            <w:r>
              <w:rPr>
                <w:rFonts w:ascii="Arial"/>
                <w:sz w:val="12"/>
              </w:rPr>
            </w:r>
          </w:p>
        </w:tc>
        <w:tc>
          <w:tcPr>
            <w:tcW w:w="90" w:type="dxa"/>
            <w:tcBorders>
              <w:top w:val="nil" w:sz="6" w:space="0" w:color="auto"/>
              <w:left w:val="nil" w:sz="6" w:space="0" w:color="auto"/>
              <w:bottom w:val="nil" w:sz="6" w:space="0" w:color="auto"/>
              <w:right w:val="nil" w:sz="6" w:space="0" w:color="auto"/>
            </w:tcBorders>
          </w:tcPr>
          <w:p>
            <w:pPr/>
          </w:p>
        </w:tc>
        <w:tc>
          <w:tcPr>
            <w:tcW w:w="2272"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tabs>
                <w:tab w:pos="349" w:val="left" w:leader="none"/>
                <w:tab w:pos="2236" w:val="left" w:leader="none"/>
              </w:tabs>
              <w:spacing w:line="240" w:lineRule="auto"/>
              <w:ind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71,830,960        </w:t>
            </w:r>
            <w:r>
              <w:rPr>
                <w:rFonts w:ascii="Arial"/>
                <w:spacing w:val="2"/>
                <w:sz w:val="12"/>
                <w:u w:val="single" w:color="000000"/>
              </w:rPr>
              <w:t> </w:t>
            </w:r>
            <w:r>
              <w:rPr>
                <w:rFonts w:ascii="Arial"/>
                <w:spacing w:val="2"/>
                <w:sz w:val="12"/>
              </w:rPr>
            </w:r>
            <w:r>
              <w:rPr>
                <w:rFonts w:ascii="Arial"/>
                <w:spacing w:val="2"/>
                <w:sz w:val="12"/>
                <w:u w:val="single" w:color="000000"/>
              </w:rPr>
              <w:t> </w:t>
            </w:r>
            <w:r>
              <w:rPr>
                <w:rFonts w:ascii="Arial"/>
                <w:sz w:val="12"/>
                <w:u w:val="single" w:color="000000"/>
              </w:rPr>
              <w:t>(54,792,216,488)</w:t>
              <w:tab/>
            </w:r>
            <w:r>
              <w:rPr>
                <w:rFonts w:ascii="Arial"/>
                <w:sz w:val="12"/>
              </w:rPr>
            </w:r>
          </w:p>
        </w:tc>
      </w:tr>
    </w:tbl>
    <w:p>
      <w:pPr>
        <w:tabs>
          <w:tab w:pos="2139" w:val="left" w:leader="none"/>
          <w:tab w:pos="3285" w:val="left" w:leader="none"/>
          <w:tab w:pos="4504" w:val="left" w:leader="none"/>
          <w:tab w:pos="5675" w:val="left" w:leader="none"/>
          <w:tab w:pos="7565" w:val="left" w:leader="none"/>
          <w:tab w:pos="8240" w:val="left" w:leader="none"/>
          <w:tab w:pos="9455" w:val="left" w:leader="none"/>
          <w:tab w:pos="10535" w:val="left" w:leader="none"/>
          <w:tab w:pos="11727" w:val="left" w:leader="none"/>
          <w:tab w:pos="12925" w:val="left" w:leader="none"/>
          <w:tab w:pos="14758" w:val="left" w:leader="none"/>
          <w:tab w:pos="15152" w:val="left" w:leader="none"/>
        </w:tabs>
        <w:spacing w:line="148" w:lineRule="exact" w:before="0"/>
        <w:ind w:left="380" w:right="0" w:firstLine="0"/>
        <w:jc w:val="left"/>
        <w:rPr>
          <w:rFonts w:ascii="Arial" w:hAnsi="Arial" w:cs="Arial" w:eastAsia="Arial" w:hint="default"/>
          <w:sz w:val="12"/>
          <w:szCs w:val="12"/>
        </w:rPr>
      </w:pPr>
      <w:r>
        <w:rPr/>
        <w:pict>
          <v:group style="position:absolute;margin-left:404.151001pt;margin-top:-68.400047pt;width:69.2pt;height:.1pt;mso-position-horizontal-relative:page;mso-position-vertical-relative:paragraph;z-index:-815776" coordorigin="8083,-1368" coordsize="1384,2">
            <v:shape style="position:absolute;left:8083;top:-1368;width:1384;height:2" coordorigin="8083,-1368" coordsize="1384,0" path="m8083,-1368l9467,-1368e" filled="false" stroked="true" strokeweight=".72pt" strokecolor="#000000">
              <v:path arrowok="t"/>
            </v:shape>
            <w10:wrap type="none"/>
          </v:group>
        </w:pict>
      </w:r>
      <w:r>
        <w:rPr/>
        <w:pict>
          <v:group style="position:absolute;margin-left:764.031006pt;margin-top:-68.400047pt;width:56.3pt;height:.1pt;mso-position-horizontal-relative:page;mso-position-vertical-relative:paragraph;z-index:-815752" coordorigin="15281,-1368" coordsize="1126,2">
            <v:shape style="position:absolute;left:15281;top:-1368;width:1126;height:2" coordorigin="15281,-1368" coordsize="1126,0" path="m15281,-1368l16406,-1368e" filled="false" stroked="true" strokeweight=".72pt" strokecolor="#000000">
              <v:path arrowok="t"/>
            </v:shape>
            <w10:wrap type="none"/>
          </v:group>
        </w:pict>
      </w:r>
      <w:r>
        <w:rPr/>
        <w:pict>
          <v:group style="position:absolute;margin-left:111.950989pt;margin-top:-1.080045pt;width:288.5pt;height:.75pt;mso-position-horizontal-relative:page;mso-position-vertical-relative:paragraph;z-index:-815728" coordorigin="2239,-22" coordsize="5770,15">
            <v:group style="position:absolute;left:2246;top:-14;width:1114;height:2" coordorigin="2246,-14" coordsize="1114,2">
              <v:shape style="position:absolute;left:2246;top:-14;width:1114;height:2" coordorigin="2246,-14" coordsize="1114,0" path="m2246,-14l3360,-14e" filled="false" stroked="true" strokeweight=".72003pt" strokecolor="#000000">
                <v:path arrowok="t"/>
              </v:shape>
            </v:group>
            <v:group style="position:absolute;left:3428;top:-14;width:1073;height:2" coordorigin="3428,-14" coordsize="1073,2">
              <v:shape style="position:absolute;left:3428;top:-14;width:1073;height:2" coordorigin="3428,-14" coordsize="1073,0" path="m3428,-14l4501,-14e" filled="false" stroked="true" strokeweight=".72003pt" strokecolor="#000000">
                <v:path arrowok="t"/>
              </v:shape>
            </v:group>
            <v:group style="position:absolute;left:4563;top:-14;width:1160;height:2" coordorigin="4563,-14" coordsize="1160,2">
              <v:shape style="position:absolute;left:4563;top:-14;width:1160;height:2" coordorigin="4563,-14" coordsize="1160,0" path="m4563,-14l5723,-14e" filled="false" stroked="true" strokeweight=".72003pt" strokecolor="#000000">
                <v:path arrowok="t"/>
              </v:shape>
            </v:group>
            <v:group style="position:absolute;left:5795;top:-14;width:1101;height:2" coordorigin="5795,-14" coordsize="1101,2">
              <v:shape style="position:absolute;left:5795;top:-14;width:1101;height:2" coordorigin="5795,-14" coordsize="1101,0" path="m5795,-14l6895,-14e" filled="false" stroked="true" strokeweight=".72003pt" strokecolor="#000000">
                <v:path arrowok="t"/>
              </v:shape>
            </v:group>
            <v:group style="position:absolute;left:6968;top:-14;width:1034;height:2" coordorigin="6968,-14" coordsize="1034,2">
              <v:shape style="position:absolute;left:6968;top:-14;width:1034;height:2" coordorigin="6968,-14" coordsize="1034,0" path="m6968,-14l8001,-14e" filled="false" stroked="true" strokeweight=".72003pt" strokecolor="#000000">
                <v:path arrowok="t"/>
              </v:shape>
            </v:group>
            <w10:wrap type="none"/>
          </v:group>
        </w:pict>
      </w:r>
      <w:r>
        <w:rPr/>
        <w:pict>
          <v:group style="position:absolute;margin-left:480.050995pt;margin-top:-.72003pt;width:53.85pt;height:.1pt;mso-position-horizontal-relative:page;mso-position-vertical-relative:paragraph;z-index:-815704" coordorigin="9601,-14" coordsize="1077,2">
            <v:shape style="position:absolute;left:9601;top:-14;width:1077;height:2" coordorigin="9601,-14" coordsize="1077,0" path="m9601,-14l10677,-14e" filled="false" stroked="true" strokeweight=".72003pt" strokecolor="#000000">
              <v:path arrowok="t"/>
            </v:shape>
            <w10:wrap type="none"/>
          </v:group>
        </w:pict>
      </w:r>
      <w:r>
        <w:rPr/>
        <w:pict>
          <v:group style="position:absolute;margin-left:591.710999pt;margin-top:-.72003pt;width:55.4pt;height:.1pt;mso-position-horizontal-relative:page;mso-position-vertical-relative:paragraph;z-index:-815680" coordorigin="11834,-14" coordsize="1108,2">
            <v:shape style="position:absolute;left:11834;top:-14;width:1108;height:2" coordorigin="11834,-14" coordsize="1108,0" path="m11834,-14l12942,-14e" filled="false" stroked="true" strokeweight=".72003pt" strokecolor="#000000">
              <v:path arrowok="t"/>
            </v:shape>
            <w10:wrap type="none"/>
          </v:group>
        </w:pict>
      </w:r>
      <w:r>
        <w:rPr/>
        <w:pict>
          <v:group style="position:absolute;margin-left:708.471008pt;margin-top:-.72003pt;width:51.45pt;height:.1pt;mso-position-horizontal-relative:page;mso-position-vertical-relative:paragraph;z-index:-815656" coordorigin="14169,-14" coordsize="1029,2">
            <v:shape style="position:absolute;left:14169;top:-14;width:1029;height:2" coordorigin="14169,-14" coordsize="1029,0" path="m14169,-14l15198,-14e" filled="false" stroked="true" strokeweight=".72003pt" strokecolor="#000000">
              <v:path arrowok="t"/>
            </v:shape>
            <w10:wrap type="none"/>
          </v:group>
        </w:pict>
      </w:r>
      <w:r>
        <w:rPr>
          <w:rFonts w:ascii="宋体" w:hAnsi="宋体" w:cs="宋体" w:eastAsia="宋体" w:hint="default"/>
          <w:position w:val="1"/>
          <w:sz w:val="12"/>
          <w:szCs w:val="12"/>
        </w:rPr>
        <w:t>资本性支出</w:t>
        <w:tab/>
      </w:r>
      <w:r>
        <w:rPr>
          <w:rFonts w:ascii="Arial" w:hAnsi="Arial" w:cs="Arial" w:eastAsia="Arial" w:hint="default"/>
          <w:spacing w:val="-1"/>
          <w:sz w:val="12"/>
          <w:szCs w:val="12"/>
        </w:rPr>
        <w:t>25,993,796,485</w:t>
        <w:tab/>
        <w:t>39,985,143,468</w:t>
        <w:tab/>
        <w:t>65,978,939,953</w:t>
        <w:tab/>
        <w:t>10,680,211,472</w:t>
        <w:tab/>
      </w:r>
      <w:r>
        <w:rPr>
          <w:rFonts w:ascii="Arial" w:hAnsi="Arial" w:cs="Arial" w:eastAsia="Arial" w:hint="default"/>
          <w:sz w:val="12"/>
          <w:szCs w:val="12"/>
        </w:rPr>
        <w:t>-</w:t>
        <w:tab/>
      </w:r>
      <w:r>
        <w:rPr>
          <w:rFonts w:ascii="Arial" w:hAnsi="Arial" w:cs="Arial" w:eastAsia="Arial" w:hint="default"/>
          <w:spacing w:val="-1"/>
          <w:sz w:val="12"/>
          <w:szCs w:val="12"/>
        </w:rPr>
        <w:t>76,659,151,425</w:t>
        <w:tab/>
        <w:t>29,623,455,234</w:t>
        <w:tab/>
        <w:t>34,392,685,728</w:t>
        <w:tab/>
        <w:t>64,016,140,962</w:t>
        <w:tab/>
        <w:t>6,176,645,600</w:t>
        <w:tab/>
      </w:r>
      <w:r>
        <w:rPr>
          <w:rFonts w:ascii="Arial" w:hAnsi="Arial" w:cs="Arial" w:eastAsia="Arial" w:hint="default"/>
          <w:sz w:val="12"/>
          <w:szCs w:val="12"/>
        </w:rPr>
        <w:t>-</w:t>
        <w:tab/>
      </w:r>
      <w:r>
        <w:rPr>
          <w:rFonts w:ascii="Arial" w:hAnsi="Arial" w:cs="Arial" w:eastAsia="Arial" w:hint="default"/>
          <w:spacing w:val="-1"/>
          <w:sz w:val="12"/>
          <w:szCs w:val="12"/>
        </w:rPr>
        <w:t>70,192,786,562</w:t>
      </w:r>
    </w:p>
    <w:p>
      <w:pPr>
        <w:spacing w:line="43" w:lineRule="exact"/>
        <w:ind w:left="1919" w:right="0" w:firstLine="0"/>
        <w:rPr>
          <w:rFonts w:ascii="Arial" w:hAnsi="Arial" w:cs="Arial" w:eastAsia="Arial" w:hint="default"/>
          <w:sz w:val="4"/>
          <w:szCs w:val="4"/>
        </w:rPr>
      </w:pPr>
      <w:r>
        <w:rPr>
          <w:rFonts w:ascii="Arial"/>
          <w:position w:val="0"/>
          <w:sz w:val="4"/>
        </w:rPr>
        <w:pict>
          <v:group style="width:288.5pt;height:2.2pt;mso-position-horizontal-relative:char;mso-position-vertical-relative:line" coordorigin="0,0" coordsize="5770,44">
            <v:group style="position:absolute;left:7;top:7;width:1114;height:2" coordorigin="7,7" coordsize="1114,2">
              <v:shape style="position:absolute;left:7;top:7;width:1114;height:2" coordorigin="7,7" coordsize="1114,0" path="m7,7l1121,7e" filled="false" stroked="true" strokeweight=".72pt" strokecolor="#000000">
                <v:path arrowok="t"/>
              </v:shape>
            </v:group>
            <v:group style="position:absolute;left:7;top:36;width:1114;height:2" coordorigin="7,36" coordsize="1114,2">
              <v:shape style="position:absolute;left:7;top:36;width:1114;height:2" coordorigin="7,36" coordsize="1114,0" path="m7,36l1121,36e" filled="false" stroked="true" strokeweight=".71997pt" strokecolor="#000000">
                <v:path arrowok="t"/>
              </v:shape>
            </v:group>
            <v:group style="position:absolute;left:1189;top:7;width:1073;height:2" coordorigin="1189,7" coordsize="1073,2">
              <v:shape style="position:absolute;left:1189;top:7;width:1073;height:2" coordorigin="1189,7" coordsize="1073,0" path="m1189,7l2262,7e" filled="false" stroked="true" strokeweight=".72pt" strokecolor="#000000">
                <v:path arrowok="t"/>
              </v:shape>
            </v:group>
            <v:group style="position:absolute;left:1189;top:36;width:1073;height:2" coordorigin="1189,36" coordsize="1073,2">
              <v:shape style="position:absolute;left:1189;top:36;width:1073;height:2" coordorigin="1189,36" coordsize="1073,0" path="m1189,36l2262,36e" filled="false" stroked="true" strokeweight=".71997pt" strokecolor="#000000">
                <v:path arrowok="t"/>
              </v:shape>
            </v:group>
            <v:group style="position:absolute;left:2324;top:7;width:1160;height:2" coordorigin="2324,7" coordsize="1160,2">
              <v:shape style="position:absolute;left:2324;top:7;width:1160;height:2" coordorigin="2324,7" coordsize="1160,0" path="m2324,7l3484,7e" filled="false" stroked="true" strokeweight=".72pt" strokecolor="#000000">
                <v:path arrowok="t"/>
              </v:shape>
            </v:group>
            <v:group style="position:absolute;left:2324;top:36;width:1160;height:2" coordorigin="2324,36" coordsize="1160,2">
              <v:shape style="position:absolute;left:2324;top:36;width:1160;height:2" coordorigin="2324,36" coordsize="1160,0" path="m2324,36l3484,36e" filled="false" stroked="true" strokeweight=".71997pt" strokecolor="#000000">
                <v:path arrowok="t"/>
              </v:shape>
            </v:group>
            <v:group style="position:absolute;left:3556;top:7;width:1101;height:2" coordorigin="3556,7" coordsize="1101,2">
              <v:shape style="position:absolute;left:3556;top:7;width:1101;height:2" coordorigin="3556,7" coordsize="1101,0" path="m3556,7l4656,7e" filled="false" stroked="true" strokeweight=".72pt" strokecolor="#000000">
                <v:path arrowok="t"/>
              </v:shape>
            </v:group>
            <v:group style="position:absolute;left:3556;top:36;width:1101;height:2" coordorigin="3556,36" coordsize="1101,2">
              <v:shape style="position:absolute;left:3556;top:36;width:1101;height:2" coordorigin="3556,36" coordsize="1101,0" path="m3556,36l4656,36e" filled="false" stroked="true" strokeweight=".71997pt" strokecolor="#000000">
                <v:path arrowok="t"/>
              </v:shape>
            </v:group>
            <v:group style="position:absolute;left:4729;top:7;width:1034;height:2" coordorigin="4729,7" coordsize="1034,2">
              <v:shape style="position:absolute;left:4729;top:7;width:1034;height:2" coordorigin="4729,7" coordsize="1034,0" path="m4729,7l5762,7e" filled="false" stroked="true" strokeweight=".72pt" strokecolor="#000000">
                <v:path arrowok="t"/>
              </v:shape>
            </v:group>
            <v:group style="position:absolute;left:4729;top:36;width:1034;height:2" coordorigin="4729,36" coordsize="1034,2">
              <v:shape style="position:absolute;left:4729;top:36;width:1034;height:2" coordorigin="4729,36" coordsize="1034,0" path="m4729,36l5762,36e" filled="false" stroked="true" strokeweight=".71997pt" strokecolor="#000000">
                <v:path arrowok="t"/>
              </v:shape>
            </v:group>
          </v:group>
        </w:pict>
      </w:r>
      <w:r>
        <w:rPr>
          <w:rFonts w:ascii="Arial"/>
          <w:position w:val="0"/>
          <w:sz w:val="4"/>
        </w:rPr>
      </w:r>
      <w:r>
        <w:rPr>
          <w:rFonts w:ascii="Times New Roman"/>
          <w:spacing w:val="51"/>
          <w:position w:val="0"/>
          <w:sz w:val="4"/>
        </w:rPr>
        <w:t> </w:t>
      </w:r>
      <w:r>
        <w:rPr>
          <w:rFonts w:ascii="Arial"/>
          <w:spacing w:val="51"/>
          <w:position w:val="0"/>
          <w:sz w:val="4"/>
        </w:rPr>
        <w:pict>
          <v:group style="width:69.9pt;height:2.2pt;mso-position-horizontal-relative:char;mso-position-vertical-relative:line" coordorigin="0,0" coordsize="1398,44">
            <v:group style="position:absolute;left:7;top:7;width:1384;height:2" coordorigin="7,7" coordsize="1384,2">
              <v:shape style="position:absolute;left:7;top:7;width:1384;height:2" coordorigin="7,7" coordsize="1384,0" path="m7,7l1391,7e" filled="false" stroked="true" strokeweight=".72pt" strokecolor="#000000">
                <v:path arrowok="t"/>
              </v:shape>
            </v:group>
            <v:group style="position:absolute;left:7;top:36;width:1384;height:2" coordorigin="7,36" coordsize="1384,2">
              <v:shape style="position:absolute;left:7;top:36;width:1384;height:2" coordorigin="7,36" coordsize="1384,0" path="m7,36l1391,36e" filled="false" stroked="true" strokeweight=".71997pt" strokecolor="#000000">
                <v:path arrowok="t"/>
              </v:shape>
            </v:group>
          </v:group>
        </w:pict>
      </w:r>
      <w:r>
        <w:rPr>
          <w:rFonts w:ascii="Arial"/>
          <w:spacing w:val="51"/>
          <w:position w:val="0"/>
          <w:sz w:val="4"/>
        </w:rPr>
      </w:r>
      <w:r>
        <w:rPr>
          <w:rFonts w:ascii="Times New Roman"/>
          <w:spacing w:val="105"/>
          <w:position w:val="0"/>
          <w:sz w:val="4"/>
        </w:rPr>
        <w:t> </w:t>
      </w:r>
      <w:r>
        <w:rPr>
          <w:rFonts w:ascii="Arial"/>
          <w:spacing w:val="105"/>
          <w:position w:val="0"/>
          <w:sz w:val="4"/>
        </w:rPr>
        <w:pict>
          <v:group style="width:167.8pt;height:2.2pt;mso-position-horizontal-relative:char;mso-position-vertical-relative:line" coordorigin="0,0" coordsize="3356,44">
            <v:group style="position:absolute;left:7;top:7;width:1077;height:2" coordorigin="7,7" coordsize="1077,2">
              <v:shape style="position:absolute;left:7;top:7;width:1077;height:2" coordorigin="7,7" coordsize="1077,0" path="m7,7l1084,7e" filled="false" stroked="true" strokeweight=".72pt" strokecolor="#000000">
                <v:path arrowok="t"/>
              </v:shape>
            </v:group>
            <v:group style="position:absolute;left:7;top:36;width:1077;height:2" coordorigin="7,36" coordsize="1077,2">
              <v:shape style="position:absolute;left:7;top:36;width:1077;height:2" coordorigin="7,36" coordsize="1077,0" path="m7,36l1084,36e" filled="false" stroked="true" strokeweight=".71997pt" strokecolor="#000000">
                <v:path arrowok="t"/>
              </v:shape>
            </v:group>
            <v:group style="position:absolute;left:1153;top:7;width:1012;height:2" coordorigin="1153,7" coordsize="1012,2">
              <v:shape style="position:absolute;left:1153;top:7;width:1012;height:2" coordorigin="1153,7" coordsize="1012,0" path="m1153,7l2165,7e" filled="false" stroked="true" strokeweight=".72pt" strokecolor="#000000">
                <v:path arrowok="t"/>
              </v:shape>
            </v:group>
            <v:group style="position:absolute;left:1153;top:36;width:1012;height:2" coordorigin="1153,36" coordsize="1012,2">
              <v:shape style="position:absolute;left:1153;top:36;width:1012;height:2" coordorigin="1153,36" coordsize="1012,0" path="m1153,36l2165,36e" filled="false" stroked="true" strokeweight=".71997pt" strokecolor="#000000">
                <v:path arrowok="t"/>
              </v:shape>
            </v:group>
            <v:group style="position:absolute;left:2240;top:7;width:1108;height:2" coordorigin="2240,7" coordsize="1108,2">
              <v:shape style="position:absolute;left:2240;top:7;width:1108;height:2" coordorigin="2240,7" coordsize="1108,0" path="m2240,7l3348,7e" filled="false" stroked="true" strokeweight=".72pt" strokecolor="#000000">
                <v:path arrowok="t"/>
              </v:shape>
            </v:group>
            <v:group style="position:absolute;left:2240;top:36;width:1108;height:2" coordorigin="2240,36" coordsize="1108,2">
              <v:shape style="position:absolute;left:2240;top:36;width:1108;height:2" coordorigin="2240,36" coordsize="1108,0" path="m2240,36l3348,36e" filled="false" stroked="true" strokeweight=".71997pt" strokecolor="#000000">
                <v:path arrowok="t"/>
              </v:shape>
            </v:group>
          </v:group>
        </w:pict>
      </w:r>
      <w:r>
        <w:rPr>
          <w:rFonts w:ascii="Arial"/>
          <w:spacing w:val="105"/>
          <w:position w:val="0"/>
          <w:sz w:val="4"/>
        </w:rPr>
      </w:r>
      <w:r>
        <w:rPr>
          <w:rFonts w:ascii="Times New Roman"/>
          <w:spacing w:val="47"/>
          <w:position w:val="0"/>
          <w:sz w:val="4"/>
        </w:rPr>
        <w:t> </w:t>
      </w:r>
      <w:r>
        <w:rPr>
          <w:rFonts w:ascii="Arial"/>
          <w:spacing w:val="47"/>
          <w:position w:val="0"/>
          <w:sz w:val="4"/>
        </w:rPr>
        <w:pict>
          <v:group style="width:53.7pt;height:2.2pt;mso-position-horizontal-relative:char;mso-position-vertical-relative:line" coordorigin="0,0" coordsize="1074,44">
            <v:group style="position:absolute;left:7;top:7;width:1060;height:2" coordorigin="7,7" coordsize="1060,2">
              <v:shape style="position:absolute;left:7;top:7;width:1060;height:2" coordorigin="7,7" coordsize="1060,0" path="m7,7l1067,7e" filled="false" stroked="true" strokeweight=".72pt" strokecolor="#000000">
                <v:path arrowok="t"/>
              </v:shape>
            </v:group>
            <v:group style="position:absolute;left:7;top:36;width:1060;height:2" coordorigin="7,36" coordsize="1060,2">
              <v:shape style="position:absolute;left:7;top:36;width:1060;height:2" coordorigin="7,36" coordsize="1060,0" path="m7,36l1067,36e" filled="false" stroked="true" strokeweight=".71997pt" strokecolor="#000000">
                <v:path arrowok="t"/>
              </v:shape>
            </v:group>
          </v:group>
        </w:pict>
      </w:r>
      <w:r>
        <w:rPr>
          <w:rFonts w:ascii="Arial"/>
          <w:spacing w:val="47"/>
          <w:position w:val="0"/>
          <w:sz w:val="4"/>
        </w:rPr>
      </w:r>
      <w:r>
        <w:rPr>
          <w:rFonts w:ascii="Times New Roman"/>
          <w:spacing w:val="60"/>
          <w:position w:val="0"/>
          <w:sz w:val="4"/>
        </w:rPr>
        <w:t> </w:t>
      </w:r>
      <w:r>
        <w:rPr>
          <w:rFonts w:ascii="Arial"/>
          <w:spacing w:val="60"/>
          <w:position w:val="0"/>
          <w:sz w:val="4"/>
        </w:rPr>
        <w:pict>
          <v:group style="width:52.15pt;height:2.2pt;mso-position-horizontal-relative:char;mso-position-vertical-relative:line" coordorigin="0,0" coordsize="1043,44">
            <v:group style="position:absolute;left:7;top:7;width:1029;height:2" coordorigin="7,7" coordsize="1029,2">
              <v:shape style="position:absolute;left:7;top:7;width:1029;height:2" coordorigin="7,7" coordsize="1029,0" path="m7,7l1036,7e" filled="false" stroked="true" strokeweight=".72pt" strokecolor="#000000">
                <v:path arrowok="t"/>
              </v:shape>
            </v:group>
            <v:group style="position:absolute;left:7;top:36;width:1029;height:2" coordorigin="7,36" coordsize="1029,2">
              <v:shape style="position:absolute;left:7;top:36;width:1029;height:2" coordorigin="7,36" coordsize="1029,0" path="m7,36l1036,36e" filled="false" stroked="true" strokeweight=".71997pt" strokecolor="#000000">
                <v:path arrowok="t"/>
              </v:shape>
            </v:group>
          </v:group>
        </w:pict>
      </w:r>
      <w:r>
        <w:rPr>
          <w:rFonts w:ascii="Arial"/>
          <w:spacing w:val="60"/>
          <w:position w:val="0"/>
          <w:sz w:val="4"/>
        </w:rPr>
      </w:r>
      <w:r>
        <w:rPr>
          <w:rFonts w:ascii="Times New Roman"/>
          <w:spacing w:val="53"/>
          <w:position w:val="0"/>
          <w:sz w:val="4"/>
        </w:rPr>
        <w:t> </w:t>
      </w:r>
      <w:r>
        <w:rPr>
          <w:rFonts w:ascii="Arial"/>
          <w:spacing w:val="53"/>
          <w:position w:val="0"/>
          <w:sz w:val="4"/>
        </w:rPr>
        <w:pict>
          <v:group style="width:57pt;height:2.2pt;mso-position-horizontal-relative:char;mso-position-vertical-relative:line" coordorigin="0,0" coordsize="1140,44">
            <v:group style="position:absolute;left:7;top:7;width:1126;height:2" coordorigin="7,7" coordsize="1126,2">
              <v:shape style="position:absolute;left:7;top:7;width:1126;height:2" coordorigin="7,7" coordsize="1126,0" path="m7,7l1133,7e" filled="false" stroked="true" strokeweight=".72pt" strokecolor="#000000">
                <v:path arrowok="t"/>
              </v:shape>
            </v:group>
            <v:group style="position:absolute;left:7;top:36;width:1126;height:2" coordorigin="7,36" coordsize="1126,2">
              <v:shape style="position:absolute;left:7;top:36;width:1126;height:2" coordorigin="7,36" coordsize="1126,0" path="m7,36l1133,36e" filled="false" stroked="true" strokeweight=".71997pt" strokecolor="#000000">
                <v:path arrowok="t"/>
              </v:shape>
            </v:group>
          </v:group>
        </w:pict>
      </w:r>
      <w:r>
        <w:rPr>
          <w:rFonts w:ascii="Arial"/>
          <w:spacing w:val="53"/>
          <w:position w:val="0"/>
          <w:sz w:val="4"/>
        </w:rPr>
      </w:r>
    </w:p>
    <w:p>
      <w:pPr>
        <w:spacing w:line="240" w:lineRule="auto" w:before="5"/>
        <w:rPr>
          <w:rFonts w:ascii="Arial" w:hAnsi="Arial" w:cs="Arial" w:eastAsia="Arial" w:hint="default"/>
          <w:sz w:val="6"/>
          <w:szCs w:val="6"/>
        </w:rPr>
      </w:pPr>
    </w:p>
    <w:p>
      <w:pPr>
        <w:spacing w:before="44"/>
        <w:ind w:left="380" w:right="13030" w:firstLine="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、资产负债部分</w:t>
      </w:r>
    </w:p>
    <w:p>
      <w:pPr>
        <w:spacing w:line="240" w:lineRule="auto" w:before="11"/>
        <w:rPr>
          <w:rFonts w:ascii="宋体" w:hAnsi="宋体" w:cs="宋体" w:eastAsia="宋体" w:hint="default"/>
          <w:sz w:val="12"/>
          <w:szCs w:val="12"/>
        </w:rPr>
      </w:pPr>
    </w:p>
    <w:p>
      <w:pPr>
        <w:tabs>
          <w:tab w:pos="11772" w:val="left" w:leader="none"/>
        </w:tabs>
        <w:spacing w:before="63"/>
        <w:ind w:left="4998" w:right="0" w:firstLine="0"/>
        <w:jc w:val="left"/>
        <w:rPr>
          <w:rFonts w:ascii="宋体" w:hAnsi="宋体" w:cs="宋体" w:eastAsia="宋体" w:hint="default"/>
          <w:sz w:val="12"/>
          <w:szCs w:val="12"/>
        </w:rPr>
      </w:pPr>
      <w:r>
        <w:rPr/>
        <w:pict>
          <v:group style="position:absolute;margin-left:111.950996pt;margin-top:21.497812pt;width:233.2pt;height:.75pt;mso-position-horizontal-relative:page;mso-position-vertical-relative:paragraph;z-index:-815632" coordorigin="2239,430" coordsize="4664,15">
            <v:group style="position:absolute;left:2246;top:437;width:1114;height:2" coordorigin="2246,437" coordsize="1114,2">
              <v:shape style="position:absolute;left:2246;top:437;width:1114;height:2" coordorigin="2246,437" coordsize="1114,0" path="m2246,437l3360,437e" filled="false" stroked="true" strokeweight=".72pt" strokecolor="#000000">
                <v:path arrowok="t"/>
              </v:shape>
            </v:group>
            <v:group style="position:absolute;left:3428;top:437;width:1073;height:2" coordorigin="3428,437" coordsize="1073,2">
              <v:shape style="position:absolute;left:3428;top:437;width:1073;height:2" coordorigin="3428,437" coordsize="1073,0" path="m3428,437l4501,437e" filled="false" stroked="true" strokeweight=".72pt" strokecolor="#000000">
                <v:path arrowok="t"/>
              </v:shape>
            </v:group>
            <v:group style="position:absolute;left:4563;top:437;width:1160;height:2" coordorigin="4563,437" coordsize="1160,2">
              <v:shape style="position:absolute;left:4563;top:437;width:1160;height:2" coordorigin="4563,437" coordsize="1160,0" path="m4563,437l5723,437e" filled="false" stroked="true" strokeweight=".72pt" strokecolor="#000000">
                <v:path arrowok="t"/>
              </v:shape>
            </v:group>
            <v:group style="position:absolute;left:5795;top:437;width:1101;height:2" coordorigin="5795,437" coordsize="1101,2">
              <v:shape style="position:absolute;left:5795;top:437;width:1101;height:2" coordorigin="5795,437" coordsize="1101,0" path="m5795,437l6895,437e" filled="false" stroked="true" strokeweight=".72pt" strokecolor="#000000">
                <v:path arrowok="t"/>
              </v:shape>
            </v:group>
            <w10:wrap type="none"/>
          </v:group>
        </w:pict>
      </w:r>
      <w:r>
        <w:rPr/>
        <w:pict>
          <v:group style="position:absolute;margin-left:348.770996pt;margin-top:21.857813pt;width:51.3pt;height:.1pt;mso-position-horizontal-relative:page;mso-position-vertical-relative:paragraph;z-index:-815608" coordorigin="6975,437" coordsize="1026,2">
            <v:shape style="position:absolute;left:6975;top:437;width:1026;height:2" coordorigin="6975,437" coordsize="1026,0" path="m6975,437l8001,437e" filled="false" stroked="true" strokeweight=".72pt" strokecolor="#000000">
              <v:path arrowok="t"/>
            </v:shape>
            <w10:wrap type="none"/>
          </v:group>
        </w:pict>
      </w:r>
      <w:r>
        <w:rPr/>
        <w:pict>
          <v:group style="position:absolute;margin-left:404.151001pt;margin-top:21.857813pt;width:69.2pt;height:.1pt;mso-position-horizontal-relative:page;mso-position-vertical-relative:paragraph;z-index:-815584" coordorigin="8083,437" coordsize="1384,2">
            <v:shape style="position:absolute;left:8083;top:437;width:1384;height:2" coordorigin="8083,437" coordsize="1384,0" path="m8083,437l9467,437e" filled="false" stroked="true" strokeweight=".72pt" strokecolor="#000000">
              <v:path arrowok="t"/>
            </v:shape>
            <w10:wrap type="none"/>
          </v:group>
        </w:pict>
      </w:r>
      <w:r>
        <w:rPr/>
        <w:pict>
          <v:group style="position:absolute;margin-left:479.390991pt;margin-top:21.497812pt;width:168.1pt;height:2.2pt;mso-position-horizontal-relative:page;mso-position-vertical-relative:paragraph;z-index:-815560" coordorigin="9588,430" coordsize="3362,44">
            <v:group style="position:absolute;left:9595;top:437;width:1083;height:2" coordorigin="9595,437" coordsize="1083,2">
              <v:shape style="position:absolute;left:9595;top:437;width:1083;height:2" coordorigin="9595,437" coordsize="1083,0" path="m9595,437l10677,437e" filled="false" stroked="true" strokeweight=".72pt" strokecolor="#000000">
                <v:path arrowok="t"/>
              </v:shape>
            </v:group>
            <v:group style="position:absolute;left:10747;top:437;width:1012;height:2" coordorigin="10747,437" coordsize="1012,2">
              <v:shape style="position:absolute;left:10747;top:437;width:1012;height:2" coordorigin="10747,437" coordsize="1012,0" path="m10747,437l11759,437e" filled="false" stroked="true" strokeweight=".72pt" strokecolor="#000000">
                <v:path arrowok="t"/>
              </v:shape>
            </v:group>
            <v:group style="position:absolute;left:11834;top:437;width:1108;height:2" coordorigin="11834,437" coordsize="1108,2">
              <v:shape style="position:absolute;left:11834;top:437;width:1108;height:2" coordorigin="11834,437" coordsize="1108,0" path="m11834,437l12942,437e" filled="false" stroked="true" strokeweight=".72pt" strokecolor="#000000">
                <v:path arrowok="t"/>
              </v:shape>
            </v:group>
            <v:group style="position:absolute;left:11834;top:466;width:1108;height:2" coordorigin="11834,466" coordsize="1108,2">
              <v:shape style="position:absolute;left:11834;top:466;width:1108;height:2" coordorigin="11834,466" coordsize="1108,0" path="m11834,466l12942,466e" filled="false" stroked="true" strokeweight=".72pt" strokecolor="#000000">
                <v:path arrowok="t"/>
              </v:shape>
            </v:group>
            <w10:wrap type="none"/>
          </v:group>
        </w:pict>
      </w:r>
      <w:r>
        <w:rPr/>
        <w:pict>
          <v:group style="position:absolute;margin-left:650.98999pt;margin-top:21.857813pt;width:53pt;height:.1pt;mso-position-horizontal-relative:page;mso-position-vertical-relative:paragraph;z-index:-815536" coordorigin="13020,437" coordsize="1060,2">
            <v:shape style="position:absolute;left:13020;top:437;width:1060;height:2" coordorigin="13020,437" coordsize="1060,0" path="m13020,437l14079,437e" filled="false" stroked="true" strokeweight=".72pt" strokecolor="#000000">
              <v:path arrowok="t"/>
            </v:shape>
            <w10:wrap type="none"/>
          </v:group>
        </w:pict>
      </w:r>
      <w:r>
        <w:rPr/>
        <w:pict>
          <v:group style="position:absolute;margin-left:708.471008pt;margin-top:21.857813pt;width:51.45pt;height:.1pt;mso-position-horizontal-relative:page;mso-position-vertical-relative:paragraph;z-index:-815512" coordorigin="14169,437" coordsize="1029,2">
            <v:shape style="position:absolute;left:14169;top:437;width:1029;height:2" coordorigin="14169,437" coordsize="1029,0" path="m14169,437l15198,437e" filled="false" stroked="true" strokeweight=".72pt" strokecolor="#000000">
              <v:path arrowok="t"/>
            </v:shape>
            <w10:wrap type="none"/>
          </v:group>
        </w:pict>
      </w:r>
      <w:r>
        <w:rPr/>
        <w:pict>
          <v:group style="position:absolute;margin-left:764.031006pt;margin-top:21.857813pt;width:56.3pt;height:.1pt;mso-position-horizontal-relative:page;mso-position-vertical-relative:paragraph;z-index:-815488" coordorigin="15281,437" coordsize="1126,2">
            <v:shape style="position:absolute;left:15281;top:437;width:1126;height:2" coordorigin="15281,437" coordsize="1126,0" path="m15281,437l16406,437e" filled="false" stroked="true" strokeweight=".72pt" strokecolor="#000000">
              <v:path arrowok="t"/>
            </v:shape>
            <w10:wrap type="none"/>
          </v:group>
        </w:pict>
      </w:r>
      <w:r>
        <w:rPr/>
        <w:pict>
          <v:group style="position:absolute;margin-left:111.231003pt;margin-top:41.057812pt;width:362.5pt;height:.75pt;mso-position-horizontal-relative:page;mso-position-vertical-relative:paragraph;z-index:-815464" coordorigin="2225,821" coordsize="7250,15">
            <v:group style="position:absolute;left:2232;top:828;width:1128;height:2" coordorigin="2232,828" coordsize="1128,2">
              <v:shape style="position:absolute;left:2232;top:828;width:1128;height:2" coordorigin="2232,828" coordsize="1128,0" path="m2232,828l3360,828e" filled="false" stroked="true" strokeweight=".72pt" strokecolor="#000000">
                <v:path arrowok="t"/>
              </v:shape>
            </v:group>
            <v:group style="position:absolute;left:3414;top:828;width:1088;height:2" coordorigin="3414,828" coordsize="1088,2">
              <v:shape style="position:absolute;left:3414;top:828;width:1088;height:2" coordorigin="3414,828" coordsize="1088,0" path="m3414,828l4501,828e" filled="false" stroked="true" strokeweight=".72pt" strokecolor="#000000">
                <v:path arrowok="t"/>
              </v:shape>
            </v:group>
            <v:group style="position:absolute;left:4549;top:828;width:1174;height:2" coordorigin="4549,828" coordsize="1174,2">
              <v:shape style="position:absolute;left:4549;top:828;width:1174;height:2" coordorigin="4549,828" coordsize="1174,0" path="m4549,828l5723,828e" filled="false" stroked="true" strokeweight=".72pt" strokecolor="#000000">
                <v:path arrowok="t"/>
              </v:shape>
            </v:group>
            <v:group style="position:absolute;left:5780;top:828;width:1115;height:2" coordorigin="5780,828" coordsize="1115,2">
              <v:shape style="position:absolute;left:5780;top:828;width:1115;height:2" coordorigin="5780,828" coordsize="1115,0" path="m5780,828l6895,828e" filled="false" stroked="true" strokeweight=".72pt" strokecolor="#000000">
                <v:path arrowok="t"/>
              </v:shape>
            </v:group>
            <v:group style="position:absolute;left:6961;top:828;width:1041;height:2" coordorigin="6961,828" coordsize="1041,2">
              <v:shape style="position:absolute;left:6961;top:828;width:1041;height:2" coordorigin="6961,828" coordsize="1041,0" path="m6961,828l8001,828e" filled="false" stroked="true" strokeweight=".72pt" strokecolor="#000000">
                <v:path arrowok="t"/>
              </v:shape>
            </v:group>
            <v:group style="position:absolute;left:8069;top:828;width:1398;height:2" coordorigin="8069,828" coordsize="1398,2">
              <v:shape style="position:absolute;left:8069;top:828;width:1398;height:2" coordorigin="8069,828" coordsize="1398,0" path="m8069,828l9467,828e" filled="false" stroked="true" strokeweight=".72pt" strokecolor="#000000">
                <v:path arrowok="t"/>
              </v:shape>
            </v:group>
            <w10:wrap type="none"/>
          </v:group>
        </w:pict>
      </w:r>
      <w:r>
        <w:rPr/>
        <w:pict>
          <v:group style="position:absolute;margin-left:478.67099pt;margin-top:41.057812pt;width:342pt;height:.75pt;mso-position-horizontal-relative:page;mso-position-vertical-relative:paragraph;z-index:-815440" coordorigin="9573,821" coordsize="6840,15">
            <v:group style="position:absolute;left:9581;top:828;width:1097;height:2" coordorigin="9581,828" coordsize="1097,2">
              <v:shape style="position:absolute;left:9581;top:828;width:1097;height:2" coordorigin="9581,828" coordsize="1097,0" path="m9581,828l10677,828e" filled="false" stroked="true" strokeweight=".72pt" strokecolor="#000000">
                <v:path arrowok="t"/>
              </v:shape>
            </v:group>
            <v:group style="position:absolute;left:10733;top:828;width:1026;height:2" coordorigin="10733,828" coordsize="1026,2">
              <v:shape style="position:absolute;left:10733;top:828;width:1026;height:2" coordorigin="10733,828" coordsize="1026,0" path="m10733,828l11759,828e" filled="false" stroked="true" strokeweight=".72pt" strokecolor="#000000">
                <v:path arrowok="t"/>
              </v:shape>
            </v:group>
            <v:group style="position:absolute;left:11820;top:828;width:1122;height:2" coordorigin="11820,828" coordsize="1122,2">
              <v:shape style="position:absolute;left:11820;top:828;width:1122;height:2" coordorigin="11820,828" coordsize="1122,0" path="m11820,828l12942,828e" filled="false" stroked="true" strokeweight=".72pt" strokecolor="#000000">
                <v:path arrowok="t"/>
              </v:shape>
            </v:group>
            <v:group style="position:absolute;left:13005;top:828;width:1074;height:2" coordorigin="13005,828" coordsize="1074,2">
              <v:shape style="position:absolute;left:13005;top:828;width:1074;height:2" coordorigin="13005,828" coordsize="1074,0" path="m13005,828l14079,828e" filled="false" stroked="true" strokeweight=".72pt" strokecolor="#000000">
                <v:path arrowok="t"/>
              </v:shape>
            </v:group>
            <v:group style="position:absolute;left:14155;top:828;width:1043;height:2" coordorigin="14155,828" coordsize="1043,2">
              <v:shape style="position:absolute;left:14155;top:828;width:1043;height:2" coordorigin="14155,828" coordsize="1043,0" path="m14155,828l15198,828e" filled="false" stroked="true" strokeweight=".72pt" strokecolor="#000000">
                <v:path arrowok="t"/>
              </v:shape>
            </v:group>
            <v:group style="position:absolute;left:15266;top:828;width:1140;height:2" coordorigin="15266,828" coordsize="1140,2">
              <v:shape style="position:absolute;left:15266;top:828;width:1140;height:2" coordorigin="15266,828" coordsize="1140,0" path="m15266,828l16406,828e" filled="false" stroked="true" strokeweight=".72pt" strokecolor="#000000">
                <v:path arrowok="t"/>
              </v:shape>
            </v:group>
            <w10:wrap type="none"/>
          </v:group>
        </w:pict>
      </w:r>
      <w:r>
        <w:rPr>
          <w:rFonts w:ascii="Arial" w:hAnsi="Arial" w:cs="Arial" w:eastAsia="Arial" w:hint="default"/>
          <w:sz w:val="12"/>
          <w:szCs w:val="12"/>
        </w:rPr>
        <w:t>2011</w:t>
      </w:r>
      <w:r>
        <w:rPr>
          <w:rFonts w:ascii="Arial" w:hAnsi="Arial" w:cs="Arial" w:eastAsia="Arial" w:hint="default"/>
          <w:spacing w:val="-4"/>
          <w:sz w:val="12"/>
          <w:szCs w:val="12"/>
        </w:rPr>
        <w:t> </w:t>
      </w:r>
      <w:r>
        <w:rPr>
          <w:rFonts w:ascii="宋体" w:hAnsi="宋体" w:cs="宋体" w:eastAsia="宋体" w:hint="default"/>
          <w:sz w:val="12"/>
          <w:szCs w:val="12"/>
        </w:rPr>
        <w:t>年</w:t>
      </w:r>
      <w:r>
        <w:rPr>
          <w:rFonts w:ascii="宋体" w:hAnsi="宋体" w:cs="宋体" w:eastAsia="宋体" w:hint="default"/>
          <w:spacing w:val="-31"/>
          <w:sz w:val="12"/>
          <w:szCs w:val="12"/>
        </w:rPr>
        <w:t> </w:t>
      </w:r>
      <w:r>
        <w:rPr>
          <w:rFonts w:ascii="Arial" w:hAnsi="Arial" w:cs="Arial" w:eastAsia="Arial" w:hint="default"/>
          <w:sz w:val="12"/>
          <w:szCs w:val="12"/>
        </w:rPr>
        <w:t>12</w:t>
      </w:r>
      <w:r>
        <w:rPr>
          <w:rFonts w:ascii="Arial" w:hAnsi="Arial" w:cs="Arial" w:eastAsia="Arial" w:hint="default"/>
          <w:spacing w:val="-4"/>
          <w:sz w:val="12"/>
          <w:szCs w:val="12"/>
        </w:rPr>
        <w:t> </w:t>
      </w:r>
      <w:r>
        <w:rPr>
          <w:rFonts w:ascii="宋体" w:hAnsi="宋体" w:cs="宋体" w:eastAsia="宋体" w:hint="default"/>
          <w:sz w:val="12"/>
          <w:szCs w:val="12"/>
        </w:rPr>
        <w:t>月</w:t>
      </w:r>
      <w:r>
        <w:rPr>
          <w:rFonts w:ascii="宋体" w:hAnsi="宋体" w:cs="宋体" w:eastAsia="宋体" w:hint="default"/>
          <w:spacing w:val="-33"/>
          <w:sz w:val="12"/>
          <w:szCs w:val="12"/>
        </w:rPr>
        <w:t> </w:t>
      </w:r>
      <w:r>
        <w:rPr>
          <w:rFonts w:ascii="Arial" w:hAnsi="Arial" w:cs="Arial" w:eastAsia="Arial" w:hint="default"/>
          <w:sz w:val="12"/>
          <w:szCs w:val="12"/>
        </w:rPr>
        <w:t>31</w:t>
      </w:r>
      <w:r>
        <w:rPr>
          <w:rFonts w:ascii="Arial" w:hAnsi="Arial" w:cs="Arial" w:eastAsia="Arial" w:hint="default"/>
          <w:spacing w:val="-4"/>
          <w:sz w:val="12"/>
          <w:szCs w:val="12"/>
        </w:rPr>
        <w:t> </w:t>
      </w:r>
      <w:r>
        <w:rPr>
          <w:rFonts w:ascii="宋体" w:hAnsi="宋体" w:cs="宋体" w:eastAsia="宋体" w:hint="default"/>
          <w:sz w:val="12"/>
          <w:szCs w:val="12"/>
        </w:rPr>
        <w:t>日</w:t>
        <w:tab/>
      </w:r>
      <w:r>
        <w:rPr>
          <w:rFonts w:ascii="Arial" w:hAnsi="Arial" w:cs="Arial" w:eastAsia="Arial" w:hint="default"/>
          <w:sz w:val="12"/>
          <w:szCs w:val="12"/>
        </w:rPr>
        <w:t>2010</w:t>
      </w:r>
      <w:r>
        <w:rPr>
          <w:rFonts w:ascii="Arial" w:hAnsi="Arial" w:cs="Arial" w:eastAsia="Arial" w:hint="default"/>
          <w:spacing w:val="-4"/>
          <w:sz w:val="12"/>
          <w:szCs w:val="12"/>
        </w:rPr>
        <w:t> </w:t>
      </w:r>
      <w:r>
        <w:rPr>
          <w:rFonts w:ascii="宋体" w:hAnsi="宋体" w:cs="宋体" w:eastAsia="宋体" w:hint="default"/>
          <w:sz w:val="12"/>
          <w:szCs w:val="12"/>
        </w:rPr>
        <w:t>年</w:t>
      </w:r>
      <w:r>
        <w:rPr>
          <w:rFonts w:ascii="宋体" w:hAnsi="宋体" w:cs="宋体" w:eastAsia="宋体" w:hint="default"/>
          <w:spacing w:val="-31"/>
          <w:sz w:val="12"/>
          <w:szCs w:val="12"/>
        </w:rPr>
        <w:t> </w:t>
      </w:r>
      <w:r>
        <w:rPr>
          <w:rFonts w:ascii="Arial" w:hAnsi="Arial" w:cs="Arial" w:eastAsia="Arial" w:hint="default"/>
          <w:sz w:val="12"/>
          <w:szCs w:val="12"/>
        </w:rPr>
        <w:t>12</w:t>
      </w:r>
      <w:r>
        <w:rPr>
          <w:rFonts w:ascii="Arial" w:hAnsi="Arial" w:cs="Arial" w:eastAsia="Arial" w:hint="default"/>
          <w:spacing w:val="-4"/>
          <w:sz w:val="12"/>
          <w:szCs w:val="12"/>
        </w:rPr>
        <w:t> </w:t>
      </w:r>
      <w:r>
        <w:rPr>
          <w:rFonts w:ascii="宋体" w:hAnsi="宋体" w:cs="宋体" w:eastAsia="宋体" w:hint="default"/>
          <w:sz w:val="12"/>
          <w:szCs w:val="12"/>
        </w:rPr>
        <w:t>月</w:t>
      </w:r>
      <w:r>
        <w:rPr>
          <w:rFonts w:ascii="宋体" w:hAnsi="宋体" w:cs="宋体" w:eastAsia="宋体" w:hint="default"/>
          <w:spacing w:val="-33"/>
          <w:sz w:val="12"/>
          <w:szCs w:val="12"/>
        </w:rPr>
        <w:t> </w:t>
      </w:r>
      <w:r>
        <w:rPr>
          <w:rFonts w:ascii="Arial" w:hAnsi="Arial" w:cs="Arial" w:eastAsia="Arial" w:hint="default"/>
          <w:sz w:val="12"/>
          <w:szCs w:val="12"/>
        </w:rPr>
        <w:t>31</w:t>
      </w:r>
      <w:r>
        <w:rPr>
          <w:rFonts w:ascii="Arial" w:hAnsi="Arial" w:cs="Arial" w:eastAsia="Arial" w:hint="default"/>
          <w:spacing w:val="-4"/>
          <w:sz w:val="12"/>
          <w:szCs w:val="12"/>
        </w:rPr>
        <w:t> </w:t>
      </w:r>
      <w:r>
        <w:rPr>
          <w:rFonts w:ascii="宋体" w:hAnsi="宋体" w:cs="宋体" w:eastAsia="宋体" w:hint="default"/>
          <w:sz w:val="12"/>
          <w:szCs w:val="12"/>
        </w:rPr>
        <w:t>日（经重列）</w:t>
      </w:r>
    </w:p>
    <w:tbl>
      <w:tblPr>
        <w:tblW w:w="0" w:type="auto"/>
        <w:jc w:val="left"/>
        <w:tblInd w:w="345" w:type="dxa"/>
        <w:tblLayout w:type="fixed"/>
        <w:tblCellMar>
          <w:top w:w="0" w:type="dxa"/>
          <w:left w:w="0" w:type="dxa"/>
          <w:bottom w:w="0" w:type="dxa"/>
          <w:right w:w="0" w:type="dxa"/>
        </w:tblCellMar>
        <w:tblLook w:val="01E0"/>
      </w:tblPr>
      <w:tblGrid>
        <w:gridCol w:w="1581"/>
        <w:gridCol w:w="1114"/>
        <w:gridCol w:w="68"/>
        <w:gridCol w:w="1073"/>
        <w:gridCol w:w="62"/>
        <w:gridCol w:w="1159"/>
        <w:gridCol w:w="72"/>
        <w:gridCol w:w="1100"/>
        <w:gridCol w:w="73"/>
        <w:gridCol w:w="1033"/>
        <w:gridCol w:w="74"/>
        <w:gridCol w:w="1391"/>
        <w:gridCol w:w="121"/>
        <w:gridCol w:w="1090"/>
        <w:gridCol w:w="70"/>
        <w:gridCol w:w="1012"/>
        <w:gridCol w:w="68"/>
        <w:gridCol w:w="2252"/>
        <w:gridCol w:w="83"/>
        <w:gridCol w:w="1036"/>
        <w:gridCol w:w="76"/>
        <w:gridCol w:w="1133"/>
      </w:tblGrid>
      <w:tr>
        <w:trPr>
          <w:trHeight w:val="216"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2"/>
                <w:szCs w:val="12"/>
              </w:rPr>
            </w:pPr>
            <w:r>
              <w:rPr>
                <w:rFonts w:ascii="宋体" w:hAnsi="宋体" w:cs="宋体" w:eastAsia="宋体" w:hint="default"/>
                <w:sz w:val="12"/>
                <w:szCs w:val="12"/>
              </w:rPr>
              <w:t>资产总额</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62"/>
              <w:jc w:val="right"/>
              <w:rPr>
                <w:rFonts w:ascii="Arial" w:hAnsi="Arial" w:cs="Arial" w:eastAsia="Arial" w:hint="default"/>
                <w:sz w:val="12"/>
                <w:szCs w:val="12"/>
              </w:rPr>
            </w:pPr>
            <w:r>
              <w:rPr>
                <w:rFonts w:ascii="Arial"/>
                <w:spacing w:val="-1"/>
                <w:sz w:val="12"/>
              </w:rPr>
              <w:t>174,084,938,950</w:t>
            </w:r>
          </w:p>
        </w:tc>
        <w:tc>
          <w:tcPr>
            <w:tcW w:w="68" w:type="dxa"/>
            <w:tcBorders>
              <w:top w:val="single" w:sz="6" w:space="0" w:color="000000"/>
              <w:left w:val="nil" w:sz="6" w:space="0" w:color="auto"/>
              <w:bottom w:val="nil" w:sz="6" w:space="0" w:color="auto"/>
              <w:right w:val="nil" w:sz="6" w:space="0" w:color="auto"/>
            </w:tcBorders>
          </w:tcPr>
          <w:p>
            <w:pPr/>
          </w:p>
        </w:tc>
        <w:tc>
          <w:tcPr>
            <w:tcW w:w="1073"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58"/>
              <w:jc w:val="right"/>
              <w:rPr>
                <w:rFonts w:ascii="Arial" w:hAnsi="Arial" w:cs="Arial" w:eastAsia="Arial" w:hint="default"/>
                <w:sz w:val="12"/>
                <w:szCs w:val="12"/>
              </w:rPr>
            </w:pPr>
            <w:r>
              <w:rPr>
                <w:rFonts w:ascii="Arial"/>
                <w:spacing w:val="-1"/>
                <w:sz w:val="12"/>
              </w:rPr>
              <w:t>239,639,283,181</w:t>
            </w:r>
          </w:p>
        </w:tc>
        <w:tc>
          <w:tcPr>
            <w:tcW w:w="62" w:type="dxa"/>
            <w:tcBorders>
              <w:top w:val="single" w:sz="6" w:space="0" w:color="000000"/>
              <w:left w:val="nil" w:sz="6" w:space="0" w:color="auto"/>
              <w:bottom w:val="nil" w:sz="6" w:space="0" w:color="auto"/>
              <w:right w:val="nil" w:sz="6" w:space="0" w:color="auto"/>
            </w:tcBorders>
          </w:tcPr>
          <w:p>
            <w:pPr/>
          </w:p>
        </w:tc>
        <w:tc>
          <w:tcPr>
            <w:tcW w:w="1159"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60"/>
              <w:jc w:val="right"/>
              <w:rPr>
                <w:rFonts w:ascii="Arial" w:hAnsi="Arial" w:cs="Arial" w:eastAsia="Arial" w:hint="default"/>
                <w:sz w:val="12"/>
                <w:szCs w:val="12"/>
              </w:rPr>
            </w:pPr>
            <w:r>
              <w:rPr>
                <w:rFonts w:ascii="Arial"/>
                <w:spacing w:val="-1"/>
                <w:sz w:val="12"/>
              </w:rPr>
              <w:t>413,724,222,131</w:t>
            </w:r>
          </w:p>
        </w:tc>
        <w:tc>
          <w:tcPr>
            <w:tcW w:w="72" w:type="dxa"/>
            <w:tcBorders>
              <w:top w:val="single" w:sz="6" w:space="0" w:color="000000"/>
              <w:left w:val="nil" w:sz="6" w:space="0" w:color="auto"/>
              <w:bottom w:val="nil" w:sz="6" w:space="0" w:color="auto"/>
              <w:right w:val="nil" w:sz="6" w:space="0" w:color="auto"/>
            </w:tcBorders>
          </w:tcPr>
          <w:p>
            <w:pPr/>
          </w:p>
        </w:tc>
        <w:tc>
          <w:tcPr>
            <w:tcW w:w="1100"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62"/>
              <w:jc w:val="right"/>
              <w:rPr>
                <w:rFonts w:ascii="Arial" w:hAnsi="Arial" w:cs="Arial" w:eastAsia="Arial" w:hint="default"/>
                <w:sz w:val="12"/>
                <w:szCs w:val="12"/>
              </w:rPr>
            </w:pPr>
            <w:r>
              <w:rPr>
                <w:rFonts w:ascii="Arial"/>
                <w:spacing w:val="-1"/>
                <w:sz w:val="12"/>
              </w:rPr>
              <w:t>46,853,543,747</w:t>
            </w:r>
          </w:p>
        </w:tc>
        <w:tc>
          <w:tcPr>
            <w:tcW w:w="73" w:type="dxa"/>
            <w:tcBorders>
              <w:top w:val="single" w:sz="6" w:space="0" w:color="000000"/>
              <w:left w:val="nil" w:sz="6" w:space="0" w:color="auto"/>
              <w:bottom w:val="nil" w:sz="6" w:space="0" w:color="auto"/>
              <w:right w:val="nil" w:sz="6" w:space="0" w:color="auto"/>
            </w:tcBorders>
          </w:tcPr>
          <w:p>
            <w:pPr/>
          </w:p>
        </w:tc>
        <w:tc>
          <w:tcPr>
            <w:tcW w:w="1033"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29"/>
              <w:jc w:val="right"/>
              <w:rPr>
                <w:rFonts w:ascii="Arial" w:hAnsi="Arial" w:cs="Arial" w:eastAsia="Arial" w:hint="default"/>
                <w:sz w:val="12"/>
                <w:szCs w:val="12"/>
              </w:rPr>
            </w:pPr>
            <w:r>
              <w:rPr>
                <w:rFonts w:ascii="Arial"/>
                <w:spacing w:val="-1"/>
                <w:sz w:val="12"/>
              </w:rPr>
              <w:t>(2,053,921,999)</w:t>
            </w:r>
          </w:p>
        </w:tc>
        <w:tc>
          <w:tcPr>
            <w:tcW w:w="74" w:type="dxa"/>
            <w:tcBorders>
              <w:top w:val="single" w:sz="6" w:space="0" w:color="000000"/>
              <w:left w:val="nil" w:sz="6" w:space="0" w:color="auto"/>
              <w:bottom w:val="nil" w:sz="6" w:space="0" w:color="auto"/>
              <w:right w:val="nil" w:sz="6" w:space="0" w:color="auto"/>
            </w:tcBorders>
          </w:tcPr>
          <w:p>
            <w:pP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69"/>
              <w:jc w:val="right"/>
              <w:rPr>
                <w:rFonts w:ascii="Arial" w:hAnsi="Arial" w:cs="Arial" w:eastAsia="Arial" w:hint="default"/>
                <w:sz w:val="12"/>
                <w:szCs w:val="12"/>
              </w:rPr>
            </w:pPr>
            <w:r>
              <w:rPr>
                <w:rFonts w:ascii="Arial"/>
                <w:spacing w:val="-1"/>
                <w:sz w:val="12"/>
              </w:rPr>
              <w:t>458,523,843,879</w:t>
            </w:r>
          </w:p>
        </w:tc>
        <w:tc>
          <w:tcPr>
            <w:tcW w:w="121" w:type="dxa"/>
            <w:tcBorders>
              <w:top w:val="nil" w:sz="6" w:space="0" w:color="auto"/>
              <w:left w:val="nil" w:sz="6" w:space="0" w:color="auto"/>
              <w:bottom w:val="nil" w:sz="6" w:space="0" w:color="auto"/>
              <w:right w:val="nil" w:sz="6" w:space="0" w:color="auto"/>
            </w:tcBorders>
          </w:tcPr>
          <w:p>
            <w:pPr/>
          </w:p>
        </w:tc>
        <w:tc>
          <w:tcPr>
            <w:tcW w:w="1090"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70"/>
              <w:jc w:val="right"/>
              <w:rPr>
                <w:rFonts w:ascii="Arial" w:hAnsi="Arial" w:cs="Arial" w:eastAsia="Arial" w:hint="default"/>
                <w:sz w:val="12"/>
                <w:szCs w:val="12"/>
              </w:rPr>
            </w:pPr>
            <w:r>
              <w:rPr>
                <w:rFonts w:ascii="Arial"/>
                <w:spacing w:val="-1"/>
                <w:sz w:val="12"/>
              </w:rPr>
              <w:t>167,749,196,958</w:t>
            </w:r>
          </w:p>
        </w:tc>
        <w:tc>
          <w:tcPr>
            <w:tcW w:w="70" w:type="dxa"/>
            <w:tcBorders>
              <w:top w:val="single" w:sz="6" w:space="0" w:color="000000"/>
              <w:left w:val="nil" w:sz="6" w:space="0" w:color="auto"/>
              <w:bottom w:val="nil" w:sz="6" w:space="0" w:color="auto"/>
              <w:right w:val="nil" w:sz="6" w:space="0" w:color="auto"/>
            </w:tcBorders>
          </w:tcPr>
          <w:p>
            <w:pPr/>
          </w:p>
        </w:tc>
        <w:tc>
          <w:tcPr>
            <w:tcW w:w="1012"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45"/>
              <w:jc w:val="center"/>
              <w:rPr>
                <w:rFonts w:ascii="Arial" w:hAnsi="Arial" w:cs="Arial" w:eastAsia="Arial" w:hint="default"/>
                <w:sz w:val="12"/>
                <w:szCs w:val="12"/>
              </w:rPr>
            </w:pPr>
            <w:r>
              <w:rPr>
                <w:rFonts w:ascii="Arial"/>
                <w:sz w:val="12"/>
              </w:rPr>
              <w:t>231,856,545,488</w:t>
            </w:r>
          </w:p>
        </w:tc>
        <w:tc>
          <w:tcPr>
            <w:tcW w:w="68" w:type="dxa"/>
            <w:tcBorders>
              <w:top w:val="single" w:sz="6" w:space="0" w:color="000000"/>
              <w:left w:val="nil" w:sz="6" w:space="0" w:color="auto"/>
              <w:bottom w:val="nil" w:sz="6" w:space="0" w:color="auto"/>
              <w:right w:val="nil" w:sz="6" w:space="0" w:color="auto"/>
            </w:tcBorders>
          </w:tcPr>
          <w:p>
            <w:pPr/>
          </w:p>
        </w:tc>
        <w:tc>
          <w:tcPr>
            <w:tcW w:w="2252" w:type="dxa"/>
            <w:tcBorders>
              <w:top w:val="single" w:sz="6" w:space="0" w:color="000000"/>
              <w:left w:val="nil" w:sz="6" w:space="0" w:color="auto"/>
              <w:bottom w:val="single" w:sz="6" w:space="0" w:color="000000"/>
              <w:right w:val="nil" w:sz="6" w:space="0" w:color="auto"/>
            </w:tcBorders>
          </w:tcPr>
          <w:p>
            <w:pPr>
              <w:pStyle w:val="TableParagraph"/>
              <w:tabs>
                <w:tab w:pos="1197" w:val="left" w:leader="none"/>
              </w:tabs>
              <w:spacing w:line="240" w:lineRule="auto" w:before="32"/>
              <w:ind w:right="64"/>
              <w:jc w:val="right"/>
              <w:rPr>
                <w:rFonts w:ascii="Arial" w:hAnsi="Arial" w:cs="Arial" w:eastAsia="Arial" w:hint="default"/>
                <w:sz w:val="12"/>
                <w:szCs w:val="12"/>
              </w:rPr>
            </w:pPr>
            <w:r>
              <w:rPr>
                <w:rFonts w:ascii="Arial"/>
                <w:spacing w:val="-1"/>
                <w:sz w:val="12"/>
              </w:rPr>
              <w:t>399,605,742,446</w:t>
              <w:tab/>
              <w:t>45,603,212,029</w:t>
            </w:r>
          </w:p>
        </w:tc>
        <w:tc>
          <w:tcPr>
            <w:tcW w:w="83" w:type="dxa"/>
            <w:tcBorders>
              <w:top w:val="single" w:sz="6" w:space="0" w:color="000000"/>
              <w:left w:val="nil" w:sz="6" w:space="0" w:color="auto"/>
              <w:bottom w:val="nil" w:sz="6" w:space="0" w:color="auto"/>
              <w:right w:val="nil" w:sz="6" w:space="0" w:color="auto"/>
            </w:tcBorders>
          </w:tcPr>
          <w:p>
            <w:pPr/>
          </w:p>
        </w:tc>
        <w:tc>
          <w:tcPr>
            <w:tcW w:w="1036"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37"/>
              <w:jc w:val="right"/>
              <w:rPr>
                <w:rFonts w:ascii="Arial" w:hAnsi="Arial" w:cs="Arial" w:eastAsia="Arial" w:hint="default"/>
                <w:sz w:val="12"/>
                <w:szCs w:val="12"/>
              </w:rPr>
            </w:pPr>
            <w:r>
              <w:rPr>
                <w:rFonts w:ascii="Arial"/>
                <w:spacing w:val="-1"/>
                <w:sz w:val="12"/>
              </w:rPr>
              <w:t>(1,601,286,620)</w:t>
            </w:r>
          </w:p>
        </w:tc>
        <w:tc>
          <w:tcPr>
            <w:tcW w:w="76" w:type="dxa"/>
            <w:tcBorders>
              <w:top w:val="single" w:sz="6" w:space="0" w:color="000000"/>
              <w:left w:val="nil" w:sz="6" w:space="0" w:color="auto"/>
              <w:bottom w:val="nil" w:sz="6" w:space="0" w:color="auto"/>
              <w:right w:val="nil" w:sz="6" w:space="0" w:color="auto"/>
            </w:tcBorders>
          </w:tcPr>
          <w:p>
            <w:pPr/>
          </w:p>
        </w:tc>
        <w:tc>
          <w:tcPr>
            <w:tcW w:w="1133"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97"/>
              <w:jc w:val="right"/>
              <w:rPr>
                <w:rFonts w:ascii="Arial" w:hAnsi="Arial" w:cs="Arial" w:eastAsia="Arial" w:hint="default"/>
                <w:sz w:val="12"/>
                <w:szCs w:val="12"/>
              </w:rPr>
            </w:pPr>
            <w:r>
              <w:rPr>
                <w:rFonts w:ascii="Arial"/>
                <w:spacing w:val="-1"/>
                <w:sz w:val="12"/>
              </w:rPr>
              <w:t>443,607,667,855</w:t>
            </w:r>
          </w:p>
        </w:tc>
      </w:tr>
      <w:tr>
        <w:trPr>
          <w:trHeight w:val="391"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2"/>
                <w:szCs w:val="12"/>
              </w:rPr>
            </w:pPr>
            <w:r>
              <w:rPr>
                <w:rFonts w:ascii="宋体" w:hAnsi="宋体" w:cs="宋体" w:eastAsia="宋体" w:hint="default"/>
                <w:sz w:val="12"/>
                <w:szCs w:val="12"/>
              </w:rPr>
              <w:t>负债总额</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Arial" w:hAnsi="Arial" w:cs="Arial" w:eastAsia="Arial" w:hint="default"/>
                <w:sz w:val="12"/>
                <w:szCs w:val="12"/>
              </w:rPr>
            </w:pPr>
            <w:r>
              <w:rPr>
                <w:rFonts w:ascii="Arial"/>
                <w:spacing w:val="-1"/>
                <w:sz w:val="12"/>
              </w:rPr>
              <w:t>79,396,747,125</w:t>
            </w:r>
          </w:p>
        </w:tc>
        <w:tc>
          <w:tcPr>
            <w:tcW w:w="68" w:type="dxa"/>
            <w:tcBorders>
              <w:top w:val="nil" w:sz="6" w:space="0" w:color="auto"/>
              <w:left w:val="nil" w:sz="6" w:space="0" w:color="auto"/>
              <w:bottom w:val="nil" w:sz="6" w:space="0" w:color="auto"/>
              <w:right w:val="nil" w:sz="6" w:space="0" w:color="auto"/>
            </w:tcBorders>
          </w:tcPr>
          <w:p>
            <w:pPr/>
          </w:p>
        </w:tc>
        <w:tc>
          <w:tcPr>
            <w:tcW w:w="1073"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right"/>
              <w:rPr>
                <w:rFonts w:ascii="Arial" w:hAnsi="Arial" w:cs="Arial" w:eastAsia="Arial" w:hint="default"/>
                <w:sz w:val="12"/>
                <w:szCs w:val="12"/>
              </w:rPr>
            </w:pPr>
            <w:r>
              <w:rPr>
                <w:rFonts w:ascii="Arial"/>
                <w:spacing w:val="-1"/>
                <w:sz w:val="12"/>
              </w:rPr>
              <w:t>52,023,340,947</w:t>
            </w:r>
          </w:p>
        </w:tc>
        <w:tc>
          <w:tcPr>
            <w:tcW w:w="62" w:type="dxa"/>
            <w:tcBorders>
              <w:top w:val="nil" w:sz="6" w:space="0" w:color="auto"/>
              <w:left w:val="nil" w:sz="6" w:space="0" w:color="auto"/>
              <w:bottom w:val="nil" w:sz="6" w:space="0" w:color="auto"/>
              <w:right w:val="nil" w:sz="6" w:space="0" w:color="auto"/>
            </w:tcBorders>
          </w:tcPr>
          <w:p>
            <w:pPr/>
          </w:p>
        </w:tc>
        <w:tc>
          <w:tcPr>
            <w:tcW w:w="1159"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right"/>
              <w:rPr>
                <w:rFonts w:ascii="Arial" w:hAnsi="Arial" w:cs="Arial" w:eastAsia="Arial" w:hint="default"/>
                <w:sz w:val="12"/>
                <w:szCs w:val="12"/>
              </w:rPr>
            </w:pPr>
            <w:r>
              <w:rPr>
                <w:rFonts w:ascii="Arial"/>
                <w:spacing w:val="-1"/>
                <w:sz w:val="12"/>
              </w:rPr>
              <w:t>131,420,088,072</w:t>
            </w:r>
          </w:p>
        </w:tc>
        <w:tc>
          <w:tcPr>
            <w:tcW w:w="72" w:type="dxa"/>
            <w:tcBorders>
              <w:top w:val="nil" w:sz="6" w:space="0" w:color="auto"/>
              <w:left w:val="nil" w:sz="6" w:space="0" w:color="auto"/>
              <w:bottom w:val="nil" w:sz="6" w:space="0" w:color="auto"/>
              <w:right w:val="nil" w:sz="6" w:space="0" w:color="auto"/>
            </w:tcBorders>
          </w:tcPr>
          <w:p>
            <w:pPr/>
          </w:p>
        </w:tc>
        <w:tc>
          <w:tcPr>
            <w:tcW w:w="1100"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right"/>
              <w:rPr>
                <w:rFonts w:ascii="Arial" w:hAnsi="Arial" w:cs="Arial" w:eastAsia="Arial" w:hint="default"/>
                <w:sz w:val="12"/>
                <w:szCs w:val="12"/>
              </w:rPr>
            </w:pPr>
            <w:r>
              <w:rPr>
                <w:rFonts w:ascii="Arial"/>
                <w:spacing w:val="-1"/>
                <w:sz w:val="12"/>
              </w:rPr>
              <w:t>119,915,419,023</w:t>
            </w:r>
          </w:p>
        </w:tc>
        <w:tc>
          <w:tcPr>
            <w:tcW w:w="73" w:type="dxa"/>
            <w:tcBorders>
              <w:top w:val="nil" w:sz="6" w:space="0" w:color="auto"/>
              <w:left w:val="nil" w:sz="6" w:space="0" w:color="auto"/>
              <w:bottom w:val="nil" w:sz="6" w:space="0" w:color="auto"/>
              <w:right w:val="nil" w:sz="6" w:space="0" w:color="auto"/>
            </w:tcBorders>
          </w:tcPr>
          <w:p>
            <w:pPr/>
          </w:p>
        </w:tc>
        <w:tc>
          <w:tcPr>
            <w:tcW w:w="1033"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right"/>
              <w:rPr>
                <w:rFonts w:ascii="Arial" w:hAnsi="Arial" w:cs="Arial" w:eastAsia="Arial" w:hint="default"/>
                <w:sz w:val="12"/>
                <w:szCs w:val="12"/>
              </w:rPr>
            </w:pPr>
            <w:r>
              <w:rPr>
                <w:rFonts w:ascii="Arial"/>
                <w:spacing w:val="-1"/>
                <w:sz w:val="12"/>
              </w:rPr>
              <w:t>(1,422,359,269)</w:t>
            </w:r>
          </w:p>
        </w:tc>
        <w:tc>
          <w:tcPr>
            <w:tcW w:w="74" w:type="dxa"/>
            <w:tcBorders>
              <w:top w:val="nil" w:sz="6" w:space="0" w:color="auto"/>
              <w:left w:val="nil" w:sz="6" w:space="0" w:color="auto"/>
              <w:bottom w:val="nil" w:sz="6" w:space="0" w:color="auto"/>
              <w:right w:val="nil" w:sz="6" w:space="0" w:color="auto"/>
            </w:tcBorders>
          </w:tcPr>
          <w:p>
            <w:pP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9"/>
              <w:jc w:val="right"/>
              <w:rPr>
                <w:rFonts w:ascii="Arial" w:hAnsi="Arial" w:cs="Arial" w:eastAsia="Arial" w:hint="default"/>
                <w:sz w:val="12"/>
                <w:szCs w:val="12"/>
              </w:rPr>
            </w:pPr>
            <w:r>
              <w:rPr>
                <w:rFonts w:ascii="Arial"/>
                <w:spacing w:val="-1"/>
                <w:sz w:val="12"/>
              </w:rPr>
              <w:t>249,913,147,826</w:t>
            </w:r>
          </w:p>
        </w:tc>
        <w:tc>
          <w:tcPr>
            <w:tcW w:w="121" w:type="dxa"/>
            <w:tcBorders>
              <w:top w:val="nil" w:sz="6" w:space="0" w:color="auto"/>
              <w:left w:val="nil" w:sz="6" w:space="0" w:color="auto"/>
              <w:bottom w:val="nil" w:sz="6" w:space="0" w:color="auto"/>
              <w:right w:val="nil" w:sz="6" w:space="0" w:color="auto"/>
            </w:tcBorders>
          </w:tcPr>
          <w:p>
            <w:pPr/>
          </w:p>
        </w:tc>
        <w:tc>
          <w:tcPr>
            <w:tcW w:w="1090"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0"/>
              <w:jc w:val="right"/>
              <w:rPr>
                <w:rFonts w:ascii="Arial" w:hAnsi="Arial" w:cs="Arial" w:eastAsia="Arial" w:hint="default"/>
                <w:sz w:val="12"/>
                <w:szCs w:val="12"/>
              </w:rPr>
            </w:pPr>
            <w:r>
              <w:rPr>
                <w:rFonts w:ascii="Arial"/>
                <w:spacing w:val="-1"/>
                <w:sz w:val="12"/>
              </w:rPr>
              <w:t>74,135,572,828</w:t>
            </w:r>
          </w:p>
        </w:tc>
        <w:tc>
          <w:tcPr>
            <w:tcW w:w="70" w:type="dxa"/>
            <w:tcBorders>
              <w:top w:val="nil" w:sz="6" w:space="0" w:color="auto"/>
              <w:left w:val="nil" w:sz="6" w:space="0" w:color="auto"/>
              <w:bottom w:val="nil" w:sz="6" w:space="0" w:color="auto"/>
              <w:right w:val="nil" w:sz="6" w:space="0" w:color="auto"/>
            </w:tcBorders>
          </w:tcPr>
          <w:p>
            <w:pPr/>
          </w:p>
        </w:tc>
        <w:tc>
          <w:tcPr>
            <w:tcW w:w="1012"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Arial" w:hAnsi="Arial" w:cs="Arial" w:eastAsia="Arial" w:hint="default"/>
                <w:sz w:val="12"/>
                <w:szCs w:val="12"/>
              </w:rPr>
            </w:pPr>
            <w:r>
              <w:rPr>
                <w:rFonts w:ascii="Arial"/>
                <w:sz w:val="12"/>
              </w:rPr>
              <w:t>48,386,867,038</w:t>
            </w:r>
          </w:p>
        </w:tc>
        <w:tc>
          <w:tcPr>
            <w:tcW w:w="68" w:type="dxa"/>
            <w:tcBorders>
              <w:top w:val="nil" w:sz="6" w:space="0" w:color="auto"/>
              <w:left w:val="nil" w:sz="6" w:space="0" w:color="auto"/>
              <w:bottom w:val="nil" w:sz="6" w:space="0" w:color="auto"/>
              <w:right w:val="nil" w:sz="6" w:space="0" w:color="auto"/>
            </w:tcBorders>
          </w:tcPr>
          <w:p>
            <w:pPr/>
          </w:p>
        </w:tc>
        <w:tc>
          <w:tcPr>
            <w:tcW w:w="2252"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1130" w:val="left" w:leader="none"/>
              </w:tabs>
              <w:spacing w:line="240" w:lineRule="auto"/>
              <w:ind w:right="64"/>
              <w:jc w:val="right"/>
              <w:rPr>
                <w:rFonts w:ascii="Arial" w:hAnsi="Arial" w:cs="Arial" w:eastAsia="Arial" w:hint="default"/>
                <w:sz w:val="12"/>
                <w:szCs w:val="12"/>
              </w:rPr>
            </w:pPr>
            <w:r>
              <w:rPr>
                <w:rFonts w:ascii="Arial"/>
                <w:spacing w:val="-1"/>
                <w:sz w:val="12"/>
              </w:rPr>
              <w:t>122,522,439,866</w:t>
              <w:tab/>
              <w:t>113,860,792,304</w:t>
            </w:r>
          </w:p>
        </w:tc>
        <w:tc>
          <w:tcPr>
            <w:tcW w:w="83" w:type="dxa"/>
            <w:tcBorders>
              <w:top w:val="nil" w:sz="6" w:space="0" w:color="auto"/>
              <w:left w:val="nil" w:sz="6" w:space="0" w:color="auto"/>
              <w:bottom w:val="nil" w:sz="6" w:space="0" w:color="auto"/>
              <w:right w:val="nil" w:sz="6" w:space="0" w:color="auto"/>
            </w:tcBorders>
          </w:tcPr>
          <w:p>
            <w:pPr/>
          </w:p>
        </w:tc>
        <w:tc>
          <w:tcPr>
            <w:tcW w:w="1036"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
              <w:jc w:val="right"/>
              <w:rPr>
                <w:rFonts w:ascii="Arial" w:hAnsi="Arial" w:cs="Arial" w:eastAsia="Arial" w:hint="default"/>
                <w:sz w:val="12"/>
                <w:szCs w:val="12"/>
              </w:rPr>
            </w:pPr>
            <w:r>
              <w:rPr>
                <w:rFonts w:ascii="Arial"/>
                <w:spacing w:val="-1"/>
                <w:sz w:val="12"/>
              </w:rPr>
              <w:t>(1,099,379,206)</w:t>
            </w:r>
          </w:p>
        </w:tc>
        <w:tc>
          <w:tcPr>
            <w:tcW w:w="76" w:type="dxa"/>
            <w:tcBorders>
              <w:top w:val="nil" w:sz="6" w:space="0" w:color="auto"/>
              <w:left w:val="nil" w:sz="6" w:space="0" w:color="auto"/>
              <w:bottom w:val="nil" w:sz="6" w:space="0" w:color="auto"/>
              <w:right w:val="nil" w:sz="6" w:space="0" w:color="auto"/>
            </w:tcBorders>
          </w:tcPr>
          <w:p>
            <w:pPr/>
          </w:p>
        </w:tc>
        <w:tc>
          <w:tcPr>
            <w:tcW w:w="1133"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2"/>
                <w:szCs w:val="12"/>
              </w:rPr>
            </w:pPr>
            <w:r>
              <w:rPr>
                <w:rFonts w:ascii="Arial"/>
                <w:spacing w:val="-1"/>
                <w:sz w:val="12"/>
              </w:rPr>
              <w:t>235,283,852,964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71"/>
        <w:ind w:left="7896" w:right="7936"/>
        <w:jc w:val="center"/>
        <w:rPr>
          <w:rFonts w:ascii="Arial" w:hAnsi="Arial" w:cs="Arial" w:eastAsia="Arial" w:hint="default"/>
        </w:rPr>
      </w:pPr>
      <w:r>
        <w:rPr>
          <w:rFonts w:ascii="Arial"/>
        </w:rPr>
        <w:t>156</w:t>
      </w:r>
    </w:p>
    <w:p>
      <w:pPr>
        <w:spacing w:after="0" w:line="240" w:lineRule="auto"/>
        <w:jc w:val="center"/>
        <w:rPr>
          <w:rFonts w:ascii="Arial" w:hAnsi="Arial" w:cs="Arial" w:eastAsia="Arial" w:hint="default"/>
        </w:rPr>
        <w:sectPr>
          <w:type w:val="continuous"/>
          <w:pgSz w:w="16840" w:h="11900" w:orient="landscape"/>
          <w:pgMar w:top="1600" w:bottom="280" w:left="320" w:right="280"/>
        </w:sectPr>
      </w:pPr>
    </w:p>
    <w:p>
      <w:pPr>
        <w:spacing w:line="240" w:lineRule="auto" w:before="7"/>
        <w:rPr>
          <w:rFonts w:ascii="Arial" w:hAnsi="Arial" w:cs="Arial" w:eastAsia="Arial" w:hint="default"/>
          <w:sz w:val="18"/>
          <w:szCs w:val="18"/>
        </w:rPr>
      </w:pPr>
    </w:p>
    <w:p>
      <w:pPr>
        <w:pStyle w:val="BodyText"/>
        <w:spacing w:line="240" w:lineRule="auto" w:before="31"/>
        <w:ind w:left="102"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6"/>
        </w:rPr>
        <w:t> </w:t>
      </w:r>
      <w:r>
        <w:rPr>
          <w:rFonts w:ascii="黑体" w:hAnsi="黑体" w:cs="黑体" w:eastAsia="黑体" w:hint="default"/>
        </w:rPr>
        <w:t>关联方关系及其交易</w:t>
      </w:r>
    </w:p>
    <w:p>
      <w:pPr>
        <w:pStyle w:val="BodyText"/>
        <w:spacing w:line="240" w:lineRule="auto" w:before="197"/>
        <w:ind w:left="102" w:right="0"/>
        <w:jc w:val="left"/>
      </w:pPr>
      <w:r>
        <w:rPr>
          <w:rFonts w:ascii="Arial" w:hAnsi="Arial" w:cs="Arial" w:eastAsia="Arial" w:hint="default"/>
        </w:rPr>
        <w:t>1</w:t>
      </w:r>
      <w:r>
        <w:rPr/>
        <w:t>、</w:t>
      </w:r>
      <w:r>
        <w:rPr>
          <w:spacing w:val="-37"/>
        </w:rPr>
        <w:t> </w:t>
      </w:r>
      <w:r>
        <w:rPr/>
        <w:t>母公司情况</w:t>
      </w:r>
    </w:p>
    <w:p>
      <w:pPr>
        <w:pStyle w:val="BodyText"/>
        <w:spacing w:line="240" w:lineRule="auto" w:before="182"/>
        <w:ind w:left="102" w:right="0"/>
        <w:jc w:val="left"/>
      </w:pPr>
      <w:r>
        <w:rPr>
          <w:rFonts w:ascii="Arial" w:hAnsi="Arial" w:cs="Arial" w:eastAsia="Arial" w:hint="default"/>
        </w:rPr>
        <w:t>(a) </w:t>
      </w:r>
      <w:r>
        <w:rPr>
          <w:rFonts w:ascii="Arial" w:hAnsi="Arial" w:cs="Arial" w:eastAsia="Arial" w:hint="default"/>
          <w:spacing w:val="24"/>
        </w:rPr>
        <w:t> </w:t>
      </w:r>
      <w:r>
        <w:rPr/>
        <w:t>母公司基本情况</w:t>
      </w:r>
    </w:p>
    <w:p>
      <w:pPr>
        <w:pStyle w:val="BodyText"/>
        <w:tabs>
          <w:tab w:pos="2024" w:val="left" w:leader="none"/>
          <w:tab w:pos="3683" w:val="left" w:leader="none"/>
          <w:tab w:pos="4763" w:val="left" w:leader="none"/>
          <w:tab w:pos="4873" w:val="left" w:leader="none"/>
          <w:tab w:pos="5909" w:val="left" w:leader="none"/>
          <w:tab w:pos="6458" w:val="left" w:leader="none"/>
          <w:tab w:pos="8130" w:val="left" w:leader="none"/>
          <w:tab w:pos="8227" w:val="left" w:leader="none"/>
        </w:tabs>
        <w:spacing w:line="338" w:lineRule="auto" w:before="181"/>
        <w:ind w:left="517" w:right="167" w:firstLine="1647"/>
        <w:jc w:val="left"/>
        <w:rPr>
          <w:rFonts w:ascii="Arial" w:hAnsi="Arial" w:cs="Arial" w:eastAsia="Arial" w:hint="default"/>
        </w:rPr>
      </w:pPr>
      <w:r>
        <w:rPr/>
        <w:pict>
          <v:group style="position:absolute;margin-left:155.579987pt;margin-top:25.135258pt;width:307.3pt;height:.75pt;mso-position-horizontal-relative:page;mso-position-vertical-relative:paragraph;z-index:-815344" coordorigin="3112,503" coordsize="6146,15">
            <v:group style="position:absolute;left:3119;top:510;width:1534;height:2" coordorigin="3119,510" coordsize="1534,2">
              <v:shape style="position:absolute;left:3119;top:510;width:1534;height:2" coordorigin="3119,510" coordsize="1534,0" path="m3119,510l4652,510e" filled="false" stroked="true" strokeweight=".72003pt" strokecolor="#000000">
                <v:path arrowok="t"/>
              </v:shape>
            </v:group>
            <v:group style="position:absolute;left:4728;top:510;width:1131;height:2" coordorigin="4728,510" coordsize="1131,2">
              <v:shape style="position:absolute;left:4728;top:510;width:1131;height:2" coordorigin="4728,510" coordsize="1131,0" path="m4728,510l5858,510e" filled="false" stroked="true" strokeweight=".72003pt" strokecolor="#000000">
                <v:path arrowok="t"/>
              </v:shape>
            </v:group>
            <v:group style="position:absolute;left:5934;top:510;width:1098;height:2" coordorigin="5934,510" coordsize="1098,2">
              <v:shape style="position:absolute;left:5934;top:510;width:1098;height:2" coordorigin="5934,510" coordsize="1098,0" path="m5934,510l7032,510e" filled="false" stroked="true" strokeweight=".72003pt" strokecolor="#000000">
                <v:path arrowok="t"/>
              </v:shape>
            </v:group>
            <v:group style="position:absolute;left:7108;top:510;width:2142;height:2" coordorigin="7108,510" coordsize="2142,2">
              <v:shape style="position:absolute;left:7108;top:510;width:2142;height:2" coordorigin="7108,510" coordsize="2142,0" path="m7108,510l9250,510e" filled="false" stroked="true" strokeweight=".72pt" strokecolor="#000000">
                <v:path arrowok="t"/>
              </v:shape>
            </v:group>
            <w10:wrap type="none"/>
          </v:group>
        </w:pict>
      </w:r>
      <w:r>
        <w:rPr/>
        <w:pict>
          <v:group style="position:absolute;margin-left:466.5pt;margin-top:25.495274pt;width:72.9pt;height:.1pt;mso-position-horizontal-relative:page;mso-position-vertical-relative:paragraph;z-index:-815320" coordorigin="9330,510" coordsize="1458,2">
            <v:shape style="position:absolute;left:9330;top:510;width:1458;height:2" coordorigin="9330,510" coordsize="1458,0" path="m9330,510l10788,510e" filled="false" stroked="true" strokeweight=".72003pt" strokecolor="#000000">
              <v:path arrowok="t"/>
            </v:shape>
            <w10:wrap type="none"/>
          </v:group>
        </w:pict>
      </w:r>
      <w:r>
        <w:rPr>
          <w:w w:val="95"/>
        </w:rPr>
        <w:t>企业类型</w:t>
        <w:tab/>
        <w:t>注册地</w:t>
        <w:tab/>
        <w:t>法人代表</w:t>
        <w:tab/>
        <w:tab/>
        <w:t>业务性质</w:t>
        <w:tab/>
      </w:r>
      <w:r>
        <w:rPr/>
        <w:t>组织机构代码</w:t>
      </w:r>
      <w:r>
        <w:rPr>
          <w:w w:val="99"/>
        </w:rPr>
        <w:t> </w:t>
      </w:r>
      <w:r>
        <w:rPr>
          <w:w w:val="95"/>
          <w:position w:val="2"/>
        </w:rPr>
        <w:t>联通集团</w:t>
        <w:tab/>
        <w:t>有限责任公司</w:t>
        <w:tab/>
        <w:t>北京</w:t>
        <w:tab/>
        <w:tab/>
        <w:t>常小兵</w:t>
        <w:tab/>
        <w:t>电信业务及投资控股</w:t>
        <w:tab/>
        <w:tab/>
      </w:r>
      <w:r>
        <w:rPr>
          <w:rFonts w:ascii="Arial" w:hAnsi="Arial" w:cs="Arial" w:eastAsia="Arial" w:hint="default"/>
        </w:rPr>
        <w:t>100016501</w:t>
      </w:r>
    </w:p>
    <w:p>
      <w:pPr>
        <w:pStyle w:val="BodyText"/>
        <w:spacing w:line="240" w:lineRule="auto" w:before="62"/>
        <w:ind w:left="522" w:right="0"/>
        <w:jc w:val="left"/>
      </w:pPr>
      <w:r>
        <w:rPr/>
        <w:t>本公司的最终控制方为联通集团。联通集团为国资委直属的中央企业。</w:t>
      </w:r>
    </w:p>
    <w:p>
      <w:pPr>
        <w:pStyle w:val="BodyText"/>
        <w:spacing w:line="240" w:lineRule="auto" w:before="197"/>
        <w:ind w:left="102" w:right="0"/>
        <w:jc w:val="left"/>
      </w:pPr>
      <w:r>
        <w:rPr>
          <w:rFonts w:ascii="Arial" w:hAnsi="Arial" w:cs="Arial" w:eastAsia="Arial" w:hint="default"/>
        </w:rPr>
        <w:t>(b) </w:t>
      </w:r>
      <w:r>
        <w:rPr>
          <w:rFonts w:ascii="Arial" w:hAnsi="Arial" w:cs="Arial" w:eastAsia="Arial" w:hint="default"/>
          <w:spacing w:val="25"/>
        </w:rPr>
        <w:t> </w:t>
      </w:r>
      <w:r>
        <w:rPr/>
        <w:t>母公司注册资本及其变化</w:t>
      </w:r>
    </w:p>
    <w:p>
      <w:pPr>
        <w:pStyle w:val="BodyText"/>
        <w:tabs>
          <w:tab w:pos="4703" w:val="left" w:leader="none"/>
          <w:tab w:pos="6530" w:val="left" w:leader="none"/>
        </w:tabs>
        <w:spacing w:line="240" w:lineRule="auto" w:before="182"/>
        <w:ind w:left="1940"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w w:val="95"/>
        </w:rPr>
        <w:t>本年增加</w:t>
        <w:tab/>
      </w:r>
      <w:r>
        <w:rPr/>
        <w:t>本年减少</w:t>
      </w:r>
      <w:r>
        <w:rPr>
          <w:spacing w:val="27"/>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1831" w:right="0" w:firstLine="0"/>
        <w:rPr>
          <w:rFonts w:ascii="宋体" w:hAnsi="宋体" w:cs="宋体" w:eastAsia="宋体" w:hint="default"/>
          <w:sz w:val="2"/>
          <w:szCs w:val="2"/>
        </w:rPr>
      </w:pPr>
      <w:r>
        <w:rPr>
          <w:rFonts w:ascii="宋体"/>
          <w:sz w:val="2"/>
        </w:rPr>
        <w:pict>
          <v:group style="width:189.3pt;height:.75pt;mso-position-horizontal-relative:char;mso-position-vertical-relative:line" coordorigin="0,0" coordsize="3786,15">
            <v:group style="position:absolute;left:7;top:7;width:2062;height:2" coordorigin="7,7" coordsize="2062,2">
              <v:shape style="position:absolute;left:7;top:7;width:2062;height:2" coordorigin="7,7" coordsize="2062,0" path="m7,7l2069,7e" filled="false" stroked="true" strokeweight=".72003pt" strokecolor="#000000">
                <v:path arrowok="t"/>
              </v:shape>
            </v:group>
            <v:group style="position:absolute;left:2144;top:7;width:1635;height:2" coordorigin="2144,7" coordsize="1635,2">
              <v:shape style="position:absolute;left:2144;top:7;width:1635;height:2" coordorigin="2144,7" coordsize="1635,0" path="m2144,7l3779,7e" filled="false" stroked="true" strokeweight=".72003pt" strokecolor="#000000">
                <v:path arrowok="t"/>
              </v:shape>
            </v:group>
          </v:group>
        </w:pict>
      </w:r>
      <w:r>
        <w:rPr>
          <w:rFonts w:ascii="宋体"/>
          <w:sz w:val="2"/>
        </w:rPr>
      </w:r>
      <w:r>
        <w:rPr>
          <w:rFonts w:ascii="Times New Roman"/>
          <w:spacing w:val="62"/>
          <w:sz w:val="2"/>
        </w:rPr>
        <w:t> </w:t>
      </w:r>
      <w:r>
        <w:rPr>
          <w:rFonts w:ascii="宋体"/>
          <w:spacing w:val="62"/>
          <w:sz w:val="2"/>
        </w:rPr>
        <w:pict>
          <v:group style="width:190.5pt;height:.75pt;mso-position-horizontal-relative:char;mso-position-vertical-relative:line" coordorigin="0,0" coordsize="3810,15">
            <v:group style="position:absolute;left:7;top:7;width:1744;height:2" coordorigin="7,7" coordsize="1744,2">
              <v:shape style="position:absolute;left:7;top:7;width:1744;height:2" coordorigin="7,7" coordsize="1744,0" path="m7,7l1751,7e" filled="false" stroked="true" strokeweight=".72pt" strokecolor="#000000">
                <v:path arrowok="t"/>
              </v:shape>
            </v:group>
            <v:group style="position:absolute;left:1826;top:7;width:1977;height:2" coordorigin="1826,7" coordsize="1977,2">
              <v:shape style="position:absolute;left:1826;top:7;width:1977;height:2" coordorigin="1826,7" coordsize="1977,0" path="m1826,7l3803,7e" filled="false" stroked="true" strokeweight=".72003pt" strokecolor="#000000">
                <v:path arrowok="t"/>
              </v:shape>
            </v:group>
          </v:group>
        </w:pict>
      </w:r>
      <w:r>
        <w:rPr>
          <w:rFonts w:ascii="宋体"/>
          <w:spacing w:val="62"/>
          <w:sz w:val="2"/>
        </w:rPr>
      </w:r>
    </w:p>
    <w:p>
      <w:pPr>
        <w:spacing w:line="240" w:lineRule="auto" w:before="2"/>
        <w:rPr>
          <w:rFonts w:ascii="宋体" w:hAnsi="宋体" w:cs="宋体" w:eastAsia="宋体" w:hint="default"/>
          <w:sz w:val="15"/>
          <w:szCs w:val="15"/>
        </w:rPr>
      </w:pPr>
    </w:p>
    <w:p>
      <w:pPr>
        <w:pStyle w:val="BodyText"/>
        <w:tabs>
          <w:tab w:pos="2325" w:val="left" w:leader="none"/>
          <w:tab w:pos="5855" w:val="left" w:leader="none"/>
          <w:tab w:pos="7765" w:val="left" w:leader="none"/>
        </w:tabs>
        <w:spacing w:line="240" w:lineRule="auto" w:before="27"/>
        <w:ind w:left="517" w:right="0"/>
        <w:jc w:val="left"/>
        <w:rPr>
          <w:rFonts w:ascii="Arial" w:hAnsi="Arial" w:cs="Arial" w:eastAsia="Arial" w:hint="default"/>
        </w:rPr>
      </w:pPr>
      <w:r>
        <w:rPr>
          <w:w w:val="95"/>
          <w:position w:val="2"/>
        </w:rPr>
        <w:t>联通集团</w:t>
        <w:tab/>
      </w:r>
      <w:r>
        <w:rPr>
          <w:rFonts w:ascii="Arial" w:hAnsi="Arial" w:cs="Arial" w:eastAsia="Arial" w:hint="default"/>
        </w:rPr>
        <w:t>87,269,457,089 </w:t>
      </w:r>
      <w:r>
        <w:rPr>
          <w:rFonts w:ascii="Arial" w:hAnsi="Arial" w:cs="Arial" w:eastAsia="Arial" w:hint="default"/>
          <w:spacing w:val="47"/>
        </w:rPr>
        <w:t> </w:t>
      </w:r>
      <w:r>
        <w:rPr>
          <w:rFonts w:ascii="Arial" w:hAnsi="Arial" w:cs="Arial" w:eastAsia="Arial" w:hint="default"/>
        </w:rPr>
        <w:t>18,316,580,363</w:t>
        <w:tab/>
      </w:r>
      <w:r>
        <w:rPr>
          <w:rFonts w:ascii="Arial" w:hAnsi="Arial" w:cs="Arial" w:eastAsia="Arial" w:hint="default"/>
          <w:w w:val="95"/>
        </w:rPr>
        <w:t>(1,189,618,091)</w:t>
        <w:tab/>
      </w:r>
      <w:r>
        <w:rPr>
          <w:rFonts w:ascii="Arial" w:hAnsi="Arial" w:cs="Arial" w:eastAsia="Arial" w:hint="default"/>
        </w:rPr>
        <w:t>104,396,419,361</w:t>
      </w:r>
    </w:p>
    <w:p>
      <w:pPr>
        <w:pStyle w:val="BodyText"/>
        <w:spacing w:line="240" w:lineRule="auto" w:before="165"/>
        <w:ind w:left="102" w:right="0"/>
        <w:jc w:val="left"/>
      </w:pPr>
      <w:r>
        <w:rPr>
          <w:rFonts w:ascii="Arial" w:hAnsi="Arial" w:cs="Arial" w:eastAsia="Arial" w:hint="default"/>
        </w:rPr>
        <w:t>(c) </w:t>
      </w:r>
      <w:r>
        <w:rPr>
          <w:rFonts w:ascii="Arial" w:hAnsi="Arial" w:cs="Arial" w:eastAsia="Arial" w:hint="default"/>
          <w:spacing w:val="36"/>
        </w:rPr>
        <w:t> </w:t>
      </w:r>
      <w:r>
        <w:rPr/>
        <w:t>母公司对本公司的持股比例和表决权比例</w:t>
      </w:r>
    </w:p>
    <w:p>
      <w:pPr>
        <w:pStyle w:val="BodyText"/>
        <w:tabs>
          <w:tab w:pos="7205" w:val="left" w:leader="none"/>
        </w:tabs>
        <w:spacing w:line="240" w:lineRule="auto" w:before="182"/>
        <w:ind w:left="4393"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1"/>
        <w:ind w:left="544" w:right="0"/>
        <w:jc w:val="left"/>
      </w:pPr>
      <w:r>
        <w:rPr/>
        <w:pict>
          <v:shape style="position:absolute;margin-left:263.519989pt;margin-top:-24.722055pt;width:275.95pt;height:40.4pt;mso-position-horizontal-relative:page;mso-position-vertical-relative:paragraph;z-index:9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7"/>
                    <w:gridCol w:w="1263"/>
                    <w:gridCol w:w="106"/>
                    <w:gridCol w:w="1246"/>
                    <w:gridCol w:w="89"/>
                    <w:gridCol w:w="1358"/>
                  </w:tblGrid>
                  <w:tr>
                    <w:trPr>
                      <w:trHeight w:val="301" w:hRule="exact"/>
                    </w:trPr>
                    <w:tc>
                      <w:tcPr>
                        <w:tcW w:w="1457" w:type="dxa"/>
                        <w:tcBorders>
                          <w:top w:val="single" w:sz="6" w:space="0" w:color="000000"/>
                          <w:left w:val="nil" w:sz="6" w:space="0" w:color="auto"/>
                          <w:bottom w:val="single" w:sz="6" w:space="0" w:color="000000"/>
                          <w:right w:val="nil" w:sz="6" w:space="0" w:color="auto"/>
                        </w:tcBorders>
                      </w:tcPr>
                      <w:p>
                        <w:pPr>
                          <w:pStyle w:val="TableParagraph"/>
                          <w:spacing w:line="253" w:lineRule="exact"/>
                          <w:ind w:right="150"/>
                          <w:jc w:val="right"/>
                          <w:rPr>
                            <w:rFonts w:ascii="宋体" w:hAnsi="宋体" w:cs="宋体" w:eastAsia="宋体" w:hint="default"/>
                            <w:sz w:val="22"/>
                            <w:szCs w:val="22"/>
                          </w:rPr>
                        </w:pPr>
                        <w:r>
                          <w:rPr>
                            <w:rFonts w:ascii="宋体" w:hAnsi="宋体" w:cs="宋体" w:eastAsia="宋体" w:hint="default"/>
                            <w:w w:val="95"/>
                            <w:sz w:val="22"/>
                            <w:szCs w:val="22"/>
                          </w:rPr>
                          <w:t>持股比例</w:t>
                        </w:r>
                        <w:r>
                          <w:rPr>
                            <w:rFonts w:ascii="宋体" w:hAnsi="宋体" w:cs="宋体" w:eastAsia="宋体" w:hint="default"/>
                            <w:sz w:val="22"/>
                            <w:szCs w:val="22"/>
                          </w:rPr>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53" w:lineRule="exact"/>
                          <w:ind w:right="11"/>
                          <w:jc w:val="right"/>
                          <w:rPr>
                            <w:rFonts w:ascii="宋体" w:hAnsi="宋体" w:cs="宋体" w:eastAsia="宋体" w:hint="default"/>
                            <w:sz w:val="22"/>
                            <w:szCs w:val="22"/>
                          </w:rPr>
                        </w:pPr>
                        <w:r>
                          <w:rPr>
                            <w:rFonts w:ascii="宋体" w:hAnsi="宋体" w:cs="宋体" w:eastAsia="宋体" w:hint="default"/>
                            <w:w w:val="95"/>
                            <w:sz w:val="22"/>
                            <w:szCs w:val="22"/>
                          </w:rPr>
                          <w:t>表决权比例</w:t>
                        </w:r>
                        <w:r>
                          <w:rPr>
                            <w:rFonts w:ascii="宋体" w:hAnsi="宋体" w:cs="宋体" w:eastAsia="宋体" w:hint="default"/>
                            <w:sz w:val="22"/>
                            <w:szCs w:val="22"/>
                          </w:rPr>
                        </w:r>
                      </w:p>
                    </w:tc>
                    <w:tc>
                      <w:tcPr>
                        <w:tcW w:w="106" w:type="dxa"/>
                        <w:tcBorders>
                          <w:top w:val="nil" w:sz="6" w:space="0" w:color="auto"/>
                          <w:left w:val="nil" w:sz="6" w:space="0" w:color="auto"/>
                          <w:bottom w:val="nil" w:sz="6" w:space="0" w:color="auto"/>
                          <w:right w:val="nil" w:sz="6" w:space="0" w:color="auto"/>
                        </w:tcBorders>
                      </w:tcPr>
                      <w:p>
                        <w:pPr/>
                      </w:p>
                    </w:tc>
                    <w:tc>
                      <w:tcPr>
                        <w:tcW w:w="1246" w:type="dxa"/>
                        <w:tcBorders>
                          <w:top w:val="single" w:sz="6" w:space="0" w:color="000000"/>
                          <w:left w:val="nil" w:sz="6" w:space="0" w:color="auto"/>
                          <w:bottom w:val="single" w:sz="6" w:space="0" w:color="000000"/>
                          <w:right w:val="nil" w:sz="6" w:space="0" w:color="auto"/>
                        </w:tcBorders>
                      </w:tcPr>
                      <w:p>
                        <w:pPr>
                          <w:pStyle w:val="TableParagraph"/>
                          <w:spacing w:line="253" w:lineRule="exact"/>
                          <w:ind w:right="46"/>
                          <w:jc w:val="right"/>
                          <w:rPr>
                            <w:rFonts w:ascii="宋体" w:hAnsi="宋体" w:cs="宋体" w:eastAsia="宋体" w:hint="default"/>
                            <w:sz w:val="22"/>
                            <w:szCs w:val="22"/>
                          </w:rPr>
                        </w:pPr>
                        <w:r>
                          <w:rPr>
                            <w:rFonts w:ascii="宋体" w:hAnsi="宋体" w:cs="宋体" w:eastAsia="宋体" w:hint="default"/>
                            <w:w w:val="95"/>
                            <w:sz w:val="22"/>
                            <w:szCs w:val="22"/>
                          </w:rPr>
                          <w:t>持股比例</w:t>
                        </w:r>
                        <w:r>
                          <w:rPr>
                            <w:rFonts w:ascii="宋体" w:hAnsi="宋体" w:cs="宋体" w:eastAsia="宋体" w:hint="default"/>
                            <w:sz w:val="22"/>
                            <w:szCs w:val="22"/>
                          </w:rPr>
                        </w:r>
                      </w:p>
                    </w:tc>
                    <w:tc>
                      <w:tcPr>
                        <w:tcW w:w="89" w:type="dxa"/>
                        <w:tcBorders>
                          <w:top w:val="single" w:sz="6" w:space="0" w:color="000000"/>
                          <w:left w:val="nil" w:sz="6" w:space="0" w:color="auto"/>
                          <w:bottom w:val="nil" w:sz="6" w:space="0" w:color="auto"/>
                          <w:right w:val="nil" w:sz="6" w:space="0" w:color="auto"/>
                        </w:tcBorders>
                      </w:tcPr>
                      <w:p>
                        <w:pPr/>
                      </w:p>
                    </w:tc>
                    <w:tc>
                      <w:tcPr>
                        <w:tcW w:w="1358" w:type="dxa"/>
                        <w:tcBorders>
                          <w:top w:val="single" w:sz="6" w:space="0" w:color="000000"/>
                          <w:left w:val="nil" w:sz="6" w:space="0" w:color="auto"/>
                          <w:bottom w:val="single" w:sz="6" w:space="0" w:color="000000"/>
                          <w:right w:val="nil" w:sz="6" w:space="0" w:color="auto"/>
                        </w:tcBorders>
                      </w:tcPr>
                      <w:p>
                        <w:pPr>
                          <w:pStyle w:val="TableParagraph"/>
                          <w:spacing w:line="253" w:lineRule="exact"/>
                          <w:ind w:right="53"/>
                          <w:jc w:val="right"/>
                          <w:rPr>
                            <w:rFonts w:ascii="宋体" w:hAnsi="宋体" w:cs="宋体" w:eastAsia="宋体" w:hint="default"/>
                            <w:sz w:val="22"/>
                            <w:szCs w:val="22"/>
                          </w:rPr>
                        </w:pPr>
                        <w:r>
                          <w:rPr>
                            <w:rFonts w:ascii="宋体" w:hAnsi="宋体" w:cs="宋体" w:eastAsia="宋体" w:hint="default"/>
                            <w:w w:val="95"/>
                            <w:sz w:val="22"/>
                            <w:szCs w:val="22"/>
                          </w:rPr>
                          <w:t>表决权比例</w:t>
                        </w:r>
                        <w:r>
                          <w:rPr>
                            <w:rFonts w:ascii="宋体" w:hAnsi="宋体" w:cs="宋体" w:eastAsia="宋体" w:hint="default"/>
                            <w:sz w:val="22"/>
                            <w:szCs w:val="22"/>
                          </w:rPr>
                        </w:r>
                      </w:p>
                    </w:tc>
                  </w:tr>
                  <w:tr>
                    <w:trPr>
                      <w:trHeight w:val="506" w:hRule="exact"/>
                    </w:trPr>
                    <w:tc>
                      <w:tcPr>
                        <w:tcW w:w="145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right="149"/>
                          <w:jc w:val="right"/>
                          <w:rPr>
                            <w:rFonts w:ascii="Arial" w:hAnsi="Arial" w:cs="Arial" w:eastAsia="Arial" w:hint="default"/>
                            <w:sz w:val="22"/>
                            <w:szCs w:val="22"/>
                          </w:rPr>
                        </w:pPr>
                        <w:r>
                          <w:rPr>
                            <w:rFonts w:ascii="Arial"/>
                            <w:w w:val="95"/>
                            <w:sz w:val="22"/>
                          </w:rPr>
                          <w:t>61.05%</w:t>
                        </w:r>
                        <w:r>
                          <w:rPr>
                            <w:rFonts w:ascii="Arial"/>
                            <w:sz w:val="22"/>
                          </w:rPr>
                        </w:r>
                      </w:p>
                    </w:tc>
                    <w:tc>
                      <w:tcPr>
                        <w:tcW w:w="126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right="53"/>
                          <w:jc w:val="right"/>
                          <w:rPr>
                            <w:rFonts w:ascii="Arial" w:hAnsi="Arial" w:cs="Arial" w:eastAsia="Arial" w:hint="default"/>
                            <w:sz w:val="22"/>
                            <w:szCs w:val="22"/>
                          </w:rPr>
                        </w:pPr>
                        <w:r>
                          <w:rPr>
                            <w:rFonts w:ascii="Arial"/>
                            <w:w w:val="95"/>
                            <w:sz w:val="22"/>
                          </w:rPr>
                          <w:t>61.05%</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124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right="63"/>
                          <w:jc w:val="right"/>
                          <w:rPr>
                            <w:rFonts w:ascii="Arial" w:hAnsi="Arial" w:cs="Arial" w:eastAsia="Arial" w:hint="default"/>
                            <w:sz w:val="22"/>
                            <w:szCs w:val="22"/>
                          </w:rPr>
                        </w:pPr>
                        <w:r>
                          <w:rPr>
                            <w:rFonts w:ascii="Arial"/>
                            <w:w w:val="95"/>
                            <w:sz w:val="22"/>
                          </w:rPr>
                          <w:t>61.05%</w:t>
                        </w:r>
                        <w:r>
                          <w:rPr>
                            <w:rFonts w:ascii="Arial"/>
                            <w:sz w:val="22"/>
                          </w:rPr>
                        </w:r>
                      </w:p>
                    </w:tc>
                    <w:tc>
                      <w:tcPr>
                        <w:tcW w:w="89" w:type="dxa"/>
                        <w:tcBorders>
                          <w:top w:val="nil" w:sz="6" w:space="0" w:color="auto"/>
                          <w:left w:val="nil" w:sz="6" w:space="0" w:color="auto"/>
                          <w:bottom w:val="nil" w:sz="6" w:space="0" w:color="auto"/>
                          <w:right w:val="nil" w:sz="6" w:space="0" w:color="auto"/>
                        </w:tcBorders>
                      </w:tcPr>
                      <w:p>
                        <w:pPr/>
                      </w:p>
                    </w:tc>
                    <w:tc>
                      <w:tcPr>
                        <w:tcW w:w="135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right="42"/>
                          <w:jc w:val="right"/>
                          <w:rPr>
                            <w:rFonts w:ascii="Arial" w:hAnsi="Arial" w:cs="Arial" w:eastAsia="Arial" w:hint="default"/>
                            <w:sz w:val="22"/>
                            <w:szCs w:val="22"/>
                          </w:rPr>
                        </w:pPr>
                        <w:r>
                          <w:rPr>
                            <w:rFonts w:ascii="Arial"/>
                            <w:w w:val="95"/>
                            <w:sz w:val="22"/>
                          </w:rPr>
                          <w:t>61.05%</w:t>
                        </w:r>
                        <w:r>
                          <w:rPr>
                            <w:rFonts w:ascii="Arial"/>
                            <w:sz w:val="22"/>
                          </w:rPr>
                        </w:r>
                      </w:p>
                    </w:tc>
                  </w:tr>
                </w:tbl>
                <w:p>
                  <w:pPr/>
                </w:p>
              </w:txbxContent>
            </v:textbox>
            <w10:wrap type="none"/>
          </v:shape>
        </w:pict>
      </w:r>
      <w:r>
        <w:rPr/>
        <w:t>联通集团</w:t>
      </w:r>
    </w:p>
    <w:p>
      <w:pPr>
        <w:spacing w:line="240" w:lineRule="auto" w:before="8"/>
        <w:rPr>
          <w:rFonts w:ascii="宋体" w:hAnsi="宋体" w:cs="宋体" w:eastAsia="宋体" w:hint="default"/>
          <w:sz w:val="12"/>
          <w:szCs w:val="12"/>
        </w:rPr>
      </w:pPr>
    </w:p>
    <w:p>
      <w:pPr>
        <w:pStyle w:val="BodyText"/>
        <w:spacing w:line="384" w:lineRule="auto" w:before="31"/>
        <w:ind w:left="522" w:right="5118" w:hanging="420"/>
        <w:jc w:val="left"/>
      </w:pPr>
      <w:r>
        <w:rPr>
          <w:rFonts w:ascii="Arial" w:hAnsi="Arial" w:cs="Arial" w:eastAsia="Arial" w:hint="default"/>
        </w:rPr>
        <w:t>2</w:t>
      </w:r>
      <w:r>
        <w:rPr/>
        <w:t>、</w:t>
      </w:r>
      <w:r>
        <w:rPr>
          <w:spacing w:val="-36"/>
        </w:rPr>
        <w:t> </w:t>
      </w:r>
      <w:r>
        <w:rPr/>
        <w:t>子公司情况</w:t>
      </w:r>
      <w:r>
        <w:rPr>
          <w:w w:val="99"/>
        </w:rPr>
        <w:t> </w:t>
      </w:r>
      <w:r>
        <w:rPr/>
        <w:t>子公司的基本情况及相关信息见附注四。</w:t>
      </w:r>
    </w:p>
    <w:p>
      <w:pPr>
        <w:pStyle w:val="BodyText"/>
        <w:spacing w:line="240" w:lineRule="auto" w:before="65"/>
        <w:ind w:left="102" w:right="0"/>
        <w:jc w:val="left"/>
      </w:pPr>
      <w:r>
        <w:rPr>
          <w:rFonts w:ascii="Arial" w:hAnsi="Arial" w:cs="Arial" w:eastAsia="Arial" w:hint="default"/>
        </w:rPr>
        <w:t>3</w:t>
      </w:r>
      <w:r>
        <w:rPr/>
        <w:t>、</w:t>
      </w:r>
      <w:r>
        <w:rPr>
          <w:spacing w:val="-37"/>
        </w:rPr>
        <w:t> </w:t>
      </w:r>
      <w:r>
        <w:rPr/>
        <w:t>其他关联方情况</w:t>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40"/>
          <w:pgSz w:w="11900" w:h="16840"/>
          <w:pgMar w:footer="752" w:header="0" w:top="2500" w:bottom="940" w:left="1280" w:right="1000"/>
          <w:pgNumType w:start="157"/>
        </w:sect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spacing w:before="0"/>
        <w:ind w:left="613" w:right="-18" w:firstLine="0"/>
        <w:jc w:val="left"/>
        <w:rPr>
          <w:rFonts w:ascii="宋体" w:hAnsi="宋体" w:cs="宋体" w:eastAsia="宋体" w:hint="default"/>
          <w:sz w:val="20"/>
          <w:szCs w:val="20"/>
        </w:rPr>
      </w:pPr>
      <w:r>
        <w:rPr/>
        <w:pict>
          <v:group style="position:absolute;margin-left:349.140015pt;margin-top:-12.240313pt;width:190.65pt;height:.75pt;mso-position-horizontal-relative:page;mso-position-vertical-relative:paragraph;z-index:-815296" coordorigin="6983,-245" coordsize="3813,15">
            <v:group style="position:absolute;left:6990;top:-238;width:2529;height:2" coordorigin="6990,-238" coordsize="2529,2">
              <v:shape style="position:absolute;left:6990;top:-238;width:2529;height:2" coordorigin="6990,-238" coordsize="2529,0" path="m6990,-238l9518,-238e" filled="false" stroked="true" strokeweight=".72pt" strokecolor="#000000">
                <v:path arrowok="t"/>
              </v:shape>
            </v:group>
            <v:group style="position:absolute;left:9572;top:-238;width:1216;height:2" coordorigin="9572,-238" coordsize="1216,2">
              <v:shape style="position:absolute;left:9572;top:-238;width:1216;height:2" coordorigin="9572,-238" coordsize="1216,0" path="m9572,-238l10788,-238e" filled="false" stroked="true" strokeweight=".72pt" strokecolor="#000000">
                <v:path arrowok="t"/>
              </v:shape>
            </v:group>
            <w10:wrap type="none"/>
          </v:group>
        </w:pict>
      </w:r>
      <w:r>
        <w:rPr>
          <w:rFonts w:ascii="Arial" w:hAnsi="Arial" w:cs="Arial" w:eastAsia="Arial" w:hint="default"/>
          <w:sz w:val="20"/>
          <w:szCs w:val="20"/>
        </w:rPr>
        <w:t>(1)  </w:t>
      </w:r>
      <w:r>
        <w:rPr>
          <w:rFonts w:ascii="Arial" w:hAnsi="Arial" w:cs="Arial" w:eastAsia="Arial" w:hint="default"/>
          <w:spacing w:val="5"/>
          <w:sz w:val="20"/>
          <w:szCs w:val="20"/>
        </w:rPr>
        <w:t> </w:t>
      </w:r>
      <w:r>
        <w:rPr>
          <w:rFonts w:ascii="宋体" w:hAnsi="宋体" w:cs="宋体" w:eastAsia="宋体" w:hint="default"/>
          <w:position w:val="1"/>
          <w:sz w:val="20"/>
          <w:szCs w:val="20"/>
        </w:rPr>
        <w:t>联通进出口</w:t>
      </w:r>
      <w:r>
        <w:rPr>
          <w:rFonts w:ascii="宋体" w:hAnsi="宋体" w:cs="宋体" w:eastAsia="宋体" w:hint="default"/>
          <w:sz w:val="20"/>
          <w:szCs w:val="20"/>
        </w:rPr>
      </w:r>
    </w:p>
    <w:p>
      <w:pPr>
        <w:tabs>
          <w:tab w:pos="3320" w:val="left" w:leader="none"/>
        </w:tabs>
        <w:spacing w:line="244" w:lineRule="auto" w:before="38"/>
        <w:ind w:left="613" w:right="108" w:firstLine="1057"/>
        <w:jc w:val="left"/>
        <w:rPr>
          <w:rFonts w:ascii="Arial" w:hAnsi="Arial" w:cs="Arial" w:eastAsia="Arial" w:hint="default"/>
          <w:sz w:val="20"/>
          <w:szCs w:val="20"/>
        </w:rPr>
      </w:pPr>
      <w:r>
        <w:rPr/>
        <w:br w:type="column"/>
      </w:r>
      <w:r>
        <w:rPr>
          <w:rFonts w:ascii="宋体" w:hAnsi="宋体" w:cs="宋体" w:eastAsia="宋体" w:hint="default"/>
          <w:sz w:val="20"/>
          <w:szCs w:val="20"/>
        </w:rPr>
        <w:t>与本集团的关系</w:t>
      </w:r>
      <w:r>
        <w:rPr>
          <w:rFonts w:ascii="宋体" w:hAnsi="宋体" w:cs="宋体" w:eastAsia="宋体" w:hint="default"/>
          <w:spacing w:val="31"/>
          <w:sz w:val="20"/>
          <w:szCs w:val="20"/>
        </w:rPr>
        <w:t> </w:t>
      </w:r>
      <w:r>
        <w:rPr>
          <w:rFonts w:ascii="宋体" w:hAnsi="宋体" w:cs="宋体" w:eastAsia="宋体" w:hint="default"/>
          <w:sz w:val="20"/>
          <w:szCs w:val="20"/>
        </w:rPr>
        <w:t>组织机构代码</w:t>
      </w:r>
      <w:r>
        <w:rPr>
          <w:rFonts w:ascii="宋体" w:hAnsi="宋体" w:cs="宋体" w:eastAsia="宋体" w:hint="default"/>
          <w:w w:val="100"/>
          <w:sz w:val="20"/>
          <w:szCs w:val="20"/>
        </w:rPr>
        <w:t> </w:t>
      </w:r>
      <w:r>
        <w:rPr>
          <w:rFonts w:ascii="宋体" w:hAnsi="宋体" w:cs="宋体" w:eastAsia="宋体" w:hint="default"/>
          <w:sz w:val="20"/>
          <w:szCs w:val="20"/>
        </w:rPr>
        <w:t>联通集团全资子公司，本公</w:t>
      </w:r>
      <w:r>
        <w:rPr>
          <w:rFonts w:ascii="宋体" w:hAnsi="宋体" w:cs="宋体" w:eastAsia="宋体" w:hint="default"/>
          <w:w w:val="100"/>
          <w:sz w:val="20"/>
          <w:szCs w:val="20"/>
        </w:rPr>
        <w:t> </w:t>
      </w:r>
      <w:r>
        <w:rPr>
          <w:rFonts w:ascii="宋体" w:hAnsi="宋体" w:cs="宋体" w:eastAsia="宋体" w:hint="default"/>
          <w:position w:val="1"/>
          <w:sz w:val="20"/>
          <w:szCs w:val="20"/>
        </w:rPr>
        <w:t>司股东之一，持股</w:t>
      </w:r>
      <w:r>
        <w:rPr>
          <w:rFonts w:ascii="宋体" w:hAnsi="宋体" w:cs="宋体" w:eastAsia="宋体" w:hint="default"/>
          <w:spacing w:val="-58"/>
          <w:position w:val="1"/>
          <w:sz w:val="20"/>
          <w:szCs w:val="20"/>
        </w:rPr>
        <w:t> </w:t>
      </w:r>
      <w:r>
        <w:rPr>
          <w:rFonts w:ascii="Arial" w:hAnsi="Arial" w:cs="Arial" w:eastAsia="Arial" w:hint="default"/>
          <w:position w:val="1"/>
          <w:sz w:val="20"/>
          <w:szCs w:val="20"/>
        </w:rPr>
        <w:t>0.0027%</w:t>
        <w:tab/>
      </w:r>
      <w:r>
        <w:rPr>
          <w:rFonts w:ascii="Arial" w:hAnsi="Arial" w:cs="Arial" w:eastAsia="Arial" w:hint="default"/>
          <w:sz w:val="20"/>
          <w:szCs w:val="20"/>
        </w:rPr>
        <w:t>100018021</w:t>
      </w:r>
    </w:p>
    <w:p>
      <w:pPr>
        <w:spacing w:after="0" w:line="244" w:lineRule="auto"/>
        <w:jc w:val="left"/>
        <w:rPr>
          <w:rFonts w:ascii="Arial" w:hAnsi="Arial" w:cs="Arial" w:eastAsia="Arial" w:hint="default"/>
          <w:sz w:val="20"/>
          <w:szCs w:val="20"/>
        </w:rPr>
        <w:sectPr>
          <w:type w:val="continuous"/>
          <w:pgSz w:w="11900" w:h="16840"/>
          <w:pgMar w:top="1600" w:bottom="280" w:left="1280" w:right="1000"/>
          <w:cols w:num="2" w:equalWidth="0">
            <w:col w:w="2032" w:space="3072"/>
            <w:col w:w="4516"/>
          </w:cols>
        </w:sectPr>
      </w:pPr>
    </w:p>
    <w:p>
      <w:pPr>
        <w:tabs>
          <w:tab w:pos="6357" w:val="left" w:leader="none"/>
          <w:tab w:pos="6558" w:val="left" w:leader="none"/>
        </w:tabs>
        <w:spacing w:line="260" w:lineRule="exact" w:before="4"/>
        <w:ind w:left="613" w:right="190" w:firstLine="0"/>
        <w:jc w:val="both"/>
        <w:rPr>
          <w:rFonts w:ascii="宋体" w:hAnsi="宋体" w:cs="宋体" w:eastAsia="宋体" w:hint="default"/>
          <w:sz w:val="20"/>
          <w:szCs w:val="20"/>
        </w:rPr>
      </w:pPr>
      <w:r>
        <w:rPr>
          <w:rFonts w:ascii="Arial" w:hAnsi="Arial" w:cs="Arial" w:eastAsia="Arial" w:hint="default"/>
          <w:sz w:val="20"/>
          <w:szCs w:val="20"/>
        </w:rPr>
        <w:t>(2)  </w:t>
      </w:r>
      <w:r>
        <w:rPr>
          <w:rFonts w:ascii="Arial" w:hAnsi="Arial" w:cs="Arial" w:eastAsia="Arial" w:hint="default"/>
          <w:spacing w:val="5"/>
          <w:sz w:val="20"/>
          <w:szCs w:val="20"/>
        </w:rPr>
        <w:t> </w:t>
      </w:r>
      <w:r>
        <w:rPr>
          <w:rFonts w:ascii="宋体" w:hAnsi="宋体" w:cs="宋体" w:eastAsia="宋体" w:hint="default"/>
          <w:position w:val="1"/>
          <w:sz w:val="20"/>
          <w:szCs w:val="20"/>
        </w:rPr>
        <w:t>联通新时空</w:t>
        <w:tab/>
        <w:t>联通集团全资子公司 </w:t>
      </w:r>
      <w:r>
        <w:rPr>
          <w:rFonts w:ascii="宋体" w:hAnsi="宋体" w:cs="宋体" w:eastAsia="宋体" w:hint="default"/>
          <w:spacing w:val="42"/>
          <w:position w:val="1"/>
          <w:sz w:val="20"/>
          <w:szCs w:val="20"/>
        </w:rPr>
        <w:t> </w:t>
      </w:r>
      <w:r>
        <w:rPr>
          <w:rFonts w:ascii="Arial" w:hAnsi="Arial" w:cs="Arial" w:eastAsia="Arial" w:hint="default"/>
          <w:sz w:val="20"/>
          <w:szCs w:val="20"/>
        </w:rPr>
        <w:t>71092788X</w:t>
      </w:r>
      <w:r>
        <w:rPr>
          <w:rFonts w:ascii="Arial" w:hAnsi="Arial" w:cs="Arial" w:eastAsia="Arial" w:hint="default"/>
          <w:w w:val="100"/>
          <w:sz w:val="20"/>
          <w:szCs w:val="20"/>
        </w:rPr>
        <w:t> </w:t>
      </w:r>
      <w:r>
        <w:rPr>
          <w:rFonts w:ascii="Arial" w:hAnsi="Arial" w:cs="Arial" w:eastAsia="Arial" w:hint="default"/>
          <w:sz w:val="20"/>
          <w:szCs w:val="20"/>
        </w:rPr>
        <w:t>(3)   </w:t>
      </w:r>
      <w:r>
        <w:rPr>
          <w:rFonts w:ascii="宋体" w:hAnsi="宋体" w:cs="宋体" w:eastAsia="宋体" w:hint="default"/>
          <w:position w:val="1"/>
          <w:sz w:val="20"/>
          <w:szCs w:val="20"/>
        </w:rPr>
        <w:t>联通时科（北京）信息技术有限公司（“联通时科”）     联通集团控股 </w:t>
      </w:r>
      <w:r>
        <w:rPr>
          <w:rFonts w:ascii="Arial" w:hAnsi="Arial" w:cs="Arial" w:eastAsia="Arial" w:hint="default"/>
          <w:position w:val="1"/>
          <w:sz w:val="20"/>
          <w:szCs w:val="20"/>
        </w:rPr>
        <w:t>51%  </w:t>
      </w:r>
      <w:r>
        <w:rPr>
          <w:rFonts w:ascii="Arial" w:hAnsi="Arial" w:cs="Arial" w:eastAsia="Arial" w:hint="default"/>
          <w:spacing w:val="23"/>
          <w:position w:val="1"/>
          <w:sz w:val="20"/>
          <w:szCs w:val="20"/>
        </w:rPr>
        <w:t> </w:t>
      </w:r>
      <w:r>
        <w:rPr>
          <w:rFonts w:ascii="Arial" w:hAnsi="Arial" w:cs="Arial" w:eastAsia="Arial" w:hint="default"/>
          <w:sz w:val="20"/>
          <w:szCs w:val="20"/>
        </w:rPr>
        <w:t>755256282</w:t>
      </w:r>
      <w:r>
        <w:rPr>
          <w:rFonts w:ascii="Arial" w:hAnsi="Arial" w:cs="Arial" w:eastAsia="Arial" w:hint="default"/>
          <w:w w:val="100"/>
          <w:sz w:val="20"/>
          <w:szCs w:val="20"/>
        </w:rPr>
        <w:t> </w:t>
      </w:r>
      <w:r>
        <w:rPr>
          <w:rFonts w:ascii="Arial" w:hAnsi="Arial" w:cs="Arial" w:eastAsia="Arial" w:hint="default"/>
          <w:sz w:val="20"/>
          <w:szCs w:val="20"/>
        </w:rPr>
        <w:t>(4)   </w:t>
      </w:r>
      <w:r>
        <w:rPr>
          <w:rFonts w:ascii="宋体" w:hAnsi="宋体" w:cs="宋体" w:eastAsia="宋体" w:hint="default"/>
          <w:position w:val="1"/>
          <w:sz w:val="20"/>
          <w:szCs w:val="20"/>
        </w:rPr>
        <w:t>网通</w:t>
      </w:r>
      <w:r>
        <w:rPr>
          <w:rFonts w:ascii="宋体" w:hAnsi="宋体" w:cs="宋体" w:eastAsia="宋体" w:hint="default"/>
          <w:spacing w:val="-46"/>
          <w:position w:val="1"/>
          <w:sz w:val="20"/>
          <w:szCs w:val="20"/>
        </w:rPr>
        <w:t> </w:t>
      </w:r>
      <w:r>
        <w:rPr>
          <w:rFonts w:ascii="Arial" w:hAnsi="Arial" w:cs="Arial" w:eastAsia="Arial" w:hint="default"/>
          <w:position w:val="1"/>
          <w:sz w:val="20"/>
          <w:szCs w:val="20"/>
        </w:rPr>
        <w:t>BVI</w:t>
        <w:tab/>
        <w:tab/>
      </w:r>
      <w:r>
        <w:rPr>
          <w:rFonts w:ascii="宋体" w:hAnsi="宋体" w:cs="宋体" w:eastAsia="宋体" w:hint="default"/>
          <w:position w:val="1"/>
          <w:sz w:val="20"/>
          <w:szCs w:val="20"/>
        </w:rPr>
        <w:t>同受联通集团控制     </w:t>
      </w:r>
      <w:r>
        <w:rPr>
          <w:rFonts w:ascii="宋体" w:hAnsi="宋体" w:cs="宋体" w:eastAsia="宋体" w:hint="default"/>
          <w:spacing w:val="67"/>
          <w:position w:val="1"/>
          <w:sz w:val="20"/>
          <w:szCs w:val="20"/>
        </w:rPr>
        <w:t> </w:t>
      </w:r>
      <w:r>
        <w:rPr>
          <w:rFonts w:ascii="宋体" w:hAnsi="宋体" w:cs="宋体" w:eastAsia="宋体" w:hint="default"/>
          <w:position w:val="1"/>
          <w:sz w:val="20"/>
          <w:szCs w:val="20"/>
        </w:rPr>
        <w:t>不适用</w:t>
      </w:r>
      <w:r>
        <w:rPr>
          <w:rFonts w:ascii="宋体" w:hAnsi="宋体" w:cs="宋体" w:eastAsia="宋体" w:hint="default"/>
          <w:sz w:val="20"/>
          <w:szCs w:val="20"/>
        </w:rPr>
      </w:r>
    </w:p>
    <w:p>
      <w:pPr>
        <w:tabs>
          <w:tab w:pos="6558" w:val="left" w:leader="none"/>
        </w:tabs>
        <w:spacing w:line="237" w:lineRule="exact" w:before="0"/>
        <w:ind w:left="613" w:right="0" w:firstLine="0"/>
        <w:jc w:val="both"/>
        <w:rPr>
          <w:rFonts w:ascii="宋体" w:hAnsi="宋体" w:cs="宋体" w:eastAsia="宋体" w:hint="default"/>
          <w:sz w:val="20"/>
          <w:szCs w:val="20"/>
        </w:rPr>
      </w:pPr>
      <w:r>
        <w:rPr>
          <w:rFonts w:ascii="Arial" w:hAnsi="Arial" w:cs="Arial" w:eastAsia="Arial" w:hint="default"/>
          <w:sz w:val="20"/>
          <w:szCs w:val="20"/>
        </w:rPr>
        <w:t>(5)  </w:t>
      </w:r>
      <w:r>
        <w:rPr>
          <w:rFonts w:ascii="Arial" w:hAnsi="Arial" w:cs="Arial" w:eastAsia="Arial" w:hint="default"/>
          <w:spacing w:val="4"/>
          <w:sz w:val="20"/>
          <w:szCs w:val="20"/>
        </w:rPr>
        <w:t> </w:t>
      </w:r>
      <w:r>
        <w:rPr>
          <w:rFonts w:ascii="宋体" w:hAnsi="宋体" w:cs="宋体" w:eastAsia="宋体" w:hint="default"/>
          <w:position w:val="1"/>
          <w:sz w:val="20"/>
          <w:szCs w:val="20"/>
        </w:rPr>
        <w:t>网通集团</w:t>
      </w:r>
      <w:r>
        <w:rPr>
          <w:rFonts w:ascii="宋体" w:hAnsi="宋体" w:cs="宋体" w:eastAsia="宋体" w:hint="default"/>
          <w:spacing w:val="-51"/>
          <w:position w:val="1"/>
          <w:sz w:val="20"/>
          <w:szCs w:val="20"/>
        </w:rPr>
        <w:t> </w:t>
      </w:r>
      <w:r>
        <w:rPr>
          <w:rFonts w:ascii="Arial" w:hAnsi="Arial" w:cs="Arial" w:eastAsia="Arial" w:hint="default"/>
          <w:position w:val="1"/>
          <w:sz w:val="20"/>
          <w:szCs w:val="20"/>
        </w:rPr>
        <w:t>BVI</w:t>
      </w:r>
      <w:r>
        <w:rPr>
          <w:rFonts w:ascii="Arial" w:hAnsi="Arial" w:cs="Arial" w:eastAsia="Arial" w:hint="default"/>
          <w:spacing w:val="-7"/>
          <w:position w:val="1"/>
          <w:sz w:val="20"/>
          <w:szCs w:val="20"/>
        </w:rPr>
        <w:t> </w:t>
      </w:r>
      <w:r>
        <w:rPr>
          <w:rFonts w:ascii="宋体" w:hAnsi="宋体" w:cs="宋体" w:eastAsia="宋体" w:hint="default"/>
          <w:position w:val="1"/>
          <w:sz w:val="20"/>
          <w:szCs w:val="20"/>
        </w:rPr>
        <w:t>公司</w:t>
        <w:tab/>
        <w:t>同受联通集团控制     </w:t>
      </w:r>
      <w:r>
        <w:rPr>
          <w:rFonts w:ascii="宋体" w:hAnsi="宋体" w:cs="宋体" w:eastAsia="宋体" w:hint="default"/>
          <w:spacing w:val="67"/>
          <w:position w:val="1"/>
          <w:sz w:val="20"/>
          <w:szCs w:val="20"/>
        </w:rPr>
        <w:t> </w:t>
      </w:r>
      <w:r>
        <w:rPr>
          <w:rFonts w:ascii="宋体" w:hAnsi="宋体" w:cs="宋体" w:eastAsia="宋体" w:hint="default"/>
          <w:position w:val="1"/>
          <w:sz w:val="20"/>
          <w:szCs w:val="20"/>
        </w:rPr>
        <w:t>不适用</w:t>
      </w:r>
      <w:r>
        <w:rPr>
          <w:rFonts w:ascii="宋体" w:hAnsi="宋体" w:cs="宋体" w:eastAsia="宋体" w:hint="default"/>
          <w:sz w:val="20"/>
          <w:szCs w:val="20"/>
        </w:rPr>
      </w:r>
    </w:p>
    <w:p>
      <w:pPr>
        <w:tabs>
          <w:tab w:pos="6558" w:val="left" w:leader="none"/>
        </w:tabs>
        <w:spacing w:line="260" w:lineRule="exact" w:before="0"/>
        <w:ind w:left="613" w:right="0" w:firstLine="0"/>
        <w:jc w:val="both"/>
        <w:rPr>
          <w:rFonts w:ascii="Arial" w:hAnsi="Arial" w:cs="Arial" w:eastAsia="Arial" w:hint="default"/>
          <w:sz w:val="20"/>
          <w:szCs w:val="20"/>
        </w:rPr>
      </w:pPr>
      <w:r>
        <w:rPr>
          <w:rFonts w:ascii="Arial" w:hAnsi="Arial" w:cs="Arial" w:eastAsia="Arial" w:hint="default"/>
          <w:sz w:val="20"/>
          <w:szCs w:val="20"/>
        </w:rPr>
        <w:t>(6)  </w:t>
      </w:r>
      <w:r>
        <w:rPr>
          <w:rFonts w:ascii="Arial" w:hAnsi="Arial" w:cs="Arial" w:eastAsia="Arial" w:hint="default"/>
          <w:spacing w:val="1"/>
          <w:sz w:val="20"/>
          <w:szCs w:val="20"/>
        </w:rPr>
        <w:t> </w:t>
      </w:r>
      <w:r>
        <w:rPr>
          <w:rFonts w:ascii="宋体" w:hAnsi="宋体" w:cs="宋体" w:eastAsia="宋体" w:hint="default"/>
          <w:position w:val="1"/>
          <w:sz w:val="20"/>
          <w:szCs w:val="20"/>
        </w:rPr>
        <w:t>中国网通集团北京市通信公司及其附属公司</w:t>
        <w:tab/>
        <w:t>同受联通集团控制 </w:t>
      </w:r>
      <w:r>
        <w:rPr>
          <w:rFonts w:ascii="宋体" w:hAnsi="宋体" w:cs="宋体" w:eastAsia="宋体" w:hint="default"/>
          <w:spacing w:val="62"/>
          <w:position w:val="1"/>
          <w:sz w:val="20"/>
          <w:szCs w:val="20"/>
        </w:rPr>
        <w:t> </w:t>
      </w:r>
      <w:r>
        <w:rPr>
          <w:rFonts w:ascii="Arial" w:hAnsi="Arial" w:cs="Arial" w:eastAsia="Arial" w:hint="default"/>
          <w:sz w:val="20"/>
          <w:szCs w:val="20"/>
        </w:rPr>
        <w:t>633648886</w:t>
      </w:r>
    </w:p>
    <w:p>
      <w:pPr>
        <w:tabs>
          <w:tab w:pos="6558" w:val="left" w:leader="none"/>
        </w:tabs>
        <w:spacing w:line="259" w:lineRule="exact" w:before="0"/>
        <w:ind w:left="613" w:right="0" w:firstLine="0"/>
        <w:jc w:val="both"/>
        <w:rPr>
          <w:rFonts w:ascii="Arial" w:hAnsi="Arial" w:cs="Arial" w:eastAsia="Arial" w:hint="default"/>
          <w:sz w:val="20"/>
          <w:szCs w:val="20"/>
        </w:rPr>
      </w:pPr>
      <w:r>
        <w:rPr>
          <w:rFonts w:ascii="Arial" w:hAnsi="Arial" w:cs="Arial" w:eastAsia="Arial" w:hint="default"/>
          <w:sz w:val="20"/>
          <w:szCs w:val="20"/>
        </w:rPr>
        <w:t>(7)  </w:t>
      </w:r>
      <w:r>
        <w:rPr>
          <w:rFonts w:ascii="Arial" w:hAnsi="Arial" w:cs="Arial" w:eastAsia="Arial" w:hint="default"/>
          <w:spacing w:val="1"/>
          <w:sz w:val="20"/>
          <w:szCs w:val="20"/>
        </w:rPr>
        <w:t> </w:t>
      </w:r>
      <w:r>
        <w:rPr>
          <w:rFonts w:ascii="宋体" w:hAnsi="宋体" w:cs="宋体" w:eastAsia="宋体" w:hint="default"/>
          <w:position w:val="1"/>
          <w:sz w:val="20"/>
          <w:szCs w:val="20"/>
        </w:rPr>
        <w:t>中国网通集团天津市通信公司及其附属公司</w:t>
        <w:tab/>
        <w:t>同受联通集团控制 </w:t>
      </w:r>
      <w:r>
        <w:rPr>
          <w:rFonts w:ascii="宋体" w:hAnsi="宋体" w:cs="宋体" w:eastAsia="宋体" w:hint="default"/>
          <w:spacing w:val="62"/>
          <w:position w:val="1"/>
          <w:sz w:val="20"/>
          <w:szCs w:val="20"/>
        </w:rPr>
        <w:t> </w:t>
      </w:r>
      <w:r>
        <w:rPr>
          <w:rFonts w:ascii="Arial" w:hAnsi="Arial" w:cs="Arial" w:eastAsia="Arial" w:hint="default"/>
          <w:sz w:val="20"/>
          <w:szCs w:val="20"/>
        </w:rPr>
        <w:t>722998714</w:t>
      </w:r>
    </w:p>
    <w:p>
      <w:pPr>
        <w:tabs>
          <w:tab w:pos="6503" w:val="left" w:leader="none"/>
        </w:tabs>
        <w:spacing w:line="260" w:lineRule="exact" w:before="22"/>
        <w:ind w:left="558" w:right="190" w:firstLine="55"/>
        <w:jc w:val="both"/>
        <w:rPr>
          <w:rFonts w:ascii="Arial" w:hAnsi="Arial" w:cs="Arial" w:eastAsia="Arial" w:hint="default"/>
          <w:sz w:val="20"/>
          <w:szCs w:val="20"/>
        </w:rPr>
      </w:pPr>
      <w:r>
        <w:rPr>
          <w:rFonts w:ascii="Arial" w:hAnsi="Arial" w:cs="Arial" w:eastAsia="Arial" w:hint="default"/>
          <w:sz w:val="20"/>
          <w:szCs w:val="20"/>
        </w:rPr>
        <w:t>(8)  </w:t>
      </w:r>
      <w:r>
        <w:rPr>
          <w:rFonts w:ascii="Arial" w:hAnsi="Arial" w:cs="Arial" w:eastAsia="Arial" w:hint="default"/>
          <w:spacing w:val="1"/>
          <w:sz w:val="20"/>
          <w:szCs w:val="20"/>
        </w:rPr>
        <w:t> </w:t>
      </w:r>
      <w:r>
        <w:rPr>
          <w:rFonts w:ascii="宋体" w:hAnsi="宋体" w:cs="宋体" w:eastAsia="宋体" w:hint="default"/>
          <w:position w:val="1"/>
          <w:sz w:val="20"/>
          <w:szCs w:val="20"/>
        </w:rPr>
        <w:t>中国网通集团河北省通信公司及其附属公司</w:t>
        <w:tab/>
        <w:t>同受联通集团控制 </w:t>
      </w:r>
      <w:r>
        <w:rPr>
          <w:rFonts w:ascii="宋体" w:hAnsi="宋体" w:cs="宋体" w:eastAsia="宋体" w:hint="default"/>
          <w:spacing w:val="62"/>
          <w:position w:val="1"/>
          <w:sz w:val="20"/>
          <w:szCs w:val="20"/>
        </w:rPr>
        <w:t> </w:t>
      </w:r>
      <w:r>
        <w:rPr>
          <w:rFonts w:ascii="Arial" w:hAnsi="Arial" w:cs="Arial" w:eastAsia="Arial" w:hint="default"/>
          <w:sz w:val="20"/>
          <w:szCs w:val="20"/>
        </w:rPr>
        <w:t>601042513</w:t>
      </w:r>
      <w:r>
        <w:rPr>
          <w:rFonts w:ascii="Arial" w:hAnsi="Arial" w:cs="Arial" w:eastAsia="Arial" w:hint="default"/>
          <w:w w:val="100"/>
          <w:sz w:val="20"/>
          <w:szCs w:val="20"/>
        </w:rPr>
        <w:t> </w:t>
      </w:r>
      <w:r>
        <w:rPr>
          <w:rFonts w:ascii="Arial" w:hAnsi="Arial" w:cs="Arial" w:eastAsia="Arial" w:hint="default"/>
          <w:sz w:val="20"/>
          <w:szCs w:val="20"/>
        </w:rPr>
        <w:t>(9)  </w:t>
      </w:r>
      <w:r>
        <w:rPr>
          <w:rFonts w:ascii="Arial" w:hAnsi="Arial" w:cs="Arial" w:eastAsia="Arial" w:hint="default"/>
          <w:spacing w:val="1"/>
          <w:sz w:val="20"/>
          <w:szCs w:val="20"/>
        </w:rPr>
        <w:t> </w:t>
      </w:r>
      <w:r>
        <w:rPr>
          <w:rFonts w:ascii="宋体" w:hAnsi="宋体" w:cs="宋体" w:eastAsia="宋体" w:hint="default"/>
          <w:position w:val="1"/>
          <w:sz w:val="20"/>
          <w:szCs w:val="20"/>
        </w:rPr>
        <w:t>中国网通集团河南省通信公司及其附属公司</w:t>
        <w:tab/>
        <w:t>同受联通集团控制 </w:t>
      </w:r>
      <w:r>
        <w:rPr>
          <w:rFonts w:ascii="宋体" w:hAnsi="宋体" w:cs="宋体" w:eastAsia="宋体" w:hint="default"/>
          <w:spacing w:val="42"/>
          <w:position w:val="1"/>
          <w:sz w:val="20"/>
          <w:szCs w:val="20"/>
        </w:rPr>
        <w:t> </w:t>
      </w:r>
      <w:r>
        <w:rPr>
          <w:rFonts w:ascii="Arial" w:hAnsi="Arial" w:cs="Arial" w:eastAsia="Arial" w:hint="default"/>
          <w:sz w:val="20"/>
          <w:szCs w:val="20"/>
        </w:rPr>
        <w:t>X14400179</w:t>
      </w:r>
      <w:r>
        <w:rPr>
          <w:rFonts w:ascii="Arial" w:hAnsi="Arial" w:cs="Arial" w:eastAsia="Arial" w:hint="default"/>
          <w:w w:val="100"/>
          <w:sz w:val="20"/>
          <w:szCs w:val="20"/>
        </w:rPr>
        <w:t> </w:t>
      </w:r>
      <w:r>
        <w:rPr>
          <w:rFonts w:ascii="Arial" w:hAnsi="Arial" w:cs="Arial" w:eastAsia="Arial" w:hint="default"/>
          <w:sz w:val="20"/>
          <w:szCs w:val="20"/>
        </w:rPr>
        <w:t>(10)</w:t>
      </w:r>
      <w:r>
        <w:rPr>
          <w:rFonts w:ascii="Arial" w:hAnsi="Arial" w:cs="Arial" w:eastAsia="Arial" w:hint="default"/>
          <w:spacing w:val="54"/>
          <w:sz w:val="20"/>
          <w:szCs w:val="20"/>
        </w:rPr>
        <w:t> </w:t>
      </w:r>
      <w:r>
        <w:rPr>
          <w:rFonts w:ascii="宋体" w:hAnsi="宋体" w:cs="宋体" w:eastAsia="宋体" w:hint="default"/>
          <w:position w:val="1"/>
          <w:sz w:val="20"/>
          <w:szCs w:val="20"/>
        </w:rPr>
        <w:t>中国网通集团山东省通信公司及其附属公司</w:t>
        <w:tab/>
        <w:t>同受联通集团控制 </w:t>
      </w:r>
      <w:r>
        <w:rPr>
          <w:rFonts w:ascii="宋体" w:hAnsi="宋体" w:cs="宋体" w:eastAsia="宋体" w:hint="default"/>
          <w:spacing w:val="62"/>
          <w:position w:val="1"/>
          <w:sz w:val="20"/>
          <w:szCs w:val="20"/>
        </w:rPr>
        <w:t> </w:t>
      </w:r>
      <w:r>
        <w:rPr>
          <w:rFonts w:ascii="Arial" w:hAnsi="Arial" w:cs="Arial" w:eastAsia="Arial" w:hint="default"/>
          <w:sz w:val="20"/>
          <w:szCs w:val="20"/>
        </w:rPr>
        <w:t>724297305</w:t>
      </w:r>
    </w:p>
    <w:p>
      <w:pPr>
        <w:tabs>
          <w:tab w:pos="6558" w:val="left" w:leader="none"/>
        </w:tabs>
        <w:spacing w:line="236" w:lineRule="exact" w:before="0"/>
        <w:ind w:left="558" w:right="0" w:firstLine="0"/>
        <w:jc w:val="both"/>
        <w:rPr>
          <w:rFonts w:ascii="Arial" w:hAnsi="Arial" w:cs="Arial" w:eastAsia="Arial" w:hint="default"/>
          <w:sz w:val="20"/>
          <w:szCs w:val="20"/>
        </w:rPr>
      </w:pPr>
      <w:r>
        <w:rPr>
          <w:rFonts w:ascii="Arial" w:hAnsi="Arial" w:cs="Arial" w:eastAsia="Arial" w:hint="default"/>
          <w:sz w:val="20"/>
          <w:szCs w:val="20"/>
        </w:rPr>
        <w:t>(11)</w:t>
      </w:r>
      <w:r>
        <w:rPr>
          <w:rFonts w:ascii="Arial" w:hAnsi="Arial" w:cs="Arial" w:eastAsia="Arial" w:hint="default"/>
          <w:spacing w:val="54"/>
          <w:sz w:val="20"/>
          <w:szCs w:val="20"/>
        </w:rPr>
        <w:t> </w:t>
      </w:r>
      <w:r>
        <w:rPr>
          <w:rFonts w:ascii="宋体" w:hAnsi="宋体" w:cs="宋体" w:eastAsia="宋体" w:hint="default"/>
          <w:position w:val="1"/>
          <w:sz w:val="20"/>
          <w:szCs w:val="20"/>
        </w:rPr>
        <w:t>中国网通集团辽宁省通信公司及其附属公司</w:t>
        <w:tab/>
        <w:t>同受联通集团控制 </w:t>
      </w:r>
      <w:r>
        <w:rPr>
          <w:rFonts w:ascii="宋体" w:hAnsi="宋体" w:cs="宋体" w:eastAsia="宋体" w:hint="default"/>
          <w:spacing w:val="62"/>
          <w:position w:val="1"/>
          <w:sz w:val="20"/>
          <w:szCs w:val="20"/>
        </w:rPr>
        <w:t> </w:t>
      </w:r>
      <w:r>
        <w:rPr>
          <w:rFonts w:ascii="Arial" w:hAnsi="Arial" w:cs="Arial" w:eastAsia="Arial" w:hint="default"/>
          <w:sz w:val="20"/>
          <w:szCs w:val="20"/>
        </w:rPr>
        <w:t>719644210</w:t>
      </w:r>
    </w:p>
    <w:p>
      <w:pPr>
        <w:tabs>
          <w:tab w:pos="6558" w:val="left" w:leader="none"/>
        </w:tabs>
        <w:spacing w:line="260" w:lineRule="exact" w:before="0"/>
        <w:ind w:left="558" w:right="0" w:firstLine="0"/>
        <w:jc w:val="both"/>
        <w:rPr>
          <w:rFonts w:ascii="Arial" w:hAnsi="Arial" w:cs="Arial" w:eastAsia="Arial" w:hint="default"/>
          <w:sz w:val="20"/>
          <w:szCs w:val="20"/>
        </w:rPr>
      </w:pPr>
      <w:r>
        <w:rPr>
          <w:rFonts w:ascii="Arial" w:hAnsi="Arial" w:cs="Arial" w:eastAsia="Arial" w:hint="default"/>
          <w:sz w:val="20"/>
          <w:szCs w:val="20"/>
        </w:rPr>
        <w:t>(12)</w:t>
      </w:r>
      <w:r>
        <w:rPr>
          <w:rFonts w:ascii="Arial" w:hAnsi="Arial" w:cs="Arial" w:eastAsia="Arial" w:hint="default"/>
          <w:spacing w:val="54"/>
          <w:sz w:val="20"/>
          <w:szCs w:val="20"/>
        </w:rPr>
        <w:t> </w:t>
      </w:r>
      <w:r>
        <w:rPr>
          <w:rFonts w:ascii="宋体" w:hAnsi="宋体" w:cs="宋体" w:eastAsia="宋体" w:hint="default"/>
          <w:position w:val="1"/>
          <w:sz w:val="20"/>
          <w:szCs w:val="20"/>
        </w:rPr>
        <w:t>中国网通集团山西省通信公司及其附属公司</w:t>
        <w:tab/>
        <w:t>同受联通集团控制 </w:t>
      </w:r>
      <w:r>
        <w:rPr>
          <w:rFonts w:ascii="宋体" w:hAnsi="宋体" w:cs="宋体" w:eastAsia="宋体" w:hint="default"/>
          <w:spacing w:val="62"/>
          <w:position w:val="1"/>
          <w:sz w:val="20"/>
          <w:szCs w:val="20"/>
        </w:rPr>
        <w:t> </w:t>
      </w:r>
      <w:r>
        <w:rPr>
          <w:rFonts w:ascii="Arial" w:hAnsi="Arial" w:cs="Arial" w:eastAsia="Arial" w:hint="default"/>
          <w:sz w:val="20"/>
          <w:szCs w:val="20"/>
        </w:rPr>
        <w:t>724603413</w:t>
      </w:r>
    </w:p>
    <w:p>
      <w:pPr>
        <w:tabs>
          <w:tab w:pos="6558" w:val="left" w:leader="none"/>
        </w:tabs>
        <w:spacing w:line="260" w:lineRule="exact" w:before="0"/>
        <w:ind w:left="558" w:right="0" w:firstLine="0"/>
        <w:jc w:val="both"/>
        <w:rPr>
          <w:rFonts w:ascii="Arial" w:hAnsi="Arial" w:cs="Arial" w:eastAsia="Arial" w:hint="default"/>
          <w:sz w:val="20"/>
          <w:szCs w:val="20"/>
        </w:rPr>
      </w:pPr>
      <w:r>
        <w:rPr>
          <w:rFonts w:ascii="Arial" w:hAnsi="Arial" w:cs="Arial" w:eastAsia="Arial" w:hint="default"/>
          <w:sz w:val="20"/>
          <w:szCs w:val="20"/>
        </w:rPr>
        <w:t>(13)</w:t>
      </w:r>
      <w:r>
        <w:rPr>
          <w:rFonts w:ascii="Arial" w:hAnsi="Arial" w:cs="Arial" w:eastAsia="Arial" w:hint="default"/>
          <w:spacing w:val="54"/>
          <w:sz w:val="20"/>
          <w:szCs w:val="20"/>
        </w:rPr>
        <w:t> </w:t>
      </w:r>
      <w:r>
        <w:rPr>
          <w:rFonts w:ascii="宋体" w:hAnsi="宋体" w:cs="宋体" w:eastAsia="宋体" w:hint="default"/>
          <w:position w:val="1"/>
          <w:sz w:val="20"/>
          <w:szCs w:val="20"/>
        </w:rPr>
        <w:t>中国网通集团吉林省通信公司及其附属公司</w:t>
        <w:tab/>
        <w:t>同受联通集团控制 </w:t>
      </w:r>
      <w:r>
        <w:rPr>
          <w:rFonts w:ascii="宋体" w:hAnsi="宋体" w:cs="宋体" w:eastAsia="宋体" w:hint="default"/>
          <w:spacing w:val="62"/>
          <w:position w:val="1"/>
          <w:sz w:val="20"/>
          <w:szCs w:val="20"/>
        </w:rPr>
        <w:t> </w:t>
      </w:r>
      <w:r>
        <w:rPr>
          <w:rFonts w:ascii="Arial" w:hAnsi="Arial" w:cs="Arial" w:eastAsia="Arial" w:hint="default"/>
          <w:sz w:val="20"/>
          <w:szCs w:val="20"/>
        </w:rPr>
        <w:t>702401431</w:t>
      </w:r>
    </w:p>
    <w:p>
      <w:pPr>
        <w:tabs>
          <w:tab w:pos="6558" w:val="left" w:leader="none"/>
        </w:tabs>
        <w:spacing w:line="259" w:lineRule="exact" w:before="0"/>
        <w:ind w:left="558" w:right="0" w:firstLine="0"/>
        <w:jc w:val="both"/>
        <w:rPr>
          <w:rFonts w:ascii="Arial" w:hAnsi="Arial" w:cs="Arial" w:eastAsia="Arial" w:hint="default"/>
          <w:sz w:val="20"/>
          <w:szCs w:val="20"/>
        </w:rPr>
      </w:pPr>
      <w:r>
        <w:rPr>
          <w:rFonts w:ascii="Arial" w:hAnsi="Arial" w:cs="Arial" w:eastAsia="Arial" w:hint="default"/>
          <w:sz w:val="20"/>
          <w:szCs w:val="20"/>
        </w:rPr>
        <w:t>(14)</w:t>
      </w:r>
      <w:r>
        <w:rPr>
          <w:rFonts w:ascii="Arial" w:hAnsi="Arial" w:cs="Arial" w:eastAsia="Arial" w:hint="default"/>
          <w:spacing w:val="55"/>
          <w:sz w:val="20"/>
          <w:szCs w:val="20"/>
        </w:rPr>
        <w:t> </w:t>
      </w:r>
      <w:r>
        <w:rPr>
          <w:rFonts w:ascii="宋体" w:hAnsi="宋体" w:cs="宋体" w:eastAsia="宋体" w:hint="default"/>
          <w:position w:val="1"/>
          <w:sz w:val="20"/>
          <w:szCs w:val="20"/>
        </w:rPr>
        <w:t>中国网通集团黑龙江省通信公司及其附属公司</w:t>
        <w:tab/>
        <w:t>同受联通集团控制 </w:t>
      </w:r>
      <w:r>
        <w:rPr>
          <w:rFonts w:ascii="宋体" w:hAnsi="宋体" w:cs="宋体" w:eastAsia="宋体" w:hint="default"/>
          <w:spacing w:val="62"/>
          <w:position w:val="1"/>
          <w:sz w:val="20"/>
          <w:szCs w:val="20"/>
        </w:rPr>
        <w:t> </w:t>
      </w:r>
      <w:r>
        <w:rPr>
          <w:rFonts w:ascii="Arial" w:hAnsi="Arial" w:cs="Arial" w:eastAsia="Arial" w:hint="default"/>
          <w:sz w:val="20"/>
          <w:szCs w:val="20"/>
        </w:rPr>
        <w:t>001697620</w:t>
      </w:r>
    </w:p>
    <w:p>
      <w:pPr>
        <w:tabs>
          <w:tab w:pos="6558" w:val="left" w:leader="none"/>
        </w:tabs>
        <w:spacing w:line="273" w:lineRule="exact" w:before="0"/>
        <w:ind w:left="558" w:right="0" w:firstLine="0"/>
        <w:jc w:val="both"/>
        <w:rPr>
          <w:rFonts w:ascii="Arial" w:hAnsi="Arial" w:cs="Arial" w:eastAsia="Arial" w:hint="default"/>
          <w:sz w:val="20"/>
          <w:szCs w:val="20"/>
        </w:rPr>
      </w:pPr>
      <w:r>
        <w:rPr>
          <w:rFonts w:ascii="Arial" w:hAnsi="Arial" w:cs="Arial" w:eastAsia="Arial" w:hint="default"/>
          <w:sz w:val="20"/>
          <w:szCs w:val="20"/>
        </w:rPr>
        <w:t>(15)  </w:t>
      </w:r>
      <w:r>
        <w:rPr>
          <w:rFonts w:ascii="宋体" w:hAnsi="宋体" w:cs="宋体" w:eastAsia="宋体" w:hint="default"/>
          <w:position w:val="1"/>
          <w:sz w:val="20"/>
          <w:szCs w:val="20"/>
        </w:rPr>
        <w:t>中国网通集团内蒙古自治区通信公司及其附属公司</w:t>
        <w:tab/>
        <w:t>同受联通集团控制 </w:t>
      </w:r>
      <w:r>
        <w:rPr>
          <w:rFonts w:ascii="宋体" w:hAnsi="宋体" w:cs="宋体" w:eastAsia="宋体" w:hint="default"/>
          <w:spacing w:val="62"/>
          <w:position w:val="1"/>
          <w:sz w:val="20"/>
          <w:szCs w:val="20"/>
        </w:rPr>
        <w:t> </w:t>
      </w:r>
      <w:r>
        <w:rPr>
          <w:rFonts w:ascii="Arial" w:hAnsi="Arial" w:cs="Arial" w:eastAsia="Arial" w:hint="default"/>
          <w:sz w:val="20"/>
          <w:szCs w:val="20"/>
        </w:rPr>
        <w:t>114119157</w:t>
      </w:r>
    </w:p>
    <w:p>
      <w:pPr>
        <w:spacing w:after="0" w:line="273" w:lineRule="exact"/>
        <w:jc w:val="both"/>
        <w:rPr>
          <w:rFonts w:ascii="Arial" w:hAnsi="Arial" w:cs="Arial" w:eastAsia="Arial" w:hint="default"/>
          <w:sz w:val="20"/>
          <w:szCs w:val="20"/>
        </w:rPr>
        <w:sectPr>
          <w:type w:val="continuous"/>
          <w:pgSz w:w="11900" w:h="16840"/>
          <w:pgMar w:top="1600" w:bottom="280" w:left="1280" w:right="1000"/>
        </w:sectPr>
      </w:pPr>
    </w:p>
    <w:p>
      <w:pPr>
        <w:spacing w:line="240" w:lineRule="auto" w:before="11"/>
        <w:rPr>
          <w:rFonts w:ascii="Arial" w:hAnsi="Arial" w:cs="Arial" w:eastAsia="Arial" w:hint="default"/>
          <w:sz w:val="18"/>
          <w:szCs w:val="18"/>
        </w:rPr>
      </w:pPr>
    </w:p>
    <w:p>
      <w:pPr>
        <w:pStyle w:val="BodyText"/>
        <w:spacing w:line="240" w:lineRule="auto" w:before="31"/>
        <w:ind w:left="178" w:right="0"/>
        <w:jc w:val="left"/>
      </w:pPr>
      <w:r>
        <w:rPr>
          <w:rFonts w:ascii="Arial" w:hAnsi="Arial" w:cs="Arial" w:eastAsia="Arial" w:hint="default"/>
        </w:rPr>
        <w:t>3</w:t>
      </w:r>
      <w:r>
        <w:rPr/>
        <w:t>、</w:t>
      </w:r>
      <w:r>
        <w:rPr>
          <w:spacing w:val="-73"/>
        </w:rPr>
        <w:t> </w:t>
      </w:r>
      <w:r>
        <w:rPr/>
        <w:t>其他关联方情况（续）</w:t>
      </w:r>
    </w:p>
    <w:p>
      <w:pPr>
        <w:spacing w:line="240" w:lineRule="auto" w:before="10"/>
        <w:rPr>
          <w:rFonts w:ascii="宋体" w:hAnsi="宋体" w:cs="宋体" w:eastAsia="宋体" w:hint="default"/>
          <w:sz w:val="18"/>
          <w:szCs w:val="18"/>
        </w:rPr>
      </w:pPr>
    </w:p>
    <w:p>
      <w:pPr>
        <w:pStyle w:val="BodyText"/>
        <w:spacing w:line="230" w:lineRule="auto"/>
        <w:ind w:left="997" w:right="237" w:hanging="424"/>
        <w:jc w:val="both"/>
      </w:pPr>
      <w:r>
        <w:rPr>
          <w:spacing w:val="-1"/>
        </w:rPr>
        <w:t>注：如附注一</w:t>
      </w:r>
      <w:r>
        <w:rPr>
          <w:rFonts w:ascii="Arial" w:hAnsi="Arial" w:cs="Arial" w:eastAsia="Arial" w:hint="default"/>
          <w:spacing w:val="-1"/>
        </w:rPr>
        <w:t>(2)</w:t>
      </w:r>
      <w:r>
        <w:rPr>
          <w:spacing w:val="-1"/>
        </w:rPr>
        <w:t>所述，宽带在线收购联通新时讯被视为同一控制下企业合并，因此自可比期间</w:t>
      </w:r>
      <w:r>
        <w:rPr>
          <w:spacing w:val="-97"/>
        </w:rPr>
        <w:t> </w:t>
      </w:r>
      <w:r>
        <w:rPr>
          <w:spacing w:val="-97"/>
        </w:rPr>
      </w:r>
      <w:r>
        <w:rPr/>
        <w:t>期初合并计入本集团，因此联通新时讯与本集团的交易作为内部交易已于可比期间期初即</w:t>
      </w:r>
      <w:r>
        <w:rPr>
          <w:spacing w:val="1"/>
          <w:w w:val="99"/>
        </w:rPr>
        <w:t> </w:t>
      </w:r>
      <w:r>
        <w:rPr/>
        <w:t>在合并财务报表中被抵销，不再反映为关联交易。</w:t>
      </w:r>
    </w:p>
    <w:p>
      <w:pPr>
        <w:spacing w:line="240" w:lineRule="auto" w:before="4"/>
        <w:rPr>
          <w:rFonts w:ascii="宋体" w:hAnsi="宋体" w:cs="宋体" w:eastAsia="宋体" w:hint="default"/>
          <w:sz w:val="19"/>
          <w:szCs w:val="19"/>
        </w:rPr>
      </w:pPr>
    </w:p>
    <w:p>
      <w:pPr>
        <w:pStyle w:val="BodyText"/>
        <w:spacing w:line="240" w:lineRule="auto"/>
        <w:ind w:left="178" w:right="0"/>
        <w:jc w:val="left"/>
      </w:pPr>
      <w:r>
        <w:rPr>
          <w:rFonts w:ascii="Arial" w:hAnsi="Arial" w:cs="Arial" w:eastAsia="Arial" w:hint="default"/>
        </w:rPr>
        <w:t>4</w:t>
      </w:r>
      <w:r>
        <w:rPr/>
        <w:t>、</w:t>
      </w:r>
      <w:r>
        <w:rPr>
          <w:spacing w:val="-74"/>
        </w:rPr>
        <w:t> </w:t>
      </w:r>
      <w:r>
        <w:rPr/>
        <w:t>关联交易</w:t>
      </w: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41"/>
          <w:pgSz w:w="11900" w:h="16840"/>
          <w:pgMar w:header="1184" w:footer="752" w:top="3040" w:bottom="940" w:left="1240" w:right="800"/>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20"/>
          <w:szCs w:val="20"/>
        </w:rPr>
      </w:pPr>
    </w:p>
    <w:p>
      <w:pPr>
        <w:spacing w:before="0"/>
        <w:ind w:left="605" w:right="0" w:firstLine="0"/>
        <w:jc w:val="left"/>
        <w:rPr>
          <w:rFonts w:ascii="宋体" w:hAnsi="宋体" w:cs="宋体" w:eastAsia="宋体" w:hint="default"/>
          <w:sz w:val="16"/>
          <w:szCs w:val="16"/>
        </w:rPr>
      </w:pPr>
      <w:r>
        <w:rPr>
          <w:rFonts w:ascii="宋体" w:hAnsi="宋体" w:cs="宋体" w:eastAsia="宋体" w:hint="default"/>
          <w:w w:val="95"/>
          <w:sz w:val="16"/>
          <w:szCs w:val="16"/>
        </w:rPr>
        <w:t>收入项目：</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7"/>
        <w:rPr>
          <w:rFonts w:ascii="宋体" w:hAnsi="宋体" w:cs="宋体" w:eastAsia="宋体" w:hint="default"/>
          <w:sz w:val="19"/>
          <w:szCs w:val="19"/>
        </w:rPr>
      </w:pPr>
    </w:p>
    <w:p>
      <w:pPr>
        <w:spacing w:before="0"/>
        <w:ind w:left="194" w:right="0" w:firstLine="0"/>
        <w:jc w:val="left"/>
        <w:rPr>
          <w:rFonts w:ascii="宋体" w:hAnsi="宋体" w:cs="宋体" w:eastAsia="宋体" w:hint="default"/>
          <w:sz w:val="16"/>
          <w:szCs w:val="16"/>
        </w:rPr>
      </w:pPr>
      <w:r>
        <w:rPr>
          <w:rFonts w:ascii="宋体" w:hAnsi="宋体" w:cs="宋体" w:eastAsia="宋体" w:hint="default"/>
          <w:w w:val="95"/>
          <w:sz w:val="16"/>
          <w:szCs w:val="16"/>
        </w:rPr>
        <w:t>关联交易内容</w:t>
      </w:r>
      <w:r>
        <w:rPr>
          <w:rFonts w:ascii="宋体" w:hAnsi="宋体" w:cs="宋体" w:eastAsia="宋体" w:hint="default"/>
          <w:sz w:val="16"/>
          <w:szCs w:val="16"/>
        </w:rPr>
      </w:r>
    </w:p>
    <w:p>
      <w:pPr>
        <w:spacing w:line="240" w:lineRule="auto" w:before="9"/>
        <w:rPr>
          <w:rFonts w:ascii="宋体" w:hAnsi="宋体" w:cs="宋体" w:eastAsia="宋体" w:hint="default"/>
          <w:sz w:val="19"/>
          <w:szCs w:val="19"/>
        </w:rPr>
      </w:pPr>
      <w:r>
        <w:rPr/>
        <w:br w:type="column"/>
      </w:r>
      <w:r>
        <w:rPr>
          <w:rFonts w:ascii="宋体"/>
          <w:sz w:val="19"/>
        </w:rPr>
      </w:r>
    </w:p>
    <w:p>
      <w:pPr>
        <w:spacing w:line="208" w:lineRule="exact" w:before="0"/>
        <w:ind w:left="605" w:right="0" w:firstLine="0"/>
        <w:jc w:val="left"/>
        <w:rPr>
          <w:rFonts w:ascii="宋体" w:hAnsi="宋体" w:cs="宋体" w:eastAsia="宋体" w:hint="default"/>
          <w:sz w:val="16"/>
          <w:szCs w:val="16"/>
        </w:rPr>
      </w:pPr>
      <w:r>
        <w:rPr>
          <w:rFonts w:ascii="宋体" w:hAnsi="宋体" w:cs="宋体" w:eastAsia="宋体" w:hint="default"/>
          <w:sz w:val="16"/>
          <w:szCs w:val="16"/>
        </w:rPr>
        <w:t>关联交易</w:t>
      </w:r>
    </w:p>
    <w:p>
      <w:pPr>
        <w:tabs>
          <w:tab w:pos="1938" w:val="left" w:leader="none"/>
        </w:tabs>
        <w:spacing w:line="208" w:lineRule="exact" w:before="0"/>
        <w:ind w:left="924" w:right="0" w:firstLine="0"/>
        <w:jc w:val="left"/>
        <w:rPr>
          <w:rFonts w:ascii="宋体" w:hAnsi="宋体" w:cs="宋体" w:eastAsia="宋体" w:hint="default"/>
          <w:sz w:val="16"/>
          <w:szCs w:val="16"/>
        </w:rPr>
      </w:pPr>
      <w:r>
        <w:rPr>
          <w:rFonts w:ascii="宋体" w:hAnsi="宋体" w:cs="宋体" w:eastAsia="宋体" w:hint="default"/>
          <w:w w:val="95"/>
          <w:sz w:val="16"/>
          <w:szCs w:val="16"/>
        </w:rPr>
        <w:t>类型</w:t>
        <w:tab/>
        <w:t>关联方</w:t>
      </w:r>
      <w:r>
        <w:rPr>
          <w:rFonts w:ascii="宋体" w:hAnsi="宋体" w:cs="宋体" w:eastAsia="宋体" w:hint="default"/>
          <w:sz w:val="16"/>
          <w:szCs w:val="16"/>
        </w:rPr>
      </w:r>
    </w:p>
    <w:p>
      <w:pPr>
        <w:spacing w:before="50"/>
        <w:ind w:left="766" w:right="2687" w:firstLine="0"/>
        <w:jc w:val="left"/>
        <w:rPr>
          <w:rFonts w:ascii="宋体" w:hAnsi="宋体" w:cs="宋体" w:eastAsia="宋体" w:hint="default"/>
          <w:sz w:val="16"/>
          <w:szCs w:val="16"/>
        </w:rPr>
      </w:pPr>
      <w:r>
        <w:rPr/>
        <w:br w:type="column"/>
      </w:r>
      <w:r>
        <w:rPr>
          <w:rFonts w:ascii="宋体" w:hAnsi="宋体" w:cs="宋体" w:eastAsia="宋体" w:hint="default"/>
          <w:sz w:val="16"/>
          <w:szCs w:val="16"/>
        </w:rPr>
        <w:t>关联交易</w:t>
      </w:r>
      <w:r>
        <w:rPr>
          <w:rFonts w:ascii="宋体" w:hAnsi="宋体" w:cs="宋体" w:eastAsia="宋体" w:hint="default"/>
          <w:w w:val="99"/>
          <w:sz w:val="16"/>
          <w:szCs w:val="16"/>
        </w:rPr>
        <w:t> </w:t>
      </w:r>
      <w:r>
        <w:rPr>
          <w:rFonts w:ascii="宋体" w:hAnsi="宋体" w:cs="宋体" w:eastAsia="宋体" w:hint="default"/>
          <w:sz w:val="16"/>
          <w:szCs w:val="16"/>
        </w:rPr>
        <w:t>定价方式</w:t>
      </w:r>
    </w:p>
    <w:p>
      <w:pPr>
        <w:tabs>
          <w:tab w:pos="1325" w:val="left" w:leader="none"/>
          <w:tab w:pos="2595" w:val="left" w:leader="none"/>
        </w:tabs>
        <w:spacing w:line="219" w:lineRule="exact" w:before="0"/>
        <w:ind w:left="0" w:right="193" w:firstLine="0"/>
        <w:jc w:val="right"/>
        <w:rPr>
          <w:rFonts w:ascii="宋体" w:hAnsi="宋体" w:cs="宋体" w:eastAsia="宋体" w:hint="default"/>
          <w:sz w:val="16"/>
          <w:szCs w:val="16"/>
        </w:rPr>
      </w:pPr>
      <w:r>
        <w:rPr>
          <w:rFonts w:ascii="宋体" w:hAnsi="宋体" w:cs="宋体" w:eastAsia="宋体" w:hint="default"/>
          <w:w w:val="95"/>
          <w:sz w:val="16"/>
          <w:szCs w:val="16"/>
        </w:rPr>
        <w:t>及决策程序</w:t>
        <w:tab/>
      </w:r>
      <w:r>
        <w:rPr>
          <w:rFonts w:ascii="Arial" w:hAnsi="Arial" w:cs="Arial" w:eastAsia="Arial" w:hint="default"/>
          <w:sz w:val="16"/>
          <w:szCs w:val="16"/>
        </w:rPr>
        <w:t>2011</w:t>
      </w:r>
      <w:r>
        <w:rPr>
          <w:rFonts w:ascii="Arial" w:hAnsi="Arial" w:cs="Arial" w:eastAsia="Arial" w:hint="default"/>
          <w:spacing w:val="-6"/>
          <w:sz w:val="16"/>
          <w:szCs w:val="16"/>
        </w:rPr>
        <w:t> </w:t>
      </w:r>
      <w:r>
        <w:rPr>
          <w:rFonts w:ascii="宋体" w:hAnsi="宋体" w:cs="宋体" w:eastAsia="宋体" w:hint="default"/>
          <w:sz w:val="16"/>
          <w:szCs w:val="16"/>
        </w:rPr>
        <w:t>年度</w:t>
        <w:tab/>
      </w: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年度</w:t>
      </w:r>
    </w:p>
    <w:p>
      <w:pPr>
        <w:spacing w:before="2"/>
        <w:ind w:left="0" w:right="178" w:firstLine="0"/>
        <w:jc w:val="right"/>
        <w:rPr>
          <w:rFonts w:ascii="宋体" w:hAnsi="宋体" w:cs="宋体" w:eastAsia="宋体" w:hint="default"/>
          <w:sz w:val="16"/>
          <w:szCs w:val="16"/>
        </w:rPr>
      </w:pPr>
      <w:r>
        <w:rPr/>
        <w:pict>
          <v:group style="position:absolute;margin-left:87.659988pt;margin-top:.683212pt;width:459.3pt;height:.75pt;mso-position-horizontal-relative:page;mso-position-vertical-relative:paragraph;z-index:-815248" coordorigin="1753,14" coordsize="9186,15">
            <v:group style="position:absolute;left:1760;top:21;width:3196;height:2" coordorigin="1760,21" coordsize="3196,2">
              <v:shape style="position:absolute;left:1760;top:21;width:3196;height:2" coordorigin="1760,21" coordsize="3196,0" path="m1760,21l4956,21e" filled="false" stroked="true" strokeweight=".72003pt" strokecolor="#000000">
                <v:path arrowok="t"/>
              </v:shape>
            </v:group>
            <v:group style="position:absolute;left:4998;top:21;width:795;height:2" coordorigin="4998,21" coordsize="795,2">
              <v:shape style="position:absolute;left:4998;top:21;width:795;height:2" coordorigin="4998,21" coordsize="795,0" path="m4998,21l5792,21e" filled="false" stroked="true" strokeweight=".72003pt" strokecolor="#000000">
                <v:path arrowok="t"/>
              </v:shape>
            </v:group>
            <v:group style="position:absolute;left:5834;top:21;width:1686;height:2" coordorigin="5834,21" coordsize="1686,2">
              <v:shape style="position:absolute;left:5834;top:21;width:1686;height:2" coordorigin="5834,21" coordsize="1686,0" path="m5834,21l7520,21e" filled="false" stroked="true" strokeweight=".72003pt" strokecolor="#000000">
                <v:path arrowok="t"/>
              </v:shape>
            </v:group>
            <v:group style="position:absolute;left:7562;top:21;width:840;height:2" coordorigin="7562,21" coordsize="840,2">
              <v:shape style="position:absolute;left:7562;top:21;width:840;height:2" coordorigin="7562,21" coordsize="840,0" path="m7562,21l8402,21e" filled="false" stroked="true" strokeweight=".72003pt" strokecolor="#000000">
                <v:path arrowok="t"/>
              </v:shape>
            </v:group>
            <v:group style="position:absolute;left:8455;top:21;width:1217;height:2" coordorigin="8455,21" coordsize="1217,2">
              <v:shape style="position:absolute;left:8455;top:21;width:1217;height:2" coordorigin="8455,21" coordsize="1217,0" path="m8455,21l9672,21e" filled="false" stroked="true" strokeweight=".72003pt" strokecolor="#000000">
                <v:path arrowok="t"/>
              </v:shape>
            </v:group>
            <v:group style="position:absolute;left:9726;top:21;width:1206;height:2" coordorigin="9726,21" coordsize="1206,2">
              <v:shape style="position:absolute;left:9726;top:21;width:1206;height:2" coordorigin="9726,21" coordsize="1206,0" path="m9726,21l10932,21e" filled="false" stroked="true" strokeweight=".72003pt" strokecolor="#000000">
                <v:path arrowok="t"/>
              </v:shape>
            </v:group>
            <w10:wrap type="none"/>
          </v:group>
        </w:pict>
      </w:r>
      <w:r>
        <w:rPr>
          <w:rFonts w:ascii="宋体" w:hAnsi="宋体" w:cs="宋体" w:eastAsia="宋体" w:hint="default"/>
          <w:w w:val="95"/>
          <w:sz w:val="16"/>
          <w:szCs w:val="16"/>
        </w:rPr>
        <w:t>（经重列）</w:t>
      </w:r>
      <w:r>
        <w:rPr>
          <w:rFonts w:ascii="宋体" w:hAnsi="宋体" w:cs="宋体" w:eastAsia="宋体" w:hint="default"/>
          <w:sz w:val="16"/>
          <w:szCs w:val="16"/>
        </w:rPr>
      </w:r>
    </w:p>
    <w:p>
      <w:pPr>
        <w:spacing w:after="0"/>
        <w:jc w:val="right"/>
        <w:rPr>
          <w:rFonts w:ascii="宋体" w:hAnsi="宋体" w:cs="宋体" w:eastAsia="宋体" w:hint="default"/>
          <w:sz w:val="16"/>
          <w:szCs w:val="16"/>
        </w:rPr>
        <w:sectPr>
          <w:type w:val="continuous"/>
          <w:pgSz w:w="11900" w:h="16840"/>
          <w:pgMar w:top="1600" w:bottom="280" w:left="1240" w:right="800"/>
          <w:cols w:num="4" w:equalWidth="0">
            <w:col w:w="1405" w:space="40"/>
            <w:col w:w="1153" w:space="661"/>
            <w:col w:w="2418" w:space="70"/>
            <w:col w:w="4113"/>
          </w:cols>
        </w:sectPr>
      </w:pPr>
    </w:p>
    <w:p>
      <w:pPr>
        <w:spacing w:line="240" w:lineRule="auto" w:before="0"/>
        <w:rPr>
          <w:rFonts w:ascii="宋体" w:hAnsi="宋体" w:cs="宋体" w:eastAsia="宋体" w:hint="default"/>
          <w:sz w:val="2"/>
          <w:szCs w:val="2"/>
        </w:rPr>
      </w:pPr>
    </w:p>
    <w:tbl>
      <w:tblPr>
        <w:tblW w:w="0" w:type="auto"/>
        <w:jc w:val="left"/>
        <w:tblInd w:w="738" w:type="dxa"/>
        <w:tblLayout w:type="fixed"/>
        <w:tblCellMar>
          <w:top w:w="0" w:type="dxa"/>
          <w:left w:w="0" w:type="dxa"/>
          <w:bottom w:w="0" w:type="dxa"/>
          <w:right w:w="0" w:type="dxa"/>
        </w:tblCellMar>
        <w:tblLook w:val="01E0"/>
      </w:tblPr>
      <w:tblGrid>
        <w:gridCol w:w="2533"/>
        <w:gridCol w:w="1296"/>
        <w:gridCol w:w="1807"/>
        <w:gridCol w:w="854"/>
        <w:gridCol w:w="1412"/>
        <w:gridCol w:w="1023"/>
      </w:tblGrid>
      <w:tr>
        <w:trPr>
          <w:trHeight w:val="216"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6"/>
                <w:szCs w:val="16"/>
              </w:rPr>
            </w:pPr>
            <w:r>
              <w:rPr>
                <w:rFonts w:ascii="宋体" w:hAnsi="宋体" w:cs="宋体" w:eastAsia="宋体" w:hint="default"/>
                <w:sz w:val="16"/>
                <w:szCs w:val="16"/>
              </w:rPr>
              <w:t>获得联通集团共享服务收入</w:t>
            </w:r>
          </w:p>
        </w:tc>
        <w:tc>
          <w:tcPr>
            <w:tcW w:w="1296" w:type="dxa"/>
            <w:tcBorders>
              <w:top w:val="nil" w:sz="6" w:space="0" w:color="auto"/>
              <w:left w:val="nil" w:sz="6" w:space="0" w:color="auto"/>
              <w:bottom w:val="nil" w:sz="6" w:space="0" w:color="auto"/>
              <w:right w:val="nil" w:sz="6" w:space="0" w:color="auto"/>
            </w:tcBorders>
          </w:tcPr>
          <w:p>
            <w:pPr>
              <w:pStyle w:val="TableParagraph"/>
              <w:spacing w:line="183" w:lineRule="exact"/>
              <w:ind w:right="76"/>
              <w:jc w:val="right"/>
              <w:rPr>
                <w:rFonts w:ascii="宋体" w:hAnsi="宋体" w:cs="宋体" w:eastAsia="宋体" w:hint="default"/>
                <w:sz w:val="16"/>
                <w:szCs w:val="16"/>
              </w:rPr>
            </w:pPr>
            <w:r>
              <w:rPr>
                <w:rFonts w:ascii="宋体" w:hAnsi="宋体" w:cs="宋体" w:eastAsia="宋体" w:hint="default"/>
                <w:w w:val="95"/>
                <w:sz w:val="16"/>
                <w:szCs w:val="16"/>
              </w:rPr>
              <w:t>提供劳务</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83" w:lineRule="exact"/>
              <w:ind w:right="49"/>
              <w:jc w:val="center"/>
              <w:rPr>
                <w:rFonts w:ascii="宋体" w:hAnsi="宋体" w:cs="宋体" w:eastAsia="宋体" w:hint="default"/>
                <w:sz w:val="16"/>
                <w:szCs w:val="16"/>
              </w:rPr>
            </w:pPr>
            <w:r>
              <w:rPr>
                <w:rFonts w:ascii="宋体" w:hAnsi="宋体" w:cs="宋体" w:eastAsia="宋体" w:hint="default"/>
                <w:sz w:val="16"/>
                <w:szCs w:val="16"/>
              </w:rPr>
              <w:t>联通集团及其附属公司</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4" w:right="0"/>
              <w:jc w:val="left"/>
              <w:rPr>
                <w:rFonts w:ascii="Arial" w:hAnsi="Arial" w:cs="Arial" w:eastAsia="Arial" w:hint="default"/>
                <w:sz w:val="16"/>
                <w:szCs w:val="16"/>
              </w:rPr>
            </w:pPr>
            <w:r>
              <w:rPr>
                <w:rFonts w:ascii="Arial"/>
                <w:sz w:val="16"/>
              </w:rPr>
              <w:t>(1)(7)</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6"/>
              <w:jc w:val="right"/>
              <w:rPr>
                <w:rFonts w:ascii="Arial" w:hAnsi="Arial" w:cs="Arial" w:eastAsia="Arial" w:hint="default"/>
                <w:sz w:val="16"/>
                <w:szCs w:val="16"/>
              </w:rPr>
            </w:pPr>
            <w:r>
              <w:rPr>
                <w:rFonts w:ascii="Arial"/>
                <w:w w:val="99"/>
                <w:sz w:val="16"/>
              </w:rPr>
              <w:t>-</w:t>
            </w:r>
            <w:r>
              <w:rPr>
                <w:rFonts w:ascii="Arial"/>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6"/>
                <w:szCs w:val="16"/>
              </w:rPr>
            </w:pPr>
            <w:r>
              <w:rPr>
                <w:rFonts w:ascii="Arial"/>
                <w:spacing w:val="-1"/>
                <w:w w:val="95"/>
                <w:sz w:val="16"/>
              </w:rPr>
              <w:t>2,996,897</w:t>
            </w:r>
            <w:r>
              <w:rPr>
                <w:rFonts w:ascii="Arial"/>
                <w:sz w:val="16"/>
              </w:rPr>
            </w:r>
          </w:p>
        </w:tc>
      </w:tr>
      <w:tr>
        <w:trPr>
          <w:trHeight w:val="294"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综合服务收入</w:t>
            </w:r>
          </w:p>
        </w:tc>
        <w:tc>
          <w:tcPr>
            <w:tcW w:w="1296"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提供劳务</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74" w:lineRule="exact"/>
              <w:ind w:right="49"/>
              <w:jc w:val="center"/>
              <w:rPr>
                <w:rFonts w:ascii="宋体" w:hAnsi="宋体" w:cs="宋体" w:eastAsia="宋体" w:hint="default"/>
                <w:sz w:val="16"/>
                <w:szCs w:val="16"/>
              </w:rPr>
            </w:pPr>
            <w:r>
              <w:rPr>
                <w:rFonts w:ascii="宋体" w:hAnsi="宋体" w:cs="宋体" w:eastAsia="宋体" w:hint="default"/>
                <w:sz w:val="16"/>
                <w:szCs w:val="16"/>
              </w:rPr>
              <w:t>联通集团及其附属公司</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9" w:right="0"/>
              <w:jc w:val="left"/>
              <w:rPr>
                <w:rFonts w:ascii="Arial" w:hAnsi="Arial" w:cs="Arial" w:eastAsia="Arial" w:hint="default"/>
                <w:sz w:val="16"/>
                <w:szCs w:val="16"/>
              </w:rPr>
            </w:pPr>
            <w:r>
              <w:rPr>
                <w:rFonts w:ascii="Arial"/>
                <w:sz w:val="16"/>
              </w:rPr>
              <w:t>(1)(10)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8"/>
              <w:jc w:val="right"/>
              <w:rPr>
                <w:rFonts w:ascii="Arial" w:hAnsi="Arial" w:cs="Arial" w:eastAsia="Arial" w:hint="default"/>
                <w:sz w:val="16"/>
                <w:szCs w:val="16"/>
              </w:rPr>
            </w:pPr>
            <w:r>
              <w:rPr>
                <w:rFonts w:ascii="Arial"/>
                <w:w w:val="95"/>
                <w:sz w:val="16"/>
              </w:rPr>
              <w:t>107,510,697</w:t>
            </w:r>
            <w:r>
              <w:rPr>
                <w:rFonts w:ascii="Arial"/>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8,057,261</w:t>
            </w:r>
            <w:r>
              <w:rPr>
                <w:rFonts w:ascii="Arial"/>
                <w:sz w:val="16"/>
              </w:rPr>
            </w:r>
          </w:p>
        </w:tc>
      </w:tr>
    </w:tbl>
    <w:p>
      <w:pPr>
        <w:spacing w:before="61"/>
        <w:ind w:left="605" w:right="0" w:firstLine="0"/>
        <w:jc w:val="left"/>
        <w:rPr>
          <w:rFonts w:ascii="宋体" w:hAnsi="宋体" w:cs="宋体" w:eastAsia="宋体" w:hint="default"/>
          <w:sz w:val="16"/>
          <w:szCs w:val="16"/>
        </w:rPr>
      </w:pPr>
      <w:r>
        <w:rPr>
          <w:rFonts w:ascii="宋体" w:hAnsi="宋体" w:cs="宋体" w:eastAsia="宋体" w:hint="default"/>
          <w:sz w:val="16"/>
          <w:szCs w:val="16"/>
        </w:rPr>
        <w:t>支出项目：</w:t>
      </w:r>
    </w:p>
    <w:p>
      <w:pPr>
        <w:spacing w:line="240" w:lineRule="auto" w:before="0"/>
        <w:rPr>
          <w:rFonts w:ascii="宋体" w:hAnsi="宋体" w:cs="宋体" w:eastAsia="宋体" w:hint="default"/>
          <w:sz w:val="2"/>
          <w:szCs w:val="2"/>
        </w:rPr>
      </w:pPr>
    </w:p>
    <w:tbl>
      <w:tblPr>
        <w:tblW w:w="0" w:type="auto"/>
        <w:jc w:val="left"/>
        <w:tblInd w:w="738" w:type="dxa"/>
        <w:tblLayout w:type="fixed"/>
        <w:tblCellMar>
          <w:top w:w="0" w:type="dxa"/>
          <w:left w:w="0" w:type="dxa"/>
          <w:bottom w:w="0" w:type="dxa"/>
          <w:right w:w="0" w:type="dxa"/>
        </w:tblCellMar>
        <w:tblLook w:val="01E0"/>
      </w:tblPr>
      <w:tblGrid>
        <w:gridCol w:w="3012"/>
        <w:gridCol w:w="817"/>
        <w:gridCol w:w="1807"/>
        <w:gridCol w:w="786"/>
        <w:gridCol w:w="1322"/>
        <w:gridCol w:w="1180"/>
      </w:tblGrid>
      <w:tr>
        <w:trPr>
          <w:trHeight w:val="217"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6"/>
                <w:szCs w:val="16"/>
              </w:rPr>
            </w:pPr>
            <w:r>
              <w:rPr>
                <w:rFonts w:ascii="宋体" w:hAnsi="宋体" w:cs="宋体" w:eastAsia="宋体" w:hint="default"/>
                <w:sz w:val="16"/>
                <w:szCs w:val="16"/>
              </w:rPr>
              <w:t>支出联通新时空南方固定电信网络租赁费</w:t>
            </w:r>
          </w:p>
        </w:tc>
        <w:tc>
          <w:tcPr>
            <w:tcW w:w="817" w:type="dxa"/>
            <w:tcBorders>
              <w:top w:val="nil" w:sz="6" w:space="0" w:color="auto"/>
              <w:left w:val="nil" w:sz="6" w:space="0" w:color="auto"/>
              <w:bottom w:val="nil" w:sz="6" w:space="0" w:color="auto"/>
              <w:right w:val="nil" w:sz="6" w:space="0" w:color="auto"/>
            </w:tcBorders>
          </w:tcPr>
          <w:p>
            <w:pPr>
              <w:pStyle w:val="TableParagraph"/>
              <w:spacing w:line="183" w:lineRule="exact"/>
              <w:ind w:right="76"/>
              <w:jc w:val="right"/>
              <w:rPr>
                <w:rFonts w:ascii="宋体" w:hAnsi="宋体" w:cs="宋体" w:eastAsia="宋体" w:hint="default"/>
                <w:sz w:val="16"/>
                <w:szCs w:val="16"/>
              </w:rPr>
            </w:pPr>
            <w:r>
              <w:rPr>
                <w:rFonts w:ascii="宋体" w:hAnsi="宋体" w:cs="宋体" w:eastAsia="宋体" w:hint="default"/>
                <w:w w:val="95"/>
                <w:sz w:val="16"/>
                <w:szCs w:val="16"/>
              </w:rPr>
              <w:t>租赁支出</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83" w:lineRule="exact"/>
              <w:ind w:right="128"/>
              <w:jc w:val="right"/>
              <w:rPr>
                <w:rFonts w:ascii="宋体" w:hAnsi="宋体" w:cs="宋体" w:eastAsia="宋体" w:hint="default"/>
                <w:sz w:val="16"/>
                <w:szCs w:val="16"/>
              </w:rPr>
            </w:pPr>
            <w:r>
              <w:rPr>
                <w:rFonts w:ascii="宋体" w:hAnsi="宋体" w:cs="宋体" w:eastAsia="宋体" w:hint="default"/>
                <w:w w:val="95"/>
                <w:sz w:val="16"/>
                <w:szCs w:val="16"/>
              </w:rPr>
              <w:t>联通新时空</w:t>
            </w:r>
            <w:r>
              <w:rPr>
                <w:rFonts w:ascii="宋体" w:hAnsi="宋体" w:cs="宋体" w:eastAsia="宋体" w:hint="default"/>
                <w:sz w:val="16"/>
                <w:szCs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3" w:right="0"/>
              <w:jc w:val="left"/>
              <w:rPr>
                <w:rFonts w:ascii="Arial" w:hAnsi="Arial" w:cs="Arial" w:eastAsia="Arial" w:hint="default"/>
                <w:sz w:val="16"/>
                <w:szCs w:val="16"/>
              </w:rPr>
            </w:pPr>
            <w:r>
              <w:rPr>
                <w:rFonts w:ascii="Arial"/>
                <w:sz w:val="16"/>
              </w:rPr>
              <w:t>(1)(2)</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3" w:right="0"/>
              <w:jc w:val="center"/>
              <w:rPr>
                <w:rFonts w:ascii="Arial" w:hAnsi="Arial" w:cs="Arial" w:eastAsia="Arial" w:hint="default"/>
                <w:sz w:val="16"/>
                <w:szCs w:val="16"/>
              </w:rPr>
            </w:pPr>
            <w:r>
              <w:rPr>
                <w:rFonts w:ascii="Arial"/>
                <w:sz w:val="16"/>
              </w:rPr>
              <w:t>2,400,000,000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6"/>
                <w:szCs w:val="16"/>
              </w:rPr>
            </w:pPr>
            <w:r>
              <w:rPr>
                <w:rFonts w:ascii="Arial"/>
                <w:w w:val="95"/>
                <w:sz w:val="16"/>
              </w:rPr>
              <w:t>2,200,000,000</w:t>
            </w:r>
            <w:r>
              <w:rPr>
                <w:rFonts w:ascii="Arial"/>
                <w:sz w:val="16"/>
              </w:rPr>
            </w:r>
          </w:p>
        </w:tc>
      </w:tr>
      <w:tr>
        <w:trPr>
          <w:trHeight w:val="207"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支付移动增值服务支出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74" w:lineRule="exact"/>
              <w:ind w:right="128"/>
              <w:jc w:val="right"/>
              <w:rPr>
                <w:rFonts w:ascii="宋体" w:hAnsi="宋体" w:cs="宋体" w:eastAsia="宋体" w:hint="default"/>
                <w:sz w:val="16"/>
                <w:szCs w:val="16"/>
              </w:rPr>
            </w:pPr>
            <w:r>
              <w:rPr>
                <w:rFonts w:ascii="宋体" w:hAnsi="宋体" w:cs="宋体" w:eastAsia="宋体" w:hint="default"/>
                <w:w w:val="95"/>
                <w:sz w:val="16"/>
                <w:szCs w:val="16"/>
              </w:rPr>
              <w:t>联通时科</w:t>
            </w:r>
            <w:r>
              <w:rPr>
                <w:rFonts w:ascii="宋体" w:hAnsi="宋体" w:cs="宋体" w:eastAsia="宋体" w:hint="default"/>
                <w:sz w:val="16"/>
                <w:szCs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3" w:right="0"/>
              <w:jc w:val="left"/>
              <w:rPr>
                <w:rFonts w:ascii="Arial" w:hAnsi="Arial" w:cs="Arial" w:eastAsia="Arial" w:hint="default"/>
                <w:sz w:val="16"/>
                <w:szCs w:val="16"/>
              </w:rPr>
            </w:pPr>
            <w:r>
              <w:rPr>
                <w:rFonts w:ascii="Arial"/>
                <w:sz w:val="16"/>
              </w:rPr>
              <w:t>(1)(3)</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6" w:right="0"/>
              <w:jc w:val="center"/>
              <w:rPr>
                <w:rFonts w:ascii="Arial" w:hAnsi="Arial" w:cs="Arial" w:eastAsia="Arial" w:hint="default"/>
                <w:sz w:val="16"/>
                <w:szCs w:val="16"/>
              </w:rPr>
            </w:pPr>
            <w:r>
              <w:rPr>
                <w:rFonts w:ascii="Arial"/>
                <w:sz w:val="16"/>
              </w:rPr>
              <w:t>51,102,692</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6"/>
                <w:szCs w:val="16"/>
              </w:rPr>
            </w:pPr>
            <w:r>
              <w:rPr>
                <w:rFonts w:ascii="Arial"/>
                <w:spacing w:val="-1"/>
                <w:w w:val="95"/>
                <w:sz w:val="16"/>
              </w:rPr>
              <w:t>30,027,472</w:t>
            </w:r>
            <w:r>
              <w:rPr>
                <w:rFonts w:ascii="Arial"/>
                <w:sz w:val="16"/>
              </w:rPr>
            </w:r>
          </w:p>
        </w:tc>
      </w:tr>
      <w:tr>
        <w:trPr>
          <w:trHeight w:val="208"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通信资源租用支出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74" w:lineRule="exact"/>
              <w:ind w:right="128"/>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(1)(4)</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86" w:right="0"/>
              <w:jc w:val="center"/>
              <w:rPr>
                <w:rFonts w:ascii="Arial" w:hAnsi="Arial" w:cs="Arial" w:eastAsia="Arial" w:hint="default"/>
                <w:sz w:val="16"/>
                <w:szCs w:val="16"/>
              </w:rPr>
            </w:pPr>
            <w:r>
              <w:rPr>
                <w:rFonts w:ascii="Arial"/>
                <w:sz w:val="16"/>
              </w:rPr>
              <w:t>307,052,856</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16"/>
                <w:szCs w:val="16"/>
              </w:rPr>
            </w:pPr>
            <w:r>
              <w:rPr>
                <w:rFonts w:ascii="Arial"/>
                <w:w w:val="95"/>
                <w:sz w:val="16"/>
              </w:rPr>
              <w:t>151,119,466</w:t>
            </w:r>
            <w:r>
              <w:rPr>
                <w:rFonts w:ascii="Arial"/>
                <w:sz w:val="16"/>
              </w:rPr>
            </w:r>
          </w:p>
        </w:tc>
      </w:tr>
      <w:tr>
        <w:trPr>
          <w:trHeight w:val="208"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物业、设备和设施的租赁费支出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租赁支出</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74" w:lineRule="exact"/>
              <w:ind w:right="128"/>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(1)(5)</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87" w:right="0"/>
              <w:jc w:val="center"/>
              <w:rPr>
                <w:rFonts w:ascii="Arial" w:hAnsi="Arial" w:cs="Arial" w:eastAsia="Arial" w:hint="default"/>
                <w:sz w:val="16"/>
                <w:szCs w:val="16"/>
              </w:rPr>
            </w:pPr>
            <w:r>
              <w:rPr>
                <w:rFonts w:ascii="Arial"/>
                <w:sz w:val="16"/>
              </w:rPr>
              <w:t>954,039,023</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867,257,900</w:t>
            </w:r>
            <w:r>
              <w:rPr>
                <w:rFonts w:ascii="Arial"/>
                <w:sz w:val="16"/>
              </w:rPr>
            </w:r>
          </w:p>
        </w:tc>
      </w:tr>
      <w:tr>
        <w:trPr>
          <w:trHeight w:val="208"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接受工程及信息相关服务支出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74" w:lineRule="exact"/>
              <w:ind w:right="128"/>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(1)(6)</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 w:right="0"/>
              <w:jc w:val="center"/>
              <w:rPr>
                <w:rFonts w:ascii="Arial" w:hAnsi="Arial" w:cs="Arial" w:eastAsia="Arial" w:hint="default"/>
                <w:sz w:val="16"/>
                <w:szCs w:val="16"/>
              </w:rPr>
            </w:pPr>
            <w:r>
              <w:rPr>
                <w:rFonts w:ascii="Arial"/>
                <w:sz w:val="16"/>
              </w:rPr>
              <w:t>2,727,811,399</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2,248,361,635</w:t>
            </w:r>
            <w:r>
              <w:rPr>
                <w:rFonts w:ascii="Arial"/>
                <w:sz w:val="16"/>
              </w:rPr>
            </w:r>
          </w:p>
        </w:tc>
      </w:tr>
      <w:tr>
        <w:trPr>
          <w:trHeight w:val="208"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向联通集团支付的共享服务支出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74" w:lineRule="exact"/>
              <w:ind w:right="128"/>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(1)(7)</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87" w:right="0"/>
              <w:jc w:val="center"/>
              <w:rPr>
                <w:rFonts w:ascii="Arial" w:hAnsi="Arial" w:cs="Arial" w:eastAsia="Arial" w:hint="default"/>
                <w:sz w:val="16"/>
                <w:szCs w:val="16"/>
              </w:rPr>
            </w:pPr>
            <w:r>
              <w:rPr>
                <w:rFonts w:ascii="Arial"/>
                <w:sz w:val="16"/>
              </w:rPr>
              <w:t>177,355,832</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307,676,427</w:t>
            </w:r>
            <w:r>
              <w:rPr>
                <w:rFonts w:ascii="Arial"/>
                <w:sz w:val="16"/>
              </w:rPr>
            </w:r>
          </w:p>
        </w:tc>
      </w:tr>
      <w:tr>
        <w:trPr>
          <w:trHeight w:val="208"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物资采购</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物资采购</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74" w:lineRule="exact"/>
              <w:ind w:right="128"/>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(1)(8)</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87" w:right="0"/>
              <w:jc w:val="center"/>
              <w:rPr>
                <w:rFonts w:ascii="Arial" w:hAnsi="Arial" w:cs="Arial" w:eastAsia="Arial" w:hint="default"/>
                <w:sz w:val="16"/>
                <w:szCs w:val="16"/>
              </w:rPr>
            </w:pPr>
            <w:r>
              <w:rPr>
                <w:rFonts w:ascii="Arial"/>
                <w:sz w:val="16"/>
              </w:rPr>
              <w:t>226,925,341</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382,473,363</w:t>
            </w:r>
            <w:r>
              <w:rPr>
                <w:rFonts w:ascii="Arial"/>
                <w:sz w:val="16"/>
              </w:rPr>
            </w:r>
          </w:p>
        </w:tc>
      </w:tr>
      <w:tr>
        <w:trPr>
          <w:trHeight w:val="208"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末梢电信服务支出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74" w:lineRule="exact"/>
              <w:ind w:right="128"/>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(1)(9)</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 w:right="0"/>
              <w:jc w:val="center"/>
              <w:rPr>
                <w:rFonts w:ascii="Arial" w:hAnsi="Arial" w:cs="Arial" w:eastAsia="Arial" w:hint="default"/>
                <w:sz w:val="16"/>
                <w:szCs w:val="16"/>
              </w:rPr>
            </w:pPr>
            <w:r>
              <w:rPr>
                <w:rFonts w:ascii="Arial"/>
                <w:sz w:val="16"/>
              </w:rPr>
              <w:t>1,174,030,872</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953,328,668</w:t>
            </w:r>
            <w:r>
              <w:rPr>
                <w:rFonts w:ascii="Arial"/>
                <w:sz w:val="16"/>
              </w:rPr>
            </w:r>
          </w:p>
        </w:tc>
      </w:tr>
      <w:tr>
        <w:trPr>
          <w:trHeight w:val="294"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6"/>
                <w:szCs w:val="16"/>
              </w:rPr>
            </w:pPr>
            <w:r>
              <w:rPr>
                <w:rFonts w:ascii="宋体" w:hAnsi="宋体" w:cs="宋体" w:eastAsia="宋体" w:hint="default"/>
                <w:sz w:val="16"/>
                <w:szCs w:val="16"/>
              </w:rPr>
              <w:t>综合服务支出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7" w:type="dxa"/>
            <w:tcBorders>
              <w:top w:val="nil" w:sz="6" w:space="0" w:color="auto"/>
              <w:left w:val="nil" w:sz="6" w:space="0" w:color="auto"/>
              <w:bottom w:val="nil" w:sz="6" w:space="0" w:color="auto"/>
              <w:right w:val="nil" w:sz="6" w:space="0" w:color="auto"/>
            </w:tcBorders>
          </w:tcPr>
          <w:p>
            <w:pPr>
              <w:pStyle w:val="TableParagraph"/>
              <w:spacing w:line="174" w:lineRule="exact"/>
              <w:ind w:right="127"/>
              <w:jc w:val="right"/>
              <w:rPr>
                <w:rFonts w:ascii="宋体" w:hAnsi="宋体" w:cs="宋体" w:eastAsia="宋体" w:hint="default"/>
                <w:sz w:val="16"/>
                <w:szCs w:val="16"/>
              </w:rPr>
            </w:pPr>
            <w:r>
              <w:rPr>
                <w:rFonts w:ascii="宋体" w:hAnsi="宋体" w:cs="宋体" w:eastAsia="宋体" w:hint="default"/>
                <w:w w:val="95"/>
                <w:sz w:val="16"/>
                <w:szCs w:val="16"/>
              </w:rPr>
              <w:t>联通集团附属公司</w:t>
            </w:r>
            <w:r>
              <w:rPr>
                <w:rFonts w:ascii="宋体" w:hAnsi="宋体" w:cs="宋体" w:eastAsia="宋体" w:hint="default"/>
                <w:sz w:val="16"/>
                <w:szCs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9" w:right="0"/>
              <w:jc w:val="left"/>
              <w:rPr>
                <w:rFonts w:ascii="Arial" w:hAnsi="Arial" w:cs="Arial" w:eastAsia="Arial" w:hint="default"/>
                <w:sz w:val="16"/>
                <w:szCs w:val="16"/>
              </w:rPr>
            </w:pPr>
            <w:r>
              <w:rPr>
                <w:rFonts w:ascii="Arial"/>
                <w:sz w:val="16"/>
              </w:rPr>
              <w:t>(1)(10)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87" w:right="0"/>
              <w:jc w:val="center"/>
              <w:rPr>
                <w:rFonts w:ascii="Arial" w:hAnsi="Arial" w:cs="Arial" w:eastAsia="Arial" w:hint="default"/>
                <w:sz w:val="16"/>
                <w:szCs w:val="16"/>
              </w:rPr>
            </w:pPr>
            <w:r>
              <w:rPr>
                <w:rFonts w:ascii="Arial"/>
                <w:sz w:val="16"/>
              </w:rPr>
              <w:t>171,469,581</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161,693,191</w:t>
            </w:r>
            <w:r>
              <w:rPr>
                <w:rFonts w:ascii="Arial"/>
                <w:sz w:val="16"/>
              </w:rPr>
            </w:r>
          </w:p>
        </w:tc>
      </w:tr>
    </w:tbl>
    <w:p>
      <w:pPr>
        <w:spacing w:line="240" w:lineRule="auto" w:before="11"/>
        <w:rPr>
          <w:rFonts w:ascii="宋体" w:hAnsi="宋体" w:cs="宋体" w:eastAsia="宋体" w:hint="default"/>
          <w:sz w:val="6"/>
          <w:szCs w:val="6"/>
        </w:rPr>
      </w:pPr>
    </w:p>
    <w:p>
      <w:pPr>
        <w:pStyle w:val="BodyText"/>
        <w:spacing w:line="240" w:lineRule="auto" w:before="31"/>
        <w:ind w:left="592" w:right="0"/>
        <w:jc w:val="left"/>
      </w:pPr>
      <w:r>
        <w:rPr/>
        <w:t>注释：</w:t>
      </w:r>
    </w:p>
    <w:p>
      <w:pPr>
        <w:spacing w:line="240" w:lineRule="auto" w:before="1"/>
        <w:rPr>
          <w:rFonts w:ascii="宋体" w:hAnsi="宋体" w:cs="宋体" w:eastAsia="宋体" w:hint="default"/>
          <w:sz w:val="19"/>
          <w:szCs w:val="19"/>
        </w:rPr>
      </w:pPr>
    </w:p>
    <w:p>
      <w:pPr>
        <w:pStyle w:val="BodyText"/>
        <w:tabs>
          <w:tab w:pos="604" w:val="left" w:leader="none"/>
        </w:tabs>
        <w:spacing w:line="295" w:lineRule="exact"/>
        <w:ind w:left="114" w:right="0"/>
        <w:jc w:val="left"/>
      </w:pPr>
      <w:r>
        <w:rPr>
          <w:rFonts w:ascii="Arial" w:hAnsi="Arial" w:cs="Arial" w:eastAsia="Arial" w:hint="default"/>
          <w:w w:val="95"/>
        </w:rPr>
        <w:t>(1)</w:t>
        <w:tab/>
      </w:r>
      <w:r>
        <w:rPr/>
        <w:t>联通运营公司与联通集团于</w:t>
      </w:r>
      <w:r>
        <w:rPr>
          <w:spacing w:val="-55"/>
        </w:rPr>
        <w:t> </w:t>
      </w:r>
      <w:r>
        <w:rPr>
          <w:rFonts w:ascii="Arial" w:hAnsi="Arial" w:cs="Arial" w:eastAsia="Arial" w:hint="default"/>
        </w:rPr>
        <w:t>2008</w:t>
      </w:r>
      <w:r>
        <w:rPr>
          <w:rFonts w:ascii="Arial" w:hAnsi="Arial" w:cs="Arial" w:eastAsia="Arial" w:hint="default"/>
          <w:spacing w:val="-6"/>
        </w:rPr>
        <w:t> </w:t>
      </w:r>
      <w:r>
        <w:rPr/>
        <w:t>年度签订的综合服务协议于</w:t>
      </w:r>
      <w:r>
        <w:rPr>
          <w:spacing w:val="-55"/>
        </w:rPr>
        <w:t> </w:t>
      </w:r>
      <w:r>
        <w:rPr>
          <w:rFonts w:ascii="Arial" w:hAnsi="Arial" w:cs="Arial" w:eastAsia="Arial" w:hint="default"/>
        </w:rPr>
        <w:t>2010</w:t>
      </w:r>
      <w:r>
        <w:rPr>
          <w:rFonts w:ascii="Arial" w:hAnsi="Arial" w:cs="Arial" w:eastAsia="Arial" w:hint="default"/>
          <w:spacing w:val="-6"/>
        </w:rPr>
        <w:t> </w:t>
      </w:r>
      <w:r>
        <w:rPr>
          <w:spacing w:val="-7"/>
        </w:rPr>
        <w:t>年末已到期，故联通运营公</w:t>
      </w:r>
    </w:p>
    <w:p>
      <w:pPr>
        <w:pStyle w:val="BodyText"/>
        <w:spacing w:line="286" w:lineRule="exact"/>
        <w:ind w:left="590" w:right="0"/>
        <w:jc w:val="left"/>
      </w:pPr>
      <w:r>
        <w:rPr/>
        <w:t>司于</w:t>
      </w:r>
      <w:r>
        <w:rPr>
          <w:spacing w:val="-51"/>
        </w:rPr>
        <w:t> </w:t>
      </w:r>
      <w:r>
        <w:rPr>
          <w:rFonts w:ascii="Arial" w:hAnsi="Arial" w:cs="Arial" w:eastAsia="Arial" w:hint="default"/>
        </w:rPr>
        <w:t>2010</w:t>
      </w:r>
      <w:r>
        <w:rPr>
          <w:rFonts w:ascii="Arial" w:hAnsi="Arial" w:cs="Arial" w:eastAsia="Arial" w:hint="default"/>
          <w:spacing w:val="-2"/>
        </w:rPr>
        <w:t> </w:t>
      </w:r>
      <w:r>
        <w:rPr/>
        <w:t>年</w:t>
      </w:r>
      <w:r>
        <w:rPr>
          <w:spacing w:val="-51"/>
        </w:rPr>
        <w:t> </w:t>
      </w:r>
      <w:r>
        <w:rPr>
          <w:rFonts w:ascii="Arial" w:hAnsi="Arial" w:cs="Arial" w:eastAsia="Arial" w:hint="default"/>
        </w:rPr>
        <w:t>10</w:t>
      </w:r>
      <w:r>
        <w:rPr>
          <w:rFonts w:ascii="Arial" w:hAnsi="Arial" w:cs="Arial" w:eastAsia="Arial" w:hint="default"/>
          <w:spacing w:val="-2"/>
        </w:rPr>
        <w:t> </w:t>
      </w:r>
      <w:r>
        <w:rPr/>
        <w:t>月</w:t>
      </w:r>
      <w:r>
        <w:rPr>
          <w:spacing w:val="-51"/>
        </w:rPr>
        <w:t> </w:t>
      </w:r>
      <w:r>
        <w:rPr>
          <w:rFonts w:ascii="Arial" w:hAnsi="Arial" w:cs="Arial" w:eastAsia="Arial" w:hint="default"/>
        </w:rPr>
        <w:t>29</w:t>
      </w:r>
      <w:r>
        <w:rPr>
          <w:rFonts w:ascii="Arial" w:hAnsi="Arial" w:cs="Arial" w:eastAsia="Arial" w:hint="default"/>
          <w:spacing w:val="-3"/>
        </w:rPr>
        <w:t> </w:t>
      </w:r>
      <w:r>
        <w:rPr/>
        <w:t>日与联通集团重新签订了《</w:t>
      </w:r>
      <w:r>
        <w:rPr>
          <w:rFonts w:ascii="Arial" w:hAnsi="Arial" w:cs="Arial" w:eastAsia="Arial" w:hint="default"/>
        </w:rPr>
        <w:t>2011-2013</w:t>
      </w:r>
      <w:r>
        <w:rPr>
          <w:rFonts w:ascii="Arial" w:hAnsi="Arial" w:cs="Arial" w:eastAsia="Arial" w:hint="default"/>
          <w:spacing w:val="-2"/>
        </w:rPr>
        <w:t> </w:t>
      </w:r>
      <w:r>
        <w:rPr/>
        <w:t>年综合服务协议》以延续关联交</w:t>
      </w:r>
    </w:p>
    <w:p>
      <w:pPr>
        <w:pStyle w:val="BodyText"/>
        <w:spacing w:line="295" w:lineRule="exact"/>
        <w:ind w:left="590" w:right="0"/>
        <w:jc w:val="left"/>
      </w:pPr>
      <w:r>
        <w:rPr/>
        <w:t>易，经本公司董事会批准，该协议于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日生效。</w:t>
      </w:r>
    </w:p>
    <w:p>
      <w:pPr>
        <w:spacing w:line="240" w:lineRule="auto" w:before="12"/>
        <w:rPr>
          <w:rFonts w:ascii="宋体" w:hAnsi="宋体" w:cs="宋体" w:eastAsia="宋体" w:hint="default"/>
          <w:sz w:val="17"/>
          <w:szCs w:val="17"/>
        </w:rPr>
      </w:pPr>
    </w:p>
    <w:p>
      <w:pPr>
        <w:pStyle w:val="BodyText"/>
        <w:tabs>
          <w:tab w:pos="618" w:val="left" w:leader="none"/>
        </w:tabs>
        <w:spacing w:line="295" w:lineRule="exact"/>
        <w:ind w:left="114" w:right="0"/>
        <w:jc w:val="left"/>
      </w:pPr>
      <w:r>
        <w:rPr>
          <w:rFonts w:ascii="Arial" w:hAnsi="Arial" w:cs="Arial" w:eastAsia="Arial" w:hint="default"/>
          <w:w w:val="95"/>
        </w:rPr>
        <w:t>(2)</w:t>
        <w:tab/>
      </w:r>
      <w:r>
        <w:rPr/>
        <w:t>联通运营公司独家向联通新时空租赁其拥有的南方固定电信网络以经营固网业务。租赁费用综</w:t>
      </w:r>
    </w:p>
    <w:p>
      <w:pPr>
        <w:pStyle w:val="BodyText"/>
        <w:spacing w:line="295" w:lineRule="exact"/>
        <w:ind w:left="590" w:right="0"/>
        <w:jc w:val="left"/>
      </w:pPr>
      <w:r>
        <w:rPr/>
        <w:t>合考虑南方</w:t>
      </w:r>
      <w:r>
        <w:rPr>
          <w:spacing w:val="-57"/>
        </w:rPr>
        <w:t> </w:t>
      </w:r>
      <w:r>
        <w:rPr>
          <w:rFonts w:ascii="Arial" w:hAnsi="Arial" w:cs="Arial" w:eastAsia="Arial" w:hint="default"/>
        </w:rPr>
        <w:t>21</w:t>
      </w:r>
      <w:r>
        <w:rPr>
          <w:rFonts w:ascii="Arial" w:hAnsi="Arial" w:cs="Arial" w:eastAsia="Arial" w:hint="default"/>
          <w:spacing w:val="-9"/>
        </w:rPr>
        <w:t> </w:t>
      </w:r>
      <w:r>
        <w:rPr/>
        <w:t>省固网业务的通信服务收入以及市场有关先例确定。</w:t>
      </w:r>
    </w:p>
    <w:p>
      <w:pPr>
        <w:spacing w:line="240" w:lineRule="auto" w:before="3"/>
        <w:rPr>
          <w:rFonts w:ascii="宋体" w:hAnsi="宋体" w:cs="宋体" w:eastAsia="宋体" w:hint="default"/>
          <w:sz w:val="20"/>
          <w:szCs w:val="20"/>
        </w:rPr>
      </w:pPr>
    </w:p>
    <w:p>
      <w:pPr>
        <w:pStyle w:val="BodyText"/>
        <w:tabs>
          <w:tab w:pos="618" w:val="left" w:leader="none"/>
        </w:tabs>
        <w:spacing w:line="284" w:lineRule="exact"/>
        <w:ind w:left="590" w:right="210" w:hanging="476"/>
        <w:jc w:val="left"/>
      </w:pPr>
      <w:r>
        <w:rPr>
          <w:rFonts w:ascii="Arial" w:hAnsi="Arial" w:cs="Arial" w:eastAsia="Arial" w:hint="default"/>
          <w:w w:val="95"/>
        </w:rPr>
        <w:t>(3)</w:t>
        <w:tab/>
        <w:tab/>
      </w:r>
      <w:r>
        <w:rPr/>
        <w:t>联通时科利用联通运营公司的移动通信网络及数据平台向用户提供增值服务，并参考与同类地</w:t>
      </w:r>
      <w:r>
        <w:rPr>
          <w:spacing w:val="-105"/>
        </w:rPr>
        <w:t> </w:t>
      </w:r>
      <w:r>
        <w:rPr>
          <w:spacing w:val="-105"/>
        </w:rPr>
      </w:r>
      <w:r>
        <w:rPr/>
        <w:t>区第三方的交易标准按照协议中规定的收入分成比例向联通运营公司收费。</w:t>
      </w:r>
    </w:p>
    <w:p>
      <w:pPr>
        <w:spacing w:line="240" w:lineRule="auto" w:before="8"/>
        <w:rPr>
          <w:rFonts w:ascii="宋体" w:hAnsi="宋体" w:cs="宋体" w:eastAsia="宋体" w:hint="default"/>
          <w:sz w:val="17"/>
          <w:szCs w:val="17"/>
        </w:rPr>
      </w:pPr>
    </w:p>
    <w:p>
      <w:pPr>
        <w:pStyle w:val="BodyText"/>
        <w:tabs>
          <w:tab w:pos="589" w:val="left" w:leader="none"/>
        </w:tabs>
        <w:spacing w:line="235" w:lineRule="auto"/>
        <w:ind w:left="590" w:right="99" w:hanging="476"/>
        <w:jc w:val="left"/>
      </w:pPr>
      <w:r>
        <w:rPr>
          <w:rFonts w:ascii="Arial" w:hAnsi="Arial" w:cs="Arial" w:eastAsia="Arial" w:hint="default"/>
          <w:w w:val="95"/>
        </w:rPr>
        <w:t>(4)</w:t>
        <w:tab/>
      </w:r>
      <w:r>
        <w:rPr>
          <w:spacing w:val="-2"/>
        </w:rPr>
        <w:t>联通运营公司向联通集团及其附属公司租用拥有的国际通信信道出入口，国际通信业务出入口，</w:t>
      </w:r>
      <w:r>
        <w:rPr>
          <w:spacing w:val="-103"/>
        </w:rPr>
        <w:t> </w:t>
      </w:r>
      <w:r>
        <w:rPr>
          <w:spacing w:val="-103"/>
        </w:rPr>
      </w:r>
      <w:r>
        <w:rPr/>
        <w:t>国际海缆容量以及国际陆缆等国际通信资源及其他通信设施，租金以通信资源和设施的年度折</w:t>
      </w:r>
      <w:r>
        <w:rPr>
          <w:spacing w:val="2"/>
          <w:w w:val="99"/>
        </w:rPr>
        <w:t> </w:t>
      </w:r>
      <w:r>
        <w:rPr/>
        <w:t>旧金额为基础确定，且收费不高于市场租金水平。除联通运营公司与联通集团另行协商外，上</w:t>
      </w:r>
      <w:r>
        <w:rPr>
          <w:spacing w:val="2"/>
          <w:w w:val="99"/>
        </w:rPr>
        <w:t> </w:t>
      </w:r>
      <w:r>
        <w:rPr/>
        <w:t>述通信设施维护所产生的费用由联通运营公司承担，相关费用参照市场价格确定，若没有市场</w:t>
      </w:r>
      <w:r>
        <w:rPr>
          <w:spacing w:val="2"/>
          <w:w w:val="99"/>
        </w:rPr>
        <w:t> </w:t>
      </w:r>
      <w:r>
        <w:rPr/>
        <w:t>价格，则以合理成本加合理利润的方式确定。</w:t>
      </w:r>
    </w:p>
    <w:p>
      <w:pPr>
        <w:spacing w:after="0" w:line="235" w:lineRule="auto"/>
        <w:jc w:val="left"/>
        <w:sectPr>
          <w:type w:val="continuous"/>
          <w:pgSz w:w="11900" w:h="16840"/>
          <w:pgMar w:top="1600" w:bottom="280" w:left="1240" w:right="800"/>
        </w:sectPr>
      </w:pPr>
    </w:p>
    <w:p>
      <w:pPr>
        <w:spacing w:line="240" w:lineRule="auto" w:before="9"/>
        <w:rPr>
          <w:rFonts w:ascii="宋体" w:hAnsi="宋体" w:cs="宋体" w:eastAsia="宋体" w:hint="default"/>
          <w:sz w:val="16"/>
          <w:szCs w:val="16"/>
        </w:rPr>
      </w:pPr>
    </w:p>
    <w:p>
      <w:pPr>
        <w:pStyle w:val="BodyText"/>
        <w:spacing w:line="424" w:lineRule="auto" w:before="31"/>
        <w:ind w:left="592" w:right="7762" w:hanging="414"/>
        <w:jc w:val="left"/>
      </w:pPr>
      <w:r>
        <w:rPr>
          <w:rFonts w:ascii="Arial" w:hAnsi="Arial" w:cs="Arial" w:eastAsia="Arial" w:hint="default"/>
        </w:rPr>
        <w:t>4</w:t>
      </w:r>
      <w:r>
        <w:rPr/>
        <w:t>、</w:t>
      </w:r>
      <w:r>
        <w:rPr>
          <w:spacing w:val="-73"/>
        </w:rPr>
        <w:t> </w:t>
      </w:r>
      <w:r>
        <w:rPr/>
        <w:t>关联交易（续）</w:t>
      </w:r>
      <w:r>
        <w:rPr>
          <w:w w:val="99"/>
        </w:rPr>
        <w:t> </w:t>
      </w:r>
      <w:r>
        <w:rPr/>
        <w:t>注释（续）：</w:t>
      </w:r>
    </w:p>
    <w:p>
      <w:pPr>
        <w:pStyle w:val="BodyText"/>
        <w:tabs>
          <w:tab w:pos="604" w:val="left" w:leader="none"/>
        </w:tabs>
        <w:spacing w:line="286" w:lineRule="exact" w:before="108"/>
        <w:ind w:left="604" w:right="106" w:hanging="490"/>
        <w:jc w:val="left"/>
      </w:pPr>
      <w:r>
        <w:rPr>
          <w:rFonts w:ascii="Arial" w:hAnsi="Arial" w:cs="Arial" w:eastAsia="Arial" w:hint="default"/>
          <w:w w:val="95"/>
        </w:rPr>
        <w:t>(5)</w:t>
        <w:tab/>
      </w:r>
      <w:r>
        <w:rPr/>
        <w:t>联通运营公司向联通集团及其附属公司租用若干物业，该等物业用途为办公室、电信设备场地</w:t>
      </w:r>
      <w:r>
        <w:rPr>
          <w:spacing w:val="-86"/>
        </w:rPr>
        <w:t> </w:t>
      </w:r>
      <w:r>
        <w:rPr>
          <w:spacing w:val="-2"/>
        </w:rPr>
        <w:t>和其它辅助用途。联通运营公司应付的费用基于市场租金水平或每一项物业的折旧及税金确定。</w:t>
      </w:r>
      <w:r>
        <w:rPr>
          <w:w w:val="99"/>
        </w:rPr>
        <w:t> </w:t>
      </w:r>
      <w:r>
        <w:rPr/>
        <w:t>后者在折旧及税金不高于市场租金水平时适用。相关费用应按季于每季末支付，每年参考租赁</w:t>
      </w:r>
      <w:r>
        <w:rPr>
          <w:spacing w:val="1"/>
          <w:w w:val="99"/>
        </w:rPr>
        <w:t> </w:t>
      </w:r>
      <w:r>
        <w:rPr/>
        <w:t>物业当时市场租金水平重新审定。</w:t>
      </w:r>
    </w:p>
    <w:p>
      <w:pPr>
        <w:spacing w:line="240" w:lineRule="auto" w:before="3"/>
        <w:rPr>
          <w:rFonts w:ascii="宋体" w:hAnsi="宋体" w:cs="宋体" w:eastAsia="宋体" w:hint="default"/>
          <w:sz w:val="19"/>
          <w:szCs w:val="19"/>
        </w:rPr>
      </w:pPr>
    </w:p>
    <w:p>
      <w:pPr>
        <w:pStyle w:val="BodyText"/>
        <w:spacing w:line="286" w:lineRule="exact"/>
        <w:ind w:left="604" w:right="216" w:hanging="490"/>
        <w:jc w:val="both"/>
      </w:pPr>
      <w:r>
        <w:rPr>
          <w:rFonts w:ascii="Arial" w:hAnsi="Arial" w:cs="Arial" w:eastAsia="Arial" w:hint="default"/>
        </w:rPr>
        <w:t>(6)</w:t>
      </w:r>
      <w:r>
        <w:rPr>
          <w:rFonts w:ascii="Arial" w:hAnsi="Arial" w:cs="Arial" w:eastAsia="Arial" w:hint="default"/>
          <w:spacing w:val="59"/>
        </w:rPr>
        <w:t> </w:t>
      </w:r>
      <w:r>
        <w:rPr/>
        <w:t>联通集团及其附属公司向联通运营公司提供若干工程及信息技术相关服务的一系列相关服务，</w:t>
      </w:r>
      <w:r>
        <w:rPr>
          <w:spacing w:val="1"/>
          <w:w w:val="99"/>
        </w:rPr>
        <w:t> </w:t>
      </w:r>
      <w:r>
        <w:rPr/>
        <w:t>其应付价格参照市场价格制定，于提供相关服务时结算。</w:t>
      </w:r>
    </w:p>
    <w:p>
      <w:pPr>
        <w:spacing w:line="240" w:lineRule="auto" w:before="6"/>
        <w:rPr>
          <w:rFonts w:ascii="宋体" w:hAnsi="宋体" w:cs="宋体" w:eastAsia="宋体" w:hint="default"/>
          <w:sz w:val="19"/>
          <w:szCs w:val="19"/>
        </w:rPr>
      </w:pPr>
    </w:p>
    <w:p>
      <w:pPr>
        <w:pStyle w:val="BodyText"/>
        <w:spacing w:line="284" w:lineRule="exact"/>
        <w:ind w:left="604" w:right="216" w:hanging="490"/>
        <w:jc w:val="both"/>
      </w:pPr>
      <w:r>
        <w:rPr>
          <w:rFonts w:ascii="Arial" w:hAnsi="Arial" w:cs="Arial" w:eastAsia="Arial" w:hint="default"/>
        </w:rPr>
        <w:t>(7)</w:t>
      </w:r>
      <w:r>
        <w:rPr>
          <w:rFonts w:ascii="Arial" w:hAnsi="Arial" w:cs="Arial" w:eastAsia="Arial" w:hint="default"/>
          <w:spacing w:val="59"/>
        </w:rPr>
        <w:t> </w:t>
      </w:r>
      <w:r>
        <w:rPr/>
        <w:t>联通运营公司与联通集团及其附属公司签订了一般行政服务的共享服务协议。根据此项协议，</w:t>
      </w:r>
      <w:r>
        <w:rPr>
          <w:spacing w:val="1"/>
          <w:w w:val="99"/>
        </w:rPr>
        <w:t> </w:t>
      </w:r>
      <w:r>
        <w:rPr/>
        <w:t>共享服务的费用将根据各自资产比例在双方之间分摊。</w:t>
      </w:r>
    </w:p>
    <w:p>
      <w:pPr>
        <w:spacing w:line="240" w:lineRule="auto" w:before="10"/>
        <w:rPr>
          <w:rFonts w:ascii="宋体" w:hAnsi="宋体" w:cs="宋体" w:eastAsia="宋体" w:hint="default"/>
          <w:sz w:val="17"/>
          <w:szCs w:val="17"/>
        </w:rPr>
      </w:pPr>
    </w:p>
    <w:p>
      <w:pPr>
        <w:pStyle w:val="BodyText"/>
        <w:spacing w:line="232" w:lineRule="auto"/>
        <w:ind w:left="604" w:right="216" w:hanging="490"/>
        <w:jc w:val="both"/>
      </w:pPr>
      <w:r>
        <w:rPr>
          <w:rFonts w:ascii="Arial" w:hAnsi="Arial" w:cs="Arial" w:eastAsia="Arial" w:hint="default"/>
        </w:rPr>
        <w:t>(8)</w:t>
      </w:r>
      <w:r>
        <w:rPr>
          <w:rFonts w:ascii="Arial" w:hAnsi="Arial" w:cs="Arial" w:eastAsia="Arial" w:hint="default"/>
          <w:spacing w:val="59"/>
        </w:rPr>
        <w:t> </w:t>
      </w:r>
      <w:r>
        <w:rPr/>
        <w:t>联通运营公司可要求联通集团及其附属公司担任采购进口及国内电信设备以及其它国内非电信</w:t>
      </w:r>
      <w:r>
        <w:rPr>
          <w:spacing w:val="1"/>
          <w:w w:val="99"/>
        </w:rPr>
        <w:t> </w:t>
      </w:r>
      <w:r>
        <w:rPr/>
        <w:t>设备的代理商，联通集团及其附属公司向联通运营公司提供协议项下与物资或设备采购相关的</w:t>
      </w:r>
      <w:r>
        <w:rPr>
          <w:spacing w:val="1"/>
          <w:w w:val="99"/>
        </w:rPr>
        <w:t> </w:t>
      </w:r>
      <w:r>
        <w:rPr/>
        <w:t>仓储和运输服务。联通运营公司支付给联通集团及其附属公司的费用基于政府指导价、市场价</w:t>
      </w:r>
      <w:r>
        <w:rPr>
          <w:spacing w:val="1"/>
          <w:w w:val="99"/>
        </w:rPr>
        <w:t> </w:t>
      </w:r>
      <w:r>
        <w:rPr/>
        <w:t>格或成本加利润的方式确定。</w:t>
      </w:r>
    </w:p>
    <w:p>
      <w:pPr>
        <w:spacing w:line="240" w:lineRule="auto" w:before="11"/>
        <w:rPr>
          <w:rFonts w:ascii="宋体" w:hAnsi="宋体" w:cs="宋体" w:eastAsia="宋体" w:hint="default"/>
          <w:sz w:val="19"/>
          <w:szCs w:val="19"/>
        </w:rPr>
      </w:pPr>
    </w:p>
    <w:p>
      <w:pPr>
        <w:pStyle w:val="BodyText"/>
        <w:spacing w:line="232" w:lineRule="auto"/>
        <w:ind w:left="589" w:right="217" w:hanging="476"/>
        <w:jc w:val="both"/>
      </w:pPr>
      <w:r>
        <w:rPr>
          <w:rFonts w:ascii="Arial" w:hAnsi="Arial" w:cs="Arial" w:eastAsia="Arial" w:hint="default"/>
        </w:rPr>
        <w:t>(9)</w:t>
      </w:r>
      <w:r>
        <w:rPr>
          <w:rFonts w:ascii="Arial" w:hAnsi="Arial" w:cs="Arial" w:eastAsia="Arial" w:hint="default"/>
          <w:spacing w:val="59"/>
        </w:rPr>
        <w:t> </w:t>
      </w:r>
      <w:r>
        <w:rPr/>
        <w:t>联通集团及其附属公司向联通运营公司提供末梢电信服务的相关服务，包括若干通信业务销售</w:t>
      </w:r>
      <w:r>
        <w:rPr>
          <w:spacing w:val="-108"/>
        </w:rPr>
        <w:t> </w:t>
      </w:r>
      <w:r>
        <w:rPr>
          <w:spacing w:val="-108"/>
        </w:rPr>
      </w:r>
      <w:r>
        <w:rPr/>
        <w:t>前、销售中和销售后的服务（例如若干通信设施组装及维修）、销售代理服务、账单打印和递</w:t>
      </w:r>
      <w:r>
        <w:rPr>
          <w:w w:val="99"/>
        </w:rPr>
        <w:t> </w:t>
      </w:r>
      <w:r>
        <w:rPr/>
        <w:t>送服务、电话亭维护、客户发展和接待以及其它客户服务。相关定价或收费标准参考政府指导</w:t>
      </w:r>
      <w:r>
        <w:rPr>
          <w:w w:val="99"/>
        </w:rPr>
        <w:t> </w:t>
      </w:r>
      <w:r>
        <w:rPr/>
        <w:t>价、市场价格或成本加利润的方式而指定，并在提供相关服务时结算。</w:t>
      </w:r>
    </w:p>
    <w:p>
      <w:pPr>
        <w:spacing w:line="240" w:lineRule="auto" w:before="11"/>
        <w:rPr>
          <w:rFonts w:ascii="宋体" w:hAnsi="宋体" w:cs="宋体" w:eastAsia="宋体" w:hint="default"/>
          <w:sz w:val="19"/>
          <w:szCs w:val="19"/>
        </w:rPr>
      </w:pPr>
    </w:p>
    <w:p>
      <w:pPr>
        <w:pStyle w:val="BodyText"/>
        <w:spacing w:line="232" w:lineRule="auto"/>
        <w:ind w:left="589" w:right="217" w:hanging="476"/>
        <w:jc w:val="both"/>
      </w:pPr>
      <w:r>
        <w:rPr>
          <w:rFonts w:ascii="Arial" w:hAnsi="Arial" w:cs="Arial" w:eastAsia="Arial" w:hint="default"/>
        </w:rPr>
        <w:t>(10)</w:t>
      </w:r>
      <w:r>
        <w:rPr>
          <w:rFonts w:ascii="Arial" w:hAnsi="Arial" w:cs="Arial" w:eastAsia="Arial" w:hint="default"/>
          <w:spacing w:val="55"/>
        </w:rPr>
        <w:t> </w:t>
      </w:r>
      <w:r>
        <w:rPr/>
        <w:t>联通运营公司和联通集团附属公司互相提供多种综合服务，包括设备租赁和维护服务、车辆服</w:t>
      </w:r>
      <w:r>
        <w:rPr>
          <w:spacing w:val="-104"/>
        </w:rPr>
        <w:t> </w:t>
      </w:r>
      <w:r>
        <w:rPr>
          <w:spacing w:val="-104"/>
        </w:rPr>
      </w:r>
      <w:r>
        <w:rPr/>
        <w:t>务、商品销售、系统集成服务、安全保卫服务、施工及安装配套服务、软件开发服务、职工培</w:t>
      </w:r>
      <w:r>
        <w:rPr>
          <w:w w:val="99"/>
        </w:rPr>
        <w:t> </w:t>
      </w:r>
      <w:r>
        <w:rPr/>
        <w:t>训服务、运维服务和广告及其它综合服务。相关定价或收费标准参考政府指导价、市场价格或</w:t>
      </w:r>
      <w:r>
        <w:rPr>
          <w:w w:val="99"/>
        </w:rPr>
        <w:t> </w:t>
      </w:r>
      <w:r>
        <w:rPr/>
        <w:t>成本加利润的方式而指定，并在提供相关服务时结算。</w:t>
      </w:r>
    </w:p>
    <w:p>
      <w:pPr>
        <w:spacing w:line="240" w:lineRule="auto" w:before="0"/>
        <w:rPr>
          <w:rFonts w:ascii="宋体" w:hAnsi="宋体" w:cs="宋体" w:eastAsia="宋体" w:hint="default"/>
          <w:sz w:val="20"/>
          <w:szCs w:val="20"/>
        </w:rPr>
      </w:pPr>
    </w:p>
    <w:p>
      <w:pPr>
        <w:pStyle w:val="BodyText"/>
        <w:spacing w:line="230" w:lineRule="auto"/>
        <w:ind w:left="604" w:right="229" w:hanging="490"/>
        <w:jc w:val="both"/>
      </w:pPr>
      <w:r>
        <w:rPr>
          <w:rFonts w:ascii="Arial" w:hAnsi="Arial" w:cs="Arial" w:eastAsia="Arial" w:hint="default"/>
        </w:rPr>
        <w:t>(11)</w:t>
      </w:r>
      <w:r>
        <w:rPr>
          <w:rFonts w:ascii="Arial" w:hAnsi="Arial" w:cs="Arial" w:eastAsia="Arial" w:hint="default"/>
          <w:spacing w:val="46"/>
        </w:rPr>
        <w:t> </w:t>
      </w:r>
      <w:r>
        <w:rPr/>
        <w:t>联通集团为联通商标的注册持有人。商标上带有联通标识，均已在中国国家商标局登记。根据</w:t>
      </w:r>
      <w:r>
        <w:rPr>
          <w:spacing w:val="-107"/>
        </w:rPr>
        <w:t> </w:t>
      </w:r>
      <w:r>
        <w:rPr>
          <w:spacing w:val="-107"/>
        </w:rPr>
      </w:r>
      <w:r>
        <w:rPr/>
        <w:t>联通集团和联通运营公司之间的独家中国商标使用协议，本集团被授予有权以免交商标使用费</w:t>
      </w:r>
      <w:r>
        <w:rPr>
          <w:spacing w:val="1"/>
          <w:w w:val="99"/>
        </w:rPr>
        <w:t> </w:t>
      </w:r>
      <w:r>
        <w:rPr/>
        <w:t>及可延期的方式来使用这些商标。</w:t>
      </w:r>
    </w:p>
    <w:p>
      <w:pPr>
        <w:spacing w:after="0" w:line="230" w:lineRule="auto"/>
        <w:jc w:val="both"/>
        <w:sectPr>
          <w:headerReference w:type="default" r:id="rId142"/>
          <w:pgSz w:w="11900" w:h="16840"/>
          <w:pgMar w:header="1184" w:footer="752" w:top="3040" w:bottom="940" w:left="1240" w:right="780"/>
        </w:sectPr>
      </w:pPr>
    </w:p>
    <w:p>
      <w:pPr>
        <w:spacing w:line="240" w:lineRule="auto" w:before="9"/>
        <w:rPr>
          <w:rFonts w:ascii="宋体" w:hAnsi="宋体" w:cs="宋体" w:eastAsia="宋体" w:hint="default"/>
          <w:sz w:val="16"/>
          <w:szCs w:val="16"/>
        </w:rPr>
      </w:pPr>
    </w:p>
    <w:p>
      <w:pPr>
        <w:pStyle w:val="BodyText"/>
        <w:spacing w:line="240" w:lineRule="auto" w:before="31"/>
        <w:ind w:left="102" w:right="0"/>
        <w:jc w:val="left"/>
      </w:pPr>
      <w:r>
        <w:rPr>
          <w:rFonts w:ascii="Arial" w:hAnsi="Arial" w:cs="Arial" w:eastAsia="Arial" w:hint="default"/>
        </w:rPr>
        <w:t>5</w:t>
      </w:r>
      <w:r>
        <w:rPr/>
        <w:t>、</w:t>
      </w:r>
      <w:r>
        <w:rPr>
          <w:spacing w:val="-37"/>
        </w:rPr>
        <w:t> </w:t>
      </w:r>
      <w:r>
        <w:rPr/>
        <w:t>关联方应收、应付款项余额</w:t>
      </w:r>
    </w:p>
    <w:p>
      <w:pPr>
        <w:spacing w:line="240" w:lineRule="auto" w:before="7"/>
        <w:rPr>
          <w:rFonts w:ascii="宋体" w:hAnsi="宋体" w:cs="宋体" w:eastAsia="宋体" w:hint="default"/>
          <w:sz w:val="15"/>
          <w:szCs w:val="15"/>
        </w:rPr>
      </w:pPr>
    </w:p>
    <w:tbl>
      <w:tblPr>
        <w:tblW w:w="0" w:type="auto"/>
        <w:jc w:val="left"/>
        <w:tblInd w:w="518" w:type="dxa"/>
        <w:tblLayout w:type="fixed"/>
        <w:tblCellMar>
          <w:top w:w="0" w:type="dxa"/>
          <w:left w:w="0" w:type="dxa"/>
          <w:bottom w:w="0" w:type="dxa"/>
          <w:right w:w="0" w:type="dxa"/>
        </w:tblCellMar>
        <w:tblLook w:val="01E0"/>
      </w:tblPr>
      <w:tblGrid>
        <w:gridCol w:w="1540"/>
        <w:gridCol w:w="2806"/>
        <w:gridCol w:w="2372"/>
        <w:gridCol w:w="238"/>
        <w:gridCol w:w="2299"/>
      </w:tblGrid>
      <w:tr>
        <w:trPr>
          <w:trHeight w:val="361" w:hRule="exact"/>
        </w:trPr>
        <w:tc>
          <w:tcPr>
            <w:tcW w:w="4345" w:type="dxa"/>
            <w:gridSpan w:val="2"/>
            <w:vMerge w:val="restart"/>
            <w:tcBorders>
              <w:top w:val="nil" w:sz="6" w:space="0" w:color="auto"/>
              <w:left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50"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42"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92" w:hRule="exact"/>
        </w:trPr>
        <w:tc>
          <w:tcPr>
            <w:tcW w:w="4345" w:type="dxa"/>
            <w:gridSpan w:val="2"/>
            <w:vMerge/>
            <w:tcBorders>
              <w:left w:val="nil" w:sz="6" w:space="0" w:color="auto"/>
              <w:bottom w:val="nil" w:sz="6" w:space="0" w:color="auto"/>
              <w:right w:val="nil" w:sz="6" w:space="0" w:color="auto"/>
            </w:tcBorders>
          </w:tcPr>
          <w:p>
            <w:pPr/>
          </w:p>
        </w:tc>
        <w:tc>
          <w:tcPr>
            <w:tcW w:w="2372" w:type="dxa"/>
            <w:tcBorders>
              <w:top w:val="single" w:sz="6"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single" w:sz="6" w:space="0" w:color="000000"/>
              <w:left w:val="nil" w:sz="6" w:space="0" w:color="auto"/>
              <w:bottom w:val="nil" w:sz="6" w:space="0" w:color="auto"/>
              <w:right w:val="nil" w:sz="6" w:space="0" w:color="auto"/>
            </w:tcBorders>
          </w:tcPr>
          <w:p>
            <w:pPr>
              <w:pStyle w:val="TableParagraph"/>
              <w:spacing w:line="252" w:lineRule="exact"/>
              <w:ind w:left="1056" w:right="0"/>
              <w:jc w:val="left"/>
              <w:rPr>
                <w:rFonts w:ascii="宋体" w:hAnsi="宋体" w:cs="宋体" w:eastAsia="宋体" w:hint="default"/>
                <w:sz w:val="22"/>
                <w:szCs w:val="22"/>
              </w:rPr>
            </w:pPr>
            <w:r>
              <w:rPr>
                <w:rFonts w:ascii="宋体" w:hAnsi="宋体" w:cs="宋体" w:eastAsia="宋体" w:hint="default"/>
                <w:sz w:val="22"/>
                <w:szCs w:val="22"/>
              </w:rPr>
              <w:t>（经重列）</w:t>
            </w:r>
          </w:p>
        </w:tc>
      </w:tr>
      <w:tr>
        <w:trPr>
          <w:trHeight w:val="299"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53" w:lineRule="exact"/>
              <w:ind w:left="43"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806" w:type="dxa"/>
            <w:tcBorders>
              <w:top w:val="nil" w:sz="6" w:space="0" w:color="auto"/>
              <w:left w:val="nil" w:sz="6" w:space="0" w:color="auto"/>
              <w:bottom w:val="nil" w:sz="6" w:space="0" w:color="auto"/>
              <w:right w:val="nil" w:sz="6" w:space="0" w:color="auto"/>
            </w:tcBorders>
          </w:tcPr>
          <w:p>
            <w:pPr>
              <w:pStyle w:val="TableParagraph"/>
              <w:spacing w:line="253" w:lineRule="exact"/>
              <w:ind w:left="114"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31" w:right="0"/>
              <w:jc w:val="left"/>
              <w:rPr>
                <w:rFonts w:ascii="Arial" w:hAnsi="Arial" w:cs="Arial" w:eastAsia="Arial" w:hint="default"/>
                <w:sz w:val="22"/>
                <w:szCs w:val="22"/>
              </w:rPr>
            </w:pPr>
            <w:r>
              <w:rPr>
                <w:rFonts w:ascii="Arial"/>
                <w:sz w:val="22"/>
              </w:rPr>
              <w:t>6,911,495</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40" w:right="0"/>
              <w:jc w:val="left"/>
              <w:rPr>
                <w:rFonts w:ascii="Arial" w:hAnsi="Arial" w:cs="Arial" w:eastAsia="Arial" w:hint="default"/>
                <w:sz w:val="22"/>
                <w:szCs w:val="22"/>
              </w:rPr>
            </w:pPr>
            <w:r>
              <w:rPr>
                <w:rFonts w:ascii="Arial"/>
                <w:sz w:val="22"/>
              </w:rPr>
              <w:t>13,613,082</w:t>
            </w:r>
          </w:p>
        </w:tc>
      </w:tr>
      <w:tr>
        <w:trPr>
          <w:trHeight w:val="285"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4"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8" w:right="0"/>
              <w:jc w:val="left"/>
              <w:rPr>
                <w:rFonts w:ascii="Arial" w:hAnsi="Arial" w:cs="Arial" w:eastAsia="Arial" w:hint="default"/>
                <w:sz w:val="22"/>
                <w:szCs w:val="22"/>
              </w:rPr>
            </w:pPr>
            <w:r>
              <w:rPr>
                <w:rFonts w:ascii="Arial"/>
                <w:sz w:val="22"/>
              </w:rPr>
              <w:t>18,287,362</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40" w:right="0"/>
              <w:jc w:val="left"/>
              <w:rPr>
                <w:rFonts w:ascii="Arial" w:hAnsi="Arial" w:cs="Arial" w:eastAsia="Arial" w:hint="default"/>
                <w:sz w:val="22"/>
                <w:szCs w:val="22"/>
              </w:rPr>
            </w:pPr>
            <w:r>
              <w:rPr>
                <w:rFonts w:ascii="Arial"/>
                <w:sz w:val="22"/>
              </w:rPr>
              <w:t>23,360,083</w:t>
            </w:r>
          </w:p>
        </w:tc>
      </w:tr>
      <w:tr>
        <w:trPr>
          <w:trHeight w:val="290"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4"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372" w:type="dxa"/>
            <w:tcBorders>
              <w:top w:val="nil" w:sz="6" w:space="0" w:color="auto"/>
              <w:left w:val="nil" w:sz="6" w:space="0" w:color="auto"/>
              <w:bottom w:val="nil" w:sz="6" w:space="0" w:color="auto"/>
              <w:right w:val="nil" w:sz="6" w:space="0" w:color="auto"/>
            </w:tcBorders>
          </w:tcPr>
          <w:p>
            <w:pPr>
              <w:pStyle w:val="TableParagraph"/>
              <w:tabs>
                <w:tab w:pos="1108" w:val="left" w:leader="none"/>
                <w:tab w:pos="2372"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10,192,327</w:t>
              <w:tab/>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tabs>
                <w:tab w:pos="1007" w:val="left" w:leader="none"/>
                <w:tab w:pos="2231"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16,352,735</w:t>
            </w:r>
            <w:r>
              <w:rPr>
                <w:rFonts w:ascii="Arial"/>
                <w:sz w:val="22"/>
                <w:u w:val="single" w:color="000000"/>
              </w:rPr>
              <w:tab/>
            </w:r>
            <w:r>
              <w:rPr>
                <w:rFonts w:ascii="Arial"/>
                <w:sz w:val="22"/>
              </w:rPr>
            </w:r>
          </w:p>
        </w:tc>
      </w:tr>
      <w:tr>
        <w:trPr>
          <w:trHeight w:val="272"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17" w:space="0" w:color="000000"/>
              <w:right w:val="nil" w:sz="6" w:space="0" w:color="auto"/>
            </w:tcBorders>
          </w:tcPr>
          <w:p>
            <w:pPr>
              <w:pStyle w:val="TableParagraph"/>
              <w:spacing w:line="249" w:lineRule="exact"/>
              <w:ind w:left="1108" w:right="0"/>
              <w:jc w:val="left"/>
              <w:rPr>
                <w:rFonts w:ascii="Arial" w:hAnsi="Arial" w:cs="Arial" w:eastAsia="Arial" w:hint="default"/>
                <w:sz w:val="22"/>
                <w:szCs w:val="22"/>
              </w:rPr>
            </w:pPr>
            <w:r>
              <w:rPr>
                <w:rFonts w:ascii="Arial"/>
                <w:sz w:val="22"/>
              </w:rPr>
              <w:t>35,391,184</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17" w:space="0" w:color="000000"/>
              <w:right w:val="nil" w:sz="6" w:space="0" w:color="auto"/>
            </w:tcBorders>
          </w:tcPr>
          <w:p>
            <w:pPr>
              <w:pStyle w:val="TableParagraph"/>
              <w:spacing w:line="249" w:lineRule="exact"/>
              <w:ind w:left="1040" w:right="0"/>
              <w:jc w:val="left"/>
              <w:rPr>
                <w:rFonts w:ascii="Arial" w:hAnsi="Arial" w:cs="Arial" w:eastAsia="Arial" w:hint="default"/>
                <w:sz w:val="22"/>
                <w:szCs w:val="22"/>
              </w:rPr>
            </w:pPr>
            <w:r>
              <w:rPr>
                <w:rFonts w:ascii="Arial"/>
                <w:sz w:val="22"/>
              </w:rPr>
              <w:t>53,325,900</w:t>
            </w:r>
          </w:p>
        </w:tc>
      </w:tr>
      <w:tr>
        <w:trPr>
          <w:trHeight w:val="570"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4"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372" w:type="dxa"/>
            <w:tcBorders>
              <w:top w:val="single" w:sz="17"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60"/>
              <w:jc w:val="right"/>
              <w:rPr>
                <w:rFonts w:ascii="Arial" w:hAnsi="Arial" w:cs="Arial" w:eastAsia="Arial" w:hint="default"/>
                <w:sz w:val="22"/>
                <w:szCs w:val="22"/>
              </w:rPr>
            </w:pPr>
            <w:r>
              <w:rPr>
                <w:rFonts w:ascii="Arial"/>
                <w:w w:val="99"/>
                <w:sz w:val="22"/>
              </w:rPr>
              <w:t>-</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162" w:right="0"/>
              <w:jc w:val="left"/>
              <w:rPr>
                <w:rFonts w:ascii="Arial" w:hAnsi="Arial" w:cs="Arial" w:eastAsia="Arial" w:hint="default"/>
                <w:sz w:val="22"/>
                <w:szCs w:val="22"/>
              </w:rPr>
            </w:pPr>
            <w:r>
              <w:rPr>
                <w:rFonts w:ascii="Arial"/>
                <w:sz w:val="22"/>
              </w:rPr>
              <w:t>2,500,000</w:t>
            </w:r>
          </w:p>
        </w:tc>
      </w:tr>
      <w:tr>
        <w:trPr>
          <w:trHeight w:val="282"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c>
          <w:tcPr>
            <w:tcW w:w="2372" w:type="dxa"/>
            <w:tcBorders>
              <w:top w:val="single" w:sz="6" w:space="0" w:color="000000"/>
              <w:left w:val="nil" w:sz="6" w:space="0" w:color="auto"/>
              <w:bottom w:val="single" w:sz="17" w:space="0" w:color="000000"/>
              <w:right w:val="nil" w:sz="6" w:space="0" w:color="auto"/>
            </w:tcBorders>
          </w:tcPr>
          <w:p>
            <w:pPr>
              <w:pStyle w:val="TableParagraph"/>
              <w:spacing w:line="251" w:lineRule="exact"/>
              <w:ind w:right="160"/>
              <w:jc w:val="right"/>
              <w:rPr>
                <w:rFonts w:ascii="Arial" w:hAnsi="Arial" w:cs="Arial" w:eastAsia="Arial" w:hint="default"/>
                <w:sz w:val="22"/>
                <w:szCs w:val="22"/>
              </w:rPr>
            </w:pPr>
            <w:r>
              <w:rPr>
                <w:rFonts w:ascii="Arial"/>
                <w:w w:val="99"/>
                <w:sz w:val="22"/>
              </w:rPr>
              <w:t>-</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single" w:sz="6" w:space="0" w:color="000000"/>
              <w:left w:val="nil" w:sz="6" w:space="0" w:color="auto"/>
              <w:bottom w:val="single" w:sz="17" w:space="0" w:color="000000"/>
              <w:right w:val="nil" w:sz="6" w:space="0" w:color="auto"/>
            </w:tcBorders>
          </w:tcPr>
          <w:p>
            <w:pPr>
              <w:pStyle w:val="TableParagraph"/>
              <w:spacing w:line="251" w:lineRule="exact"/>
              <w:ind w:left="1163" w:right="0"/>
              <w:jc w:val="left"/>
              <w:rPr>
                <w:rFonts w:ascii="Arial" w:hAnsi="Arial" w:cs="Arial" w:eastAsia="Arial" w:hint="default"/>
                <w:sz w:val="22"/>
                <w:szCs w:val="22"/>
              </w:rPr>
            </w:pPr>
            <w:r>
              <w:rPr>
                <w:rFonts w:ascii="Arial"/>
                <w:sz w:val="22"/>
              </w:rPr>
              <w:t>2,500,000</w:t>
            </w:r>
          </w:p>
        </w:tc>
      </w:tr>
      <w:tr>
        <w:trPr>
          <w:trHeight w:val="574"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2"/>
                <w:szCs w:val="22"/>
              </w:rPr>
            </w:pPr>
            <w:r>
              <w:rPr>
                <w:rFonts w:ascii="宋体" w:hAnsi="宋体" w:cs="宋体" w:eastAsia="宋体" w:hint="default"/>
                <w:sz w:val="22"/>
                <w:szCs w:val="22"/>
              </w:rPr>
              <w:t>预付账款</w:t>
            </w: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4"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372"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08" w:right="0"/>
              <w:jc w:val="left"/>
              <w:rPr>
                <w:rFonts w:ascii="Arial" w:hAnsi="Arial" w:cs="Arial" w:eastAsia="Arial" w:hint="default"/>
                <w:sz w:val="22"/>
                <w:szCs w:val="22"/>
              </w:rPr>
            </w:pPr>
            <w:r>
              <w:rPr>
                <w:rFonts w:ascii="Arial"/>
                <w:sz w:val="22"/>
              </w:rPr>
              <w:t>25,238,469</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40" w:right="0"/>
              <w:jc w:val="left"/>
              <w:rPr>
                <w:rFonts w:ascii="Arial" w:hAnsi="Arial" w:cs="Arial" w:eastAsia="Arial" w:hint="default"/>
                <w:sz w:val="22"/>
                <w:szCs w:val="22"/>
              </w:rPr>
            </w:pPr>
            <w:r>
              <w:rPr>
                <w:rFonts w:ascii="Arial"/>
                <w:sz w:val="22"/>
              </w:rPr>
              <w:t>54,521,710</w:t>
            </w:r>
          </w:p>
        </w:tc>
      </w:tr>
      <w:tr>
        <w:trPr>
          <w:trHeight w:val="290"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4"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372" w:type="dxa"/>
            <w:tcBorders>
              <w:top w:val="nil" w:sz="6" w:space="0" w:color="auto"/>
              <w:left w:val="nil" w:sz="6" w:space="0" w:color="auto"/>
              <w:bottom w:val="nil" w:sz="6" w:space="0" w:color="auto"/>
              <w:right w:val="nil" w:sz="6" w:space="0" w:color="auto"/>
            </w:tcBorders>
          </w:tcPr>
          <w:p>
            <w:pPr>
              <w:pStyle w:val="TableParagraph"/>
              <w:tabs>
                <w:tab w:pos="1414" w:val="left" w:leader="none"/>
                <w:tab w:pos="2372"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462,500</w:t>
              <w:tab/>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tabs>
                <w:tab w:pos="1313" w:val="left" w:leader="none"/>
                <w:tab w:pos="2231"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482,500</w:t>
            </w:r>
            <w:r>
              <w:rPr>
                <w:rFonts w:ascii="Arial"/>
                <w:sz w:val="22"/>
                <w:u w:val="single" w:color="000000"/>
              </w:rPr>
              <w:tab/>
            </w:r>
            <w:r>
              <w:rPr>
                <w:rFonts w:ascii="Arial"/>
                <w:sz w:val="22"/>
              </w:rPr>
            </w:r>
          </w:p>
        </w:tc>
      </w:tr>
      <w:tr>
        <w:trPr>
          <w:trHeight w:val="274"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17" w:space="0" w:color="000000"/>
              <w:right w:val="nil" w:sz="6" w:space="0" w:color="auto"/>
            </w:tcBorders>
          </w:tcPr>
          <w:p>
            <w:pPr>
              <w:pStyle w:val="TableParagraph"/>
              <w:spacing w:line="249" w:lineRule="exact"/>
              <w:ind w:left="1108" w:right="0"/>
              <w:jc w:val="left"/>
              <w:rPr>
                <w:rFonts w:ascii="Arial" w:hAnsi="Arial" w:cs="Arial" w:eastAsia="Arial" w:hint="default"/>
                <w:sz w:val="22"/>
                <w:szCs w:val="22"/>
              </w:rPr>
            </w:pPr>
            <w:r>
              <w:rPr>
                <w:rFonts w:ascii="Arial"/>
                <w:sz w:val="22"/>
              </w:rPr>
              <w:t>25,700,969</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17" w:space="0" w:color="000000"/>
              <w:right w:val="nil" w:sz="6" w:space="0" w:color="auto"/>
            </w:tcBorders>
          </w:tcPr>
          <w:p>
            <w:pPr>
              <w:pStyle w:val="TableParagraph"/>
              <w:spacing w:line="249" w:lineRule="exact"/>
              <w:ind w:left="1040" w:right="0"/>
              <w:jc w:val="left"/>
              <w:rPr>
                <w:rFonts w:ascii="Arial" w:hAnsi="Arial" w:cs="Arial" w:eastAsia="Arial" w:hint="default"/>
                <w:sz w:val="22"/>
                <w:szCs w:val="22"/>
              </w:rPr>
            </w:pPr>
            <w:r>
              <w:rPr>
                <w:rFonts w:ascii="Arial"/>
                <w:sz w:val="22"/>
              </w:rPr>
              <w:t>55,004,210</w:t>
            </w:r>
          </w:p>
        </w:tc>
      </w:tr>
      <w:tr>
        <w:trPr>
          <w:trHeight w:val="573"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4"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372"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90" w:right="0"/>
              <w:jc w:val="left"/>
              <w:rPr>
                <w:rFonts w:ascii="Arial" w:hAnsi="Arial" w:cs="Arial" w:eastAsia="Arial" w:hint="default"/>
                <w:sz w:val="22"/>
                <w:szCs w:val="22"/>
              </w:rPr>
            </w:pPr>
            <w:r>
              <w:rPr>
                <w:rFonts w:ascii="Arial"/>
                <w:sz w:val="22"/>
              </w:rPr>
              <w:t>92,330,099</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10" w:right="0"/>
              <w:jc w:val="left"/>
              <w:rPr>
                <w:rFonts w:ascii="Arial" w:hAnsi="Arial" w:cs="Arial" w:eastAsia="Arial" w:hint="default"/>
                <w:sz w:val="22"/>
                <w:szCs w:val="22"/>
              </w:rPr>
            </w:pPr>
            <w:r>
              <w:rPr>
                <w:rFonts w:ascii="Arial"/>
                <w:sz w:val="22"/>
              </w:rPr>
              <w:t>100,080,818</w:t>
            </w:r>
          </w:p>
        </w:tc>
      </w:tr>
      <w:tr>
        <w:trPr>
          <w:trHeight w:val="286"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4"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69" w:right="0"/>
              <w:jc w:val="left"/>
              <w:rPr>
                <w:rFonts w:ascii="Arial" w:hAnsi="Arial" w:cs="Arial" w:eastAsia="Arial" w:hint="default"/>
                <w:sz w:val="22"/>
                <w:szCs w:val="22"/>
              </w:rPr>
            </w:pPr>
            <w:r>
              <w:rPr>
                <w:rFonts w:ascii="Arial"/>
                <w:sz w:val="22"/>
              </w:rPr>
              <w:t>606,324,002</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10" w:right="0"/>
              <w:jc w:val="left"/>
              <w:rPr>
                <w:rFonts w:ascii="Arial" w:hAnsi="Arial" w:cs="Arial" w:eastAsia="Arial" w:hint="default"/>
                <w:sz w:val="22"/>
                <w:szCs w:val="22"/>
              </w:rPr>
            </w:pPr>
            <w:r>
              <w:rPr>
                <w:rFonts w:ascii="Arial"/>
                <w:sz w:val="22"/>
              </w:rPr>
              <w:t>562,869,876</w:t>
            </w:r>
          </w:p>
        </w:tc>
      </w:tr>
      <w:tr>
        <w:trPr>
          <w:trHeight w:val="286"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3"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13" w:right="0"/>
              <w:jc w:val="left"/>
              <w:rPr>
                <w:rFonts w:ascii="Arial" w:hAnsi="Arial" w:cs="Arial" w:eastAsia="Arial" w:hint="default"/>
                <w:sz w:val="22"/>
                <w:szCs w:val="22"/>
              </w:rPr>
            </w:pPr>
            <w:r>
              <w:rPr>
                <w:rFonts w:ascii="Arial"/>
                <w:sz w:val="22"/>
              </w:rPr>
              <w:t>1,689,851</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54" w:right="0"/>
              <w:jc w:val="left"/>
              <w:rPr>
                <w:rFonts w:ascii="Arial" w:hAnsi="Arial" w:cs="Arial" w:eastAsia="Arial" w:hint="default"/>
                <w:sz w:val="22"/>
                <w:szCs w:val="22"/>
              </w:rPr>
            </w:pPr>
            <w:r>
              <w:rPr>
                <w:rFonts w:ascii="Arial"/>
                <w:sz w:val="22"/>
              </w:rPr>
              <w:t>2,960,265</w:t>
            </w:r>
          </w:p>
        </w:tc>
      </w:tr>
      <w:tr>
        <w:trPr>
          <w:trHeight w:val="285"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3" w:right="0"/>
              <w:jc w:val="left"/>
              <w:rPr>
                <w:rFonts w:ascii="宋体" w:hAnsi="宋体" w:cs="宋体" w:eastAsia="宋体" w:hint="default"/>
                <w:sz w:val="22"/>
                <w:szCs w:val="22"/>
              </w:rPr>
            </w:pPr>
            <w:r>
              <w:rPr>
                <w:rFonts w:ascii="宋体" w:hAnsi="宋体" w:cs="宋体" w:eastAsia="宋体" w:hint="default"/>
                <w:sz w:val="22"/>
                <w:szCs w:val="22"/>
              </w:rPr>
              <w:t>联通时科</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90" w:right="0"/>
              <w:jc w:val="left"/>
              <w:rPr>
                <w:rFonts w:ascii="Arial" w:hAnsi="Arial" w:cs="Arial" w:eastAsia="Arial" w:hint="default"/>
                <w:sz w:val="22"/>
                <w:szCs w:val="22"/>
              </w:rPr>
            </w:pPr>
            <w:r>
              <w:rPr>
                <w:rFonts w:ascii="Arial"/>
                <w:sz w:val="22"/>
              </w:rPr>
              <w:t>24,903,605</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31" w:right="0"/>
              <w:jc w:val="left"/>
              <w:rPr>
                <w:rFonts w:ascii="Arial" w:hAnsi="Arial" w:cs="Arial" w:eastAsia="Arial" w:hint="default"/>
                <w:sz w:val="22"/>
                <w:szCs w:val="22"/>
              </w:rPr>
            </w:pPr>
            <w:r>
              <w:rPr>
                <w:rFonts w:ascii="Arial"/>
                <w:sz w:val="22"/>
              </w:rPr>
              <w:t>19,913,307</w:t>
            </w:r>
          </w:p>
        </w:tc>
      </w:tr>
      <w:tr>
        <w:trPr>
          <w:trHeight w:val="290"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3"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372" w:type="dxa"/>
            <w:tcBorders>
              <w:top w:val="nil" w:sz="6" w:space="0" w:color="auto"/>
              <w:left w:val="nil" w:sz="6" w:space="0" w:color="auto"/>
              <w:bottom w:val="nil" w:sz="6" w:space="0" w:color="auto"/>
              <w:right w:val="nil" w:sz="6" w:space="0" w:color="auto"/>
            </w:tcBorders>
          </w:tcPr>
          <w:p>
            <w:pPr>
              <w:pStyle w:val="TableParagraph"/>
              <w:tabs>
                <w:tab w:pos="785" w:val="left" w:leader="none"/>
                <w:tab w:pos="2367"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2,611,520,276</w:t>
              <w:tab/>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tabs>
                <w:tab w:pos="702" w:val="left" w:leader="none"/>
                <w:tab w:pos="2240"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2,374,659,426</w:t>
              <w:tab/>
            </w:r>
            <w:r>
              <w:rPr>
                <w:rFonts w:ascii="Arial"/>
                <w:spacing w:val="-1"/>
                <w:sz w:val="22"/>
              </w:rPr>
            </w:r>
          </w:p>
        </w:tc>
      </w:tr>
      <w:tr>
        <w:trPr>
          <w:trHeight w:val="272"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17" w:space="0" w:color="000000"/>
              <w:right w:val="nil" w:sz="6" w:space="0" w:color="auto"/>
            </w:tcBorders>
          </w:tcPr>
          <w:p>
            <w:pPr>
              <w:pStyle w:val="TableParagraph"/>
              <w:spacing w:line="249" w:lineRule="exact"/>
              <w:ind w:left="786" w:right="0"/>
              <w:jc w:val="left"/>
              <w:rPr>
                <w:rFonts w:ascii="Arial" w:hAnsi="Arial" w:cs="Arial" w:eastAsia="Arial" w:hint="default"/>
                <w:sz w:val="22"/>
                <w:szCs w:val="22"/>
              </w:rPr>
            </w:pPr>
            <w:r>
              <w:rPr>
                <w:rFonts w:ascii="Arial"/>
                <w:sz w:val="22"/>
              </w:rPr>
              <w:t>3,336,767,833</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17" w:space="0" w:color="000000"/>
              <w:right w:val="nil" w:sz="6" w:space="0" w:color="auto"/>
            </w:tcBorders>
          </w:tcPr>
          <w:p>
            <w:pPr>
              <w:pStyle w:val="TableParagraph"/>
              <w:spacing w:line="249" w:lineRule="exact"/>
              <w:ind w:left="726" w:right="0"/>
              <w:jc w:val="left"/>
              <w:rPr>
                <w:rFonts w:ascii="Arial" w:hAnsi="Arial" w:cs="Arial" w:eastAsia="Arial" w:hint="default"/>
                <w:sz w:val="22"/>
                <w:szCs w:val="22"/>
              </w:rPr>
            </w:pPr>
            <w:r>
              <w:rPr>
                <w:rFonts w:ascii="Arial"/>
                <w:sz w:val="22"/>
              </w:rPr>
              <w:t>3,060,483,692</w:t>
            </w:r>
          </w:p>
        </w:tc>
      </w:tr>
      <w:tr>
        <w:trPr>
          <w:trHeight w:val="574"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4" w:right="0"/>
              <w:jc w:val="left"/>
              <w:rPr>
                <w:rFonts w:ascii="宋体" w:hAnsi="宋体" w:cs="宋体" w:eastAsia="宋体" w:hint="default"/>
                <w:sz w:val="22"/>
                <w:szCs w:val="22"/>
              </w:rPr>
            </w:pPr>
            <w:r>
              <w:rPr>
                <w:rFonts w:ascii="宋体" w:hAnsi="宋体" w:cs="宋体" w:eastAsia="宋体" w:hint="default"/>
                <w:sz w:val="22"/>
                <w:szCs w:val="22"/>
              </w:rPr>
              <w:t>联通集团（注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72" w:type="dxa"/>
            <w:tcBorders>
              <w:top w:val="single" w:sz="1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69" w:right="0"/>
              <w:jc w:val="left"/>
              <w:rPr>
                <w:rFonts w:ascii="Arial" w:hAnsi="Arial" w:cs="Arial" w:eastAsia="Arial" w:hint="default"/>
                <w:sz w:val="22"/>
                <w:szCs w:val="22"/>
              </w:rPr>
            </w:pPr>
            <w:r>
              <w:rPr>
                <w:rFonts w:ascii="Arial"/>
                <w:sz w:val="22"/>
              </w:rPr>
              <w:t>256,092,302</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24" w:right="0"/>
              <w:jc w:val="left"/>
              <w:rPr>
                <w:rFonts w:ascii="Arial" w:hAnsi="Arial" w:cs="Arial" w:eastAsia="Arial" w:hint="default"/>
                <w:sz w:val="22"/>
                <w:szCs w:val="22"/>
              </w:rPr>
            </w:pPr>
            <w:r>
              <w:rPr>
                <w:rFonts w:ascii="Arial"/>
                <w:sz w:val="22"/>
              </w:rPr>
              <w:t>142,558,334</w:t>
            </w:r>
          </w:p>
        </w:tc>
      </w:tr>
      <w:tr>
        <w:trPr>
          <w:trHeight w:val="285"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4"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90" w:right="0"/>
              <w:jc w:val="left"/>
              <w:rPr>
                <w:rFonts w:ascii="Arial" w:hAnsi="Arial" w:cs="Arial" w:eastAsia="Arial" w:hint="default"/>
                <w:sz w:val="22"/>
                <w:szCs w:val="22"/>
              </w:rPr>
            </w:pPr>
            <w:r>
              <w:rPr>
                <w:rFonts w:ascii="Arial"/>
                <w:sz w:val="22"/>
              </w:rPr>
              <w:t>54,140,381</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46" w:right="0"/>
              <w:jc w:val="left"/>
              <w:rPr>
                <w:rFonts w:ascii="Arial" w:hAnsi="Arial" w:cs="Arial" w:eastAsia="Arial" w:hint="default"/>
                <w:sz w:val="22"/>
                <w:szCs w:val="22"/>
              </w:rPr>
            </w:pPr>
            <w:r>
              <w:rPr>
                <w:rFonts w:ascii="Arial"/>
                <w:sz w:val="22"/>
              </w:rPr>
              <w:t>62,761,874</w:t>
            </w:r>
          </w:p>
        </w:tc>
      </w:tr>
      <w:tr>
        <w:trPr>
          <w:trHeight w:val="286"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3"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13" w:right="0"/>
              <w:jc w:val="left"/>
              <w:rPr>
                <w:rFonts w:ascii="Arial" w:hAnsi="Arial" w:cs="Arial" w:eastAsia="Arial" w:hint="default"/>
                <w:sz w:val="22"/>
                <w:szCs w:val="22"/>
              </w:rPr>
            </w:pPr>
            <w:r>
              <w:rPr>
                <w:rFonts w:ascii="Arial"/>
                <w:sz w:val="22"/>
              </w:rPr>
              <w:t>1,895,994</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68" w:right="0"/>
              <w:jc w:val="left"/>
              <w:rPr>
                <w:rFonts w:ascii="Arial" w:hAnsi="Arial" w:cs="Arial" w:eastAsia="Arial" w:hint="default"/>
                <w:sz w:val="22"/>
                <w:szCs w:val="22"/>
              </w:rPr>
            </w:pPr>
            <w:r>
              <w:rPr>
                <w:rFonts w:ascii="Arial"/>
                <w:sz w:val="22"/>
              </w:rPr>
              <w:t>1,895,994</w:t>
            </w:r>
          </w:p>
        </w:tc>
      </w:tr>
      <w:tr>
        <w:trPr>
          <w:trHeight w:val="286"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55" w:lineRule="exact"/>
              <w:ind w:left="113" w:right="0"/>
              <w:jc w:val="left"/>
              <w:rPr>
                <w:rFonts w:ascii="宋体" w:hAnsi="宋体" w:cs="宋体" w:eastAsia="宋体" w:hint="default"/>
                <w:sz w:val="22"/>
                <w:szCs w:val="22"/>
              </w:rPr>
            </w:pPr>
            <w:r>
              <w:rPr>
                <w:rFonts w:ascii="宋体" w:hAnsi="宋体" w:cs="宋体" w:eastAsia="宋体" w:hint="default"/>
                <w:sz w:val="22"/>
                <w:szCs w:val="22"/>
              </w:rPr>
              <w:t>网通</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85" w:right="0"/>
              <w:jc w:val="left"/>
              <w:rPr>
                <w:rFonts w:ascii="Arial" w:hAnsi="Arial" w:cs="Arial" w:eastAsia="Arial" w:hint="default"/>
                <w:sz w:val="22"/>
                <w:szCs w:val="22"/>
              </w:rPr>
            </w:pPr>
            <w:r>
              <w:rPr>
                <w:rFonts w:ascii="Arial"/>
                <w:sz w:val="22"/>
              </w:rPr>
              <w:t>2,186,895,277</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41" w:right="0"/>
              <w:jc w:val="left"/>
              <w:rPr>
                <w:rFonts w:ascii="Arial" w:hAnsi="Arial" w:cs="Arial" w:eastAsia="Arial" w:hint="default"/>
                <w:sz w:val="22"/>
                <w:szCs w:val="22"/>
              </w:rPr>
            </w:pPr>
            <w:r>
              <w:rPr>
                <w:rFonts w:ascii="Arial"/>
                <w:sz w:val="22"/>
              </w:rPr>
              <w:t>2,070,180,567</w:t>
            </w:r>
          </w:p>
        </w:tc>
      </w:tr>
      <w:tr>
        <w:trPr>
          <w:trHeight w:val="286"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55" w:lineRule="exact"/>
              <w:ind w:left="113" w:right="0"/>
              <w:jc w:val="left"/>
              <w:rPr>
                <w:rFonts w:ascii="宋体" w:hAnsi="宋体" w:cs="宋体" w:eastAsia="宋体" w:hint="default"/>
                <w:sz w:val="22"/>
                <w:szCs w:val="22"/>
              </w:rPr>
            </w:pPr>
            <w:r>
              <w:rPr>
                <w:rFonts w:ascii="宋体" w:hAnsi="宋体" w:cs="宋体" w:eastAsia="宋体" w:hint="default"/>
                <w:sz w:val="22"/>
                <w:szCs w:val="22"/>
              </w:rPr>
              <w:t>网通集团</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公司（注</w:t>
            </w:r>
            <w:r>
              <w:rPr>
                <w:rFonts w:ascii="宋体" w:hAnsi="宋体" w:cs="宋体" w:eastAsia="宋体" w:hint="default"/>
                <w:spacing w:val="-56"/>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90" w:right="0"/>
              <w:jc w:val="left"/>
              <w:rPr>
                <w:rFonts w:ascii="Arial" w:hAnsi="Arial" w:cs="Arial" w:eastAsia="Arial" w:hint="default"/>
                <w:sz w:val="22"/>
                <w:szCs w:val="22"/>
              </w:rPr>
            </w:pPr>
            <w:r>
              <w:rPr>
                <w:rFonts w:ascii="Arial"/>
                <w:sz w:val="22"/>
              </w:rPr>
              <w:t>24,414,022</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9"/>
              <w:jc w:val="right"/>
              <w:rPr>
                <w:rFonts w:ascii="Arial" w:hAnsi="Arial" w:cs="Arial" w:eastAsia="Arial" w:hint="default"/>
                <w:sz w:val="22"/>
                <w:szCs w:val="22"/>
              </w:rPr>
            </w:pPr>
            <w:r>
              <w:rPr>
                <w:rFonts w:ascii="Arial"/>
                <w:w w:val="99"/>
                <w:sz w:val="22"/>
              </w:rPr>
              <w:t>-</w:t>
            </w:r>
            <w:r>
              <w:rPr>
                <w:rFonts w:ascii="Arial"/>
                <w:sz w:val="22"/>
              </w:rPr>
            </w:r>
          </w:p>
        </w:tc>
      </w:tr>
      <w:tr>
        <w:trPr>
          <w:trHeight w:val="289"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13"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372" w:type="dxa"/>
            <w:tcBorders>
              <w:top w:val="nil" w:sz="6" w:space="0" w:color="auto"/>
              <w:left w:val="nil" w:sz="6" w:space="0" w:color="auto"/>
              <w:bottom w:val="nil" w:sz="6" w:space="0" w:color="auto"/>
              <w:right w:val="nil" w:sz="6" w:space="0" w:color="auto"/>
            </w:tcBorders>
          </w:tcPr>
          <w:p>
            <w:pPr>
              <w:pStyle w:val="TableParagraph"/>
              <w:tabs>
                <w:tab w:pos="969" w:val="left" w:leader="none"/>
                <w:tab w:pos="2367" w:val="left" w:leader="none"/>
              </w:tabs>
              <w:spacing w:line="240" w:lineRule="auto" w:before="16"/>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225,182,512</w:t>
              <w:tab/>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tabs>
                <w:tab w:pos="910" w:val="left" w:leader="none"/>
                <w:tab w:pos="2249" w:val="left" w:leader="none"/>
              </w:tabs>
              <w:spacing w:line="240" w:lineRule="auto" w:before="16"/>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129,194,043</w:t>
            </w:r>
            <w:r>
              <w:rPr>
                <w:rFonts w:ascii="Arial"/>
                <w:sz w:val="22"/>
                <w:u w:val="single" w:color="000000"/>
              </w:rPr>
              <w:tab/>
            </w:r>
            <w:r>
              <w:rPr>
                <w:rFonts w:ascii="Arial"/>
                <w:sz w:val="22"/>
              </w:rPr>
            </w:r>
          </w:p>
        </w:tc>
      </w:tr>
      <w:tr>
        <w:trPr>
          <w:trHeight w:val="275"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17" w:space="0" w:color="000000"/>
              <w:right w:val="nil" w:sz="6" w:space="0" w:color="auto"/>
            </w:tcBorders>
          </w:tcPr>
          <w:p>
            <w:pPr>
              <w:pStyle w:val="TableParagraph"/>
              <w:spacing w:line="249" w:lineRule="exact"/>
              <w:ind w:left="786" w:right="0"/>
              <w:jc w:val="left"/>
              <w:rPr>
                <w:rFonts w:ascii="Arial" w:hAnsi="Arial" w:cs="Arial" w:eastAsia="Arial" w:hint="default"/>
                <w:sz w:val="22"/>
                <w:szCs w:val="22"/>
              </w:rPr>
            </w:pPr>
            <w:r>
              <w:rPr>
                <w:rFonts w:ascii="Arial"/>
                <w:sz w:val="22"/>
              </w:rPr>
              <w:t>2,748,620,488</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17" w:space="0" w:color="000000"/>
              <w:right w:val="nil" w:sz="6" w:space="0" w:color="auto"/>
            </w:tcBorders>
          </w:tcPr>
          <w:p>
            <w:pPr>
              <w:pStyle w:val="TableParagraph"/>
              <w:spacing w:line="249" w:lineRule="exact"/>
              <w:ind w:left="741" w:right="0"/>
              <w:jc w:val="left"/>
              <w:rPr>
                <w:rFonts w:ascii="Arial" w:hAnsi="Arial" w:cs="Arial" w:eastAsia="Arial" w:hint="default"/>
                <w:sz w:val="22"/>
                <w:szCs w:val="22"/>
              </w:rPr>
            </w:pPr>
            <w:r>
              <w:rPr>
                <w:rFonts w:ascii="Arial"/>
                <w:sz w:val="22"/>
              </w:rPr>
              <w:t>2,406,590,812</w:t>
            </w:r>
          </w:p>
        </w:tc>
      </w:tr>
      <w:tr>
        <w:trPr>
          <w:trHeight w:val="862"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2"/>
                <w:szCs w:val="22"/>
              </w:rPr>
            </w:pPr>
            <w:r>
              <w:rPr>
                <w:rFonts w:ascii="宋体" w:hAnsi="宋体" w:cs="宋体" w:eastAsia="宋体" w:hint="default"/>
                <w:sz w:val="22"/>
                <w:szCs w:val="22"/>
              </w:rPr>
              <w:t>应付股利</w:t>
            </w:r>
            <w:r>
              <w:rPr>
                <w:rFonts w:ascii="Arial" w:hAnsi="Arial" w:cs="Arial" w:eastAsia="Arial" w:hint="default"/>
                <w:sz w:val="22"/>
                <w:szCs w:val="22"/>
              </w:rPr>
              <w:t>/</w:t>
            </w:r>
            <w:r>
              <w:rPr>
                <w:rFonts w:ascii="宋体" w:hAnsi="宋体" w:cs="宋体" w:eastAsia="宋体" w:hint="default"/>
                <w:sz w:val="22"/>
                <w:szCs w:val="22"/>
              </w:rPr>
              <w:t>利润</w:t>
            </w: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86" w:lineRule="exact"/>
              <w:ind w:left="123" w:right="48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w w:val="99"/>
                <w:sz w:val="22"/>
                <w:szCs w:val="22"/>
              </w:rPr>
              <w:t> </w:t>
            </w:r>
            <w:r>
              <w:rPr>
                <w:rFonts w:ascii="宋体" w:hAnsi="宋体" w:cs="宋体" w:eastAsia="宋体" w:hint="default"/>
                <w:sz w:val="22"/>
                <w:szCs w:val="22"/>
              </w:rPr>
              <w:t>联通集团其他附属公司</w:t>
            </w:r>
          </w:p>
        </w:tc>
        <w:tc>
          <w:tcPr>
            <w:tcW w:w="2372"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26" w:right="0"/>
              <w:jc w:val="left"/>
              <w:rPr>
                <w:rFonts w:ascii="Arial" w:hAnsi="Arial" w:cs="Arial" w:eastAsia="Arial" w:hint="default"/>
                <w:sz w:val="22"/>
                <w:szCs w:val="22"/>
              </w:rPr>
            </w:pPr>
            <w:r>
              <w:rPr>
                <w:rFonts w:ascii="Arial"/>
                <w:sz w:val="22"/>
              </w:rPr>
              <w:t>8,940,742</w:t>
            </w:r>
          </w:p>
          <w:p>
            <w:pPr>
              <w:pStyle w:val="TableParagraph"/>
              <w:tabs>
                <w:tab w:pos="2113" w:val="left" w:leader="none"/>
                <w:tab w:pos="2361" w:val="left" w:leader="none"/>
              </w:tabs>
              <w:spacing w:line="240" w:lineRule="auto" w:before="32"/>
              <w:ind w:left="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9"/>
              <w:jc w:val="right"/>
              <w:rPr>
                <w:rFonts w:ascii="Arial" w:hAnsi="Arial" w:cs="Arial" w:eastAsia="Arial" w:hint="default"/>
                <w:sz w:val="22"/>
                <w:szCs w:val="22"/>
              </w:rPr>
            </w:pPr>
            <w:r>
              <w:rPr>
                <w:rFonts w:ascii="Arial"/>
                <w:w w:val="99"/>
                <w:sz w:val="22"/>
              </w:rPr>
              <w:t>-</w:t>
            </w:r>
            <w:r>
              <w:rPr>
                <w:rFonts w:ascii="Arial"/>
                <w:sz w:val="22"/>
              </w:rPr>
            </w:r>
          </w:p>
          <w:p>
            <w:pPr>
              <w:pStyle w:val="TableParagraph"/>
              <w:tabs>
                <w:tab w:pos="1057" w:val="left" w:leader="none"/>
                <w:tab w:pos="2258" w:val="left" w:leader="none"/>
              </w:tabs>
              <w:spacing w:line="240" w:lineRule="auto" w:before="32"/>
              <w:ind w:left="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24,057,068</w:t>
              <w:tab/>
            </w:r>
            <w:r>
              <w:rPr>
                <w:rFonts w:ascii="Arial"/>
                <w:sz w:val="22"/>
              </w:rPr>
            </w:r>
          </w:p>
        </w:tc>
      </w:tr>
      <w:tr>
        <w:trPr>
          <w:trHeight w:val="273"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17" w:space="0" w:color="000000"/>
              <w:right w:val="nil" w:sz="6" w:space="0" w:color="auto"/>
            </w:tcBorders>
          </w:tcPr>
          <w:p>
            <w:pPr>
              <w:pStyle w:val="TableParagraph"/>
              <w:spacing w:line="249" w:lineRule="exact"/>
              <w:ind w:left="1207" w:right="0"/>
              <w:jc w:val="left"/>
              <w:rPr>
                <w:rFonts w:ascii="Arial" w:hAnsi="Arial" w:cs="Arial" w:eastAsia="Arial" w:hint="default"/>
                <w:sz w:val="22"/>
                <w:szCs w:val="22"/>
              </w:rPr>
            </w:pPr>
            <w:r>
              <w:rPr>
                <w:rFonts w:ascii="Arial"/>
                <w:sz w:val="22"/>
              </w:rPr>
              <w:t>8,940,742</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17" w:space="0" w:color="000000"/>
              <w:right w:val="nil" w:sz="6" w:space="0" w:color="auto"/>
            </w:tcBorders>
          </w:tcPr>
          <w:p>
            <w:pPr>
              <w:pStyle w:val="TableParagraph"/>
              <w:spacing w:line="249" w:lineRule="exact"/>
              <w:ind w:left="1056" w:right="0"/>
              <w:jc w:val="left"/>
              <w:rPr>
                <w:rFonts w:ascii="Arial" w:hAnsi="Arial" w:cs="Arial" w:eastAsia="Arial" w:hint="default"/>
                <w:sz w:val="22"/>
                <w:szCs w:val="22"/>
              </w:rPr>
            </w:pPr>
            <w:r>
              <w:rPr>
                <w:rFonts w:ascii="Arial"/>
                <w:sz w:val="22"/>
              </w:rPr>
              <w:t>24,057,068</w:t>
            </w:r>
          </w:p>
        </w:tc>
      </w:tr>
      <w:tr>
        <w:trPr>
          <w:trHeight w:val="574"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22"/>
                <w:szCs w:val="22"/>
              </w:rPr>
            </w:pPr>
            <w:r>
              <w:rPr>
                <w:rFonts w:ascii="宋体" w:hAnsi="宋体" w:cs="宋体" w:eastAsia="宋体" w:hint="default"/>
                <w:sz w:val="22"/>
                <w:szCs w:val="22"/>
              </w:rPr>
              <w:t>网通</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72"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07" w:right="0"/>
              <w:jc w:val="left"/>
              <w:rPr>
                <w:rFonts w:ascii="Arial" w:hAnsi="Arial" w:cs="Arial" w:eastAsia="Arial" w:hint="default"/>
                <w:sz w:val="22"/>
                <w:szCs w:val="22"/>
              </w:rPr>
            </w:pPr>
            <w:r>
              <w:rPr>
                <w:rFonts w:ascii="Arial"/>
                <w:sz w:val="22"/>
              </w:rPr>
              <w:t>2,635,197</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79" w:right="0"/>
              <w:jc w:val="left"/>
              <w:rPr>
                <w:rFonts w:ascii="Arial" w:hAnsi="Arial" w:cs="Arial" w:eastAsia="Arial" w:hint="default"/>
                <w:sz w:val="22"/>
                <w:szCs w:val="22"/>
              </w:rPr>
            </w:pPr>
            <w:r>
              <w:rPr>
                <w:rFonts w:ascii="Arial"/>
                <w:sz w:val="22"/>
              </w:rPr>
              <w:t>2,765,868</w:t>
            </w:r>
          </w:p>
        </w:tc>
      </w:tr>
      <w:tr>
        <w:trPr>
          <w:trHeight w:val="290"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23"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372" w:type="dxa"/>
            <w:tcBorders>
              <w:top w:val="nil" w:sz="6" w:space="0" w:color="auto"/>
              <w:left w:val="nil" w:sz="6" w:space="0" w:color="auto"/>
              <w:bottom w:val="nil" w:sz="6" w:space="0" w:color="auto"/>
              <w:right w:val="nil" w:sz="6" w:space="0" w:color="auto"/>
            </w:tcBorders>
          </w:tcPr>
          <w:p>
            <w:pPr>
              <w:pStyle w:val="TableParagraph"/>
              <w:tabs>
                <w:tab w:pos="2113" w:val="left" w:leader="none"/>
                <w:tab w:pos="2361" w:val="left" w:leader="none"/>
              </w:tabs>
              <w:spacing w:line="240" w:lineRule="auto" w:before="17"/>
              <w:ind w:left="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tabs>
                <w:tab w:pos="1171" w:val="left" w:leader="none"/>
                <w:tab w:pos="2249" w:val="left" w:leader="none"/>
              </w:tabs>
              <w:spacing w:line="240" w:lineRule="auto" w:before="17"/>
              <w:ind w:right="3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1,198,476</w:t>
            </w:r>
            <w:r>
              <w:rPr>
                <w:rFonts w:ascii="Arial"/>
                <w:sz w:val="22"/>
                <w:u w:val="single" w:color="000000"/>
              </w:rPr>
              <w:tab/>
            </w:r>
            <w:r>
              <w:rPr>
                <w:rFonts w:ascii="Arial"/>
                <w:sz w:val="22"/>
              </w:rPr>
            </w:r>
          </w:p>
        </w:tc>
      </w:tr>
      <w:tr>
        <w:trPr>
          <w:trHeight w:val="274" w:hRule="exact"/>
        </w:trPr>
        <w:tc>
          <w:tcPr>
            <w:tcW w:w="1540"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17" w:space="0" w:color="000000"/>
              <w:right w:val="nil" w:sz="6" w:space="0" w:color="auto"/>
            </w:tcBorders>
          </w:tcPr>
          <w:p>
            <w:pPr>
              <w:pStyle w:val="TableParagraph"/>
              <w:spacing w:line="249" w:lineRule="exact"/>
              <w:ind w:left="1207" w:right="0"/>
              <w:jc w:val="left"/>
              <w:rPr>
                <w:rFonts w:ascii="Arial" w:hAnsi="Arial" w:cs="Arial" w:eastAsia="Arial" w:hint="default"/>
                <w:sz w:val="22"/>
                <w:szCs w:val="22"/>
              </w:rPr>
            </w:pPr>
            <w:r>
              <w:rPr>
                <w:rFonts w:ascii="Arial"/>
                <w:sz w:val="22"/>
              </w:rPr>
              <w:t>2,635,197</w:t>
            </w:r>
          </w:p>
        </w:tc>
        <w:tc>
          <w:tcPr>
            <w:tcW w:w="238"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17" w:space="0" w:color="000000"/>
              <w:right w:val="nil" w:sz="6" w:space="0" w:color="auto"/>
            </w:tcBorders>
          </w:tcPr>
          <w:p>
            <w:pPr>
              <w:pStyle w:val="TableParagraph"/>
              <w:spacing w:line="249" w:lineRule="exact"/>
              <w:ind w:left="1179" w:right="0"/>
              <w:jc w:val="left"/>
              <w:rPr>
                <w:rFonts w:ascii="Arial" w:hAnsi="Arial" w:cs="Arial" w:eastAsia="Arial" w:hint="default"/>
                <w:sz w:val="22"/>
                <w:szCs w:val="22"/>
              </w:rPr>
            </w:pPr>
            <w:r>
              <w:rPr>
                <w:rFonts w:ascii="Arial"/>
                <w:sz w:val="22"/>
              </w:rPr>
              <w:t>3,964,344</w:t>
            </w:r>
          </w:p>
        </w:tc>
      </w:tr>
    </w:tbl>
    <w:p>
      <w:pPr>
        <w:spacing w:after="0" w:line="249" w:lineRule="exact"/>
        <w:jc w:val="left"/>
        <w:rPr>
          <w:rFonts w:ascii="Arial" w:hAnsi="Arial" w:cs="Arial" w:eastAsia="Arial" w:hint="default"/>
          <w:sz w:val="22"/>
          <w:szCs w:val="22"/>
        </w:rPr>
        <w:sectPr>
          <w:headerReference w:type="default" r:id="rId143"/>
          <w:pgSz w:w="11900" w:h="16840"/>
          <w:pgMar w:header="1184" w:footer="752" w:top="3040" w:bottom="940" w:left="1280" w:right="740"/>
        </w:sectPr>
      </w:pPr>
    </w:p>
    <w:p>
      <w:pPr>
        <w:spacing w:line="240" w:lineRule="auto" w:before="9"/>
        <w:rPr>
          <w:rFonts w:ascii="宋体" w:hAnsi="宋体" w:cs="宋体" w:eastAsia="宋体" w:hint="default"/>
          <w:sz w:val="16"/>
          <w:szCs w:val="16"/>
        </w:rPr>
      </w:pPr>
    </w:p>
    <w:p>
      <w:pPr>
        <w:pStyle w:val="BodyText"/>
        <w:spacing w:line="240" w:lineRule="auto" w:before="31"/>
        <w:ind w:left="142" w:right="97"/>
        <w:jc w:val="left"/>
      </w:pPr>
      <w:r>
        <w:rPr>
          <w:rFonts w:ascii="Arial" w:hAnsi="Arial" w:cs="Arial" w:eastAsia="Arial" w:hint="default"/>
        </w:rPr>
        <w:t>5</w:t>
      </w:r>
      <w:r>
        <w:rPr/>
        <w:t>、</w:t>
      </w:r>
      <w:r>
        <w:rPr>
          <w:spacing w:val="-37"/>
        </w:rPr>
        <w:t> </w:t>
      </w:r>
      <w:r>
        <w:rPr/>
        <w:t>关联方应收、应付款项余额（续）</w:t>
      </w:r>
    </w:p>
    <w:p>
      <w:pPr>
        <w:spacing w:line="240" w:lineRule="auto" w:before="13"/>
        <w:rPr>
          <w:rFonts w:ascii="宋体" w:hAnsi="宋体" w:cs="宋体" w:eastAsia="宋体" w:hint="default"/>
          <w:sz w:val="17"/>
          <w:szCs w:val="17"/>
        </w:rPr>
      </w:pPr>
    </w:p>
    <w:p>
      <w:pPr>
        <w:pStyle w:val="BodyText"/>
        <w:spacing w:line="295" w:lineRule="exact"/>
        <w:ind w:left="592" w:right="0"/>
        <w:jc w:val="both"/>
      </w:pPr>
      <w:r>
        <w:rPr/>
        <w:t>注</w:t>
      </w:r>
      <w:r>
        <w:rPr>
          <w:spacing w:val="-44"/>
        </w:rPr>
        <w:t> </w:t>
      </w:r>
      <w:r>
        <w:rPr>
          <w:rFonts w:ascii="Arial" w:hAnsi="Arial" w:cs="Arial" w:eastAsia="Arial" w:hint="default"/>
        </w:rPr>
        <w:t>1</w:t>
      </w:r>
      <w:r>
        <w:rPr/>
        <w:t>：于</w:t>
      </w:r>
      <w:r>
        <w:rPr>
          <w:spacing w:val="-44"/>
        </w:rPr>
        <w:t> </w:t>
      </w:r>
      <w:r>
        <w:rPr>
          <w:rFonts w:ascii="Arial" w:hAnsi="Arial" w:cs="Arial" w:eastAsia="Arial" w:hint="default"/>
        </w:rPr>
        <w:t>2011</w:t>
      </w:r>
      <w:r>
        <w:rPr>
          <w:rFonts w:ascii="Arial" w:hAnsi="Arial" w:cs="Arial" w:eastAsia="Arial" w:hint="default"/>
          <w:spacing w:val="5"/>
        </w:rPr>
        <w:t> </w:t>
      </w:r>
      <w:r>
        <w:rPr/>
        <w:t>年</w:t>
      </w:r>
      <w:r>
        <w:rPr>
          <w:spacing w:val="-44"/>
        </w:rPr>
        <w:t> </w:t>
      </w:r>
      <w:r>
        <w:rPr>
          <w:rFonts w:ascii="Arial" w:hAnsi="Arial" w:cs="Arial" w:eastAsia="Arial" w:hint="default"/>
        </w:rPr>
        <w:t>12</w:t>
      </w:r>
      <w:r>
        <w:rPr>
          <w:rFonts w:ascii="Arial" w:hAnsi="Arial" w:cs="Arial" w:eastAsia="Arial" w:hint="default"/>
          <w:spacing w:val="6"/>
        </w:rPr>
        <w:t> </w:t>
      </w:r>
      <w:r>
        <w:rPr/>
        <w:t>月</w:t>
      </w:r>
      <w:r>
        <w:rPr>
          <w:spacing w:val="-43"/>
        </w:rPr>
        <w:t> </w:t>
      </w:r>
      <w:r>
        <w:rPr>
          <w:rFonts w:ascii="Arial" w:hAnsi="Arial" w:cs="Arial" w:eastAsia="Arial" w:hint="default"/>
        </w:rPr>
        <w:t>31</w:t>
      </w:r>
      <w:r>
        <w:rPr>
          <w:rFonts w:ascii="Arial" w:hAnsi="Arial" w:cs="Arial" w:eastAsia="Arial" w:hint="default"/>
          <w:spacing w:val="5"/>
        </w:rPr>
        <w:t> </w:t>
      </w:r>
      <w:r>
        <w:rPr/>
        <w:t>日，应付联通集团款包括宽带在线收购联通新时讯尚未支付的对价</w:t>
      </w:r>
    </w:p>
    <w:p>
      <w:pPr>
        <w:pStyle w:val="BodyText"/>
        <w:spacing w:line="285" w:lineRule="exact"/>
        <w:ind w:left="1204" w:right="0"/>
        <w:jc w:val="left"/>
        <w:rPr>
          <w:rFonts w:ascii="Arial" w:hAnsi="Arial" w:cs="Arial" w:eastAsia="Arial" w:hint="default"/>
        </w:rPr>
      </w:pPr>
      <w:r>
        <w:rPr>
          <w:w w:val="99"/>
        </w:rPr>
        <w:t>约人民币</w:t>
      </w:r>
      <w:r>
        <w:rPr>
          <w:spacing w:val="-59"/>
        </w:rPr>
        <w:t> </w:t>
      </w:r>
      <w:r>
        <w:rPr>
          <w:rFonts w:ascii="Arial" w:hAnsi="Arial" w:cs="Arial" w:eastAsia="Arial" w:hint="default"/>
          <w:w w:val="99"/>
        </w:rPr>
        <w:t>1</w:t>
      </w:r>
      <w:r>
        <w:rPr>
          <w:rFonts w:ascii="Arial" w:hAnsi="Arial" w:cs="Arial" w:eastAsia="Arial" w:hint="default"/>
          <w:spacing w:val="1"/>
          <w:w w:val="99"/>
        </w:rPr>
        <w:t>.</w:t>
      </w:r>
      <w:r>
        <w:rPr>
          <w:rFonts w:ascii="Arial" w:hAnsi="Arial" w:cs="Arial" w:eastAsia="Arial" w:hint="default"/>
          <w:w w:val="99"/>
        </w:rPr>
        <w:t>58</w:t>
      </w:r>
      <w:r>
        <w:rPr>
          <w:rFonts w:ascii="Arial" w:hAnsi="Arial" w:cs="Arial" w:eastAsia="Arial" w:hint="default"/>
          <w:spacing w:val="-10"/>
        </w:rPr>
        <w:t> </w:t>
      </w:r>
      <w:r>
        <w:rPr>
          <w:w w:val="99"/>
        </w:rPr>
        <w:t>亿元</w:t>
      </w:r>
      <w:r>
        <w:rPr>
          <w:spacing w:val="-110"/>
          <w:w w:val="99"/>
        </w:rPr>
        <w:t>。</w:t>
      </w:r>
      <w:r>
        <w:rPr>
          <w:spacing w:val="1"/>
          <w:w w:val="99"/>
        </w:rPr>
        <w:t>宽</w:t>
      </w:r>
      <w:r>
        <w:rPr>
          <w:w w:val="99"/>
        </w:rPr>
        <w:t>带在线</w:t>
      </w:r>
      <w:r>
        <w:rPr>
          <w:spacing w:val="1"/>
          <w:w w:val="99"/>
        </w:rPr>
        <w:t>收购</w:t>
      </w:r>
      <w:r>
        <w:rPr>
          <w:w w:val="99"/>
        </w:rPr>
        <w:t>联通新</w:t>
      </w:r>
      <w:r>
        <w:rPr>
          <w:spacing w:val="1"/>
          <w:w w:val="99"/>
        </w:rPr>
        <w:t>时讯</w:t>
      </w:r>
      <w:r>
        <w:rPr>
          <w:w w:val="99"/>
        </w:rPr>
        <w:t>的交易</w:t>
      </w:r>
      <w:r>
        <w:rPr>
          <w:spacing w:val="1"/>
          <w:w w:val="99"/>
        </w:rPr>
        <w:t>亦被</w:t>
      </w:r>
      <w:r>
        <w:rPr>
          <w:w w:val="99"/>
        </w:rPr>
        <w:t>视为本</w:t>
      </w:r>
      <w:r>
        <w:rPr>
          <w:spacing w:val="1"/>
          <w:w w:val="99"/>
        </w:rPr>
        <w:t>集团</w:t>
      </w:r>
      <w:r>
        <w:rPr>
          <w:w w:val="99"/>
        </w:rPr>
        <w:t>与联通</w:t>
      </w:r>
      <w:r>
        <w:rPr>
          <w:spacing w:val="1"/>
          <w:w w:val="99"/>
        </w:rPr>
        <w:t>集团</w:t>
      </w:r>
      <w:r>
        <w:rPr>
          <w:w w:val="99"/>
        </w:rPr>
        <w:t>于</w:t>
      </w:r>
      <w:r>
        <w:rPr>
          <w:spacing w:val="-59"/>
        </w:rPr>
        <w:t> </w:t>
      </w:r>
      <w:r>
        <w:rPr>
          <w:rFonts w:ascii="Arial" w:hAnsi="Arial" w:cs="Arial" w:eastAsia="Arial" w:hint="default"/>
          <w:w w:val="99"/>
        </w:rPr>
        <w:t>2011</w:t>
      </w:r>
      <w:r>
        <w:rPr>
          <w:rFonts w:ascii="Arial" w:hAnsi="Arial" w:cs="Arial" w:eastAsia="Arial" w:hint="default"/>
        </w:rPr>
      </w:r>
    </w:p>
    <w:p>
      <w:pPr>
        <w:pStyle w:val="BodyText"/>
        <w:spacing w:line="278" w:lineRule="exact"/>
        <w:ind w:left="1204" w:right="97"/>
        <w:jc w:val="left"/>
      </w:pPr>
      <w:r>
        <w:rPr/>
        <w:t>年度的关联交易。</w:t>
      </w:r>
    </w:p>
    <w:p>
      <w:pPr>
        <w:spacing w:line="240" w:lineRule="auto" w:before="4"/>
        <w:rPr>
          <w:rFonts w:ascii="宋体" w:hAnsi="宋体" w:cs="宋体" w:eastAsia="宋体" w:hint="default"/>
          <w:sz w:val="21"/>
          <w:szCs w:val="21"/>
        </w:rPr>
      </w:pPr>
    </w:p>
    <w:p>
      <w:pPr>
        <w:pStyle w:val="BodyText"/>
        <w:spacing w:line="286" w:lineRule="exact"/>
        <w:ind w:left="1204" w:right="109" w:hanging="613"/>
        <w:jc w:val="both"/>
        <w:rPr>
          <w:rFonts w:ascii="Arial" w:hAnsi="Arial" w:cs="Arial" w:eastAsia="Arial" w:hint="default"/>
        </w:rPr>
      </w:pPr>
      <w:r>
        <w:rPr/>
        <w:t>注</w:t>
      </w:r>
      <w:r>
        <w:rPr>
          <w:spacing w:val="-53"/>
        </w:rPr>
        <w:t> </w:t>
      </w:r>
      <w:r>
        <w:rPr>
          <w:rFonts w:ascii="Arial" w:hAnsi="Arial" w:cs="Arial" w:eastAsia="Arial" w:hint="default"/>
        </w:rPr>
        <w:t>2</w:t>
      </w:r>
      <w:r>
        <w:rPr/>
        <w:t>：于</w:t>
      </w:r>
      <w:r>
        <w:rPr>
          <w:spacing w:val="-53"/>
        </w:rPr>
        <w:t> </w:t>
      </w:r>
      <w:r>
        <w:rPr>
          <w:rFonts w:ascii="Arial" w:hAnsi="Arial" w:cs="Arial" w:eastAsia="Arial" w:hint="default"/>
        </w:rPr>
        <w:t>2011</w:t>
      </w:r>
      <w:r>
        <w:rPr>
          <w:rFonts w:ascii="Arial" w:hAnsi="Arial" w:cs="Arial" w:eastAsia="Arial" w:hint="default"/>
          <w:spacing w:val="-3"/>
        </w:rPr>
        <w:t> </w:t>
      </w:r>
      <w:r>
        <w:rPr/>
        <w:t>年</w:t>
      </w:r>
      <w:r>
        <w:rPr>
          <w:spacing w:val="-53"/>
        </w:rPr>
        <w:t> </w:t>
      </w:r>
      <w:r>
        <w:rPr>
          <w:rFonts w:ascii="Arial" w:hAnsi="Arial" w:cs="Arial" w:eastAsia="Arial" w:hint="default"/>
        </w:rPr>
        <w:t>12</w:t>
      </w:r>
      <w:r>
        <w:rPr>
          <w:rFonts w:ascii="Arial" w:hAnsi="Arial" w:cs="Arial" w:eastAsia="Arial" w:hint="default"/>
          <w:spacing w:val="-3"/>
        </w:rPr>
        <w:t> </w:t>
      </w:r>
      <w:r>
        <w:rPr/>
        <w:t>月</w:t>
      </w:r>
      <w:r>
        <w:rPr>
          <w:spacing w:val="-53"/>
        </w:rPr>
        <w:t> </w:t>
      </w:r>
      <w:r>
        <w:rPr>
          <w:rFonts w:ascii="Arial" w:hAnsi="Arial" w:cs="Arial" w:eastAsia="Arial" w:hint="default"/>
        </w:rPr>
        <w:t>31</w:t>
      </w:r>
      <w:r>
        <w:rPr>
          <w:rFonts w:ascii="Arial" w:hAnsi="Arial" w:cs="Arial" w:eastAsia="Arial" w:hint="default"/>
          <w:spacing w:val="-3"/>
        </w:rPr>
        <w:t> </w:t>
      </w:r>
      <w:r>
        <w:rPr/>
        <w:t>日，上述其他应付网通</w:t>
      </w:r>
      <w:r>
        <w:rPr>
          <w:spacing w:val="-53"/>
        </w:rPr>
        <w:t> </w:t>
      </w:r>
      <w:r>
        <w:rPr>
          <w:rFonts w:ascii="Arial" w:hAnsi="Arial" w:cs="Arial" w:eastAsia="Arial" w:hint="default"/>
        </w:rPr>
        <w:t>BVI</w:t>
      </w:r>
      <w:r>
        <w:rPr>
          <w:rFonts w:ascii="Arial" w:hAnsi="Arial" w:cs="Arial" w:eastAsia="Arial" w:hint="default"/>
          <w:spacing w:val="-4"/>
        </w:rPr>
        <w:t> </w:t>
      </w:r>
      <w:r>
        <w:rPr/>
        <w:t>款项为联通红筹公司应付网通</w:t>
      </w:r>
      <w:r>
        <w:rPr>
          <w:spacing w:val="-53"/>
        </w:rPr>
        <w:t> </w:t>
      </w:r>
      <w:r>
        <w:rPr>
          <w:rFonts w:ascii="Arial" w:hAnsi="Arial" w:cs="Arial" w:eastAsia="Arial" w:hint="default"/>
        </w:rPr>
        <w:t>BVI</w:t>
      </w:r>
      <w:r>
        <w:rPr>
          <w:rFonts w:ascii="Arial" w:hAnsi="Arial" w:cs="Arial" w:eastAsia="Arial" w:hint="default"/>
          <w:spacing w:val="-4"/>
        </w:rPr>
        <w:t> </w:t>
      </w:r>
      <w:r>
        <w:rPr/>
        <w:t>的关</w:t>
      </w:r>
      <w:r>
        <w:rPr>
          <w:w w:val="99"/>
        </w:rPr>
        <w:t> </w:t>
      </w:r>
      <w:r>
        <w:rPr/>
        <w:t>联公司借款本金及利息，本金为港币</w:t>
      </w:r>
      <w:r>
        <w:rPr>
          <w:spacing w:val="-54"/>
        </w:rPr>
        <w:t> </w:t>
      </w:r>
      <w:r>
        <w:rPr>
          <w:rFonts w:ascii="Arial" w:hAnsi="Arial" w:cs="Arial" w:eastAsia="Arial" w:hint="default"/>
        </w:rPr>
        <w:t>26.3</w:t>
      </w:r>
      <w:r>
        <w:rPr>
          <w:rFonts w:ascii="Arial" w:hAnsi="Arial" w:cs="Arial" w:eastAsia="Arial" w:hint="default"/>
          <w:spacing w:val="-4"/>
        </w:rPr>
        <w:t> </w:t>
      </w:r>
      <w:r>
        <w:rPr/>
        <w:t>亿元，折合约人民币</w:t>
      </w:r>
      <w:r>
        <w:rPr>
          <w:spacing w:val="-54"/>
        </w:rPr>
        <w:t> </w:t>
      </w:r>
      <w:r>
        <w:rPr>
          <w:rFonts w:ascii="Arial" w:hAnsi="Arial" w:cs="Arial" w:eastAsia="Arial" w:hint="default"/>
        </w:rPr>
        <w:t>21.32</w:t>
      </w:r>
      <w:r>
        <w:rPr>
          <w:rFonts w:ascii="Arial" w:hAnsi="Arial" w:cs="Arial" w:eastAsia="Arial" w:hint="default"/>
          <w:spacing w:val="-4"/>
        </w:rPr>
        <w:t> </w:t>
      </w:r>
      <w:r>
        <w:rPr/>
        <w:t>亿元（</w:t>
      </w:r>
      <w:r>
        <w:rPr>
          <w:rFonts w:ascii="Arial" w:hAnsi="Arial" w:cs="Arial" w:eastAsia="Arial" w:hint="default"/>
        </w:rPr>
        <w:t>2010</w:t>
      </w:r>
      <w:r>
        <w:rPr>
          <w:rFonts w:ascii="Arial" w:hAnsi="Arial" w:cs="Arial" w:eastAsia="Arial" w:hint="default"/>
          <w:spacing w:val="-4"/>
        </w:rPr>
        <w:t> </w:t>
      </w:r>
      <w:r>
        <w:rPr/>
        <w:t>年</w:t>
      </w:r>
      <w:r>
        <w:rPr>
          <w:spacing w:val="-54"/>
        </w:rPr>
        <w:t> </w:t>
      </w:r>
      <w:r>
        <w:rPr>
          <w:rFonts w:ascii="Arial" w:hAnsi="Arial" w:cs="Arial" w:eastAsia="Arial" w:hint="default"/>
        </w:rPr>
        <w:t>12</w:t>
      </w:r>
    </w:p>
    <w:p>
      <w:pPr>
        <w:pStyle w:val="BodyText"/>
        <w:spacing w:line="265" w:lineRule="exact"/>
        <w:ind w:left="1204" w:right="0"/>
        <w:jc w:val="left"/>
      </w:pPr>
      <w:r>
        <w:rPr/>
        <w:t>月</w:t>
      </w:r>
      <w:r>
        <w:rPr>
          <w:spacing w:val="-45"/>
        </w:rPr>
        <w:t> </w:t>
      </w:r>
      <w:r>
        <w:rPr>
          <w:rFonts w:ascii="Arial" w:hAnsi="Arial" w:cs="Arial" w:eastAsia="Arial" w:hint="default"/>
        </w:rPr>
        <w:t>31</w:t>
      </w:r>
      <w:r>
        <w:rPr>
          <w:rFonts w:ascii="Arial" w:hAnsi="Arial" w:cs="Arial" w:eastAsia="Arial" w:hint="default"/>
          <w:spacing w:val="5"/>
        </w:rPr>
        <w:t> </w:t>
      </w:r>
      <w:r>
        <w:rPr/>
        <w:t>日：本金为港币</w:t>
      </w:r>
      <w:r>
        <w:rPr>
          <w:spacing w:val="-44"/>
        </w:rPr>
        <w:t> </w:t>
      </w:r>
      <w:r>
        <w:rPr>
          <w:rFonts w:ascii="Arial" w:hAnsi="Arial" w:cs="Arial" w:eastAsia="Arial" w:hint="default"/>
        </w:rPr>
        <w:t>23.9</w:t>
      </w:r>
      <w:r>
        <w:rPr>
          <w:rFonts w:ascii="Arial" w:hAnsi="Arial" w:cs="Arial" w:eastAsia="Arial" w:hint="default"/>
          <w:spacing w:val="4"/>
        </w:rPr>
        <w:t> </w:t>
      </w:r>
      <w:r>
        <w:rPr/>
        <w:t>亿元，折合约人民币</w:t>
      </w:r>
      <w:r>
        <w:rPr>
          <w:spacing w:val="-46"/>
        </w:rPr>
        <w:t> </w:t>
      </w:r>
      <w:r>
        <w:rPr>
          <w:rFonts w:ascii="Arial" w:hAnsi="Arial" w:cs="Arial" w:eastAsia="Arial" w:hint="default"/>
        </w:rPr>
        <w:t>20.34</w:t>
      </w:r>
      <w:r>
        <w:rPr>
          <w:rFonts w:ascii="Arial" w:hAnsi="Arial" w:cs="Arial" w:eastAsia="Arial" w:hint="default"/>
          <w:spacing w:val="4"/>
        </w:rPr>
        <w:t> </w:t>
      </w:r>
      <w:r>
        <w:rPr/>
        <w:t>亿元）。上述借款的借款利率根</w:t>
      </w:r>
    </w:p>
    <w:p>
      <w:pPr>
        <w:pStyle w:val="BodyText"/>
        <w:spacing w:line="295" w:lineRule="exact"/>
        <w:ind w:left="1204" w:right="97"/>
        <w:jc w:val="left"/>
      </w:pPr>
      <w:r>
        <w:rPr/>
        <w:t>据香港同业银行拆借利率上浮</w:t>
      </w:r>
      <w:r>
        <w:rPr>
          <w:spacing w:val="-57"/>
        </w:rPr>
        <w:t> </w:t>
      </w:r>
      <w:r>
        <w:rPr>
          <w:rFonts w:ascii="Arial" w:hAnsi="Arial" w:cs="Arial" w:eastAsia="Arial" w:hint="default"/>
        </w:rPr>
        <w:t>0.8%</w:t>
      </w:r>
      <w:r>
        <w:rPr/>
        <w:t>确定，并将于</w:t>
      </w:r>
      <w:r>
        <w:rPr>
          <w:spacing w:val="-57"/>
        </w:rPr>
        <w:t> </w:t>
      </w:r>
      <w:r>
        <w:rPr>
          <w:rFonts w:ascii="Arial" w:hAnsi="Arial" w:cs="Arial" w:eastAsia="Arial" w:hint="default"/>
        </w:rPr>
        <w:t>2012</w:t>
      </w:r>
      <w:r>
        <w:rPr>
          <w:rFonts w:ascii="Arial" w:hAnsi="Arial" w:cs="Arial" w:eastAsia="Arial" w:hint="default"/>
          <w:spacing w:val="-8"/>
        </w:rPr>
        <w:t> </w:t>
      </w:r>
      <w:r>
        <w:rPr/>
        <w:t>年到期。</w:t>
      </w:r>
    </w:p>
    <w:p>
      <w:pPr>
        <w:spacing w:line="240" w:lineRule="auto" w:before="2"/>
        <w:rPr>
          <w:rFonts w:ascii="宋体" w:hAnsi="宋体" w:cs="宋体" w:eastAsia="宋体" w:hint="default"/>
          <w:sz w:val="19"/>
          <w:szCs w:val="19"/>
        </w:rPr>
      </w:pPr>
    </w:p>
    <w:p>
      <w:pPr>
        <w:pStyle w:val="BodyText"/>
        <w:spacing w:line="225" w:lineRule="auto"/>
        <w:ind w:left="1192" w:right="110" w:hanging="600"/>
        <w:jc w:val="both"/>
      </w:pPr>
      <w:r>
        <w:rPr/>
        <w:t>注</w:t>
      </w:r>
      <w:r>
        <w:rPr>
          <w:spacing w:val="-50"/>
        </w:rPr>
        <w:t> </w:t>
      </w:r>
      <w:r>
        <w:rPr>
          <w:rFonts w:ascii="Arial" w:hAnsi="Arial" w:cs="Arial" w:eastAsia="Arial" w:hint="default"/>
        </w:rPr>
        <w:t>3</w:t>
      </w:r>
      <w:r>
        <w:rPr/>
        <w:t>：于</w:t>
      </w:r>
      <w:r>
        <w:rPr>
          <w:spacing w:val="-50"/>
        </w:rPr>
        <w:t> </w:t>
      </w:r>
      <w:r>
        <w:rPr>
          <w:rFonts w:ascii="Arial" w:hAnsi="Arial" w:cs="Arial" w:eastAsia="Arial" w:hint="default"/>
        </w:rPr>
        <w:t>2011</w:t>
      </w:r>
      <w:r>
        <w:rPr>
          <w:rFonts w:ascii="Arial" w:hAnsi="Arial" w:cs="Arial" w:eastAsia="Arial" w:hint="default"/>
          <w:spacing w:val="-1"/>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日，上述其他应付网通集团</w:t>
      </w:r>
      <w:r>
        <w:rPr>
          <w:spacing w:val="-50"/>
        </w:rPr>
        <w:t> </w:t>
      </w:r>
      <w:r>
        <w:rPr>
          <w:rFonts w:ascii="Arial" w:hAnsi="Arial" w:cs="Arial" w:eastAsia="Arial" w:hint="default"/>
        </w:rPr>
        <w:t>BVI </w:t>
      </w:r>
      <w:r>
        <w:rPr/>
        <w:t>公司款项为联通红筹公司应付网通</w:t>
      </w:r>
      <w:r>
        <w:rPr>
          <w:w w:val="99"/>
        </w:rPr>
        <w:t> </w:t>
      </w:r>
      <w:r>
        <w:rPr/>
        <w:t>集团</w:t>
      </w:r>
      <w:r>
        <w:rPr>
          <w:spacing w:val="-39"/>
        </w:rPr>
        <w:t> </w:t>
      </w:r>
      <w:r>
        <w:rPr>
          <w:rFonts w:ascii="Arial" w:hAnsi="Arial" w:cs="Arial" w:eastAsia="Arial" w:hint="default"/>
        </w:rPr>
        <w:t>BVI</w:t>
      </w:r>
      <w:r>
        <w:rPr>
          <w:rFonts w:ascii="Arial" w:hAnsi="Arial" w:cs="Arial" w:eastAsia="Arial" w:hint="default"/>
          <w:spacing w:val="10"/>
        </w:rPr>
        <w:t> </w:t>
      </w:r>
      <w:r>
        <w:rPr/>
        <w:t>公司的关联公司借款本金及利息，其中本金为港币</w:t>
      </w:r>
      <w:r>
        <w:rPr>
          <w:spacing w:val="-40"/>
        </w:rPr>
        <w:t> </w:t>
      </w:r>
      <w:r>
        <w:rPr>
          <w:rFonts w:ascii="Arial" w:hAnsi="Arial" w:cs="Arial" w:eastAsia="Arial" w:hint="default"/>
        </w:rPr>
        <w:t>3,000</w:t>
      </w:r>
      <w:r>
        <w:rPr>
          <w:rFonts w:ascii="Arial" w:hAnsi="Arial" w:cs="Arial" w:eastAsia="Arial" w:hint="default"/>
          <w:spacing w:val="10"/>
        </w:rPr>
        <w:t> </w:t>
      </w:r>
      <w:r>
        <w:rPr/>
        <w:t>万元，折合约人民币</w:t>
      </w:r>
      <w:r>
        <w:rPr>
          <w:w w:val="99"/>
        </w:rPr>
        <w:t> </w:t>
      </w:r>
      <w:r>
        <w:rPr>
          <w:rFonts w:ascii="Arial" w:hAnsi="Arial" w:cs="Arial" w:eastAsia="Arial" w:hint="default"/>
        </w:rPr>
        <w:t>2,432</w:t>
      </w:r>
      <w:r>
        <w:rPr>
          <w:rFonts w:ascii="Arial" w:hAnsi="Arial" w:cs="Arial" w:eastAsia="Arial" w:hint="default"/>
          <w:spacing w:val="-10"/>
        </w:rPr>
        <w:t> </w:t>
      </w:r>
      <w:r>
        <w:rPr/>
        <w:t>万元，到期日为</w:t>
      </w:r>
      <w:r>
        <w:rPr>
          <w:spacing w:val="-58"/>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16</w:t>
      </w:r>
      <w:r>
        <w:rPr>
          <w:rFonts w:ascii="Arial" w:hAnsi="Arial" w:cs="Arial" w:eastAsia="Arial" w:hint="default"/>
          <w:spacing w:val="-10"/>
        </w:rPr>
        <w:t> </w:t>
      </w:r>
      <w:r>
        <w:rPr/>
        <w:t>日或贷款人同意的其他日期。此借款利率根据</w:t>
      </w:r>
      <w:r>
        <w:rPr>
          <w:spacing w:val="-59"/>
        </w:rPr>
        <w:t> </w:t>
      </w:r>
      <w:r>
        <w:rPr>
          <w:rFonts w:ascii="Arial" w:hAnsi="Arial" w:cs="Arial" w:eastAsia="Arial" w:hint="default"/>
        </w:rPr>
        <w:t>6</w:t>
      </w:r>
      <w:r>
        <w:rPr>
          <w:rFonts w:ascii="Arial" w:hAnsi="Arial" w:cs="Arial" w:eastAsia="Arial" w:hint="default"/>
          <w:w w:val="99"/>
        </w:rPr>
        <w:t> </w:t>
      </w:r>
      <w:r>
        <w:rPr/>
        <w:t>个月香港同业银行拆借利率上浮</w:t>
      </w:r>
      <w:r>
        <w:rPr>
          <w:spacing w:val="-59"/>
        </w:rPr>
        <w:t> </w:t>
      </w:r>
      <w:r>
        <w:rPr>
          <w:rFonts w:ascii="Arial" w:hAnsi="Arial" w:cs="Arial" w:eastAsia="Arial" w:hint="default"/>
        </w:rPr>
        <w:t>0.1%</w:t>
      </w:r>
      <w:r>
        <w:rPr/>
        <w:t>确定，借款人每半年支付利息。</w:t>
      </w:r>
    </w:p>
    <w:p>
      <w:pPr>
        <w:spacing w:line="240" w:lineRule="auto" w:before="5"/>
        <w:rPr>
          <w:rFonts w:ascii="宋体" w:hAnsi="宋体" w:cs="宋体" w:eastAsia="宋体" w:hint="default"/>
          <w:sz w:val="19"/>
          <w:szCs w:val="19"/>
        </w:rPr>
      </w:pPr>
    </w:p>
    <w:p>
      <w:pPr>
        <w:pStyle w:val="BodyText"/>
        <w:spacing w:line="225" w:lineRule="auto"/>
        <w:ind w:left="574" w:right="109"/>
        <w:jc w:val="both"/>
      </w:pPr>
      <w:r>
        <w:rPr/>
        <w:t>应收、应付关联公司余额除应付网通</w:t>
      </w:r>
      <w:r>
        <w:rPr>
          <w:spacing w:val="-56"/>
        </w:rPr>
        <w:t> </w:t>
      </w:r>
      <w:r>
        <w:rPr>
          <w:rFonts w:ascii="Arial" w:hAnsi="Arial" w:cs="Arial" w:eastAsia="Arial" w:hint="default"/>
        </w:rPr>
        <w:t>BVI</w:t>
      </w:r>
      <w:r>
        <w:rPr>
          <w:rFonts w:ascii="Arial" w:hAnsi="Arial" w:cs="Arial" w:eastAsia="Arial" w:hint="default"/>
          <w:spacing w:val="-7"/>
        </w:rPr>
        <w:t> </w:t>
      </w:r>
      <w:r>
        <w:rPr/>
        <w:t>及网通集团</w:t>
      </w:r>
      <w:r>
        <w:rPr>
          <w:spacing w:val="-56"/>
        </w:rPr>
        <w:t> </w:t>
      </w:r>
      <w:r>
        <w:rPr>
          <w:rFonts w:ascii="Arial" w:hAnsi="Arial" w:cs="Arial" w:eastAsia="Arial" w:hint="default"/>
        </w:rPr>
        <w:t>BVI</w:t>
      </w:r>
      <w:r>
        <w:rPr>
          <w:rFonts w:ascii="Arial" w:hAnsi="Arial" w:cs="Arial" w:eastAsia="Arial" w:hint="default"/>
          <w:spacing w:val="-6"/>
        </w:rPr>
        <w:t> </w:t>
      </w:r>
      <w:r>
        <w:rPr/>
        <w:t>公司款项外，均为无抵押、不计息、</w:t>
      </w:r>
      <w:r>
        <w:rPr>
          <w:w w:val="99"/>
        </w:rPr>
        <w:t> </w:t>
      </w:r>
      <w:r>
        <w:rPr/>
        <w:t>即期偿付或于有关合同条款规定的期限内支付或收取，并主要依据附注七</w:t>
      </w:r>
      <w:r>
        <w:rPr>
          <w:rFonts w:ascii="Arial" w:hAnsi="Arial" w:cs="Arial" w:eastAsia="Arial" w:hint="default"/>
        </w:rPr>
        <w:t>(4)</w:t>
      </w:r>
      <w:r>
        <w:rPr/>
        <w:t>所述与联通集团及</w:t>
      </w:r>
      <w:r>
        <w:rPr>
          <w:w w:val="99"/>
        </w:rPr>
        <w:t> </w:t>
      </w:r>
      <w:r>
        <w:rPr/>
        <w:t>其子公司的经营交易产生。</w:t>
      </w:r>
    </w:p>
    <w:p>
      <w:pPr>
        <w:spacing w:line="240" w:lineRule="auto" w:before="4"/>
        <w:rPr>
          <w:rFonts w:ascii="宋体" w:hAnsi="宋体" w:cs="宋体" w:eastAsia="宋体" w:hint="default"/>
          <w:sz w:val="19"/>
          <w:szCs w:val="19"/>
        </w:rPr>
      </w:pPr>
    </w:p>
    <w:p>
      <w:pPr>
        <w:pStyle w:val="BodyText"/>
        <w:spacing w:line="240" w:lineRule="auto"/>
        <w:ind w:left="142" w:right="97"/>
        <w:jc w:val="left"/>
      </w:pPr>
      <w:r>
        <w:rPr>
          <w:rFonts w:ascii="Arial" w:hAnsi="Arial" w:cs="Arial" w:eastAsia="Arial" w:hint="default"/>
        </w:rPr>
        <w:t>6</w:t>
      </w:r>
      <w:r>
        <w:rPr/>
        <w:t>、</w:t>
      </w:r>
      <w:r>
        <w:rPr>
          <w:spacing w:val="-37"/>
        </w:rPr>
        <w:t> </w:t>
      </w:r>
      <w:r>
        <w:rPr/>
        <w:t>关联方承诺</w:t>
      </w:r>
    </w:p>
    <w:p>
      <w:pPr>
        <w:spacing w:line="240" w:lineRule="auto" w:before="0"/>
        <w:rPr>
          <w:rFonts w:ascii="宋体" w:hAnsi="宋体" w:cs="宋体" w:eastAsia="宋体" w:hint="default"/>
          <w:sz w:val="20"/>
          <w:szCs w:val="20"/>
        </w:rPr>
      </w:pPr>
    </w:p>
    <w:p>
      <w:pPr>
        <w:pStyle w:val="BodyText"/>
        <w:spacing w:line="286" w:lineRule="exact"/>
        <w:ind w:left="592" w:right="111"/>
        <w:jc w:val="both"/>
      </w:pPr>
      <w:r>
        <w:rPr/>
        <w:t>以下为本集团于资产负债表日，已签约而尚不必在资产负债表上列示的与关联方有关的承诺事</w:t>
      </w:r>
      <w:r>
        <w:rPr>
          <w:spacing w:val="-85"/>
        </w:rPr>
        <w:t> </w:t>
      </w:r>
      <w:r>
        <w:rPr>
          <w:spacing w:val="-85"/>
        </w:rPr>
      </w:r>
      <w:r>
        <w:rPr/>
        <w:t>项：</w:t>
      </w:r>
    </w:p>
    <w:p>
      <w:pPr>
        <w:spacing w:line="240" w:lineRule="auto" w:before="10"/>
        <w:rPr>
          <w:rFonts w:ascii="宋体" w:hAnsi="宋体" w:cs="宋体" w:eastAsia="宋体" w:hint="default"/>
          <w:sz w:val="14"/>
          <w:szCs w:val="14"/>
        </w:rPr>
      </w:pPr>
    </w:p>
    <w:tbl>
      <w:tblPr>
        <w:tblW w:w="0" w:type="auto"/>
        <w:jc w:val="left"/>
        <w:tblInd w:w="558" w:type="dxa"/>
        <w:tblLayout w:type="fixed"/>
        <w:tblCellMar>
          <w:top w:w="0" w:type="dxa"/>
          <w:left w:w="0" w:type="dxa"/>
          <w:bottom w:w="0" w:type="dxa"/>
          <w:right w:w="0" w:type="dxa"/>
        </w:tblCellMar>
        <w:tblLook w:val="01E0"/>
      </w:tblPr>
      <w:tblGrid>
        <w:gridCol w:w="3601"/>
        <w:gridCol w:w="2634"/>
        <w:gridCol w:w="246"/>
        <w:gridCol w:w="2605"/>
      </w:tblGrid>
      <w:tr>
        <w:trPr>
          <w:trHeight w:val="360" w:hRule="exact"/>
        </w:trPr>
        <w:tc>
          <w:tcPr>
            <w:tcW w:w="360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3" w:right="0"/>
              <w:jc w:val="left"/>
              <w:rPr>
                <w:rFonts w:ascii="宋体" w:hAnsi="宋体" w:cs="宋体" w:eastAsia="宋体" w:hint="default"/>
                <w:sz w:val="22"/>
                <w:szCs w:val="22"/>
              </w:rPr>
            </w:pPr>
            <w:r>
              <w:rPr>
                <w:rFonts w:ascii="宋体" w:hAnsi="宋体" w:cs="宋体" w:eastAsia="宋体" w:hint="default"/>
                <w:sz w:val="22"/>
                <w:szCs w:val="22"/>
              </w:rPr>
              <w:t>租赁支出</w:t>
            </w:r>
          </w:p>
        </w:tc>
        <w:tc>
          <w:tcPr>
            <w:tcW w:w="2634"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6"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548"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36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63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51"/>
              <w:jc w:val="right"/>
              <w:rPr>
                <w:rFonts w:ascii="Arial" w:hAnsi="Arial" w:cs="Arial" w:eastAsia="Arial" w:hint="default"/>
                <w:sz w:val="22"/>
                <w:szCs w:val="22"/>
              </w:rPr>
            </w:pPr>
            <w:r>
              <w:rPr>
                <w:rFonts w:ascii="Arial"/>
                <w:spacing w:val="-1"/>
                <w:sz w:val="22"/>
              </w:rPr>
              <w:t>2,600,000,000</w:t>
            </w:r>
          </w:p>
        </w:tc>
        <w:tc>
          <w:tcPr>
            <w:tcW w:w="246" w:type="dxa"/>
            <w:tcBorders>
              <w:top w:val="nil" w:sz="6" w:space="0" w:color="auto"/>
              <w:left w:val="nil" w:sz="6" w:space="0" w:color="auto"/>
              <w:bottom w:val="nil" w:sz="6" w:space="0" w:color="auto"/>
              <w:right w:val="nil" w:sz="6" w:space="0" w:color="auto"/>
            </w:tcBorders>
          </w:tcPr>
          <w:p>
            <w:pPr/>
          </w:p>
        </w:tc>
        <w:tc>
          <w:tcPr>
            <w:tcW w:w="260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28" w:right="0"/>
              <w:jc w:val="left"/>
              <w:rPr>
                <w:rFonts w:ascii="Arial" w:hAnsi="Arial" w:cs="Arial" w:eastAsia="Arial" w:hint="default"/>
                <w:sz w:val="22"/>
                <w:szCs w:val="22"/>
              </w:rPr>
            </w:pPr>
            <w:r>
              <w:rPr>
                <w:rFonts w:ascii="Arial"/>
                <w:sz w:val="22"/>
              </w:rPr>
              <w:t>5,000,000,000</w:t>
            </w:r>
          </w:p>
        </w:tc>
      </w:tr>
      <w:tr>
        <w:trPr>
          <w:trHeight w:val="416" w:hRule="exact"/>
        </w:trPr>
        <w:tc>
          <w:tcPr>
            <w:tcW w:w="360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联通集团及其附属公司</w:t>
            </w:r>
          </w:p>
        </w:tc>
        <w:tc>
          <w:tcPr>
            <w:tcW w:w="2634" w:type="dxa"/>
            <w:tcBorders>
              <w:top w:val="nil" w:sz="6" w:space="0" w:color="auto"/>
              <w:left w:val="nil" w:sz="6" w:space="0" w:color="auto"/>
              <w:bottom w:val="nil" w:sz="6" w:space="0" w:color="auto"/>
              <w:right w:val="nil" w:sz="6" w:space="0" w:color="auto"/>
            </w:tcBorders>
          </w:tcPr>
          <w:p>
            <w:pPr>
              <w:pStyle w:val="TableParagraph"/>
              <w:tabs>
                <w:tab w:pos="1243" w:val="left" w:leader="none"/>
                <w:tab w:pos="261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592,785,244</w:t>
            </w:r>
            <w:r>
              <w:rPr>
                <w:rFonts w:ascii="Arial"/>
                <w:sz w:val="22"/>
                <w:u w:val="single" w:color="000000"/>
              </w:rPr>
              <w:tab/>
            </w:r>
            <w:r>
              <w:rPr>
                <w:rFonts w:ascii="Arial"/>
                <w:sz w:val="22"/>
              </w:rPr>
            </w:r>
          </w:p>
        </w:tc>
        <w:tc>
          <w:tcPr>
            <w:tcW w:w="246"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tabs>
                <w:tab w:pos="1211" w:val="left" w:leader="none"/>
                <w:tab w:pos="2570"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357,000,000</w:t>
              <w:tab/>
            </w:r>
            <w:r>
              <w:rPr>
                <w:rFonts w:ascii="Arial"/>
                <w:sz w:val="22"/>
              </w:rPr>
            </w:r>
          </w:p>
        </w:tc>
      </w:tr>
      <w:tr>
        <w:trPr>
          <w:trHeight w:val="401" w:hRule="exact"/>
        </w:trPr>
        <w:tc>
          <w:tcPr>
            <w:tcW w:w="3601"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151"/>
              <w:jc w:val="right"/>
              <w:rPr>
                <w:rFonts w:ascii="Arial" w:hAnsi="Arial" w:cs="Arial" w:eastAsia="Arial" w:hint="default"/>
                <w:sz w:val="22"/>
                <w:szCs w:val="22"/>
              </w:rPr>
            </w:pPr>
            <w:r>
              <w:rPr>
                <w:rFonts w:ascii="Arial"/>
                <w:spacing w:val="-1"/>
                <w:sz w:val="22"/>
              </w:rPr>
              <w:t>3,192,785,244</w:t>
            </w:r>
          </w:p>
        </w:tc>
        <w:tc>
          <w:tcPr>
            <w:tcW w:w="246"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left="1028" w:right="0"/>
              <w:jc w:val="left"/>
              <w:rPr>
                <w:rFonts w:ascii="Arial" w:hAnsi="Arial" w:cs="Arial" w:eastAsia="Arial" w:hint="default"/>
                <w:sz w:val="22"/>
                <w:szCs w:val="22"/>
              </w:rPr>
            </w:pPr>
            <w:r>
              <w:rPr>
                <w:rFonts w:ascii="Arial"/>
                <w:sz w:val="22"/>
              </w:rPr>
              <w:t>5,357,000,000</w:t>
            </w:r>
          </w:p>
        </w:tc>
      </w:tr>
    </w:tbl>
    <w:p>
      <w:pPr>
        <w:spacing w:line="240" w:lineRule="auto" w:before="7"/>
        <w:rPr>
          <w:rFonts w:ascii="宋体" w:hAnsi="宋体" w:cs="宋体" w:eastAsia="宋体" w:hint="default"/>
          <w:sz w:val="12"/>
          <w:szCs w:val="12"/>
        </w:rPr>
      </w:pPr>
    </w:p>
    <w:p>
      <w:pPr>
        <w:pStyle w:val="BodyText"/>
        <w:spacing w:line="240" w:lineRule="auto" w:before="31"/>
        <w:ind w:left="574" w:right="0"/>
        <w:jc w:val="both"/>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日，本集团其他关联方承诺并不重大。</w:t>
      </w:r>
    </w:p>
    <w:p>
      <w:pPr>
        <w:spacing w:line="240" w:lineRule="auto" w:before="12"/>
        <w:rPr>
          <w:rFonts w:ascii="宋体" w:hAnsi="宋体" w:cs="宋体" w:eastAsia="宋体" w:hint="default"/>
          <w:sz w:val="17"/>
          <w:szCs w:val="17"/>
        </w:rPr>
      </w:pPr>
    </w:p>
    <w:p>
      <w:pPr>
        <w:pStyle w:val="BodyText"/>
        <w:tabs>
          <w:tab w:pos="559" w:val="left" w:leader="none"/>
        </w:tabs>
        <w:spacing w:line="240" w:lineRule="auto"/>
        <w:ind w:left="114" w:right="97"/>
        <w:jc w:val="left"/>
        <w:rPr>
          <w:rFonts w:ascii="黑体" w:hAnsi="黑体" w:cs="黑体" w:eastAsia="黑体" w:hint="default"/>
        </w:rPr>
      </w:pPr>
      <w:r>
        <w:rPr>
          <w:rFonts w:ascii="黑体" w:hAnsi="黑体" w:cs="黑体" w:eastAsia="黑体" w:hint="default"/>
          <w:w w:val="95"/>
        </w:rPr>
        <w:t>八</w:t>
        <w:tab/>
      </w:r>
      <w:r>
        <w:rPr>
          <w:rFonts w:ascii="黑体" w:hAnsi="黑体" w:cs="黑体" w:eastAsia="黑体" w:hint="default"/>
        </w:rPr>
        <w:t>与境内主要电信运营商的交易</w:t>
      </w:r>
    </w:p>
    <w:p>
      <w:pPr>
        <w:spacing w:line="240" w:lineRule="auto" w:before="5"/>
        <w:rPr>
          <w:rFonts w:ascii="黑体" w:hAnsi="黑体" w:cs="黑体" w:eastAsia="黑体" w:hint="default"/>
          <w:sz w:val="19"/>
          <w:szCs w:val="19"/>
        </w:rPr>
      </w:pPr>
    </w:p>
    <w:p>
      <w:pPr>
        <w:pStyle w:val="BodyText"/>
        <w:spacing w:line="237" w:lineRule="auto"/>
        <w:ind w:left="592" w:right="104"/>
        <w:jc w:val="both"/>
      </w:pPr>
      <w:r>
        <w:rPr/>
        <w:t>本集团的电信业务在很大程度上与境内主要电信运营商存在相互依赖关系，如中国电信集团及</w:t>
      </w:r>
      <w:r>
        <w:rPr>
          <w:spacing w:val="-79"/>
        </w:rPr>
        <w:t> </w:t>
      </w:r>
      <w:r>
        <w:rPr>
          <w:spacing w:val="-79"/>
        </w:rPr>
      </w:r>
      <w:r>
        <w:rPr/>
        <w:t>其子公司和中国移动通信集团公司及其子公司（以下合称“境内主要电信运营商”）的公共电</w:t>
      </w:r>
      <w:r>
        <w:rPr>
          <w:spacing w:val="-79"/>
        </w:rPr>
        <w:t> </w:t>
      </w:r>
      <w:r>
        <w:rPr>
          <w:spacing w:val="-79"/>
        </w:rPr>
      </w:r>
      <w:r>
        <w:rPr/>
        <w:t>话交换网络和传输线路。同时，境内主要电信运营商也是本集团所属子公司中讯设计院及规划</w:t>
      </w:r>
      <w:r>
        <w:rPr>
          <w:spacing w:val="-79"/>
        </w:rPr>
        <w:t> </w:t>
      </w:r>
      <w:r>
        <w:rPr>
          <w:spacing w:val="-79"/>
        </w:rPr>
      </w:r>
      <w:r>
        <w:rPr/>
        <w:t>设计院的主要服务对象。</w:t>
      </w:r>
    </w:p>
    <w:p>
      <w:pPr>
        <w:spacing w:after="0" w:line="237" w:lineRule="auto"/>
        <w:jc w:val="both"/>
        <w:sectPr>
          <w:headerReference w:type="default" r:id="rId144"/>
          <w:pgSz w:w="11900" w:h="16840"/>
          <w:pgMar w:header="1184" w:footer="752" w:top="3040" w:bottom="940" w:left="1240" w:right="900"/>
        </w:sectPr>
      </w:pPr>
    </w:p>
    <w:p>
      <w:pPr>
        <w:spacing w:line="240" w:lineRule="auto" w:before="9"/>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4179"/>
        <w:gridCol w:w="858"/>
        <w:gridCol w:w="2072"/>
        <w:gridCol w:w="154"/>
        <w:gridCol w:w="2250"/>
      </w:tblGrid>
      <w:tr>
        <w:trPr>
          <w:trHeight w:val="900"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w:t>
            </w:r>
            <w:r>
              <w:rPr>
                <w:rFonts w:ascii="宋体" w:hAnsi="宋体" w:cs="宋体" w:eastAsia="宋体" w:hint="default"/>
                <w:spacing w:val="-37"/>
                <w:sz w:val="22"/>
                <w:szCs w:val="22"/>
              </w:rPr>
              <w:t> </w:t>
            </w:r>
            <w:r>
              <w:rPr>
                <w:rFonts w:ascii="宋体" w:hAnsi="宋体" w:cs="宋体" w:eastAsia="宋体" w:hint="default"/>
                <w:sz w:val="22"/>
                <w:szCs w:val="22"/>
              </w:rPr>
              <w:t>与境内主要电信运营商的交易</w:t>
            </w:r>
          </w:p>
        </w:tc>
        <w:tc>
          <w:tcPr>
            <w:tcW w:w="85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3" w:right="0"/>
              <w:jc w:val="left"/>
              <w:rPr>
                <w:rFonts w:ascii="宋体" w:hAnsi="宋体" w:cs="宋体" w:eastAsia="宋体" w:hint="default"/>
                <w:sz w:val="22"/>
                <w:szCs w:val="22"/>
              </w:rPr>
            </w:pPr>
            <w:r>
              <w:rPr>
                <w:rFonts w:ascii="宋体" w:hAnsi="宋体" w:cs="宋体" w:eastAsia="宋体" w:hint="default"/>
                <w:sz w:val="22"/>
                <w:szCs w:val="22"/>
              </w:rPr>
              <w:t>注释</w:t>
            </w:r>
          </w:p>
        </w:tc>
        <w:tc>
          <w:tcPr>
            <w:tcW w:w="207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8"/>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9"/>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79"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8" w:right="0"/>
              <w:jc w:val="left"/>
              <w:rPr>
                <w:rFonts w:ascii="宋体" w:hAnsi="宋体" w:cs="宋体" w:eastAsia="宋体" w:hint="default"/>
                <w:sz w:val="22"/>
                <w:szCs w:val="22"/>
              </w:rPr>
            </w:pPr>
            <w:r>
              <w:rPr>
                <w:rFonts w:ascii="宋体" w:hAnsi="宋体" w:cs="宋体" w:eastAsia="宋体" w:hint="default"/>
                <w:sz w:val="22"/>
                <w:szCs w:val="22"/>
              </w:rPr>
              <w:t>网间结算收入</w:t>
            </w:r>
          </w:p>
        </w:tc>
        <w:tc>
          <w:tcPr>
            <w:tcW w:w="858"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left"/>
              <w:rPr>
                <w:rFonts w:ascii="Arial" w:hAnsi="Arial" w:cs="Arial" w:eastAsia="Arial" w:hint="default"/>
                <w:sz w:val="22"/>
                <w:szCs w:val="22"/>
              </w:rPr>
            </w:pPr>
            <w:r>
              <w:rPr>
                <w:rFonts w:ascii="Arial"/>
                <w:sz w:val="22"/>
              </w:rPr>
              <w:t>(1)</w:t>
            </w:r>
          </w:p>
        </w:tc>
        <w:tc>
          <w:tcPr>
            <w:tcW w:w="207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5" w:right="0"/>
              <w:jc w:val="left"/>
              <w:rPr>
                <w:rFonts w:ascii="Arial" w:hAnsi="Arial" w:cs="Arial" w:eastAsia="Arial" w:hint="default"/>
                <w:sz w:val="22"/>
                <w:szCs w:val="22"/>
              </w:rPr>
            </w:pPr>
            <w:r>
              <w:rPr>
                <w:rFonts w:ascii="Arial"/>
                <w:sz w:val="22"/>
              </w:rPr>
              <w:t>13,253,079,183</w:t>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6"/>
              <w:jc w:val="right"/>
              <w:rPr>
                <w:rFonts w:ascii="Arial" w:hAnsi="Arial" w:cs="Arial" w:eastAsia="Arial" w:hint="default"/>
                <w:sz w:val="22"/>
                <w:szCs w:val="22"/>
              </w:rPr>
            </w:pPr>
            <w:r>
              <w:rPr>
                <w:rFonts w:ascii="Arial"/>
                <w:spacing w:val="-1"/>
                <w:sz w:val="22"/>
              </w:rPr>
              <w:t>12,165,266,884</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9" w:lineRule="exact"/>
              <w:ind w:left="498" w:right="0"/>
              <w:jc w:val="left"/>
              <w:rPr>
                <w:rFonts w:ascii="宋体" w:hAnsi="宋体" w:cs="宋体" w:eastAsia="宋体" w:hint="default"/>
                <w:sz w:val="22"/>
                <w:szCs w:val="22"/>
              </w:rPr>
            </w:pPr>
            <w:r>
              <w:rPr>
                <w:rFonts w:ascii="宋体" w:hAnsi="宋体" w:cs="宋体" w:eastAsia="宋体" w:hint="default"/>
                <w:sz w:val="22"/>
                <w:szCs w:val="22"/>
              </w:rPr>
              <w:t>网间结算支出</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Arial" w:hAnsi="Arial" w:cs="Arial" w:eastAsia="Arial" w:hint="default"/>
                <w:sz w:val="22"/>
                <w:szCs w:val="22"/>
              </w:rPr>
            </w:pPr>
            <w:r>
              <w:rPr>
                <w:rFonts w:ascii="Arial"/>
                <w:sz w:val="22"/>
              </w:rPr>
              <w:t>(1)</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5" w:right="0"/>
              <w:jc w:val="left"/>
              <w:rPr>
                <w:rFonts w:ascii="Arial" w:hAnsi="Arial" w:cs="Arial" w:eastAsia="Arial" w:hint="default"/>
                <w:sz w:val="22"/>
                <w:szCs w:val="22"/>
              </w:rPr>
            </w:pPr>
            <w:r>
              <w:rPr>
                <w:rFonts w:ascii="Arial"/>
                <w:sz w:val="22"/>
              </w:rPr>
              <w:t>14,860,845,492</w:t>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6"/>
              <w:jc w:val="right"/>
              <w:rPr>
                <w:rFonts w:ascii="Arial" w:hAnsi="Arial" w:cs="Arial" w:eastAsia="Arial" w:hint="default"/>
                <w:sz w:val="22"/>
                <w:szCs w:val="22"/>
              </w:rPr>
            </w:pPr>
            <w:r>
              <w:rPr>
                <w:rFonts w:ascii="Arial"/>
                <w:spacing w:val="-1"/>
                <w:sz w:val="22"/>
              </w:rPr>
              <w:t>12,563,933,173</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9" w:lineRule="exact"/>
              <w:ind w:left="498" w:right="0"/>
              <w:jc w:val="left"/>
              <w:rPr>
                <w:rFonts w:ascii="宋体" w:hAnsi="宋体" w:cs="宋体" w:eastAsia="宋体" w:hint="default"/>
                <w:sz w:val="22"/>
                <w:szCs w:val="22"/>
              </w:rPr>
            </w:pPr>
            <w:r>
              <w:rPr>
                <w:rFonts w:ascii="宋体" w:hAnsi="宋体" w:cs="宋体" w:eastAsia="宋体" w:hint="default"/>
                <w:sz w:val="22"/>
                <w:szCs w:val="22"/>
              </w:rPr>
              <w:t>出租线路收入</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Arial" w:hAnsi="Arial" w:cs="Arial" w:eastAsia="Arial" w:hint="default"/>
                <w:sz w:val="22"/>
                <w:szCs w:val="22"/>
              </w:rPr>
            </w:pPr>
            <w:r>
              <w:rPr>
                <w:rFonts w:ascii="Arial"/>
                <w:sz w:val="22"/>
              </w:rPr>
              <w:t>(2)</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5"/>
              <w:jc w:val="right"/>
              <w:rPr>
                <w:rFonts w:ascii="Arial" w:hAnsi="Arial" w:cs="Arial" w:eastAsia="Arial" w:hint="default"/>
                <w:sz w:val="22"/>
                <w:szCs w:val="22"/>
              </w:rPr>
            </w:pPr>
            <w:r>
              <w:rPr>
                <w:rFonts w:ascii="Arial"/>
                <w:w w:val="95"/>
                <w:sz w:val="22"/>
              </w:rPr>
              <w:t>283,165,679</w:t>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4"/>
              <w:jc w:val="right"/>
              <w:rPr>
                <w:rFonts w:ascii="Arial" w:hAnsi="Arial" w:cs="Arial" w:eastAsia="Arial" w:hint="default"/>
                <w:sz w:val="22"/>
                <w:szCs w:val="22"/>
              </w:rPr>
            </w:pPr>
            <w:r>
              <w:rPr>
                <w:rFonts w:ascii="Arial"/>
                <w:w w:val="95"/>
                <w:sz w:val="22"/>
              </w:rPr>
              <w:t>346,244,552</w:t>
            </w:r>
            <w:r>
              <w:rPr>
                <w:rFonts w:ascii="Arial"/>
                <w:sz w:val="22"/>
              </w:rPr>
            </w:r>
          </w:p>
        </w:tc>
      </w:tr>
      <w:tr>
        <w:trPr>
          <w:trHeight w:val="285"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9" w:lineRule="exact"/>
              <w:ind w:left="498" w:right="0"/>
              <w:jc w:val="left"/>
              <w:rPr>
                <w:rFonts w:ascii="宋体" w:hAnsi="宋体" w:cs="宋体" w:eastAsia="宋体" w:hint="default"/>
                <w:sz w:val="22"/>
                <w:szCs w:val="22"/>
              </w:rPr>
            </w:pPr>
            <w:r>
              <w:rPr>
                <w:rFonts w:ascii="宋体" w:hAnsi="宋体" w:cs="宋体" w:eastAsia="宋体" w:hint="default"/>
                <w:sz w:val="22"/>
                <w:szCs w:val="22"/>
              </w:rPr>
              <w:t>线路租赁费支出</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Arial" w:hAnsi="Arial" w:cs="Arial" w:eastAsia="Arial" w:hint="default"/>
                <w:sz w:val="22"/>
                <w:szCs w:val="22"/>
              </w:rPr>
            </w:pPr>
            <w:r>
              <w:rPr>
                <w:rFonts w:ascii="Arial"/>
                <w:sz w:val="22"/>
              </w:rPr>
              <w:t>(2)</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5"/>
              <w:jc w:val="right"/>
              <w:rPr>
                <w:rFonts w:ascii="Arial" w:hAnsi="Arial" w:cs="Arial" w:eastAsia="Arial" w:hint="default"/>
                <w:sz w:val="22"/>
                <w:szCs w:val="22"/>
              </w:rPr>
            </w:pPr>
            <w:r>
              <w:rPr>
                <w:rFonts w:ascii="Arial"/>
                <w:w w:val="95"/>
                <w:sz w:val="22"/>
              </w:rPr>
              <w:t>116,290,642</w:t>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4"/>
              <w:jc w:val="right"/>
              <w:rPr>
                <w:rFonts w:ascii="Arial" w:hAnsi="Arial" w:cs="Arial" w:eastAsia="Arial" w:hint="default"/>
                <w:sz w:val="22"/>
                <w:szCs w:val="22"/>
              </w:rPr>
            </w:pPr>
            <w:r>
              <w:rPr>
                <w:rFonts w:ascii="Arial"/>
                <w:w w:val="95"/>
                <w:sz w:val="22"/>
              </w:rPr>
              <w:t>112,605,001</w:t>
            </w:r>
            <w:r>
              <w:rPr>
                <w:rFonts w:ascii="Arial"/>
                <w:sz w:val="22"/>
              </w:rPr>
            </w:r>
          </w:p>
        </w:tc>
      </w:tr>
      <w:tr>
        <w:trPr>
          <w:trHeight w:val="412"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9" w:lineRule="exact"/>
              <w:ind w:left="498" w:right="0"/>
              <w:jc w:val="left"/>
              <w:rPr>
                <w:rFonts w:ascii="宋体" w:hAnsi="宋体" w:cs="宋体" w:eastAsia="宋体" w:hint="default"/>
                <w:sz w:val="22"/>
                <w:szCs w:val="22"/>
              </w:rPr>
            </w:pPr>
            <w:r>
              <w:rPr>
                <w:rFonts w:ascii="宋体" w:hAnsi="宋体" w:cs="宋体" w:eastAsia="宋体" w:hint="default"/>
                <w:sz w:val="22"/>
                <w:szCs w:val="22"/>
              </w:rPr>
              <w:t>通信工程技术服务收入</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Arial" w:hAnsi="Arial" w:cs="Arial" w:eastAsia="Arial" w:hint="default"/>
                <w:sz w:val="22"/>
                <w:szCs w:val="22"/>
              </w:rPr>
            </w:pPr>
            <w:r>
              <w:rPr>
                <w:rFonts w:ascii="Arial"/>
                <w:sz w:val="22"/>
              </w:rPr>
              <w:t>(3)</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5"/>
              <w:jc w:val="right"/>
              <w:rPr>
                <w:rFonts w:ascii="Arial" w:hAnsi="Arial" w:cs="Arial" w:eastAsia="Arial" w:hint="default"/>
                <w:sz w:val="22"/>
                <w:szCs w:val="22"/>
              </w:rPr>
            </w:pPr>
            <w:r>
              <w:rPr>
                <w:rFonts w:ascii="Arial"/>
                <w:w w:val="95"/>
                <w:sz w:val="22"/>
              </w:rPr>
              <w:t>218,822,008</w:t>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4"/>
              <w:jc w:val="right"/>
              <w:rPr>
                <w:rFonts w:ascii="Arial" w:hAnsi="Arial" w:cs="Arial" w:eastAsia="Arial" w:hint="default"/>
                <w:sz w:val="22"/>
                <w:szCs w:val="22"/>
              </w:rPr>
            </w:pPr>
            <w:r>
              <w:rPr>
                <w:rFonts w:ascii="Arial"/>
                <w:w w:val="95"/>
                <w:sz w:val="22"/>
              </w:rPr>
              <w:t>207,745,676</w:t>
            </w:r>
            <w:r>
              <w:rPr>
                <w:rFonts w:ascii="Arial"/>
                <w:sz w:val="22"/>
              </w:rPr>
            </w:r>
          </w:p>
        </w:tc>
      </w:tr>
      <w:tr>
        <w:trPr>
          <w:trHeight w:val="46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84" w:right="0"/>
              <w:jc w:val="left"/>
              <w:rPr>
                <w:rFonts w:ascii="宋体" w:hAnsi="宋体" w:cs="宋体" w:eastAsia="宋体" w:hint="default"/>
                <w:sz w:val="22"/>
                <w:szCs w:val="22"/>
              </w:rPr>
            </w:pPr>
            <w:r>
              <w:rPr>
                <w:rFonts w:ascii="宋体" w:hAnsi="宋体" w:cs="宋体" w:eastAsia="宋体" w:hint="default"/>
                <w:sz w:val="22"/>
                <w:szCs w:val="22"/>
              </w:rPr>
              <w:t>注释：</w:t>
            </w:r>
          </w:p>
        </w:tc>
        <w:tc>
          <w:tcPr>
            <w:tcW w:w="858"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32" w:lineRule="auto" w:before="39"/>
        <w:ind w:left="547" w:right="214" w:hanging="420"/>
        <w:jc w:val="both"/>
      </w:pPr>
      <w:r>
        <w:rPr>
          <w:rFonts w:ascii="Arial" w:hAnsi="Arial" w:cs="Arial" w:eastAsia="Arial" w:hint="default"/>
        </w:rPr>
        <w:t>(1)</w:t>
      </w:r>
      <w:r>
        <w:rPr>
          <w:rFonts w:ascii="Arial" w:hAnsi="Arial" w:cs="Arial" w:eastAsia="Arial" w:hint="default"/>
          <w:spacing w:val="24"/>
        </w:rPr>
        <w:t> </w:t>
      </w:r>
      <w:r>
        <w:rPr/>
        <w:t>网间结算收入和支出指由于本集团网络与境内主要电信运营商的移动电话、公共电话交换网络间</w:t>
      </w:r>
      <w:r>
        <w:rPr>
          <w:w w:val="99"/>
        </w:rPr>
        <w:t> </w:t>
      </w:r>
      <w:r>
        <w:rPr>
          <w:spacing w:val="-2"/>
        </w:rPr>
        <w:t>通信而产生的应向境内主要电信运营商收取和支付的费用，其中网间结算收入以扣除营业税后的</w:t>
      </w:r>
      <w:r>
        <w:rPr>
          <w:w w:val="99"/>
        </w:rPr>
        <w:t> </w:t>
      </w:r>
      <w:r>
        <w:rPr>
          <w:spacing w:val="-2"/>
        </w:rPr>
        <w:t>净收入列示。网间结算的基础为本集团各省分公司与所在省的境内主要电信运营商之间签订的网</w:t>
      </w:r>
      <w:r>
        <w:rPr>
          <w:w w:val="99"/>
        </w:rPr>
        <w:t> </w:t>
      </w:r>
      <w:r>
        <w:rPr/>
        <w:t>间互联互通的结算协议。有关结算标准按照原信息产业部规定协商确定。</w:t>
      </w:r>
    </w:p>
    <w:p>
      <w:pPr>
        <w:spacing w:line="240" w:lineRule="auto" w:before="4"/>
        <w:rPr>
          <w:rFonts w:ascii="宋体" w:hAnsi="宋体" w:cs="宋体" w:eastAsia="宋体" w:hint="default"/>
          <w:sz w:val="21"/>
          <w:szCs w:val="21"/>
        </w:rPr>
      </w:pPr>
    </w:p>
    <w:p>
      <w:pPr>
        <w:pStyle w:val="BodyText"/>
        <w:spacing w:line="286" w:lineRule="exact"/>
        <w:ind w:left="547" w:right="214" w:hanging="420"/>
        <w:jc w:val="both"/>
      </w:pPr>
      <w:r>
        <w:rPr>
          <w:rFonts w:ascii="Arial" w:hAnsi="Arial" w:cs="Arial" w:eastAsia="Arial" w:hint="default"/>
        </w:rPr>
        <w:t>(2)</w:t>
      </w:r>
      <w:r>
        <w:rPr>
          <w:rFonts w:ascii="Arial" w:hAnsi="Arial" w:cs="Arial" w:eastAsia="Arial" w:hint="default"/>
          <w:spacing w:val="24"/>
        </w:rPr>
        <w:t> </w:t>
      </w:r>
      <w:r>
        <w:rPr/>
        <w:t>出租线路收入指本集团因出租传输线路而收取或应收境内主要电信运营商的线路租金。线路租赁</w:t>
      </w:r>
      <w:r>
        <w:rPr>
          <w:w w:val="99"/>
        </w:rPr>
        <w:t> </w:t>
      </w:r>
      <w:r>
        <w:rPr>
          <w:spacing w:val="-2"/>
        </w:rPr>
        <w:t>费支出指本集团因租入传输线路而支付或应付境内主要电信运营商的线路租金。线路租赁费按每</w:t>
      </w:r>
      <w:r>
        <w:rPr>
          <w:w w:val="99"/>
        </w:rPr>
        <w:t> </w:t>
      </w:r>
      <w:r>
        <w:rPr/>
        <w:t>条线路固定的收费率及所租用线路的数量计算。</w:t>
      </w:r>
    </w:p>
    <w:p>
      <w:pPr>
        <w:spacing w:line="240" w:lineRule="auto" w:before="12"/>
        <w:rPr>
          <w:rFonts w:ascii="宋体" w:hAnsi="宋体" w:cs="宋体" w:eastAsia="宋体" w:hint="default"/>
          <w:sz w:val="17"/>
          <w:szCs w:val="17"/>
        </w:rPr>
      </w:pPr>
    </w:p>
    <w:p>
      <w:pPr>
        <w:pStyle w:val="BodyText"/>
        <w:spacing w:line="230" w:lineRule="auto"/>
        <w:ind w:left="547" w:right="0" w:hanging="421"/>
        <w:jc w:val="left"/>
      </w:pPr>
      <w:r>
        <w:rPr>
          <w:rFonts w:ascii="Arial" w:hAnsi="Arial" w:cs="Arial" w:eastAsia="Arial" w:hint="default"/>
          <w:w w:val="99"/>
        </w:rPr>
        <w:t>(3)</w:t>
      </w:r>
      <w:r>
        <w:rPr>
          <w:rFonts w:ascii="Arial" w:hAnsi="Arial" w:cs="Arial" w:eastAsia="Arial" w:hint="default"/>
          <w:spacing w:val="38"/>
          <w:w w:val="99"/>
        </w:rPr>
        <w:t> </w:t>
      </w:r>
      <w:r>
        <w:rPr>
          <w:spacing w:val="-4"/>
          <w:w w:val="99"/>
        </w:rPr>
        <w:t>通信工程技术服务收入指本集团所属子公司因提供通信信息工程和建筑工程的咨询、勘察、设计、</w:t>
      </w:r>
      <w:r>
        <w:rPr>
          <w:w w:val="99"/>
        </w:rPr>
        <w:t> </w:t>
      </w:r>
      <w:r>
        <w:rPr/>
        <w:t>监理等劳务而向境内主要电信运营商收取的劳务收入。有关服务收费按照双方在市场环境中协商</w:t>
      </w:r>
      <w:r>
        <w:rPr>
          <w:w w:val="99"/>
        </w:rPr>
        <w:t> </w:t>
      </w:r>
      <w:r>
        <w:rPr/>
        <w:t>确定。</w:t>
      </w:r>
    </w:p>
    <w:p>
      <w:pPr>
        <w:spacing w:line="240" w:lineRule="auto" w:before="4"/>
        <w:rPr>
          <w:rFonts w:ascii="宋体" w:hAnsi="宋体" w:cs="宋体" w:eastAsia="宋体" w:hint="default"/>
          <w:sz w:val="19"/>
          <w:szCs w:val="19"/>
        </w:rPr>
      </w:pPr>
    </w:p>
    <w:p>
      <w:pPr>
        <w:pStyle w:val="BodyText"/>
        <w:spacing w:line="240" w:lineRule="auto"/>
        <w:ind w:left="142" w:right="0"/>
        <w:jc w:val="left"/>
      </w:pPr>
      <w:r>
        <w:rPr>
          <w:rFonts w:ascii="Arial" w:hAnsi="Arial" w:cs="Arial" w:eastAsia="Arial" w:hint="default"/>
        </w:rPr>
        <w:t>2</w:t>
      </w:r>
      <w:r>
        <w:rPr/>
        <w:t>、</w:t>
      </w:r>
      <w:r>
        <w:rPr>
          <w:spacing w:val="-37"/>
        </w:rPr>
        <w:t> </w:t>
      </w:r>
      <w:r>
        <w:rPr/>
        <w:t>应收、应付境内主要电信运营商款</w:t>
      </w:r>
    </w:p>
    <w:p>
      <w:pPr>
        <w:spacing w:line="240" w:lineRule="auto" w:before="6"/>
        <w:rPr>
          <w:rFonts w:ascii="宋体" w:hAnsi="宋体" w:cs="宋体" w:eastAsia="宋体" w:hint="default"/>
          <w:sz w:val="15"/>
          <w:szCs w:val="15"/>
        </w:rPr>
      </w:pPr>
    </w:p>
    <w:tbl>
      <w:tblPr>
        <w:tblW w:w="0" w:type="auto"/>
        <w:jc w:val="left"/>
        <w:tblInd w:w="570" w:type="dxa"/>
        <w:tblLayout w:type="fixed"/>
        <w:tblCellMar>
          <w:top w:w="0" w:type="dxa"/>
          <w:left w:w="0" w:type="dxa"/>
          <w:bottom w:w="0" w:type="dxa"/>
          <w:right w:w="0" w:type="dxa"/>
        </w:tblCellMar>
        <w:tblLook w:val="01E0"/>
      </w:tblPr>
      <w:tblGrid>
        <w:gridCol w:w="4341"/>
        <w:gridCol w:w="2305"/>
        <w:gridCol w:w="139"/>
        <w:gridCol w:w="2299"/>
      </w:tblGrid>
      <w:tr>
        <w:trPr>
          <w:trHeight w:val="361" w:hRule="exact"/>
        </w:trPr>
        <w:tc>
          <w:tcPr>
            <w:tcW w:w="4341"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79"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9"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37"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61"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30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21" w:right="0"/>
              <w:jc w:val="left"/>
              <w:rPr>
                <w:rFonts w:ascii="Arial" w:hAnsi="Arial" w:cs="Arial" w:eastAsia="Arial" w:hint="default"/>
                <w:sz w:val="22"/>
                <w:szCs w:val="22"/>
              </w:rPr>
            </w:pPr>
            <w:r>
              <w:rPr>
                <w:rFonts w:ascii="Arial"/>
                <w:sz w:val="22"/>
              </w:rPr>
              <w:t>1,068,051,973</w:t>
            </w:r>
          </w:p>
        </w:tc>
        <w:tc>
          <w:tcPr>
            <w:tcW w:w="139" w:type="dxa"/>
            <w:tcBorders>
              <w:top w:val="nil" w:sz="6" w:space="0" w:color="auto"/>
              <w:left w:val="nil" w:sz="6" w:space="0" w:color="auto"/>
              <w:bottom w:val="nil" w:sz="6" w:space="0" w:color="auto"/>
              <w:right w:val="nil" w:sz="6" w:space="0" w:color="auto"/>
            </w:tcBorders>
          </w:tcPr>
          <w:p>
            <w:pPr/>
          </w:p>
        </w:tc>
        <w:tc>
          <w:tcPr>
            <w:tcW w:w="2299"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20" w:right="0"/>
              <w:jc w:val="left"/>
              <w:rPr>
                <w:rFonts w:ascii="Arial" w:hAnsi="Arial" w:cs="Arial" w:eastAsia="Arial" w:hint="default"/>
                <w:sz w:val="22"/>
                <w:szCs w:val="22"/>
              </w:rPr>
            </w:pPr>
            <w:r>
              <w:rPr>
                <w:rFonts w:ascii="Arial"/>
                <w:sz w:val="22"/>
              </w:rPr>
              <w:t>1,164,001,382</w:t>
            </w:r>
          </w:p>
        </w:tc>
      </w:tr>
      <w:tr>
        <w:trPr>
          <w:trHeight w:val="342"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305" w:type="dxa"/>
            <w:tcBorders>
              <w:top w:val="nil" w:sz="6" w:space="0" w:color="auto"/>
              <w:left w:val="nil" w:sz="6" w:space="0" w:color="auto"/>
              <w:bottom w:val="nil" w:sz="6" w:space="0" w:color="auto"/>
              <w:right w:val="nil" w:sz="6" w:space="0" w:color="auto"/>
            </w:tcBorders>
          </w:tcPr>
          <w:p>
            <w:pPr>
              <w:pStyle w:val="TableParagraph"/>
              <w:tabs>
                <w:tab w:pos="952" w:val="left" w:leader="none"/>
                <w:tab w:pos="2305"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(44,521,279)</w:t>
              <w:tab/>
            </w:r>
            <w:r>
              <w:rPr>
                <w:rFonts w:ascii="Arial"/>
                <w:sz w:val="22"/>
              </w:rPr>
            </w:r>
          </w:p>
        </w:tc>
        <w:tc>
          <w:tcPr>
            <w:tcW w:w="139"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tabs>
                <w:tab w:pos="952" w:val="left" w:leader="none"/>
                <w:tab w:pos="2264"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(34,905,803)</w:t>
              <w:tab/>
            </w:r>
            <w:r>
              <w:rPr>
                <w:rFonts w:ascii="Arial"/>
                <w:sz w:val="22"/>
              </w:rPr>
            </w:r>
          </w:p>
        </w:tc>
      </w:tr>
      <w:tr>
        <w:trPr>
          <w:trHeight w:val="351"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8"/>
              <w:ind w:left="45" w:right="0"/>
              <w:jc w:val="left"/>
              <w:rPr>
                <w:rFonts w:ascii="宋体" w:hAnsi="宋体" w:cs="宋体" w:eastAsia="宋体" w:hint="default"/>
                <w:sz w:val="22"/>
                <w:szCs w:val="22"/>
              </w:rPr>
            </w:pPr>
            <w:r>
              <w:rPr>
                <w:rFonts w:ascii="宋体" w:hAnsi="宋体" w:cs="宋体" w:eastAsia="宋体" w:hint="default"/>
                <w:sz w:val="22"/>
                <w:szCs w:val="22"/>
              </w:rPr>
              <w:t>应收账款净额</w:t>
            </w:r>
          </w:p>
        </w:tc>
        <w:tc>
          <w:tcPr>
            <w:tcW w:w="2305" w:type="dxa"/>
            <w:tcBorders>
              <w:top w:val="nil" w:sz="6" w:space="0" w:color="auto"/>
              <w:left w:val="nil" w:sz="6" w:space="0" w:color="auto"/>
              <w:bottom w:val="single" w:sz="17" w:space="0" w:color="000000"/>
              <w:right w:val="nil" w:sz="6" w:space="0" w:color="auto"/>
            </w:tcBorders>
          </w:tcPr>
          <w:p>
            <w:pPr>
              <w:pStyle w:val="TableParagraph"/>
              <w:spacing w:line="240" w:lineRule="auto" w:before="74"/>
              <w:ind w:left="721" w:right="0"/>
              <w:jc w:val="left"/>
              <w:rPr>
                <w:rFonts w:ascii="Arial" w:hAnsi="Arial" w:cs="Arial" w:eastAsia="Arial" w:hint="default"/>
                <w:sz w:val="22"/>
                <w:szCs w:val="22"/>
              </w:rPr>
            </w:pPr>
            <w:r>
              <w:rPr>
                <w:rFonts w:ascii="Arial"/>
                <w:sz w:val="22"/>
              </w:rPr>
              <w:t>1,023,530,694</w:t>
            </w:r>
          </w:p>
        </w:tc>
        <w:tc>
          <w:tcPr>
            <w:tcW w:w="139"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17" w:space="0" w:color="000000"/>
              <w:right w:val="nil" w:sz="6" w:space="0" w:color="auto"/>
            </w:tcBorders>
          </w:tcPr>
          <w:p>
            <w:pPr>
              <w:pStyle w:val="TableParagraph"/>
              <w:spacing w:line="240" w:lineRule="auto" w:before="74"/>
              <w:ind w:left="720" w:right="0"/>
              <w:jc w:val="left"/>
              <w:rPr>
                <w:rFonts w:ascii="Arial" w:hAnsi="Arial" w:cs="Arial" w:eastAsia="Arial" w:hint="default"/>
                <w:sz w:val="22"/>
                <w:szCs w:val="22"/>
              </w:rPr>
            </w:pPr>
            <w:r>
              <w:rPr>
                <w:rFonts w:ascii="Arial"/>
                <w:sz w:val="22"/>
              </w:rPr>
              <w:t>1,129,095,579</w:t>
            </w:r>
          </w:p>
        </w:tc>
      </w:tr>
      <w:tr>
        <w:trPr>
          <w:trHeight w:val="398"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5" w:right="0"/>
              <w:jc w:val="left"/>
              <w:rPr>
                <w:rFonts w:ascii="宋体" w:hAnsi="宋体" w:cs="宋体" w:eastAsia="宋体" w:hint="default"/>
                <w:sz w:val="22"/>
                <w:szCs w:val="22"/>
              </w:rPr>
            </w:pPr>
            <w:r>
              <w:rPr>
                <w:rFonts w:ascii="宋体" w:hAnsi="宋体" w:cs="宋体" w:eastAsia="宋体" w:hint="default"/>
                <w:sz w:val="22"/>
                <w:szCs w:val="22"/>
              </w:rPr>
              <w:t>其他应收款净额</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left="904" w:right="0"/>
              <w:jc w:val="left"/>
              <w:rPr>
                <w:rFonts w:ascii="Arial" w:hAnsi="Arial" w:cs="Arial" w:eastAsia="Arial" w:hint="default"/>
                <w:sz w:val="22"/>
                <w:szCs w:val="22"/>
              </w:rPr>
            </w:pPr>
            <w:r>
              <w:rPr>
                <w:rFonts w:ascii="Arial"/>
                <w:sz w:val="22"/>
              </w:rPr>
              <w:t>157,902,569</w:t>
            </w:r>
          </w:p>
        </w:tc>
        <w:tc>
          <w:tcPr>
            <w:tcW w:w="139"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left="904" w:right="0"/>
              <w:jc w:val="left"/>
              <w:rPr>
                <w:rFonts w:ascii="Arial" w:hAnsi="Arial" w:cs="Arial" w:eastAsia="Arial" w:hint="default"/>
                <w:sz w:val="22"/>
                <w:szCs w:val="22"/>
              </w:rPr>
            </w:pPr>
            <w:r>
              <w:rPr>
                <w:rFonts w:ascii="Arial"/>
                <w:sz w:val="22"/>
              </w:rPr>
              <w:t>131,714,450</w:t>
            </w:r>
          </w:p>
        </w:tc>
      </w:tr>
      <w:tr>
        <w:trPr>
          <w:trHeight w:val="398"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5" w:right="0"/>
              <w:jc w:val="left"/>
              <w:rPr>
                <w:rFonts w:ascii="宋体" w:hAnsi="宋体" w:cs="宋体" w:eastAsia="宋体" w:hint="default"/>
                <w:sz w:val="22"/>
                <w:szCs w:val="22"/>
              </w:rPr>
            </w:pPr>
            <w:r>
              <w:rPr>
                <w:rFonts w:ascii="宋体" w:hAnsi="宋体" w:cs="宋体" w:eastAsia="宋体" w:hint="default"/>
                <w:sz w:val="22"/>
                <w:szCs w:val="22"/>
              </w:rPr>
              <w:t>预付账款</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right="175"/>
              <w:jc w:val="right"/>
              <w:rPr>
                <w:rFonts w:ascii="Arial" w:hAnsi="Arial" w:cs="Arial" w:eastAsia="Arial" w:hint="default"/>
                <w:sz w:val="22"/>
                <w:szCs w:val="22"/>
              </w:rPr>
            </w:pPr>
            <w:r>
              <w:rPr>
                <w:rFonts w:ascii="Arial"/>
                <w:w w:val="99"/>
                <w:sz w:val="22"/>
              </w:rPr>
              <w:t>-</w:t>
            </w:r>
            <w:r>
              <w:rPr>
                <w:rFonts w:ascii="Arial"/>
                <w:sz w:val="22"/>
              </w:rPr>
            </w:r>
          </w:p>
        </w:tc>
        <w:tc>
          <w:tcPr>
            <w:tcW w:w="139"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left="1454" w:right="0"/>
              <w:jc w:val="left"/>
              <w:rPr>
                <w:rFonts w:ascii="Arial" w:hAnsi="Arial" w:cs="Arial" w:eastAsia="Arial" w:hint="default"/>
                <w:sz w:val="22"/>
                <w:szCs w:val="22"/>
              </w:rPr>
            </w:pPr>
            <w:r>
              <w:rPr>
                <w:rFonts w:ascii="Arial"/>
                <w:sz w:val="22"/>
              </w:rPr>
              <w:t>69,112</w:t>
            </w:r>
          </w:p>
        </w:tc>
      </w:tr>
      <w:tr>
        <w:trPr>
          <w:trHeight w:val="398"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5"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left="721" w:right="0"/>
              <w:jc w:val="left"/>
              <w:rPr>
                <w:rFonts w:ascii="Arial" w:hAnsi="Arial" w:cs="Arial" w:eastAsia="Arial" w:hint="default"/>
                <w:sz w:val="22"/>
                <w:szCs w:val="22"/>
              </w:rPr>
            </w:pPr>
            <w:r>
              <w:rPr>
                <w:rFonts w:ascii="Arial"/>
                <w:sz w:val="22"/>
              </w:rPr>
              <w:t>1,256,886,909</w:t>
            </w:r>
          </w:p>
        </w:tc>
        <w:tc>
          <w:tcPr>
            <w:tcW w:w="139"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left="904" w:right="0"/>
              <w:jc w:val="left"/>
              <w:rPr>
                <w:rFonts w:ascii="Arial" w:hAnsi="Arial" w:cs="Arial" w:eastAsia="Arial" w:hint="default"/>
                <w:sz w:val="22"/>
                <w:szCs w:val="22"/>
              </w:rPr>
            </w:pPr>
            <w:r>
              <w:rPr>
                <w:rFonts w:ascii="Arial"/>
                <w:sz w:val="22"/>
              </w:rPr>
              <w:t>798,573,931</w:t>
            </w:r>
          </w:p>
        </w:tc>
      </w:tr>
      <w:tr>
        <w:trPr>
          <w:trHeight w:val="409"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5" w:right="0"/>
              <w:jc w:val="left"/>
              <w:rPr>
                <w:rFonts w:ascii="宋体" w:hAnsi="宋体" w:cs="宋体" w:eastAsia="宋体" w:hint="default"/>
                <w:sz w:val="22"/>
                <w:szCs w:val="22"/>
              </w:rPr>
            </w:pPr>
            <w:r>
              <w:rPr>
                <w:rFonts w:ascii="宋体" w:hAnsi="宋体" w:cs="宋体" w:eastAsia="宋体" w:hint="default"/>
                <w:sz w:val="22"/>
                <w:szCs w:val="22"/>
              </w:rPr>
              <w:t>预收账款</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111"/>
              <w:ind w:left="1025" w:right="0"/>
              <w:jc w:val="left"/>
              <w:rPr>
                <w:rFonts w:ascii="Arial" w:hAnsi="Arial" w:cs="Arial" w:eastAsia="Arial" w:hint="default"/>
                <w:sz w:val="22"/>
                <w:szCs w:val="22"/>
              </w:rPr>
            </w:pPr>
            <w:r>
              <w:rPr>
                <w:rFonts w:ascii="Arial"/>
                <w:sz w:val="22"/>
              </w:rPr>
              <w:t>16,668,894</w:t>
            </w:r>
          </w:p>
        </w:tc>
        <w:tc>
          <w:tcPr>
            <w:tcW w:w="139"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single" w:sz="17" w:space="0" w:color="000000"/>
              <w:right w:val="nil" w:sz="6" w:space="0" w:color="auto"/>
            </w:tcBorders>
          </w:tcPr>
          <w:p>
            <w:pPr>
              <w:pStyle w:val="TableParagraph"/>
              <w:spacing w:line="240" w:lineRule="auto" w:before="111"/>
              <w:ind w:left="1025" w:right="0"/>
              <w:jc w:val="left"/>
              <w:rPr>
                <w:rFonts w:ascii="Arial" w:hAnsi="Arial" w:cs="Arial" w:eastAsia="Arial" w:hint="default"/>
                <w:sz w:val="22"/>
                <w:szCs w:val="22"/>
              </w:rPr>
            </w:pPr>
            <w:r>
              <w:rPr>
                <w:rFonts w:ascii="Arial"/>
                <w:sz w:val="22"/>
              </w:rPr>
              <w:t>22,213,998</w:t>
            </w:r>
          </w:p>
        </w:tc>
      </w:tr>
      <w:tr>
        <w:trPr>
          <w:trHeight w:val="401"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5"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1"/>
              <w:ind w:left="1025" w:right="0"/>
              <w:jc w:val="left"/>
              <w:rPr>
                <w:rFonts w:ascii="Arial" w:hAnsi="Arial" w:cs="Arial" w:eastAsia="Arial" w:hint="default"/>
                <w:sz w:val="22"/>
                <w:szCs w:val="22"/>
              </w:rPr>
            </w:pPr>
            <w:r>
              <w:rPr>
                <w:rFonts w:ascii="Arial"/>
                <w:sz w:val="22"/>
              </w:rPr>
              <w:t>70,613,179</w:t>
            </w:r>
          </w:p>
        </w:tc>
        <w:tc>
          <w:tcPr>
            <w:tcW w:w="139" w:type="dxa"/>
            <w:tcBorders>
              <w:top w:val="nil" w:sz="6" w:space="0" w:color="auto"/>
              <w:left w:val="nil" w:sz="6" w:space="0" w:color="auto"/>
              <w:bottom w:val="nil" w:sz="6" w:space="0" w:color="auto"/>
              <w:right w:val="nil" w:sz="6" w:space="0" w:color="auto"/>
            </w:tcBorders>
          </w:tcPr>
          <w:p>
            <w:pPr/>
          </w:p>
        </w:tc>
        <w:tc>
          <w:tcPr>
            <w:tcW w:w="2299"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1"/>
              <w:ind w:left="1025" w:right="0"/>
              <w:jc w:val="left"/>
              <w:rPr>
                <w:rFonts w:ascii="Arial" w:hAnsi="Arial" w:cs="Arial" w:eastAsia="Arial" w:hint="default"/>
                <w:sz w:val="22"/>
                <w:szCs w:val="22"/>
              </w:rPr>
            </w:pPr>
            <w:r>
              <w:rPr>
                <w:rFonts w:ascii="Arial"/>
                <w:sz w:val="22"/>
              </w:rPr>
              <w:t>51,787,876</w:t>
            </w:r>
          </w:p>
        </w:tc>
      </w:tr>
    </w:tbl>
    <w:p>
      <w:pPr>
        <w:spacing w:after="0" w:line="240" w:lineRule="auto"/>
        <w:jc w:val="left"/>
        <w:rPr>
          <w:rFonts w:ascii="Arial" w:hAnsi="Arial" w:cs="Arial" w:eastAsia="Arial" w:hint="default"/>
          <w:sz w:val="22"/>
          <w:szCs w:val="22"/>
        </w:rPr>
        <w:sectPr>
          <w:headerReference w:type="default" r:id="rId145"/>
          <w:pgSz w:w="11900" w:h="16840"/>
          <w:pgMar w:header="1184" w:footer="752" w:top="3040" w:bottom="940" w:left="1240" w:right="720"/>
        </w:sectPr>
      </w:pPr>
    </w:p>
    <w:p>
      <w:pPr>
        <w:spacing w:line="240" w:lineRule="auto" w:before="9"/>
        <w:rPr>
          <w:rFonts w:ascii="宋体" w:hAnsi="宋体" w:cs="宋体" w:eastAsia="宋体" w:hint="default"/>
          <w:sz w:val="16"/>
          <w:szCs w:val="16"/>
        </w:rPr>
      </w:pPr>
    </w:p>
    <w:p>
      <w:pPr>
        <w:pStyle w:val="BodyText"/>
        <w:spacing w:line="424" w:lineRule="auto" w:before="31"/>
        <w:ind w:left="576" w:right="2944" w:hanging="435"/>
        <w:jc w:val="left"/>
      </w:pPr>
      <w:r>
        <w:rPr>
          <w:rFonts w:ascii="Arial" w:hAnsi="Arial" w:cs="Arial" w:eastAsia="Arial" w:hint="default"/>
        </w:rPr>
        <w:t>2</w:t>
      </w:r>
      <w:r>
        <w:rPr/>
        <w:t>、</w:t>
      </w:r>
      <w:r>
        <w:rPr>
          <w:spacing w:val="-36"/>
        </w:rPr>
        <w:t> </w:t>
      </w:r>
      <w:r>
        <w:rPr/>
        <w:t>应收、应付境内主要电信运营商款（续）</w:t>
      </w:r>
      <w:r>
        <w:rPr>
          <w:w w:val="99"/>
        </w:rPr>
        <w:t> </w:t>
      </w:r>
      <w:r>
        <w:rPr/>
        <w:t>应收、应付境内主要电信运营商款均无担保，不计息并即期偿付。</w:t>
      </w:r>
    </w:p>
    <w:p>
      <w:pPr>
        <w:pStyle w:val="BodyText"/>
        <w:tabs>
          <w:tab w:pos="559" w:val="left" w:leader="none"/>
        </w:tabs>
        <w:spacing w:line="240" w:lineRule="auto" w:before="80"/>
        <w:ind w:left="114" w:right="2944"/>
        <w:jc w:val="left"/>
        <w:rPr>
          <w:rFonts w:ascii="黑体" w:hAnsi="黑体" w:cs="黑体" w:eastAsia="黑体" w:hint="default"/>
        </w:rPr>
      </w:pPr>
      <w:r>
        <w:rPr>
          <w:rFonts w:ascii="黑体" w:hAnsi="黑体" w:cs="黑体" w:eastAsia="黑体" w:hint="default"/>
          <w:w w:val="95"/>
        </w:rPr>
        <w:t>九</w:t>
        <w:tab/>
      </w:r>
      <w:r>
        <w:rPr>
          <w:rFonts w:ascii="黑体" w:hAnsi="黑体" w:cs="黑体" w:eastAsia="黑体" w:hint="default"/>
        </w:rPr>
        <w:t>或有事项</w:t>
      </w:r>
    </w:p>
    <w:p>
      <w:pPr>
        <w:spacing w:line="240" w:lineRule="auto" w:before="7"/>
        <w:rPr>
          <w:rFonts w:ascii="黑体" w:hAnsi="黑体" w:cs="黑体" w:eastAsia="黑体" w:hint="default"/>
          <w:sz w:val="19"/>
          <w:szCs w:val="19"/>
        </w:rPr>
      </w:pPr>
    </w:p>
    <w:p>
      <w:pPr>
        <w:pStyle w:val="BodyText"/>
        <w:spacing w:line="235" w:lineRule="auto"/>
        <w:ind w:left="576" w:right="84"/>
        <w:jc w:val="left"/>
      </w:pPr>
      <w:r>
        <w:rPr/>
        <w:t>本集团的资费标准受有关政府机构监管，包括发改委、工信部和有关省级物价管理局。于</w:t>
      </w:r>
      <w:r>
        <w:rPr>
          <w:spacing w:val="-48"/>
        </w:rPr>
        <w:t> </w:t>
      </w:r>
      <w:r>
        <w:rPr>
          <w:rFonts w:ascii="Arial" w:hAnsi="Arial" w:cs="Arial" w:eastAsia="Arial" w:hint="default"/>
        </w:rPr>
        <w:t>2008</w:t>
      </w:r>
      <w:r>
        <w:rPr>
          <w:rFonts w:ascii="Arial" w:hAnsi="Arial" w:cs="Arial" w:eastAsia="Arial" w:hint="default"/>
          <w:w w:val="99"/>
        </w:rPr>
        <w:t> </w:t>
      </w:r>
      <w:r>
        <w:rPr>
          <w:spacing w:val="-3"/>
        </w:rPr>
        <w:t>年度，发改委对本集团所属联通运营公司（含网通运营公司）各分支机构的电信资费标准遵守情</w:t>
      </w:r>
      <w:r>
        <w:rPr>
          <w:spacing w:val="-95"/>
        </w:rPr>
        <w:t> </w:t>
      </w:r>
      <w:r>
        <w:rPr>
          <w:spacing w:val="-95"/>
        </w:rPr>
      </w:r>
      <w:r>
        <w:rPr>
          <w:spacing w:val="-3"/>
        </w:rPr>
        <w:t>况进行了检查。按管理层的评估及与工信部和发改委的初步沟通，管理层认为本集团于调查期间</w:t>
      </w:r>
      <w:r>
        <w:rPr>
          <w:spacing w:val="-95"/>
        </w:rPr>
        <w:t> </w:t>
      </w:r>
      <w:r>
        <w:rPr>
          <w:spacing w:val="-95"/>
        </w:rPr>
      </w:r>
      <w:r>
        <w:rPr/>
        <w:t>内遵守了相关政府机构制定的政策，因本次调查导致本集团未来发生重大现金流出的机会不大，</w:t>
      </w:r>
      <w:r>
        <w:rPr>
          <w:w w:val="99"/>
        </w:rPr>
        <w:t> </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日及</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日，本集团未就上述调查计提相关或有负债。</w:t>
      </w:r>
    </w:p>
    <w:p>
      <w:pPr>
        <w:spacing w:line="240" w:lineRule="auto" w:before="11"/>
        <w:rPr>
          <w:rFonts w:ascii="宋体" w:hAnsi="宋体" w:cs="宋体" w:eastAsia="宋体" w:hint="default"/>
          <w:sz w:val="18"/>
          <w:szCs w:val="18"/>
        </w:rPr>
      </w:pPr>
    </w:p>
    <w:p>
      <w:pPr>
        <w:pStyle w:val="BodyText"/>
        <w:spacing w:line="230" w:lineRule="auto"/>
        <w:ind w:left="576" w:right="84"/>
        <w:jc w:val="left"/>
      </w:pPr>
      <w:r>
        <w:rPr>
          <w:spacing w:val="-5"/>
        </w:rPr>
        <w:t>此外，于</w:t>
      </w:r>
      <w:r>
        <w:rPr>
          <w:spacing w:val="-63"/>
        </w:rPr>
        <w:t> </w:t>
      </w:r>
      <w:r>
        <w:rPr>
          <w:rFonts w:ascii="Arial" w:hAnsi="Arial" w:cs="Arial" w:eastAsia="Arial" w:hint="default"/>
        </w:rPr>
        <w:t>2011</w:t>
      </w:r>
      <w:r>
        <w:rPr>
          <w:rFonts w:ascii="Arial" w:hAnsi="Arial" w:cs="Arial" w:eastAsia="Arial" w:hint="default"/>
          <w:spacing w:val="-14"/>
        </w:rPr>
        <w:t> </w:t>
      </w:r>
      <w:r>
        <w:rPr/>
        <w:t>年度，发改委对本集团宽带互联网业务的涉嫌垄断进行了调查。按管理层的评估</w:t>
      </w:r>
      <w:r>
        <w:rPr>
          <w:w w:val="99"/>
        </w:rPr>
        <w:t> </w:t>
      </w:r>
      <w:r>
        <w:rPr/>
        <w:t>及与发改委的持续沟通，管理层认为因本次调查导致本集团未来发生重大现金流出的机会不大，</w:t>
      </w:r>
      <w:r>
        <w:rPr>
          <w:w w:val="99"/>
        </w:rPr>
        <w:t> </w:t>
      </w: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日，本集团未就上述调查计提相关或有负债。</w:t>
      </w:r>
    </w:p>
    <w:p>
      <w:pPr>
        <w:spacing w:line="240" w:lineRule="auto" w:before="2"/>
        <w:rPr>
          <w:rFonts w:ascii="宋体" w:hAnsi="宋体" w:cs="宋体" w:eastAsia="宋体" w:hint="default"/>
          <w:sz w:val="18"/>
          <w:szCs w:val="18"/>
        </w:rPr>
      </w:pPr>
    </w:p>
    <w:p>
      <w:pPr>
        <w:pStyle w:val="BodyText"/>
        <w:tabs>
          <w:tab w:pos="559" w:val="left" w:leader="none"/>
        </w:tabs>
        <w:spacing w:line="240" w:lineRule="auto"/>
        <w:ind w:left="114" w:right="2944"/>
        <w:jc w:val="left"/>
        <w:rPr>
          <w:rFonts w:ascii="黑体" w:hAnsi="黑体" w:cs="黑体" w:eastAsia="黑体" w:hint="default"/>
        </w:rPr>
      </w:pPr>
      <w:r>
        <w:rPr>
          <w:rFonts w:ascii="黑体" w:hAnsi="黑体" w:cs="黑体" w:eastAsia="黑体" w:hint="default"/>
          <w:w w:val="95"/>
        </w:rPr>
        <w:t>十</w:t>
        <w:tab/>
      </w:r>
      <w:r>
        <w:rPr>
          <w:rFonts w:ascii="黑体" w:hAnsi="黑体" w:cs="黑体" w:eastAsia="黑体" w:hint="default"/>
        </w:rPr>
        <w:t>承诺事项</w:t>
      </w:r>
    </w:p>
    <w:p>
      <w:pPr>
        <w:spacing w:line="240" w:lineRule="auto" w:before="1"/>
        <w:rPr>
          <w:rFonts w:ascii="黑体" w:hAnsi="黑体" w:cs="黑体" w:eastAsia="黑体" w:hint="default"/>
          <w:sz w:val="19"/>
          <w:szCs w:val="19"/>
        </w:rPr>
      </w:pPr>
    </w:p>
    <w:p>
      <w:pPr>
        <w:pStyle w:val="BodyText"/>
        <w:spacing w:line="240" w:lineRule="auto"/>
        <w:ind w:left="142" w:right="2944"/>
        <w:jc w:val="left"/>
      </w:pPr>
      <w:r>
        <w:rPr>
          <w:rFonts w:ascii="Arial" w:hAnsi="Arial" w:cs="Arial" w:eastAsia="Arial" w:hint="default"/>
        </w:rPr>
        <w:t>1</w:t>
      </w:r>
      <w:r>
        <w:rPr/>
        <w:t>、</w:t>
      </w:r>
      <w:r>
        <w:rPr>
          <w:spacing w:val="-38"/>
        </w:rPr>
        <w:t> </w:t>
      </w:r>
      <w:r>
        <w:rPr/>
        <w:t>资本性支出承诺事项</w:t>
      </w:r>
    </w:p>
    <w:p>
      <w:pPr>
        <w:spacing w:line="240" w:lineRule="auto" w:before="2"/>
        <w:rPr>
          <w:rFonts w:ascii="宋体" w:hAnsi="宋体" w:cs="宋体" w:eastAsia="宋体" w:hint="default"/>
          <w:sz w:val="20"/>
          <w:szCs w:val="20"/>
        </w:rPr>
      </w:pPr>
    </w:p>
    <w:p>
      <w:pPr>
        <w:pStyle w:val="BodyText"/>
        <w:spacing w:line="286" w:lineRule="exact"/>
        <w:ind w:left="562" w:right="198"/>
        <w:jc w:val="left"/>
      </w:pPr>
      <w:r>
        <w:rPr>
          <w:spacing w:val="-2"/>
          <w:w w:val="99"/>
        </w:rPr>
        <w:t>本集团的资本性支出承诺主要是关于电信网络建设方面的资本支出。以下为本集团于资产负债表</w:t>
      </w:r>
      <w:r>
        <w:rPr>
          <w:spacing w:val="-104"/>
          <w:w w:val="99"/>
        </w:rPr>
        <w:t> </w:t>
      </w:r>
      <w:r>
        <w:rPr>
          <w:spacing w:val="-104"/>
          <w:w w:val="99"/>
        </w:rPr>
      </w:r>
      <w:r>
        <w:rPr/>
        <w:t>日，已签约而尚不必在资产负债表上列示的资本性支出及其他承诺：</w:t>
      </w:r>
    </w:p>
    <w:p>
      <w:pPr>
        <w:spacing w:line="240" w:lineRule="auto" w:before="1"/>
        <w:rPr>
          <w:rFonts w:ascii="宋体" w:hAnsi="宋体" w:cs="宋体" w:eastAsia="宋体" w:hint="default"/>
          <w:sz w:val="17"/>
          <w:szCs w:val="17"/>
        </w:rPr>
      </w:pPr>
    </w:p>
    <w:p>
      <w:pPr>
        <w:pStyle w:val="BodyText"/>
        <w:tabs>
          <w:tab w:pos="7534" w:val="left" w:leader="none"/>
        </w:tabs>
        <w:spacing w:line="240" w:lineRule="auto"/>
        <w:ind w:left="4420" w:right="84"/>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tabs>
          <w:tab w:pos="6821" w:val="left" w:leader="none"/>
        </w:tabs>
        <w:spacing w:line="20" w:lineRule="exact"/>
        <w:ind w:left="3851" w:right="0" w:firstLine="0"/>
        <w:rPr>
          <w:rFonts w:ascii="宋体" w:hAnsi="宋体" w:cs="宋体" w:eastAsia="宋体" w:hint="default"/>
          <w:sz w:val="2"/>
          <w:szCs w:val="2"/>
        </w:rPr>
      </w:pPr>
      <w:r>
        <w:rPr>
          <w:rFonts w:ascii="宋体"/>
          <w:sz w:val="2"/>
        </w:rPr>
        <w:pict>
          <v:group style="width:127.35pt;height:.75pt;mso-position-horizontal-relative:char;mso-position-vertical-relative:line" coordorigin="0,0" coordsize="2547,15">
            <v:group style="position:absolute;left:7;top:7;width:2532;height:2" coordorigin="7,7" coordsize="2532,2">
              <v:shape style="position:absolute;left:7;top:7;width:2532;height:2" coordorigin="7,7" coordsize="2532,0" path="m7,7l2539,7e" filled="false" stroked="true" strokeweight=".72pt" strokecolor="#000000">
                <v:path arrowok="t"/>
              </v:shape>
            </v:group>
          </v:group>
        </w:pict>
      </w:r>
      <w:r>
        <w:rPr>
          <w:rFonts w:ascii="宋体"/>
          <w:sz w:val="2"/>
        </w:rPr>
      </w:r>
      <w:r>
        <w:rPr>
          <w:rFonts w:ascii="宋体"/>
          <w:sz w:val="2"/>
        </w:rPr>
        <w:tab/>
      </w:r>
      <w:r>
        <w:rPr>
          <w:rFonts w:ascii="宋体"/>
          <w:sz w:val="2"/>
        </w:rPr>
        <w:pict>
          <v:group style="width:138.9pt;height:.75pt;mso-position-horizontal-relative:char;mso-position-vertical-relative:line" coordorigin="0,0" coordsize="2778,15">
            <v:group style="position:absolute;left:7;top:7;width:2764;height:2" coordorigin="7,7" coordsize="2764,2">
              <v:shape style="position:absolute;left:7;top:7;width:2764;height:2" coordorigin="7,7" coordsize="2764,0" path="m7,7l2771,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5"/>
          <w:szCs w:val="15"/>
        </w:rPr>
      </w:pPr>
    </w:p>
    <w:p>
      <w:pPr>
        <w:pStyle w:val="BodyText"/>
        <w:tabs>
          <w:tab w:pos="4873" w:val="left" w:leader="none"/>
          <w:tab w:pos="7988" w:val="left" w:leader="none"/>
        </w:tabs>
        <w:spacing w:line="240" w:lineRule="auto" w:before="27"/>
        <w:ind w:left="585" w:right="84"/>
        <w:jc w:val="left"/>
        <w:rPr>
          <w:rFonts w:ascii="Arial" w:hAnsi="Arial" w:cs="Arial" w:eastAsia="Arial" w:hint="default"/>
        </w:rPr>
      </w:pPr>
      <w:r>
        <w:rPr>
          <w:w w:val="95"/>
          <w:position w:val="2"/>
        </w:rPr>
        <w:t>房屋、建筑物及机器设备</w:t>
        <w:tab/>
      </w:r>
      <w:r>
        <w:rPr>
          <w:rFonts w:ascii="Arial" w:hAnsi="Arial" w:cs="Arial" w:eastAsia="Arial" w:hint="default"/>
          <w:spacing w:val="-1"/>
        </w:rPr>
        <w:t>7,186,632,601</w:t>
        <w:tab/>
        <w:t>6,079,926,506</w:t>
      </w:r>
    </w:p>
    <w:p>
      <w:pPr>
        <w:tabs>
          <w:tab w:pos="6807" w:val="left" w:leader="none"/>
        </w:tabs>
        <w:spacing w:line="43" w:lineRule="exact"/>
        <w:ind w:left="3837" w:right="0" w:firstLine="0"/>
        <w:rPr>
          <w:rFonts w:ascii="Arial" w:hAnsi="Arial" w:cs="Arial" w:eastAsia="Arial" w:hint="default"/>
          <w:sz w:val="4"/>
          <w:szCs w:val="4"/>
        </w:rPr>
      </w:pPr>
      <w:r>
        <w:rPr>
          <w:rFonts w:ascii="Arial"/>
          <w:position w:val="0"/>
          <w:sz w:val="4"/>
        </w:rPr>
        <w:pict>
          <v:group style="width:128.0500pt;height:2.2pt;mso-position-horizontal-relative:char;mso-position-vertical-relative:line" coordorigin="0,0" coordsize="2561,44">
            <v:group style="position:absolute;left:7;top:36;width:2547;height:2" coordorigin="7,36" coordsize="2547,2">
              <v:shape style="position:absolute;left:7;top:36;width:2547;height:2" coordorigin="7,36" coordsize="2547,0" path="m7,36l2554,36e" filled="false" stroked="true" strokeweight=".72pt" strokecolor="#000000">
                <v:path arrowok="t"/>
              </v:shape>
            </v:group>
            <v:group style="position:absolute;left:7;top:7;width:2547;height:2" coordorigin="7,7" coordsize="2547,2">
              <v:shape style="position:absolute;left:7;top:7;width:2547;height:2" coordorigin="7,7" coordsize="2547,0" path="m7,7l2554,7e" filled="false" stroked="true" strokeweight=".71997pt" strokecolor="#000000">
                <v:path arrowok="t"/>
              </v:shape>
            </v:group>
          </v:group>
        </w:pict>
      </w:r>
      <w:r>
        <w:rPr>
          <w:rFonts w:ascii="Arial"/>
          <w:position w:val="0"/>
          <w:sz w:val="4"/>
        </w:rPr>
      </w:r>
      <w:r>
        <w:rPr>
          <w:rFonts w:ascii="Arial"/>
          <w:position w:val="0"/>
          <w:sz w:val="4"/>
        </w:rPr>
        <w:tab/>
      </w:r>
      <w:r>
        <w:rPr>
          <w:rFonts w:ascii="Arial"/>
          <w:position w:val="0"/>
          <w:sz w:val="4"/>
        </w:rPr>
        <w:pict>
          <v:group style="width:139.65pt;height:2.2pt;mso-position-horizontal-relative:char;mso-position-vertical-relative:line" coordorigin="0,0" coordsize="2793,44">
            <v:group style="position:absolute;left:7;top:36;width:2778;height:2" coordorigin="7,36" coordsize="2778,2">
              <v:shape style="position:absolute;left:7;top:36;width:2778;height:2" coordorigin="7,36" coordsize="2778,0" path="m7,36l2785,36e" filled="false" stroked="true" strokeweight=".72pt" strokecolor="#000000">
                <v:path arrowok="t"/>
              </v:shape>
            </v:group>
            <v:group style="position:absolute;left:7;top:7;width:2778;height:2" coordorigin="7,7" coordsize="2778,2">
              <v:shape style="position:absolute;left:7;top:7;width:2778;height:2" coordorigin="7,7" coordsize="2778,0" path="m7,7l2785,7e" filled="false" stroked="true" strokeweight=".71997pt" strokecolor="#000000">
                <v:path arrowok="t"/>
              </v:shape>
            </v:group>
          </v:group>
        </w:pict>
      </w:r>
      <w:r>
        <w:rPr>
          <w:rFonts w:ascii="Arial"/>
          <w:position w:val="0"/>
          <w:sz w:val="4"/>
        </w:rPr>
      </w:r>
    </w:p>
    <w:p>
      <w:pPr>
        <w:spacing w:line="240" w:lineRule="auto" w:before="5"/>
        <w:rPr>
          <w:rFonts w:ascii="Arial" w:hAnsi="Arial" w:cs="Arial" w:eastAsia="Arial" w:hint="default"/>
          <w:sz w:val="16"/>
          <w:szCs w:val="16"/>
        </w:rPr>
      </w:pPr>
    </w:p>
    <w:p>
      <w:pPr>
        <w:pStyle w:val="BodyText"/>
        <w:spacing w:line="240" w:lineRule="auto" w:before="31"/>
        <w:ind w:left="562" w:right="84"/>
        <w:jc w:val="left"/>
      </w:pPr>
      <w:r>
        <w:rPr/>
        <w:t>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日，无以美元计价的资本承诺事项（</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日：无）。</w:t>
      </w:r>
    </w:p>
    <w:p>
      <w:pPr>
        <w:spacing w:line="240" w:lineRule="auto" w:before="13"/>
        <w:rPr>
          <w:rFonts w:ascii="宋体" w:hAnsi="宋体" w:cs="宋体" w:eastAsia="宋体" w:hint="default"/>
          <w:sz w:val="17"/>
          <w:szCs w:val="17"/>
        </w:rPr>
      </w:pPr>
    </w:p>
    <w:p>
      <w:pPr>
        <w:pStyle w:val="BodyText"/>
        <w:spacing w:line="424" w:lineRule="auto"/>
        <w:ind w:left="585" w:right="1395" w:hanging="443"/>
        <w:jc w:val="left"/>
      </w:pPr>
      <w:r>
        <w:rPr>
          <w:rFonts w:ascii="Arial" w:hAnsi="Arial" w:cs="Arial" w:eastAsia="Arial" w:hint="default"/>
        </w:rPr>
        <w:t>2</w:t>
      </w:r>
      <w:r>
        <w:rPr/>
        <w:t>、</w:t>
      </w:r>
      <w:r>
        <w:rPr>
          <w:spacing w:val="-36"/>
        </w:rPr>
        <w:t> </w:t>
      </w:r>
      <w:r>
        <w:rPr/>
        <w:t>经营租赁承诺事项</w:t>
      </w:r>
      <w:r>
        <w:rPr>
          <w:w w:val="99"/>
        </w:rPr>
        <w:t> </w:t>
      </w:r>
      <w:r>
        <w:rPr/>
        <w:t>根据已签订的不可撤销的经营性租赁合同，本集团未来最低应支付租金汇总如下：</w:t>
      </w:r>
    </w:p>
    <w:p>
      <w:pPr>
        <w:spacing w:line="240" w:lineRule="auto" w:before="10"/>
        <w:rPr>
          <w:rFonts w:ascii="宋体" w:hAnsi="宋体" w:cs="宋体" w:eastAsia="宋体" w:hint="default"/>
          <w:sz w:val="3"/>
          <w:szCs w:val="3"/>
        </w:rPr>
      </w:pPr>
    </w:p>
    <w:tbl>
      <w:tblPr>
        <w:tblW w:w="0" w:type="auto"/>
        <w:jc w:val="left"/>
        <w:tblInd w:w="550" w:type="dxa"/>
        <w:tblLayout w:type="fixed"/>
        <w:tblCellMar>
          <w:top w:w="0" w:type="dxa"/>
          <w:left w:w="0" w:type="dxa"/>
          <w:bottom w:w="0" w:type="dxa"/>
          <w:right w:w="0" w:type="dxa"/>
        </w:tblCellMar>
        <w:tblLook w:val="01E0"/>
      </w:tblPr>
      <w:tblGrid>
        <w:gridCol w:w="3293"/>
        <w:gridCol w:w="2546"/>
        <w:gridCol w:w="401"/>
        <w:gridCol w:w="2736"/>
      </w:tblGrid>
      <w:tr>
        <w:trPr>
          <w:trHeight w:val="361" w:hRule="exact"/>
        </w:trPr>
        <w:tc>
          <w:tcPr>
            <w:tcW w:w="3293"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401"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12"/>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254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76" w:right="0"/>
              <w:jc w:val="left"/>
              <w:rPr>
                <w:rFonts w:ascii="Arial" w:hAnsi="Arial" w:cs="Arial" w:eastAsia="Arial" w:hint="default"/>
                <w:sz w:val="22"/>
                <w:szCs w:val="22"/>
              </w:rPr>
            </w:pPr>
            <w:r>
              <w:rPr>
                <w:rFonts w:ascii="Arial"/>
                <w:sz w:val="22"/>
              </w:rPr>
              <w:t>4,432,615,419</w:t>
            </w:r>
          </w:p>
        </w:tc>
        <w:tc>
          <w:tcPr>
            <w:tcW w:w="401" w:type="dxa"/>
            <w:tcBorders>
              <w:top w:val="nil" w:sz="6" w:space="0" w:color="auto"/>
              <w:left w:val="nil" w:sz="6" w:space="0" w:color="auto"/>
              <w:bottom w:val="nil" w:sz="6" w:space="0" w:color="auto"/>
              <w:right w:val="nil" w:sz="6" w:space="0" w:color="auto"/>
            </w:tcBorders>
          </w:tcPr>
          <w:p>
            <w:pPr/>
          </w:p>
        </w:tc>
        <w:tc>
          <w:tcPr>
            <w:tcW w:w="273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3"/>
              <w:jc w:val="right"/>
              <w:rPr>
                <w:rFonts w:ascii="Arial" w:hAnsi="Arial" w:cs="Arial" w:eastAsia="Arial" w:hint="default"/>
                <w:sz w:val="22"/>
                <w:szCs w:val="22"/>
              </w:rPr>
            </w:pPr>
            <w:r>
              <w:rPr>
                <w:rFonts w:ascii="Arial"/>
                <w:spacing w:val="-1"/>
                <w:sz w:val="22"/>
              </w:rPr>
              <w:t>4,246,041,643</w:t>
            </w:r>
          </w:p>
        </w:tc>
      </w:tr>
      <w:tr>
        <w:trPr>
          <w:trHeight w:val="286"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76" w:right="0"/>
              <w:jc w:val="left"/>
              <w:rPr>
                <w:rFonts w:ascii="Arial" w:hAnsi="Arial" w:cs="Arial" w:eastAsia="Arial" w:hint="default"/>
                <w:sz w:val="22"/>
                <w:szCs w:val="22"/>
              </w:rPr>
            </w:pPr>
            <w:r>
              <w:rPr>
                <w:rFonts w:ascii="Arial"/>
                <w:sz w:val="22"/>
              </w:rPr>
              <w:t>1,449,689,989</w:t>
            </w:r>
          </w:p>
        </w:tc>
        <w:tc>
          <w:tcPr>
            <w:tcW w:w="401"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3"/>
              <w:jc w:val="right"/>
              <w:rPr>
                <w:rFonts w:ascii="Arial" w:hAnsi="Arial" w:cs="Arial" w:eastAsia="Arial" w:hint="default"/>
                <w:sz w:val="22"/>
                <w:szCs w:val="22"/>
              </w:rPr>
            </w:pPr>
            <w:r>
              <w:rPr>
                <w:rFonts w:ascii="Arial"/>
                <w:spacing w:val="-1"/>
                <w:sz w:val="22"/>
              </w:rPr>
              <w:t>3,931,079,215</w:t>
            </w:r>
          </w:p>
        </w:tc>
      </w:tr>
      <w:tr>
        <w:trPr>
          <w:trHeight w:val="285"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76" w:right="0"/>
              <w:jc w:val="left"/>
              <w:rPr>
                <w:rFonts w:ascii="Arial" w:hAnsi="Arial" w:cs="Arial" w:eastAsia="Arial" w:hint="default"/>
                <w:sz w:val="22"/>
                <w:szCs w:val="22"/>
              </w:rPr>
            </w:pPr>
            <w:r>
              <w:rPr>
                <w:rFonts w:ascii="Arial"/>
                <w:sz w:val="22"/>
              </w:rPr>
              <w:t>1,308,168,531</w:t>
            </w:r>
          </w:p>
        </w:tc>
        <w:tc>
          <w:tcPr>
            <w:tcW w:w="401"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3"/>
              <w:jc w:val="right"/>
              <w:rPr>
                <w:rFonts w:ascii="Arial" w:hAnsi="Arial" w:cs="Arial" w:eastAsia="Arial" w:hint="default"/>
                <w:sz w:val="22"/>
                <w:szCs w:val="22"/>
              </w:rPr>
            </w:pPr>
            <w:r>
              <w:rPr>
                <w:rFonts w:ascii="Arial"/>
                <w:spacing w:val="-1"/>
                <w:sz w:val="22"/>
              </w:rPr>
              <w:t>1,056,078,571</w:t>
            </w:r>
          </w:p>
        </w:tc>
      </w:tr>
      <w:tr>
        <w:trPr>
          <w:trHeight w:val="419"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546" w:type="dxa"/>
            <w:tcBorders>
              <w:top w:val="nil" w:sz="6" w:space="0" w:color="auto"/>
              <w:left w:val="nil" w:sz="6" w:space="0" w:color="auto"/>
              <w:bottom w:val="nil" w:sz="6" w:space="0" w:color="auto"/>
              <w:right w:val="nil" w:sz="6" w:space="0" w:color="auto"/>
            </w:tcBorders>
          </w:tcPr>
          <w:p>
            <w:pPr>
              <w:pStyle w:val="TableParagraph"/>
              <w:tabs>
                <w:tab w:pos="962" w:val="left" w:leader="none"/>
                <w:tab w:pos="253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2,417,583,784</w:t>
              <w:tab/>
            </w:r>
            <w:r>
              <w:rPr>
                <w:rFonts w:ascii="Arial"/>
                <w:spacing w:val="-1"/>
                <w:sz w:val="22"/>
              </w:rPr>
            </w:r>
          </w:p>
        </w:tc>
        <w:tc>
          <w:tcPr>
            <w:tcW w:w="401"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tabs>
                <w:tab w:pos="1160" w:val="left" w:leader="none"/>
                <w:tab w:pos="2686"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2,169,405,263</w:t>
              <w:tab/>
            </w:r>
            <w:r>
              <w:rPr>
                <w:rFonts w:ascii="Arial"/>
                <w:spacing w:val="-1"/>
                <w:sz w:val="22"/>
              </w:rPr>
            </w:r>
          </w:p>
        </w:tc>
      </w:tr>
      <w:tr>
        <w:trPr>
          <w:trHeight w:val="431"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4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976" w:right="0"/>
              <w:jc w:val="left"/>
              <w:rPr>
                <w:rFonts w:ascii="Arial" w:hAnsi="Arial" w:cs="Arial" w:eastAsia="Arial" w:hint="default"/>
                <w:sz w:val="22"/>
                <w:szCs w:val="22"/>
              </w:rPr>
            </w:pPr>
            <w:r>
              <w:rPr>
                <w:rFonts w:ascii="Arial"/>
                <w:sz w:val="22"/>
              </w:rPr>
              <w:t>9,608,057,723</w:t>
            </w:r>
          </w:p>
        </w:tc>
        <w:tc>
          <w:tcPr>
            <w:tcW w:w="401"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53"/>
              <w:jc w:val="right"/>
              <w:rPr>
                <w:rFonts w:ascii="Arial" w:hAnsi="Arial" w:cs="Arial" w:eastAsia="Arial" w:hint="default"/>
                <w:sz w:val="22"/>
                <w:szCs w:val="22"/>
              </w:rPr>
            </w:pPr>
            <w:r>
              <w:rPr>
                <w:rFonts w:ascii="Arial"/>
                <w:spacing w:val="-1"/>
                <w:sz w:val="22"/>
              </w:rPr>
              <w:t>11,402,604,692</w:t>
            </w:r>
          </w:p>
        </w:tc>
      </w:tr>
    </w:tbl>
    <w:p>
      <w:pPr>
        <w:spacing w:after="0" w:line="240" w:lineRule="auto"/>
        <w:jc w:val="right"/>
        <w:rPr>
          <w:rFonts w:ascii="Arial" w:hAnsi="Arial" w:cs="Arial" w:eastAsia="Arial" w:hint="default"/>
          <w:sz w:val="22"/>
          <w:szCs w:val="22"/>
        </w:rPr>
        <w:sectPr>
          <w:headerReference w:type="default" r:id="rId146"/>
          <w:pgSz w:w="11900" w:h="16840"/>
          <w:pgMar w:header="1184" w:footer="752" w:top="3040" w:bottom="940" w:left="1240" w:right="740"/>
        </w:sectPr>
      </w:pPr>
    </w:p>
    <w:p>
      <w:pPr>
        <w:spacing w:line="240" w:lineRule="auto" w:before="10"/>
        <w:rPr>
          <w:rFonts w:ascii="宋体" w:hAnsi="宋体" w:cs="宋体" w:eastAsia="宋体" w:hint="default"/>
          <w:sz w:val="16"/>
          <w:szCs w:val="16"/>
        </w:rPr>
      </w:pPr>
    </w:p>
    <w:p>
      <w:pPr>
        <w:pStyle w:val="BodyText"/>
        <w:tabs>
          <w:tab w:pos="559" w:val="left" w:leader="none"/>
        </w:tabs>
        <w:spacing w:line="240" w:lineRule="auto" w:before="31"/>
        <w:ind w:left="114" w:right="2944"/>
        <w:jc w:val="left"/>
        <w:rPr>
          <w:rFonts w:ascii="黑体" w:hAnsi="黑体" w:cs="黑体" w:eastAsia="黑体" w:hint="default"/>
        </w:rPr>
      </w:pPr>
      <w:r>
        <w:rPr>
          <w:rFonts w:ascii="黑体" w:hAnsi="黑体" w:cs="黑体" w:eastAsia="黑体" w:hint="default"/>
          <w:w w:val="95"/>
        </w:rPr>
        <w:t>十</w:t>
        <w:tab/>
      </w:r>
      <w:r>
        <w:rPr>
          <w:rFonts w:ascii="黑体" w:hAnsi="黑体" w:cs="黑体" w:eastAsia="黑体" w:hint="default"/>
        </w:rPr>
        <w:t>承诺事项（续）</w:t>
      </w:r>
    </w:p>
    <w:p>
      <w:pPr>
        <w:pStyle w:val="BodyText"/>
        <w:spacing w:line="540" w:lineRule="atLeast" w:before="13"/>
        <w:ind w:left="562" w:right="195" w:hanging="421"/>
        <w:jc w:val="left"/>
        <w:rPr>
          <w:rFonts w:ascii="Arial" w:hAnsi="Arial" w:cs="Arial" w:eastAsia="Arial" w:hint="default"/>
        </w:rPr>
      </w:pPr>
      <w:r>
        <w:rPr>
          <w:rFonts w:ascii="Arial" w:hAnsi="Arial" w:cs="Arial" w:eastAsia="Arial" w:hint="default"/>
        </w:rPr>
        <w:t>2</w:t>
      </w:r>
      <w:r>
        <w:rPr/>
        <w:t>、</w:t>
      </w:r>
      <w:r>
        <w:rPr>
          <w:spacing w:val="-35"/>
        </w:rPr>
        <w:t> </w:t>
      </w:r>
      <w:r>
        <w:rPr/>
        <w:t>经营租赁承诺事项（续）</w:t>
      </w:r>
      <w:r>
        <w:rPr>
          <w:w w:val="99"/>
        </w:rPr>
        <w:t> </w:t>
      </w:r>
      <w:r>
        <w:rPr/>
        <w:t>注：联通运营公司与联通新时空新签署的租赁南方固定电信网络的协议，新租赁期自</w:t>
      </w:r>
      <w:r>
        <w:rPr>
          <w:spacing w:val="-53"/>
        </w:rPr>
        <w:t> </w:t>
      </w:r>
      <w:r>
        <w:rPr>
          <w:rFonts w:ascii="Arial" w:hAnsi="Arial" w:cs="Arial" w:eastAsia="Arial" w:hint="default"/>
        </w:rPr>
        <w:t>2011</w:t>
      </w:r>
      <w:r>
        <w:rPr>
          <w:rFonts w:ascii="Arial" w:hAnsi="Arial" w:cs="Arial" w:eastAsia="Arial" w:hint="default"/>
          <w:spacing w:val="-3"/>
        </w:rPr>
        <w:t> </w:t>
      </w:r>
      <w:r>
        <w:rPr/>
        <w:t>年</w:t>
      </w:r>
      <w:r>
        <w:rPr>
          <w:spacing w:val="-54"/>
        </w:rPr>
        <w:t> </w:t>
      </w:r>
      <w:r>
        <w:rPr>
          <w:rFonts w:ascii="Arial" w:hAnsi="Arial" w:cs="Arial" w:eastAsia="Arial" w:hint="default"/>
        </w:rPr>
        <w:t>1</w:t>
      </w:r>
    </w:p>
    <w:p>
      <w:pPr>
        <w:pStyle w:val="BodyText"/>
        <w:spacing w:line="276" w:lineRule="exact"/>
        <w:ind w:left="968" w:right="192"/>
        <w:jc w:val="center"/>
      </w:pPr>
      <w:r>
        <w:rPr/>
        <w:t>月</w:t>
      </w:r>
      <w:r>
        <w:rPr>
          <w:spacing w:val="-56"/>
        </w:rPr>
        <w:t> </w:t>
      </w:r>
      <w:r>
        <w:rPr>
          <w:rFonts w:ascii="Arial" w:hAnsi="Arial" w:cs="Arial" w:eastAsia="Arial" w:hint="default"/>
        </w:rPr>
        <w:t>1</w:t>
      </w:r>
      <w:r>
        <w:rPr>
          <w:rFonts w:ascii="Arial" w:hAnsi="Arial" w:cs="Arial" w:eastAsia="Arial" w:hint="default"/>
          <w:spacing w:val="-7"/>
        </w:rPr>
        <w:t> </w:t>
      </w:r>
      <w:r>
        <w:rPr/>
        <w:t>日至</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6"/>
        </w:rPr>
        <w:t>日止，</w:t>
      </w:r>
      <w:r>
        <w:rPr>
          <w:rFonts w:ascii="Arial" w:hAnsi="Arial" w:cs="Arial" w:eastAsia="Arial" w:hint="default"/>
          <w:spacing w:val="-6"/>
        </w:rPr>
        <w:t>2011</w:t>
      </w:r>
      <w:r>
        <w:rPr>
          <w:rFonts w:ascii="Arial" w:hAnsi="Arial" w:cs="Arial" w:eastAsia="Arial" w:hint="default"/>
          <w:spacing w:val="-7"/>
        </w:rPr>
        <w:t> </w:t>
      </w:r>
      <w:r>
        <w:rPr/>
        <w:t>年和</w:t>
      </w:r>
      <w:r>
        <w:rPr>
          <w:spacing w:val="-56"/>
        </w:rPr>
        <w:t> </w:t>
      </w:r>
      <w:r>
        <w:rPr>
          <w:rFonts w:ascii="Arial" w:hAnsi="Arial" w:cs="Arial" w:eastAsia="Arial" w:hint="default"/>
        </w:rPr>
        <w:t>2012</w:t>
      </w:r>
      <w:r>
        <w:rPr>
          <w:rFonts w:ascii="Arial" w:hAnsi="Arial" w:cs="Arial" w:eastAsia="Arial" w:hint="default"/>
          <w:spacing w:val="-7"/>
        </w:rPr>
        <w:t> </w:t>
      </w:r>
      <w:r>
        <w:rPr/>
        <w:t>年的年度租赁费分别为人民币</w:t>
      </w:r>
      <w:r>
        <w:rPr>
          <w:spacing w:val="-56"/>
        </w:rPr>
        <w:t> </w:t>
      </w:r>
      <w:r>
        <w:rPr>
          <w:rFonts w:ascii="Arial" w:hAnsi="Arial" w:cs="Arial" w:eastAsia="Arial" w:hint="default"/>
        </w:rPr>
        <w:t>24</w:t>
      </w:r>
      <w:r>
        <w:rPr>
          <w:rFonts w:ascii="Arial" w:hAnsi="Arial" w:cs="Arial" w:eastAsia="Arial" w:hint="default"/>
          <w:spacing w:val="-7"/>
        </w:rPr>
        <w:t> </w:t>
      </w:r>
      <w:r>
        <w:rPr/>
        <w:t>亿元和</w:t>
      </w:r>
    </w:p>
    <w:p>
      <w:pPr>
        <w:pStyle w:val="BodyText"/>
        <w:spacing w:line="285" w:lineRule="exact"/>
        <w:ind w:left="970" w:right="192"/>
        <w:jc w:val="center"/>
      </w:pPr>
      <w:r>
        <w:rPr/>
        <w:t>人民币</w:t>
      </w:r>
      <w:r>
        <w:rPr>
          <w:spacing w:val="-55"/>
        </w:rPr>
        <w:t> </w:t>
      </w:r>
      <w:r>
        <w:rPr>
          <w:rFonts w:ascii="Arial" w:hAnsi="Arial" w:cs="Arial" w:eastAsia="Arial" w:hint="default"/>
        </w:rPr>
        <w:t>26</w:t>
      </w:r>
      <w:r>
        <w:rPr>
          <w:rFonts w:ascii="Arial" w:hAnsi="Arial" w:cs="Arial" w:eastAsia="Arial" w:hint="default"/>
          <w:spacing w:val="-4"/>
        </w:rPr>
        <w:t> </w:t>
      </w:r>
      <w:r>
        <w:rPr/>
        <w:t>亿元，根据此两年期的租赁协议规定的年度租赁费为基础计算的承诺付款额被计</w:t>
      </w:r>
    </w:p>
    <w:p>
      <w:pPr>
        <w:pStyle w:val="BodyText"/>
        <w:spacing w:line="286" w:lineRule="exact"/>
        <w:ind w:left="970" w:right="192"/>
        <w:jc w:val="center"/>
      </w:pPr>
      <w:r>
        <w:rPr/>
        <w:t>入本集团截至</w:t>
      </w:r>
      <w:r>
        <w:rPr>
          <w:spacing w:val="-55"/>
        </w:rPr>
        <w:t> </w:t>
      </w:r>
      <w:r>
        <w:rPr>
          <w:rFonts w:ascii="Arial" w:hAnsi="Arial" w:cs="Arial" w:eastAsia="Arial" w:hint="default"/>
        </w:rPr>
        <w:t>2011</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spacing w:val="-3"/>
        </w:rPr>
        <w:t>日的经营租赁承诺事项中，金额为人民币</w:t>
      </w:r>
      <w:r>
        <w:rPr>
          <w:spacing w:val="-55"/>
        </w:rPr>
        <w:t> </w:t>
      </w:r>
      <w:r>
        <w:rPr>
          <w:rFonts w:ascii="Arial" w:hAnsi="Arial" w:cs="Arial" w:eastAsia="Arial" w:hint="default"/>
        </w:rPr>
        <w:t>26</w:t>
      </w:r>
      <w:r>
        <w:rPr>
          <w:rFonts w:ascii="Arial" w:hAnsi="Arial" w:cs="Arial" w:eastAsia="Arial" w:hint="default"/>
          <w:spacing w:val="-6"/>
        </w:rPr>
        <w:t> </w:t>
      </w:r>
      <w:r>
        <w:rPr>
          <w:spacing w:val="-7"/>
        </w:rPr>
        <w:t>亿元（</w:t>
      </w:r>
      <w:r>
        <w:rPr>
          <w:rFonts w:ascii="Arial" w:hAnsi="Arial" w:cs="Arial" w:eastAsia="Arial" w:hint="default"/>
          <w:spacing w:val="-7"/>
        </w:rPr>
        <w:t>2010</w:t>
      </w:r>
      <w:r>
        <w:rPr>
          <w:rFonts w:ascii="Arial" w:hAnsi="Arial" w:cs="Arial" w:eastAsia="Arial" w:hint="default"/>
          <w:spacing w:val="-6"/>
        </w:rPr>
        <w:t> </w:t>
      </w:r>
      <w:r>
        <w:rPr/>
        <w:t>年</w:t>
      </w:r>
    </w:p>
    <w:p>
      <w:pPr>
        <w:pStyle w:val="BodyText"/>
        <w:spacing w:line="295" w:lineRule="exact"/>
        <w:ind w:left="988" w:right="2944"/>
        <w:jc w:val="left"/>
      </w:pP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日：人民币</w:t>
      </w:r>
      <w:r>
        <w:rPr>
          <w:spacing w:val="-56"/>
        </w:rPr>
        <w:t> </w:t>
      </w:r>
      <w:r>
        <w:rPr>
          <w:rFonts w:ascii="Arial" w:hAnsi="Arial" w:cs="Arial" w:eastAsia="Arial" w:hint="default"/>
        </w:rPr>
        <w:t>50</w:t>
      </w:r>
      <w:r>
        <w:rPr>
          <w:rFonts w:ascii="Arial" w:hAnsi="Arial" w:cs="Arial" w:eastAsia="Arial" w:hint="default"/>
          <w:spacing w:val="-7"/>
        </w:rPr>
        <w:t> </w:t>
      </w:r>
      <w:r>
        <w:rPr/>
        <w:t>亿元）。</w:t>
      </w:r>
    </w:p>
    <w:p>
      <w:pPr>
        <w:spacing w:line="240" w:lineRule="auto" w:before="12"/>
        <w:rPr>
          <w:rFonts w:ascii="宋体" w:hAnsi="宋体" w:cs="宋体" w:eastAsia="宋体" w:hint="default"/>
          <w:sz w:val="17"/>
          <w:szCs w:val="17"/>
        </w:rPr>
      </w:pPr>
    </w:p>
    <w:p>
      <w:pPr>
        <w:pStyle w:val="BodyText"/>
        <w:spacing w:line="240" w:lineRule="auto"/>
        <w:ind w:left="142" w:right="2944"/>
        <w:jc w:val="left"/>
      </w:pPr>
      <w:r>
        <w:rPr>
          <w:rFonts w:ascii="Arial" w:hAnsi="Arial" w:cs="Arial" w:eastAsia="Arial" w:hint="default"/>
        </w:rPr>
        <w:t>3</w:t>
      </w:r>
      <w:r>
        <w:rPr/>
        <w:t>、</w:t>
      </w:r>
      <w:r>
        <w:rPr>
          <w:spacing w:val="-37"/>
        </w:rPr>
        <w:t> </w:t>
      </w:r>
      <w:r>
        <w:rPr/>
        <w:t>前期承诺履行情况</w:t>
      </w:r>
    </w:p>
    <w:p>
      <w:pPr>
        <w:pStyle w:val="BodyText"/>
        <w:spacing w:line="240" w:lineRule="auto" w:before="182"/>
        <w:ind w:left="562" w:right="84"/>
        <w:jc w:val="left"/>
      </w:pPr>
      <w:r>
        <w:rPr/>
        <w:t>本集团</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日之资本性支出承诺及经营租赁承诺基本已按照之前承诺履行。</w:t>
      </w:r>
    </w:p>
    <w:p>
      <w:pPr>
        <w:spacing w:line="240" w:lineRule="auto" w:before="12"/>
        <w:rPr>
          <w:rFonts w:ascii="宋体" w:hAnsi="宋体" w:cs="宋体" w:eastAsia="宋体" w:hint="default"/>
          <w:sz w:val="17"/>
          <w:szCs w:val="17"/>
        </w:rPr>
      </w:pPr>
    </w:p>
    <w:p>
      <w:pPr>
        <w:pStyle w:val="BodyText"/>
        <w:spacing w:line="240" w:lineRule="auto"/>
        <w:ind w:left="142" w:right="2944"/>
        <w:jc w:val="left"/>
        <w:rPr>
          <w:rFonts w:ascii="黑体" w:hAnsi="黑体" w:cs="黑体" w:eastAsia="黑体" w:hint="default"/>
        </w:rPr>
      </w:pPr>
      <w:r>
        <w:rPr>
          <w:rFonts w:ascii="黑体" w:hAnsi="黑体" w:cs="黑体" w:eastAsia="黑体" w:hint="default"/>
        </w:rPr>
        <w:t>十一</w:t>
      </w:r>
      <w:r>
        <w:rPr>
          <w:rFonts w:ascii="黑体" w:hAnsi="黑体" w:cs="黑体" w:eastAsia="黑体" w:hint="default"/>
          <w:spacing w:val="77"/>
        </w:rPr>
        <w:t> </w:t>
      </w:r>
      <w:r>
        <w:rPr>
          <w:rFonts w:ascii="黑体" w:hAnsi="黑体" w:cs="黑体" w:eastAsia="黑体" w:hint="default"/>
        </w:rPr>
        <w:t>资产负债表日后事项</w:t>
      </w:r>
    </w:p>
    <w:p>
      <w:pPr>
        <w:spacing w:line="240" w:lineRule="auto" w:before="2"/>
        <w:rPr>
          <w:rFonts w:ascii="黑体" w:hAnsi="黑体" w:cs="黑体" w:eastAsia="黑体" w:hint="default"/>
          <w:sz w:val="19"/>
          <w:szCs w:val="19"/>
        </w:rPr>
      </w:pPr>
    </w:p>
    <w:p>
      <w:pPr>
        <w:pStyle w:val="BodyText"/>
        <w:spacing w:line="240" w:lineRule="auto"/>
        <w:ind w:left="799" w:right="0"/>
        <w:jc w:val="both"/>
      </w:pPr>
      <w:r>
        <w:rPr/>
        <w:t>资产负债表日后利润分配情况</w:t>
      </w:r>
    </w:p>
    <w:p>
      <w:pPr>
        <w:spacing w:line="240" w:lineRule="auto" w:before="2"/>
        <w:rPr>
          <w:rFonts w:ascii="宋体" w:hAnsi="宋体" w:cs="宋体" w:eastAsia="宋体" w:hint="default"/>
          <w:sz w:val="19"/>
          <w:szCs w:val="19"/>
        </w:rPr>
      </w:pPr>
    </w:p>
    <w:p>
      <w:pPr>
        <w:pStyle w:val="BodyText"/>
        <w:spacing w:line="294" w:lineRule="exact"/>
        <w:ind w:left="814" w:right="0"/>
        <w:jc w:val="both"/>
      </w:pPr>
      <w:r>
        <w:rPr/>
        <w:t>根据</w:t>
      </w:r>
      <w:r>
        <w:rPr>
          <w:spacing w:val="-54"/>
        </w:rPr>
        <w:t> </w:t>
      </w:r>
      <w:r>
        <w:rPr>
          <w:rFonts w:ascii="Arial" w:hAnsi="Arial" w:cs="Arial" w:eastAsia="Arial" w:hint="default"/>
        </w:rPr>
        <w:t>2012</w:t>
      </w:r>
      <w:r>
        <w:rPr>
          <w:rFonts w:ascii="Arial" w:hAnsi="Arial" w:cs="Arial" w:eastAsia="Arial" w:hint="default"/>
          <w:spacing w:val="-3"/>
        </w:rPr>
        <w:t> </w:t>
      </w:r>
      <w:r>
        <w:rPr/>
        <w:t>年</w:t>
      </w:r>
      <w:r>
        <w:rPr>
          <w:spacing w:val="-54"/>
        </w:rPr>
        <w:t> </w:t>
      </w:r>
      <w:r>
        <w:rPr>
          <w:rFonts w:ascii="Arial" w:hAnsi="Arial" w:cs="Arial" w:eastAsia="Arial" w:hint="default"/>
        </w:rPr>
        <w:t>3</w:t>
      </w:r>
      <w:r>
        <w:rPr>
          <w:rFonts w:ascii="Arial" w:hAnsi="Arial" w:cs="Arial" w:eastAsia="Arial" w:hint="default"/>
          <w:spacing w:val="-5"/>
        </w:rPr>
        <w:t> </w:t>
      </w:r>
      <w:r>
        <w:rPr/>
        <w:t>月</w:t>
      </w:r>
      <w:r>
        <w:rPr>
          <w:spacing w:val="-54"/>
        </w:rPr>
        <w:t> </w:t>
      </w:r>
      <w:r>
        <w:rPr>
          <w:rFonts w:ascii="Arial" w:hAnsi="Arial" w:cs="Arial" w:eastAsia="Arial" w:hint="default"/>
        </w:rPr>
        <w:t>22</w:t>
      </w:r>
      <w:r>
        <w:rPr>
          <w:rFonts w:ascii="Arial" w:hAnsi="Arial" w:cs="Arial" w:eastAsia="Arial" w:hint="default"/>
          <w:spacing w:val="-3"/>
        </w:rPr>
        <w:t> </w:t>
      </w:r>
      <w:r>
        <w:rPr/>
        <w:t>日董事会决议，董事会提议本公司以</w:t>
      </w:r>
      <w:r>
        <w:rPr>
          <w:spacing w:val="-54"/>
        </w:rPr>
        <w:t> </w:t>
      </w:r>
      <w:r>
        <w:rPr>
          <w:rFonts w:ascii="Arial" w:hAnsi="Arial" w:cs="Arial" w:eastAsia="Arial" w:hint="default"/>
        </w:rPr>
        <w:t>2011</w:t>
      </w:r>
      <w:r>
        <w:rPr>
          <w:rFonts w:ascii="Arial" w:hAnsi="Arial" w:cs="Arial" w:eastAsia="Arial" w:hint="default"/>
          <w:spacing w:val="-5"/>
        </w:rPr>
        <w:t> </w:t>
      </w:r>
      <w:r>
        <w:rPr/>
        <w:t>年</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5"/>
        </w:rPr>
        <w:t> </w:t>
      </w:r>
      <w:r>
        <w:rPr/>
        <w:t>日的股本为基准</w:t>
      </w:r>
    </w:p>
    <w:p>
      <w:pPr>
        <w:pStyle w:val="BodyText"/>
        <w:spacing w:line="286" w:lineRule="exact" w:before="18"/>
        <w:ind w:left="814" w:right="194" w:hanging="1"/>
        <w:jc w:val="both"/>
      </w:pPr>
      <w:r>
        <w:rPr/>
        <w:t>向全体股东分配每</w:t>
      </w:r>
      <w:r>
        <w:rPr>
          <w:spacing w:val="-57"/>
        </w:rPr>
        <w:t> </w:t>
      </w:r>
      <w:r>
        <w:rPr>
          <w:rFonts w:ascii="Arial" w:hAnsi="Arial" w:cs="Arial" w:eastAsia="Arial" w:hint="default"/>
        </w:rPr>
        <w:t>10</w:t>
      </w:r>
      <w:r>
        <w:rPr>
          <w:rFonts w:ascii="Arial" w:hAnsi="Arial" w:cs="Arial" w:eastAsia="Arial" w:hint="default"/>
          <w:spacing w:val="-7"/>
        </w:rPr>
        <w:t> </w:t>
      </w:r>
      <w:r>
        <w:rPr/>
        <w:t>股股利人民币</w:t>
      </w:r>
      <w:r>
        <w:rPr>
          <w:spacing w:val="-57"/>
        </w:rPr>
        <w:t> </w:t>
      </w:r>
      <w:r>
        <w:rPr>
          <w:rFonts w:ascii="Arial" w:hAnsi="Arial" w:cs="Arial" w:eastAsia="Arial" w:hint="default"/>
        </w:rPr>
        <w:t>0.335</w:t>
      </w:r>
      <w:r>
        <w:rPr>
          <w:rFonts w:ascii="Arial" w:hAnsi="Arial" w:cs="Arial" w:eastAsia="Arial" w:hint="default"/>
          <w:spacing w:val="-8"/>
        </w:rPr>
        <w:t> </w:t>
      </w:r>
      <w:r>
        <w:rPr/>
        <w:t>元（含税），合计约人民币</w:t>
      </w:r>
      <w:r>
        <w:rPr>
          <w:spacing w:val="-57"/>
        </w:rPr>
        <w:t> </w:t>
      </w:r>
      <w:r>
        <w:rPr>
          <w:rFonts w:ascii="Arial" w:hAnsi="Arial" w:cs="Arial" w:eastAsia="Arial" w:hint="default"/>
        </w:rPr>
        <w:t>7.1</w:t>
      </w:r>
      <w:r>
        <w:rPr>
          <w:rFonts w:ascii="Arial" w:hAnsi="Arial" w:cs="Arial" w:eastAsia="Arial" w:hint="default"/>
          <w:spacing w:val="-8"/>
        </w:rPr>
        <w:t> </w:t>
      </w:r>
      <w:r>
        <w:rPr/>
        <w:t>亿元。该股利分配</w:t>
      </w:r>
      <w:r>
        <w:rPr>
          <w:w w:val="99"/>
        </w:rPr>
        <w:t> </w:t>
      </w:r>
      <w:r>
        <w:rPr/>
        <w:t>预案尚待本公司股东大会批准，故未在本财务报表中确认为负债。</w:t>
      </w:r>
    </w:p>
    <w:p>
      <w:pPr>
        <w:spacing w:line="240" w:lineRule="auto" w:before="2"/>
        <w:rPr>
          <w:rFonts w:ascii="宋体" w:hAnsi="宋体" w:cs="宋体" w:eastAsia="宋体" w:hint="default"/>
          <w:sz w:val="17"/>
          <w:szCs w:val="17"/>
        </w:rPr>
      </w:pPr>
    </w:p>
    <w:p>
      <w:pPr>
        <w:pStyle w:val="BodyText"/>
        <w:spacing w:line="240" w:lineRule="auto"/>
        <w:ind w:left="142" w:right="2944"/>
        <w:jc w:val="left"/>
        <w:rPr>
          <w:rFonts w:ascii="黑体" w:hAnsi="黑体" w:cs="黑体" w:eastAsia="黑体" w:hint="default"/>
        </w:rPr>
      </w:pPr>
      <w:r>
        <w:rPr>
          <w:rFonts w:ascii="黑体" w:hAnsi="黑体" w:cs="黑体" w:eastAsia="黑体" w:hint="default"/>
        </w:rPr>
        <w:t>十二</w:t>
      </w:r>
      <w:r>
        <w:rPr>
          <w:rFonts w:ascii="黑体" w:hAnsi="黑体" w:cs="黑体" w:eastAsia="黑体" w:hint="default"/>
          <w:spacing w:val="77"/>
        </w:rPr>
        <w:t> </w:t>
      </w:r>
      <w:r>
        <w:rPr>
          <w:rFonts w:ascii="黑体" w:hAnsi="黑体" w:cs="黑体" w:eastAsia="黑体" w:hint="default"/>
        </w:rPr>
        <w:t>融资租赁</w:t>
      </w:r>
    </w:p>
    <w:p>
      <w:pPr>
        <w:spacing w:line="240" w:lineRule="auto" w:before="1"/>
        <w:rPr>
          <w:rFonts w:ascii="黑体" w:hAnsi="黑体" w:cs="黑体" w:eastAsia="黑体" w:hint="default"/>
          <w:sz w:val="19"/>
          <w:szCs w:val="19"/>
        </w:rPr>
      </w:pPr>
    </w:p>
    <w:p>
      <w:pPr>
        <w:pStyle w:val="BodyText"/>
        <w:spacing w:line="295" w:lineRule="exact"/>
        <w:ind w:left="786" w:right="0"/>
        <w:jc w:val="both"/>
      </w:pPr>
      <w:r>
        <w:rPr/>
        <w:t>于</w:t>
      </w:r>
      <w:r>
        <w:rPr>
          <w:spacing w:val="-48"/>
        </w:rPr>
        <w:t> </w:t>
      </w:r>
      <w:r>
        <w:rPr>
          <w:rFonts w:ascii="Arial" w:hAnsi="Arial" w:cs="Arial" w:eastAsia="Arial" w:hint="default"/>
        </w:rPr>
        <w:t>2009</w:t>
      </w:r>
      <w:r>
        <w:rPr>
          <w:rFonts w:ascii="Arial" w:hAnsi="Arial" w:cs="Arial" w:eastAsia="Arial" w:hint="default"/>
          <w:spacing w:val="2"/>
        </w:rPr>
        <w:t> </w:t>
      </w:r>
      <w:r>
        <w:rPr/>
        <w:t>年度以及</w:t>
      </w:r>
      <w:r>
        <w:rPr>
          <w:spacing w:val="-48"/>
        </w:rPr>
        <w:t> </w:t>
      </w:r>
      <w:r>
        <w:rPr>
          <w:rFonts w:ascii="Arial" w:hAnsi="Arial" w:cs="Arial" w:eastAsia="Arial" w:hint="default"/>
        </w:rPr>
        <w:t>2010</w:t>
      </w:r>
      <w:r>
        <w:rPr>
          <w:rFonts w:ascii="Arial" w:hAnsi="Arial" w:cs="Arial" w:eastAsia="Arial" w:hint="default"/>
          <w:spacing w:val="2"/>
        </w:rPr>
        <w:t> </w:t>
      </w:r>
      <w:r>
        <w:rPr/>
        <w:t>年度，本公司所属子公司联通运营公司向环宇国际邮电租赁有限公司</w:t>
      </w:r>
    </w:p>
    <w:p>
      <w:pPr>
        <w:pStyle w:val="BodyText"/>
        <w:spacing w:line="286" w:lineRule="exact" w:before="19"/>
        <w:ind w:left="786" w:right="193" w:hanging="1"/>
        <w:jc w:val="both"/>
      </w:pPr>
      <w:r>
        <w:rPr>
          <w:spacing w:val="-5"/>
        </w:rPr>
        <w:t>通过融资租赁租入通信设备（附注五</w:t>
      </w:r>
      <w:r>
        <w:rPr>
          <w:spacing w:val="-54"/>
        </w:rPr>
        <w:t> </w:t>
      </w:r>
      <w:r>
        <w:rPr>
          <w:rFonts w:ascii="Arial" w:hAnsi="Arial" w:cs="Arial" w:eastAsia="Arial" w:hint="default"/>
          <w:spacing w:val="-11"/>
        </w:rPr>
        <w:t>9(a)</w:t>
      </w:r>
      <w:r>
        <w:rPr>
          <w:spacing w:val="-11"/>
        </w:rPr>
        <w:t>），原值分别为约人民币</w:t>
      </w:r>
      <w:r>
        <w:rPr>
          <w:spacing w:val="-54"/>
        </w:rPr>
        <w:t> </w:t>
      </w:r>
      <w:r>
        <w:rPr>
          <w:rFonts w:ascii="Arial" w:hAnsi="Arial" w:cs="Arial" w:eastAsia="Arial" w:hint="default"/>
        </w:rPr>
        <w:t>1.29</w:t>
      </w:r>
      <w:r>
        <w:rPr>
          <w:rFonts w:ascii="Arial" w:hAnsi="Arial" w:cs="Arial" w:eastAsia="Arial" w:hint="default"/>
          <w:spacing w:val="-5"/>
        </w:rPr>
        <w:t> </w:t>
      </w:r>
      <w:r>
        <w:rPr/>
        <w:t>亿元以及约人民币</w:t>
      </w:r>
      <w:r>
        <w:rPr>
          <w:spacing w:val="-54"/>
        </w:rPr>
        <w:t> </w:t>
      </w:r>
      <w:r>
        <w:rPr>
          <w:rFonts w:ascii="Arial" w:hAnsi="Arial" w:cs="Arial" w:eastAsia="Arial" w:hint="default"/>
        </w:rPr>
        <w:t>1.03</w:t>
      </w:r>
      <w:r>
        <w:rPr>
          <w:rFonts w:ascii="Arial" w:hAnsi="Arial" w:cs="Arial" w:eastAsia="Arial" w:hint="default"/>
          <w:w w:val="99"/>
        </w:rPr>
        <w:t> </w:t>
      </w:r>
      <w:r>
        <w:rPr/>
        <w:t>亿元，租金利率分别以伦敦银行同业拆借利率加</w:t>
      </w:r>
      <w:r>
        <w:rPr>
          <w:spacing w:val="-57"/>
        </w:rPr>
        <w:t> </w:t>
      </w:r>
      <w:r>
        <w:rPr>
          <w:rFonts w:ascii="Arial" w:hAnsi="Arial" w:cs="Arial" w:eastAsia="Arial" w:hint="default"/>
        </w:rPr>
        <w:t>1.8%</w:t>
      </w:r>
      <w:r>
        <w:rPr/>
        <w:t>以及伦敦银行同业拆借利率加</w:t>
      </w:r>
      <w:r>
        <w:rPr>
          <w:spacing w:val="-57"/>
        </w:rPr>
        <w:t> </w:t>
      </w:r>
      <w:r>
        <w:rPr>
          <w:rFonts w:ascii="Arial" w:hAnsi="Arial" w:cs="Arial" w:eastAsia="Arial" w:hint="default"/>
        </w:rPr>
        <w:t>2.05%</w:t>
      </w:r>
      <w:r>
        <w:rPr/>
        <w:t>计</w:t>
      </w:r>
      <w:r>
        <w:rPr>
          <w:w w:val="99"/>
        </w:rPr>
        <w:t> </w:t>
      </w:r>
      <w:r>
        <w:rPr/>
        <w:t>算，未来应支付租金汇总如下：</w:t>
      </w:r>
    </w:p>
    <w:p>
      <w:pPr>
        <w:spacing w:line="240" w:lineRule="auto" w:before="1"/>
        <w:rPr>
          <w:rFonts w:ascii="宋体" w:hAnsi="宋体" w:cs="宋体" w:eastAsia="宋体" w:hint="default"/>
          <w:sz w:val="17"/>
          <w:szCs w:val="17"/>
        </w:rPr>
      </w:pPr>
    </w:p>
    <w:p>
      <w:pPr>
        <w:pStyle w:val="BodyText"/>
        <w:tabs>
          <w:tab w:pos="7615" w:val="left" w:leader="none"/>
        </w:tabs>
        <w:spacing w:line="240" w:lineRule="auto"/>
        <w:ind w:left="4780" w:right="84"/>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tabs>
          <w:tab w:pos="7092" w:val="left" w:leader="none"/>
        </w:tabs>
        <w:spacing w:line="20" w:lineRule="exact"/>
        <w:ind w:left="4102" w:right="0" w:firstLine="0"/>
        <w:rPr>
          <w:rFonts w:ascii="宋体" w:hAnsi="宋体" w:cs="宋体" w:eastAsia="宋体" w:hint="default"/>
          <w:sz w:val="2"/>
          <w:szCs w:val="2"/>
        </w:rPr>
      </w:pPr>
      <w:r>
        <w:rPr>
          <w:rFonts w:ascii="宋体"/>
          <w:sz w:val="2"/>
        </w:rPr>
        <w:pict>
          <v:group style="width:135.4pt;height:.75pt;mso-position-horizontal-relative:char;mso-position-vertical-relative:line" coordorigin="0,0" coordsize="2708,15">
            <v:group style="position:absolute;left:7;top:7;width:2693;height:2" coordorigin="7,7" coordsize="2693,2">
              <v:shape style="position:absolute;left:7;top:7;width:2693;height:2" coordorigin="7,7" coordsize="2693,0" path="m7,7l2700,7e" filled="false" stroked="true" strokeweight=".72pt" strokecolor="#000000">
                <v:path arrowok="t"/>
              </v:shape>
            </v:group>
          </v:group>
        </w:pict>
      </w:r>
      <w:r>
        <w:rPr>
          <w:rFonts w:ascii="宋体"/>
          <w:sz w:val="2"/>
        </w:rPr>
      </w:r>
      <w:r>
        <w:rPr>
          <w:rFonts w:ascii="宋体"/>
          <w:sz w:val="2"/>
        </w:rPr>
        <w:tab/>
      </w:r>
      <w:r>
        <w:rPr>
          <w:rFonts w:ascii="宋体"/>
          <w:sz w:val="2"/>
        </w:rPr>
        <w:pict>
          <v:group style="width:127.65pt;height:.75pt;mso-position-horizontal-relative:char;mso-position-vertical-relative:line" coordorigin="0,0" coordsize="2553,15">
            <v:group style="position:absolute;left:7;top:7;width:2538;height:2" coordorigin="7,7" coordsize="2538,2">
              <v:shape style="position:absolute;left:7;top:7;width:2538;height:2" coordorigin="7,7" coordsize="2538,0" path="m7,7l2545,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5"/>
          <w:szCs w:val="15"/>
        </w:rPr>
      </w:pPr>
    </w:p>
    <w:p>
      <w:pPr>
        <w:pStyle w:val="BodyText"/>
        <w:tabs>
          <w:tab w:pos="5592" w:val="left" w:leader="none"/>
          <w:tab w:pos="8306" w:val="left" w:leader="none"/>
        </w:tabs>
        <w:spacing w:line="305" w:lineRule="exact" w:before="27"/>
        <w:ind w:left="814" w:right="84"/>
        <w:jc w:val="left"/>
        <w:rPr>
          <w:rFonts w:ascii="Arial" w:hAnsi="Arial" w:cs="Arial" w:eastAsia="Arial" w:hint="default"/>
        </w:rPr>
      </w:pPr>
      <w:r>
        <w:rPr>
          <w:rFonts w:ascii="Arial" w:hAnsi="Arial" w:cs="Arial" w:eastAsia="Arial" w:hint="default"/>
          <w:position w:val="2"/>
        </w:rPr>
        <w:t>1</w:t>
      </w:r>
      <w:r>
        <w:rPr>
          <w:rFonts w:ascii="Arial" w:hAnsi="Arial" w:cs="Arial" w:eastAsia="Arial" w:hint="default"/>
          <w:spacing w:val="-8"/>
          <w:position w:val="2"/>
        </w:rPr>
        <w:t> </w:t>
      </w:r>
      <w:r>
        <w:rPr>
          <w:position w:val="2"/>
        </w:rPr>
        <w:t>年以内</w:t>
        <w:tab/>
      </w:r>
      <w:r>
        <w:rPr>
          <w:rFonts w:ascii="Arial" w:hAnsi="Arial" w:cs="Arial" w:eastAsia="Arial" w:hint="default"/>
          <w:w w:val="95"/>
        </w:rPr>
        <w:t>78,150,630</w:t>
        <w:tab/>
      </w:r>
      <w:r>
        <w:rPr>
          <w:rFonts w:ascii="Arial" w:hAnsi="Arial" w:cs="Arial" w:eastAsia="Arial" w:hint="default"/>
        </w:rPr>
        <w:t>126,238,924</w:t>
      </w:r>
    </w:p>
    <w:p>
      <w:pPr>
        <w:pStyle w:val="BodyText"/>
        <w:tabs>
          <w:tab w:pos="4109" w:val="left" w:leader="none"/>
          <w:tab w:pos="6621" w:val="left" w:leader="none"/>
          <w:tab w:pos="7099" w:val="left" w:leader="none"/>
          <w:tab w:pos="8428" w:val="left" w:leader="none"/>
          <w:tab w:pos="9637" w:val="left" w:leader="none"/>
        </w:tabs>
        <w:spacing w:line="305" w:lineRule="exact"/>
        <w:ind w:left="814" w:right="84"/>
        <w:jc w:val="left"/>
        <w:rPr>
          <w:rFonts w:ascii="Arial" w:hAnsi="Arial" w:cs="Arial" w:eastAsia="Arial" w:hint="default"/>
        </w:rPr>
      </w:pPr>
      <w:r>
        <w:rPr>
          <w:rFonts w:ascii="Arial" w:hAnsi="Arial" w:cs="Arial" w:eastAsia="Arial" w:hint="default"/>
          <w:position w:val="2"/>
        </w:rPr>
        <w:t>1</w:t>
      </w:r>
      <w:r>
        <w:rPr>
          <w:rFonts w:ascii="Arial" w:hAnsi="Arial" w:cs="Arial" w:eastAsia="Arial" w:hint="default"/>
          <w:spacing w:val="-7"/>
          <w:position w:val="2"/>
        </w:rPr>
        <w:t> </w:t>
      </w:r>
      <w:r>
        <w:rPr>
          <w:position w:val="2"/>
        </w:rPr>
        <w:t>到</w:t>
      </w:r>
      <w:r>
        <w:rPr>
          <w:spacing w:val="-56"/>
          <w:position w:val="2"/>
        </w:rPr>
        <w:t> </w:t>
      </w:r>
      <w:r>
        <w:rPr>
          <w:rFonts w:ascii="Arial" w:hAnsi="Arial" w:cs="Arial" w:eastAsia="Arial" w:hint="default"/>
          <w:position w:val="2"/>
        </w:rPr>
        <w:t>2</w:t>
      </w:r>
      <w:r>
        <w:rPr>
          <w:rFonts w:ascii="Arial" w:hAnsi="Arial" w:cs="Arial" w:eastAsia="Arial" w:hint="default"/>
          <w:spacing w:val="-7"/>
          <w:position w:val="2"/>
        </w:rPr>
        <w:t> </w:t>
      </w:r>
      <w:r>
        <w:rPr>
          <w:position w:val="2"/>
        </w:rPr>
        <w:t>年</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78,286,813</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592" w:val="left" w:leader="none"/>
          <w:tab w:pos="8306" w:val="left" w:leader="none"/>
        </w:tabs>
        <w:spacing w:line="240" w:lineRule="auto" w:before="27"/>
        <w:ind w:left="814" w:right="84"/>
        <w:jc w:val="left"/>
        <w:rPr>
          <w:rFonts w:ascii="Arial" w:hAnsi="Arial" w:cs="Arial" w:eastAsia="Arial" w:hint="default"/>
        </w:rPr>
      </w:pPr>
      <w:r>
        <w:rPr>
          <w:w w:val="95"/>
          <w:position w:val="2"/>
        </w:rPr>
        <w:t>合计</w:t>
        <w:tab/>
      </w:r>
      <w:r>
        <w:rPr>
          <w:rFonts w:ascii="Arial" w:hAnsi="Arial" w:cs="Arial" w:eastAsia="Arial" w:hint="default"/>
          <w:w w:val="95"/>
        </w:rPr>
        <w:t>78,150,630</w:t>
        <w:tab/>
      </w:r>
      <w:r>
        <w:rPr>
          <w:rFonts w:ascii="Arial" w:hAnsi="Arial" w:cs="Arial" w:eastAsia="Arial" w:hint="default"/>
        </w:rPr>
        <w:t>204,525,737</w:t>
      </w:r>
    </w:p>
    <w:p>
      <w:pPr>
        <w:tabs>
          <w:tab w:pos="7078" w:val="left" w:leader="none"/>
        </w:tabs>
        <w:spacing w:line="43" w:lineRule="exact"/>
        <w:ind w:left="4088" w:right="0" w:firstLine="0"/>
        <w:rPr>
          <w:rFonts w:ascii="Arial" w:hAnsi="Arial" w:cs="Arial" w:eastAsia="Arial" w:hint="default"/>
          <w:sz w:val="4"/>
          <w:szCs w:val="4"/>
        </w:rPr>
      </w:pPr>
      <w:r>
        <w:rPr>
          <w:rFonts w:ascii="Arial"/>
          <w:position w:val="0"/>
          <w:sz w:val="4"/>
        </w:rPr>
        <w:pict>
          <v:group style="width:136.1pt;height:2.2pt;mso-position-horizontal-relative:char;mso-position-vertical-relative:line" coordorigin="0,0" coordsize="2722,44">
            <v:group style="position:absolute;left:7;top:36;width:2708;height:2" coordorigin="7,36" coordsize="2708,2">
              <v:shape style="position:absolute;left:7;top:36;width:2708;height:2" coordorigin="7,36" coordsize="2708,0" path="m7,36l2714,36e" filled="false" stroked="true" strokeweight=".72pt" strokecolor="#000000">
                <v:path arrowok="t"/>
              </v:shape>
            </v:group>
            <v:group style="position:absolute;left:7;top:7;width:2708;height:2" coordorigin="7,7" coordsize="2708,2">
              <v:shape style="position:absolute;left:7;top:7;width:2708;height:2" coordorigin="7,7" coordsize="2708,0" path="m7,7l2714,7e" filled="false" stroked="true" strokeweight=".71999pt" strokecolor="#000000">
                <v:path arrowok="t"/>
              </v:shape>
            </v:group>
          </v:group>
        </w:pict>
      </w:r>
      <w:r>
        <w:rPr>
          <w:rFonts w:ascii="Arial"/>
          <w:position w:val="0"/>
          <w:sz w:val="4"/>
        </w:rPr>
      </w:r>
      <w:r>
        <w:rPr>
          <w:rFonts w:ascii="Arial"/>
          <w:position w:val="0"/>
          <w:sz w:val="4"/>
        </w:rPr>
        <w:tab/>
      </w:r>
      <w:r>
        <w:rPr>
          <w:rFonts w:ascii="Arial"/>
          <w:position w:val="0"/>
          <w:sz w:val="4"/>
        </w:rPr>
        <w:pict>
          <v:group style="width:128.35pt;height:2.2pt;mso-position-horizontal-relative:char;mso-position-vertical-relative:line" coordorigin="0,0" coordsize="2567,44">
            <v:group style="position:absolute;left:7;top:36;width:2553;height:2" coordorigin="7,36" coordsize="2553,2">
              <v:shape style="position:absolute;left:7;top:36;width:2553;height:2" coordorigin="7,36" coordsize="2553,0" path="m7,36l2560,36e" filled="false" stroked="true" strokeweight=".72pt" strokecolor="#000000">
                <v:path arrowok="t"/>
              </v:shape>
            </v:group>
            <v:group style="position:absolute;left:7;top:7;width:2553;height:2" coordorigin="7,7" coordsize="2553,2">
              <v:shape style="position:absolute;left:7;top:7;width:2553;height:2" coordorigin="7,7" coordsize="2553,0" path="m7,7l2560,7e" filled="false" stroked="true" strokeweight=".71999pt" strokecolor="#000000">
                <v:path arrowok="t"/>
              </v:shape>
            </v:group>
          </v:group>
        </w:pict>
      </w:r>
      <w:r>
        <w:rPr>
          <w:rFonts w:ascii="Arial"/>
          <w:position w:val="0"/>
          <w:sz w:val="4"/>
        </w:rPr>
      </w:r>
    </w:p>
    <w:p>
      <w:pPr>
        <w:spacing w:line="240" w:lineRule="auto" w:before="5"/>
        <w:rPr>
          <w:rFonts w:ascii="Arial" w:hAnsi="Arial" w:cs="Arial" w:eastAsia="Arial" w:hint="default"/>
          <w:sz w:val="16"/>
          <w:szCs w:val="16"/>
        </w:rPr>
      </w:pPr>
    </w:p>
    <w:p>
      <w:pPr>
        <w:pStyle w:val="BodyText"/>
        <w:spacing w:line="295" w:lineRule="exact" w:before="31"/>
        <w:ind w:left="799" w:right="0"/>
        <w:jc w:val="left"/>
      </w:pPr>
      <w:r>
        <w:rPr/>
        <w:t>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日，未确认的融资费用余额为人民币</w:t>
      </w:r>
      <w:r>
        <w:rPr>
          <w:spacing w:val="-58"/>
        </w:rPr>
        <w:t> </w:t>
      </w:r>
      <w:r>
        <w:rPr>
          <w:rFonts w:ascii="Arial" w:hAnsi="Arial" w:cs="Arial" w:eastAsia="Arial" w:hint="default"/>
        </w:rPr>
        <w:t>204.96</w:t>
      </w:r>
      <w:r>
        <w:rPr>
          <w:rFonts w:ascii="Arial" w:hAnsi="Arial" w:cs="Arial" w:eastAsia="Arial" w:hint="default"/>
          <w:spacing w:val="-9"/>
        </w:rPr>
        <w:t> </w:t>
      </w:r>
      <w:r>
        <w:rPr>
          <w:spacing w:val="-4"/>
        </w:rPr>
        <w:t>万元（</w:t>
      </w:r>
      <w:r>
        <w:rPr>
          <w:rFonts w:ascii="Arial" w:hAnsi="Arial" w:cs="Arial" w:eastAsia="Arial" w:hint="default"/>
          <w:spacing w:val="-4"/>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w:t>
      </w:r>
    </w:p>
    <w:p>
      <w:pPr>
        <w:pStyle w:val="BodyText"/>
        <w:spacing w:line="295" w:lineRule="exact"/>
        <w:ind w:left="800" w:right="2944"/>
        <w:jc w:val="left"/>
      </w:pPr>
      <w:r>
        <w:rPr/>
        <w:t>人民币</w:t>
      </w:r>
      <w:r>
        <w:rPr>
          <w:spacing w:val="-57"/>
        </w:rPr>
        <w:t> </w:t>
      </w:r>
      <w:r>
        <w:rPr>
          <w:rFonts w:ascii="Arial" w:hAnsi="Arial" w:cs="Arial" w:eastAsia="Arial" w:hint="default"/>
        </w:rPr>
        <w:t>656.1</w:t>
      </w:r>
      <w:r>
        <w:rPr>
          <w:rFonts w:ascii="Arial" w:hAnsi="Arial" w:cs="Arial" w:eastAsia="Arial" w:hint="default"/>
          <w:spacing w:val="-8"/>
        </w:rPr>
        <w:t> </w:t>
      </w:r>
      <w:r>
        <w:rPr/>
        <w:t>万元）。</w:t>
      </w:r>
    </w:p>
    <w:p>
      <w:pPr>
        <w:spacing w:line="240" w:lineRule="auto" w:before="12"/>
        <w:rPr>
          <w:rFonts w:ascii="宋体" w:hAnsi="宋体" w:cs="宋体" w:eastAsia="宋体" w:hint="default"/>
          <w:sz w:val="17"/>
          <w:szCs w:val="17"/>
        </w:rPr>
      </w:pPr>
    </w:p>
    <w:p>
      <w:pPr>
        <w:pStyle w:val="BodyText"/>
        <w:spacing w:line="240" w:lineRule="auto"/>
        <w:ind w:left="184" w:right="2944"/>
        <w:jc w:val="left"/>
        <w:rPr>
          <w:rFonts w:ascii="黑体" w:hAnsi="黑体" w:cs="黑体" w:eastAsia="黑体" w:hint="default"/>
        </w:rPr>
      </w:pPr>
      <w:r>
        <w:rPr>
          <w:rFonts w:ascii="黑体" w:hAnsi="黑体" w:cs="黑体" w:eastAsia="黑体" w:hint="default"/>
        </w:rPr>
        <w:t>十三</w:t>
      </w:r>
      <w:r>
        <w:rPr>
          <w:rFonts w:ascii="黑体" w:hAnsi="黑体" w:cs="黑体" w:eastAsia="黑体" w:hint="default"/>
          <w:spacing w:val="35"/>
        </w:rPr>
        <w:t> </w:t>
      </w:r>
      <w:r>
        <w:rPr>
          <w:rFonts w:ascii="黑体" w:hAnsi="黑体" w:cs="黑体" w:eastAsia="黑体" w:hint="default"/>
        </w:rPr>
        <w:t>企业合并</w:t>
      </w:r>
    </w:p>
    <w:p>
      <w:pPr>
        <w:spacing w:line="240" w:lineRule="auto" w:before="2"/>
        <w:rPr>
          <w:rFonts w:ascii="黑体" w:hAnsi="黑体" w:cs="黑体" w:eastAsia="黑体" w:hint="default"/>
          <w:sz w:val="19"/>
          <w:szCs w:val="19"/>
        </w:rPr>
      </w:pPr>
    </w:p>
    <w:p>
      <w:pPr>
        <w:pStyle w:val="BodyText"/>
        <w:spacing w:line="240" w:lineRule="auto"/>
        <w:ind w:left="800" w:right="2944"/>
        <w:jc w:val="left"/>
      </w:pPr>
      <w:r>
        <w:rPr/>
        <w:t>见附注四</w:t>
      </w:r>
      <w:r>
        <w:rPr>
          <w:rFonts w:ascii="Arial" w:hAnsi="Arial" w:cs="Arial" w:eastAsia="Arial" w:hint="default"/>
        </w:rPr>
        <w:t>(3)</w:t>
      </w:r>
      <w:r>
        <w:rPr/>
        <w:t>。</w:t>
      </w:r>
    </w:p>
    <w:p>
      <w:pPr>
        <w:spacing w:after="0" w:line="240" w:lineRule="auto"/>
        <w:jc w:val="left"/>
        <w:sectPr>
          <w:headerReference w:type="default" r:id="rId147"/>
          <w:pgSz w:w="11900" w:h="16840"/>
          <w:pgMar w:header="1184" w:footer="752" w:top="2500" w:bottom="940" w:left="1240" w:right="740"/>
        </w:sectPr>
      </w:pPr>
    </w:p>
    <w:p>
      <w:pPr>
        <w:spacing w:line="240" w:lineRule="auto" w:before="10"/>
        <w:rPr>
          <w:rFonts w:ascii="宋体" w:hAnsi="宋体" w:cs="宋体" w:eastAsia="宋体" w:hint="default"/>
          <w:sz w:val="16"/>
          <w:szCs w:val="16"/>
        </w:rPr>
      </w:pPr>
    </w:p>
    <w:p>
      <w:pPr>
        <w:pStyle w:val="BodyText"/>
        <w:spacing w:line="240" w:lineRule="auto" w:before="31"/>
        <w:ind w:left="144" w:right="0"/>
        <w:jc w:val="left"/>
        <w:rPr>
          <w:rFonts w:ascii="黑体" w:hAnsi="黑体" w:cs="黑体" w:eastAsia="黑体" w:hint="default"/>
        </w:rPr>
      </w:pPr>
      <w:r>
        <w:rPr>
          <w:rFonts w:ascii="黑体" w:hAnsi="黑体" w:cs="黑体" w:eastAsia="黑体" w:hint="default"/>
        </w:rPr>
        <w:t>十四</w:t>
      </w:r>
      <w:r>
        <w:rPr>
          <w:rFonts w:ascii="黑体" w:hAnsi="黑体" w:cs="黑体" w:eastAsia="黑体" w:hint="default"/>
          <w:spacing w:val="35"/>
        </w:rPr>
        <w:t> </w:t>
      </w:r>
      <w:r>
        <w:rPr>
          <w:rFonts w:ascii="黑体" w:hAnsi="黑体" w:cs="黑体" w:eastAsia="黑体" w:hint="default"/>
        </w:rPr>
        <w:t>以公允价值计量的资产和负债</w:t>
      </w:r>
    </w:p>
    <w:p>
      <w:pPr>
        <w:spacing w:line="240" w:lineRule="auto" w:before="3"/>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headerReference w:type="default" r:id="rId148"/>
          <w:pgSz w:w="11900" w:h="16840"/>
          <w:pgMar w:header="1184" w:footer="752" w:top="2500" w:bottom="940" w:left="1280" w:right="760"/>
        </w:sectPr>
      </w:pPr>
    </w:p>
    <w:p>
      <w:pPr>
        <w:spacing w:line="268" w:lineRule="exact" w:before="38"/>
        <w:ind w:left="0" w:right="0" w:firstLine="0"/>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68" w:lineRule="exact" w:before="0"/>
        <w:ind w:left="0" w:right="0" w:firstLine="0"/>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68" w:lineRule="exact" w:before="38"/>
        <w:ind w:left="795" w:right="-19" w:firstLine="0"/>
        <w:jc w:val="left"/>
        <w:rPr>
          <w:rFonts w:ascii="宋体" w:hAnsi="宋体" w:cs="宋体" w:eastAsia="宋体" w:hint="default"/>
          <w:sz w:val="20"/>
          <w:szCs w:val="20"/>
        </w:rPr>
      </w:pPr>
      <w:r>
        <w:rPr/>
        <w:br w:type="column"/>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68" w:lineRule="exact" w:before="0"/>
        <w:ind w:left="495" w:right="-15" w:firstLine="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60" w:lineRule="exact" w:before="38"/>
        <w:ind w:left="352" w:right="-14"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本年度计提</w:t>
      </w:r>
    </w:p>
    <w:p>
      <w:pPr>
        <w:spacing w:line="260" w:lineRule="exact" w:before="0"/>
        <w:ind w:left="752" w:right="-19" w:firstLine="0"/>
        <w:jc w:val="left"/>
        <w:rPr>
          <w:rFonts w:ascii="宋体" w:hAnsi="宋体" w:cs="宋体" w:eastAsia="宋体" w:hint="default"/>
          <w:sz w:val="20"/>
          <w:szCs w:val="20"/>
        </w:rPr>
      </w:pPr>
      <w:r>
        <w:rPr>
          <w:rFonts w:ascii="宋体" w:hAnsi="宋体" w:cs="宋体" w:eastAsia="宋体" w:hint="default"/>
          <w:sz w:val="20"/>
          <w:szCs w:val="20"/>
        </w:rPr>
        <w:t>的减值</w:t>
      </w:r>
    </w:p>
    <w:p>
      <w:pPr>
        <w:spacing w:line="260" w:lineRule="exact" w:before="64"/>
        <w:ind w:left="376" w:right="213"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计入总股东权益的</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
          <w:sz w:val="20"/>
          <w:szCs w:val="20"/>
        </w:rPr>
        <w:t>累计公允价值变动</w:t>
      </w:r>
    </w:p>
    <w:p>
      <w:pPr>
        <w:spacing w:after="0" w:line="260" w:lineRule="exact"/>
        <w:jc w:val="left"/>
        <w:rPr>
          <w:rFonts w:ascii="宋体" w:hAnsi="宋体" w:cs="宋体" w:eastAsia="宋体" w:hint="default"/>
          <w:sz w:val="20"/>
          <w:szCs w:val="20"/>
        </w:rPr>
        <w:sectPr>
          <w:type w:val="continuous"/>
          <w:pgSz w:w="11900" w:h="16840"/>
          <w:pgMar w:top="1600" w:bottom="280" w:left="1280" w:right="760"/>
          <w:cols w:num="4" w:equalWidth="0">
            <w:col w:w="4694" w:space="40"/>
            <w:col w:w="1492" w:space="40"/>
            <w:col w:w="1354" w:space="40"/>
            <w:col w:w="2200"/>
          </w:cols>
        </w:sectPr>
      </w:pPr>
    </w:p>
    <w:p>
      <w:pPr>
        <w:spacing w:line="20" w:lineRule="exact"/>
        <w:ind w:left="3314" w:right="0" w:firstLine="0"/>
        <w:rPr>
          <w:rFonts w:ascii="宋体" w:hAnsi="宋体" w:cs="宋体" w:eastAsia="宋体" w:hint="default"/>
          <w:sz w:val="2"/>
          <w:szCs w:val="2"/>
        </w:rPr>
      </w:pPr>
      <w:r>
        <w:rPr>
          <w:rFonts w:ascii="宋体"/>
          <w:sz w:val="2"/>
        </w:rPr>
        <w:pict>
          <v:group style="width:70.6pt;height:.75pt;mso-position-horizontal-relative:char;mso-position-vertical-relative:line" coordorigin="0,0" coordsize="1412,15">
            <v:group style="position:absolute;left:7;top:7;width:1397;height:2" coordorigin="7,7" coordsize="1397,2">
              <v:shape style="position:absolute;left:7;top:7;width:1397;height:2" coordorigin="7,7" coordsize="1397,0" path="m7,7l1404,7e" filled="false" stroked="true" strokeweight=".71997pt" strokecolor="#000000">
                <v:path arrowok="t"/>
              </v:shape>
            </v:group>
          </v:group>
        </w:pict>
      </w:r>
      <w:r>
        <w:rPr>
          <w:rFonts w:ascii="宋体"/>
          <w:sz w:val="2"/>
        </w:rPr>
      </w:r>
      <w:r>
        <w:rPr>
          <w:rFonts w:ascii="Times New Roman"/>
          <w:spacing w:val="121"/>
          <w:sz w:val="2"/>
        </w:rPr>
        <w:t> </w:t>
      </w:r>
      <w:r>
        <w:rPr>
          <w:rFonts w:ascii="宋体"/>
          <w:spacing w:val="121"/>
          <w:sz w:val="2"/>
        </w:rPr>
        <w:pict>
          <v:group style="width:70.5pt;height:.75pt;mso-position-horizontal-relative:char;mso-position-vertical-relative:line" coordorigin="0,0" coordsize="1410,15">
            <v:group style="position:absolute;left:7;top:7;width:1396;height:2" coordorigin="7,7" coordsize="1396,2">
              <v:shape style="position:absolute;left:7;top:7;width:1396;height:2" coordorigin="7,7" coordsize="1396,0" path="m7,7l1403,7e" filled="false" stroked="true" strokeweight=".71997pt" strokecolor="#000000">
                <v:path arrowok="t"/>
              </v:shape>
            </v:group>
          </v:group>
        </w:pict>
      </w:r>
      <w:r>
        <w:rPr>
          <w:rFonts w:ascii="宋体"/>
          <w:spacing w:val="121"/>
          <w:sz w:val="2"/>
        </w:rPr>
      </w:r>
      <w:r>
        <w:rPr>
          <w:rFonts w:ascii="Times New Roman"/>
          <w:spacing w:val="118"/>
          <w:sz w:val="2"/>
        </w:rPr>
        <w:t> </w:t>
      </w:r>
      <w:r>
        <w:rPr>
          <w:rFonts w:ascii="宋体"/>
          <w:spacing w:val="118"/>
          <w:sz w:val="2"/>
        </w:rPr>
        <w:pict>
          <v:group style="width:64.4pt;height:.75pt;mso-position-horizontal-relative:char;mso-position-vertical-relative:line" coordorigin="0,0" coordsize="1288,15">
            <v:group style="position:absolute;left:7;top:7;width:1274;height:2" coordorigin="7,7" coordsize="1274,2">
              <v:shape style="position:absolute;left:7;top:7;width:1274;height:2" coordorigin="7,7" coordsize="1274,0" path="m7,7l1280,7e" filled="false" stroked="true" strokeweight=".71997pt" strokecolor="#000000">
                <v:path arrowok="t"/>
              </v:shape>
            </v:group>
          </v:group>
        </w:pict>
      </w:r>
      <w:r>
        <w:rPr>
          <w:rFonts w:ascii="宋体"/>
          <w:spacing w:val="118"/>
          <w:sz w:val="2"/>
        </w:rPr>
      </w:r>
      <w:r>
        <w:rPr>
          <w:rFonts w:ascii="Times New Roman"/>
          <w:spacing w:val="142"/>
          <w:sz w:val="2"/>
        </w:rPr>
        <w:t> </w:t>
      </w:r>
      <w:r>
        <w:rPr>
          <w:rFonts w:ascii="宋体"/>
          <w:spacing w:val="142"/>
          <w:sz w:val="2"/>
        </w:rPr>
        <w:pict>
          <v:group style="width:93.45pt;height:.75pt;mso-position-horizontal-relative:char;mso-position-vertical-relative:line" coordorigin="0,0" coordsize="1869,15">
            <v:group style="position:absolute;left:7;top:7;width:1854;height:2" coordorigin="7,7" coordsize="1854,2">
              <v:shape style="position:absolute;left:7;top:7;width:1854;height:2" coordorigin="7,7" coordsize="1854,0" path="m7,7l1861,7e" filled="false" stroked="true" strokeweight=".71997pt" strokecolor="#000000">
                <v:path arrowok="t"/>
              </v:shape>
            </v:group>
          </v:group>
        </w:pict>
      </w:r>
      <w:r>
        <w:rPr>
          <w:rFonts w:ascii="宋体"/>
          <w:spacing w:val="142"/>
          <w:sz w:val="2"/>
        </w:rPr>
      </w:r>
    </w:p>
    <w:p>
      <w:pPr>
        <w:spacing w:line="240" w:lineRule="auto" w:before="0"/>
        <w:rPr>
          <w:rFonts w:ascii="宋体" w:hAnsi="宋体" w:cs="宋体" w:eastAsia="宋体" w:hint="default"/>
          <w:sz w:val="22"/>
          <w:szCs w:val="22"/>
        </w:rPr>
      </w:pPr>
    </w:p>
    <w:p>
      <w:pPr>
        <w:tabs>
          <w:tab w:pos="3379" w:val="left" w:leader="none"/>
          <w:tab w:pos="4920" w:val="left" w:leader="none"/>
          <w:tab w:pos="7417" w:val="left" w:leader="none"/>
          <w:tab w:pos="8205" w:val="left" w:leader="none"/>
        </w:tabs>
        <w:spacing w:before="42"/>
        <w:ind w:left="81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可供出售金融资产</w:t>
        <w:tab/>
      </w:r>
      <w:r>
        <w:rPr>
          <w:rFonts w:ascii="Arial" w:hAnsi="Arial" w:cs="Arial" w:eastAsia="Arial" w:hint="default"/>
          <w:spacing w:val="-2"/>
          <w:sz w:val="20"/>
          <w:szCs w:val="20"/>
        </w:rPr>
        <w:t>6,951,106,326</w:t>
        <w:tab/>
      </w:r>
      <w:r>
        <w:rPr>
          <w:rFonts w:ascii="Arial" w:hAnsi="Arial" w:cs="Arial" w:eastAsia="Arial" w:hint="default"/>
          <w:spacing w:val="-1"/>
          <w:sz w:val="20"/>
          <w:szCs w:val="20"/>
        </w:rPr>
        <w:t>6,213,538,603</w:t>
        <w:tab/>
      </w:r>
      <w:r>
        <w:rPr>
          <w:rFonts w:ascii="Arial" w:hAnsi="Arial" w:cs="Arial" w:eastAsia="Arial" w:hint="default"/>
          <w:sz w:val="20"/>
          <w:szCs w:val="20"/>
        </w:rPr>
        <w:t>-</w:t>
        <w:tab/>
      </w:r>
      <w:r>
        <w:rPr>
          <w:rFonts w:ascii="Arial" w:hAnsi="Arial" w:cs="Arial" w:eastAsia="Arial" w:hint="default"/>
          <w:spacing w:val="-1"/>
          <w:sz w:val="20"/>
          <w:szCs w:val="20"/>
        </w:rPr>
        <w:t>(3,306,589,898)</w:t>
      </w:r>
    </w:p>
    <w:p>
      <w:pPr>
        <w:spacing w:line="43" w:lineRule="exact"/>
        <w:ind w:left="3300" w:right="0" w:firstLine="0"/>
        <w:rPr>
          <w:rFonts w:ascii="Arial" w:hAnsi="Arial" w:cs="Arial" w:eastAsia="Arial" w:hint="default"/>
          <w:sz w:val="4"/>
          <w:szCs w:val="4"/>
        </w:rPr>
      </w:pPr>
      <w:r>
        <w:rPr>
          <w:rFonts w:ascii="Arial"/>
          <w:position w:val="0"/>
          <w:sz w:val="4"/>
        </w:rPr>
        <w:pict>
          <v:group style="width:71.3pt;height:2.2pt;mso-position-horizontal-relative:char;mso-position-vertical-relative:line" coordorigin="0,0" coordsize="1426,44">
            <v:group style="position:absolute;left:7;top:36;width:1412;height:2" coordorigin="7,36" coordsize="1412,2">
              <v:shape style="position:absolute;left:7;top:36;width:1412;height:2" coordorigin="7,36" coordsize="1412,0" path="m7,36l1418,36e" filled="false" stroked="true" strokeweight=".71997pt" strokecolor="#000000">
                <v:path arrowok="t"/>
              </v:shape>
            </v:group>
            <v:group style="position:absolute;left:7;top:7;width:1412;height:2" coordorigin="7,7" coordsize="1412,2">
              <v:shape style="position:absolute;left:7;top:7;width:1412;height:2" coordorigin="7,7" coordsize="1412,0" path="m7,7l1418,7e" filled="false" stroked="true" strokeweight=".72003pt" strokecolor="#000000">
                <v:path arrowok="t"/>
              </v:shape>
            </v:group>
          </v:group>
        </w:pict>
      </w:r>
      <w:r>
        <w:rPr>
          <w:rFonts w:ascii="Arial"/>
          <w:position w:val="0"/>
          <w:sz w:val="4"/>
        </w:rPr>
      </w:r>
      <w:r>
        <w:rPr>
          <w:rFonts w:ascii="Times New Roman"/>
          <w:spacing w:val="99"/>
          <w:position w:val="0"/>
          <w:sz w:val="4"/>
        </w:rPr>
        <w:t> </w:t>
      </w:r>
      <w:r>
        <w:rPr>
          <w:rFonts w:ascii="Arial"/>
          <w:spacing w:val="99"/>
          <w:position w:val="0"/>
          <w:sz w:val="4"/>
        </w:rPr>
        <w:pict>
          <v:group style="width:71.25pt;height:2.2pt;mso-position-horizontal-relative:char;mso-position-vertical-relative:line" coordorigin="0,0" coordsize="1425,44">
            <v:group style="position:absolute;left:7;top:36;width:1410;height:2" coordorigin="7,36" coordsize="1410,2">
              <v:shape style="position:absolute;left:7;top:36;width:1410;height:2" coordorigin="7,36" coordsize="1410,0" path="m7,36l1417,36e" filled="false" stroked="true" strokeweight=".71997pt" strokecolor="#000000">
                <v:path arrowok="t"/>
              </v:shape>
            </v:group>
            <v:group style="position:absolute;left:7;top:7;width:1410;height:2" coordorigin="7,7" coordsize="1410,2">
              <v:shape style="position:absolute;left:7;top:7;width:1410;height:2" coordorigin="7,7" coordsize="1410,0" path="m7,7l1417,7e" filled="false" stroked="true" strokeweight=".72003pt" strokecolor="#000000">
                <v:path arrowok="t"/>
              </v:shape>
            </v:group>
          </v:group>
        </w:pict>
      </w:r>
      <w:r>
        <w:rPr>
          <w:rFonts w:ascii="Arial"/>
          <w:spacing w:val="99"/>
          <w:position w:val="0"/>
          <w:sz w:val="4"/>
        </w:rPr>
      </w:r>
      <w:r>
        <w:rPr>
          <w:rFonts w:ascii="Times New Roman"/>
          <w:spacing w:val="96"/>
          <w:position w:val="0"/>
          <w:sz w:val="4"/>
        </w:rPr>
        <w:t> </w:t>
      </w:r>
      <w:r>
        <w:rPr>
          <w:rFonts w:ascii="Arial"/>
          <w:spacing w:val="96"/>
          <w:position w:val="0"/>
          <w:sz w:val="4"/>
        </w:rPr>
        <w:pict>
          <v:group style="width:65.1pt;height:2.2pt;mso-position-horizontal-relative:char;mso-position-vertical-relative:line" coordorigin="0,0" coordsize="1302,44">
            <v:group style="position:absolute;left:7;top:36;width:1288;height:2" coordorigin="7,36" coordsize="1288,2">
              <v:shape style="position:absolute;left:7;top:36;width:1288;height:2" coordorigin="7,36" coordsize="1288,0" path="m7,36l1295,36e" filled="false" stroked="true" strokeweight=".72pt" strokecolor="#000000">
                <v:path arrowok="t"/>
              </v:shape>
            </v:group>
            <v:group style="position:absolute;left:7;top:7;width:1288;height:2" coordorigin="7,7" coordsize="1288,2">
              <v:shape style="position:absolute;left:7;top:7;width:1288;height:2" coordorigin="7,7" coordsize="1288,0" path="m7,7l1295,7e" filled="false" stroked="true" strokeweight=".72pt" strokecolor="#000000">
                <v:path arrowok="t"/>
              </v:shape>
            </v:group>
          </v:group>
        </w:pict>
      </w:r>
      <w:r>
        <w:rPr>
          <w:rFonts w:ascii="Arial"/>
          <w:spacing w:val="96"/>
          <w:position w:val="0"/>
          <w:sz w:val="4"/>
        </w:rPr>
      </w:r>
      <w:r>
        <w:rPr>
          <w:rFonts w:ascii="Times New Roman"/>
          <w:spacing w:val="120"/>
          <w:position w:val="0"/>
          <w:sz w:val="4"/>
        </w:rPr>
        <w:t> </w:t>
      </w:r>
      <w:r>
        <w:rPr>
          <w:rFonts w:ascii="Arial"/>
          <w:spacing w:val="120"/>
          <w:position w:val="0"/>
          <w:sz w:val="4"/>
        </w:rPr>
        <w:pict>
          <v:group style="width:94.15pt;height:2.2pt;mso-position-horizontal-relative:char;mso-position-vertical-relative:line" coordorigin="0,0" coordsize="1883,44">
            <v:group style="position:absolute;left:7;top:36;width:1869;height:2" coordorigin="7,36" coordsize="1869,2">
              <v:shape style="position:absolute;left:7;top:36;width:1869;height:2" coordorigin="7,36" coordsize="1869,0" path="m7,36l1876,36e" filled="false" stroked="true" strokeweight=".71997pt" strokecolor="#000000">
                <v:path arrowok="t"/>
              </v:shape>
            </v:group>
            <v:group style="position:absolute;left:7;top:7;width:1869;height:2" coordorigin="7,7" coordsize="1869,2">
              <v:shape style="position:absolute;left:7;top:7;width:1869;height:2" coordorigin="7,7" coordsize="1869,0" path="m7,7l1876,7e" filled="false" stroked="true" strokeweight=".72003pt" strokecolor="#000000">
                <v:path arrowok="t"/>
              </v:shape>
            </v:group>
          </v:group>
        </w:pict>
      </w:r>
      <w:r>
        <w:rPr>
          <w:rFonts w:ascii="Arial"/>
          <w:spacing w:val="120"/>
          <w:position w:val="0"/>
          <w:sz w:val="4"/>
        </w:rPr>
      </w:r>
    </w:p>
    <w:p>
      <w:pPr>
        <w:spacing w:line="240" w:lineRule="auto" w:before="6"/>
        <w:rPr>
          <w:rFonts w:ascii="Arial" w:hAnsi="Arial" w:cs="Arial" w:eastAsia="Arial" w:hint="default"/>
          <w:sz w:val="16"/>
          <w:szCs w:val="16"/>
        </w:rPr>
      </w:pPr>
    </w:p>
    <w:p>
      <w:pPr>
        <w:pStyle w:val="BodyText"/>
        <w:spacing w:line="240" w:lineRule="auto" w:before="31"/>
        <w:ind w:left="144" w:right="0"/>
        <w:jc w:val="left"/>
        <w:rPr>
          <w:rFonts w:ascii="黑体" w:hAnsi="黑体" w:cs="黑体" w:eastAsia="黑体" w:hint="default"/>
        </w:rPr>
      </w:pPr>
      <w:r>
        <w:rPr>
          <w:rFonts w:ascii="黑体" w:hAnsi="黑体" w:cs="黑体" w:eastAsia="黑体" w:hint="default"/>
        </w:rPr>
        <w:t>十五</w:t>
      </w:r>
      <w:r>
        <w:rPr>
          <w:rFonts w:ascii="黑体" w:hAnsi="黑体" w:cs="黑体" w:eastAsia="黑体" w:hint="default"/>
          <w:spacing w:val="35"/>
        </w:rPr>
        <w:t> </w:t>
      </w:r>
      <w:r>
        <w:rPr>
          <w:rFonts w:ascii="黑体" w:hAnsi="黑体" w:cs="黑体" w:eastAsia="黑体" w:hint="default"/>
        </w:rPr>
        <w:t>外币金融资产和外币金融负债</w:t>
      </w:r>
    </w:p>
    <w:p>
      <w:pPr>
        <w:spacing w:line="240" w:lineRule="auto" w:before="6"/>
        <w:rPr>
          <w:rFonts w:ascii="黑体" w:hAnsi="黑体" w:cs="黑体" w:eastAsia="黑体" w:hint="default"/>
          <w:sz w:val="16"/>
          <w:szCs w:val="16"/>
        </w:rPr>
      </w:pPr>
    </w:p>
    <w:tbl>
      <w:tblPr>
        <w:tblW w:w="0" w:type="auto"/>
        <w:jc w:val="left"/>
        <w:tblInd w:w="725" w:type="dxa"/>
        <w:tblLayout w:type="fixed"/>
        <w:tblCellMar>
          <w:top w:w="0" w:type="dxa"/>
          <w:left w:w="0" w:type="dxa"/>
          <w:bottom w:w="0" w:type="dxa"/>
          <w:right w:w="0" w:type="dxa"/>
        </w:tblCellMar>
        <w:tblLook w:val="01E0"/>
      </w:tblPr>
      <w:tblGrid>
        <w:gridCol w:w="2383"/>
        <w:gridCol w:w="1402"/>
        <w:gridCol w:w="1137"/>
        <w:gridCol w:w="76"/>
        <w:gridCol w:w="3327"/>
        <w:gridCol w:w="698"/>
      </w:tblGrid>
      <w:tr>
        <w:trPr>
          <w:trHeight w:val="359" w:hRule="exact"/>
        </w:trPr>
        <w:tc>
          <w:tcPr>
            <w:tcW w:w="9023" w:type="dxa"/>
            <w:gridSpan w:val="6"/>
            <w:tcBorders>
              <w:top w:val="nil" w:sz="6" w:space="0" w:color="auto"/>
              <w:left w:val="nil" w:sz="6" w:space="0" w:color="auto"/>
              <w:bottom w:val="nil" w:sz="6" w:space="0" w:color="auto"/>
              <w:right w:val="nil" w:sz="6" w:space="0" w:color="auto"/>
            </w:tcBorders>
          </w:tcPr>
          <w:p>
            <w:pPr>
              <w:pStyle w:val="TableParagraph"/>
              <w:tabs>
                <w:tab w:pos="4226" w:val="left" w:leader="none"/>
              </w:tabs>
              <w:spacing w:line="240" w:lineRule="auto" w:before="38"/>
              <w:ind w:left="2948"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tab/>
            </w:r>
            <w:r>
              <w:rPr>
                <w:rFonts w:ascii="Arial" w:hAnsi="Arial" w:cs="Arial" w:eastAsia="Arial" w:hint="default"/>
                <w:sz w:val="20"/>
                <w:szCs w:val="20"/>
              </w:rPr>
              <w:t>2010 </w:t>
            </w:r>
            <w:r>
              <w:rPr>
                <w:rFonts w:ascii="宋体" w:hAnsi="宋体" w:cs="宋体" w:eastAsia="宋体" w:hint="default"/>
                <w:sz w:val="20"/>
                <w:szCs w:val="20"/>
              </w:rPr>
              <w:t>年 本年度公允价 计入股东权益的累</w:t>
            </w:r>
            <w:r>
              <w:rPr>
                <w:rFonts w:ascii="宋体" w:hAnsi="宋体" w:cs="宋体" w:eastAsia="宋体" w:hint="default"/>
                <w:spacing w:val="-45"/>
                <w:sz w:val="20"/>
                <w:szCs w:val="20"/>
              </w:rPr>
              <w:t> </w:t>
            </w:r>
            <w:r>
              <w:rPr>
                <w:rFonts w:ascii="宋体" w:hAnsi="宋体" w:cs="宋体" w:eastAsia="宋体" w:hint="default"/>
                <w:sz w:val="20"/>
                <w:szCs w:val="20"/>
              </w:rPr>
              <w:t>本年度计提</w:t>
            </w:r>
          </w:p>
        </w:tc>
      </w:tr>
      <w:tr>
        <w:trPr>
          <w:trHeight w:val="237"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人民币：百万元</w:t>
            </w:r>
          </w:p>
        </w:tc>
        <w:tc>
          <w:tcPr>
            <w:tcW w:w="1402" w:type="dxa"/>
            <w:tcBorders>
              <w:top w:val="nil" w:sz="6" w:space="0" w:color="auto"/>
              <w:left w:val="nil" w:sz="6" w:space="0" w:color="auto"/>
              <w:bottom w:val="single" w:sz="6" w:space="0" w:color="000000"/>
              <w:right w:val="nil" w:sz="6" w:space="0" w:color="auto"/>
            </w:tcBorders>
          </w:tcPr>
          <w:p>
            <w:pPr>
              <w:pStyle w:val="TableParagraph"/>
              <w:spacing w:line="215" w:lineRule="exact"/>
              <w:ind w:right="139"/>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137" w:type="dxa"/>
            <w:tcBorders>
              <w:top w:val="nil" w:sz="6" w:space="0" w:color="auto"/>
              <w:left w:val="nil" w:sz="6" w:space="0" w:color="auto"/>
              <w:bottom w:val="single" w:sz="6" w:space="0" w:color="000000"/>
              <w:right w:val="nil" w:sz="6" w:space="0" w:color="auto"/>
            </w:tcBorders>
          </w:tcPr>
          <w:p>
            <w:pPr>
              <w:pStyle w:val="TableParagraph"/>
              <w:spacing w:line="215" w:lineRule="exact"/>
              <w:ind w:right="0"/>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76" w:type="dxa"/>
            <w:tcBorders>
              <w:top w:val="nil" w:sz="6" w:space="0" w:color="auto"/>
              <w:left w:val="nil" w:sz="6" w:space="0" w:color="auto"/>
              <w:bottom w:val="nil" w:sz="6" w:space="0" w:color="auto"/>
              <w:right w:val="nil" w:sz="6" w:space="0" w:color="auto"/>
            </w:tcBorders>
          </w:tcPr>
          <w:p>
            <w:pPr/>
          </w:p>
        </w:tc>
        <w:tc>
          <w:tcPr>
            <w:tcW w:w="4025" w:type="dxa"/>
            <w:gridSpan w:val="2"/>
            <w:tcBorders>
              <w:top w:val="nil" w:sz="6" w:space="0" w:color="auto"/>
              <w:left w:val="nil" w:sz="6" w:space="0" w:color="auto"/>
              <w:bottom w:val="single" w:sz="6" w:space="0" w:color="000000"/>
              <w:right w:val="nil" w:sz="6" w:space="0" w:color="auto"/>
            </w:tcBorders>
          </w:tcPr>
          <w:p>
            <w:pPr>
              <w:pStyle w:val="TableParagraph"/>
              <w:tabs>
                <w:tab w:pos="1511" w:val="left" w:leader="none"/>
                <w:tab w:pos="3388" w:val="left" w:leader="none"/>
              </w:tabs>
              <w:spacing w:line="200" w:lineRule="exact"/>
              <w:ind w:left="238" w:right="0"/>
              <w:jc w:val="left"/>
              <w:rPr>
                <w:rFonts w:ascii="宋体" w:hAnsi="宋体" w:cs="宋体" w:eastAsia="宋体" w:hint="default"/>
                <w:sz w:val="20"/>
                <w:szCs w:val="20"/>
              </w:rPr>
            </w:pPr>
            <w:r>
              <w:rPr>
                <w:rFonts w:ascii="宋体" w:hAnsi="宋体" w:cs="宋体" w:eastAsia="宋体" w:hint="default"/>
                <w:spacing w:val="-1"/>
                <w:sz w:val="20"/>
                <w:szCs w:val="20"/>
              </w:rPr>
              <w:t>值变动损益</w:t>
              <w:tab/>
              <w:t>计公允价值变动</w:t>
              <w:tab/>
            </w:r>
            <w:r>
              <w:rPr>
                <w:rFonts w:ascii="宋体" w:hAnsi="宋体" w:cs="宋体" w:eastAsia="宋体" w:hint="default"/>
                <w:sz w:val="20"/>
                <w:szCs w:val="20"/>
              </w:rPr>
              <w:t>的减值</w:t>
            </w:r>
          </w:p>
        </w:tc>
      </w:tr>
      <w:tr>
        <w:trPr>
          <w:trHeight w:val="574" w:hRule="exact"/>
        </w:trPr>
        <w:tc>
          <w:tcPr>
            <w:tcW w:w="238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黑体" w:hAnsi="黑体" w:cs="黑体" w:eastAsia="黑体" w:hint="default"/>
                <w:sz w:val="23"/>
                <w:szCs w:val="23"/>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1402" w:type="dxa"/>
            <w:tcBorders>
              <w:top w:val="single" w:sz="6" w:space="0" w:color="000000"/>
              <w:left w:val="nil" w:sz="6" w:space="0" w:color="auto"/>
              <w:bottom w:val="nil" w:sz="6" w:space="0" w:color="auto"/>
              <w:right w:val="nil" w:sz="6" w:space="0" w:color="auto"/>
            </w:tcBorders>
          </w:tcPr>
          <w:p>
            <w:pPr/>
          </w:p>
        </w:tc>
        <w:tc>
          <w:tcPr>
            <w:tcW w:w="1137" w:type="dxa"/>
            <w:tcBorders>
              <w:top w:val="single" w:sz="6" w:space="0" w:color="000000"/>
              <w:left w:val="nil" w:sz="6" w:space="0" w:color="auto"/>
              <w:bottom w:val="nil" w:sz="6" w:space="0" w:color="auto"/>
              <w:right w:val="nil" w:sz="6" w:space="0" w:color="auto"/>
            </w:tcBorders>
          </w:tcPr>
          <w:p>
            <w:pPr/>
          </w:p>
        </w:tc>
        <w:tc>
          <w:tcPr>
            <w:tcW w:w="76" w:type="dxa"/>
            <w:tcBorders>
              <w:top w:val="nil" w:sz="6" w:space="0" w:color="auto"/>
              <w:left w:val="nil" w:sz="6" w:space="0" w:color="auto"/>
              <w:bottom w:val="nil" w:sz="6" w:space="0" w:color="auto"/>
              <w:right w:val="nil" w:sz="6" w:space="0" w:color="auto"/>
            </w:tcBorders>
          </w:tcPr>
          <w:p>
            <w:pPr/>
          </w:p>
        </w:tc>
        <w:tc>
          <w:tcPr>
            <w:tcW w:w="4025" w:type="dxa"/>
            <w:gridSpan w:val="2"/>
            <w:tcBorders>
              <w:top w:val="single" w:sz="6" w:space="0" w:color="000000"/>
              <w:left w:val="nil" w:sz="6" w:space="0" w:color="auto"/>
              <w:bottom w:val="nil" w:sz="6" w:space="0" w:color="auto"/>
              <w:right w:val="nil" w:sz="6" w:space="0" w:color="auto"/>
            </w:tcBorders>
          </w:tcPr>
          <w:p>
            <w:pPr/>
          </w:p>
        </w:tc>
      </w:tr>
      <w:tr>
        <w:trPr>
          <w:trHeight w:val="358" w:hRule="exact"/>
        </w:trPr>
        <w:tc>
          <w:tcPr>
            <w:tcW w:w="238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1"/>
              <w:jc w:val="right"/>
              <w:rPr>
                <w:rFonts w:ascii="Arial" w:hAnsi="Arial" w:cs="Arial" w:eastAsia="Arial" w:hint="default"/>
                <w:sz w:val="20"/>
                <w:szCs w:val="20"/>
              </w:rPr>
            </w:pPr>
            <w:r>
              <w:rPr>
                <w:rFonts w:ascii="Arial"/>
                <w:sz w:val="20"/>
              </w:rPr>
              <w:t>736</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0"/>
              <w:jc w:val="right"/>
              <w:rPr>
                <w:rFonts w:ascii="Arial" w:hAnsi="Arial" w:cs="Arial" w:eastAsia="Arial" w:hint="default"/>
                <w:sz w:val="20"/>
                <w:szCs w:val="20"/>
              </w:rPr>
            </w:pPr>
            <w:r>
              <w:rPr>
                <w:rFonts w:ascii="Arial"/>
                <w:sz w:val="20"/>
              </w:rPr>
              <w:t>12,276</w:t>
            </w:r>
          </w:p>
        </w:tc>
        <w:tc>
          <w:tcPr>
            <w:tcW w:w="76" w:type="dxa"/>
            <w:tcBorders>
              <w:top w:val="nil" w:sz="6" w:space="0" w:color="auto"/>
              <w:left w:val="nil" w:sz="6" w:space="0" w:color="auto"/>
              <w:bottom w:val="nil" w:sz="6" w:space="0" w:color="auto"/>
              <w:right w:val="nil" w:sz="6" w:space="0" w:color="auto"/>
            </w:tcBorders>
          </w:tcPr>
          <w:p>
            <w:pPr/>
          </w:p>
        </w:tc>
        <w:tc>
          <w:tcPr>
            <w:tcW w:w="4025" w:type="dxa"/>
            <w:gridSpan w:val="2"/>
            <w:tcBorders>
              <w:top w:val="nil" w:sz="6" w:space="0" w:color="auto"/>
              <w:left w:val="nil" w:sz="6" w:space="0" w:color="auto"/>
              <w:bottom w:val="nil" w:sz="6" w:space="0" w:color="auto"/>
              <w:right w:val="nil" w:sz="6" w:space="0" w:color="auto"/>
            </w:tcBorders>
          </w:tcPr>
          <w:p>
            <w:pPr>
              <w:pStyle w:val="TableParagraph"/>
              <w:tabs>
                <w:tab w:pos="2683" w:val="left" w:leader="none"/>
                <w:tab w:pos="3838" w:val="left" w:leader="none"/>
              </w:tabs>
              <w:spacing w:line="240" w:lineRule="auto" w:before="93"/>
              <w:ind w:left="1081" w:right="0"/>
              <w:jc w:val="left"/>
              <w:rPr>
                <w:rFonts w:ascii="Arial" w:hAnsi="Arial" w:cs="Arial" w:eastAsia="Arial" w:hint="default"/>
                <w:sz w:val="20"/>
                <w:szCs w:val="20"/>
              </w:rPr>
            </w:pPr>
            <w:r>
              <w:rPr>
                <w:rFonts w:ascii="Arial"/>
                <w:sz w:val="20"/>
              </w:rPr>
              <w:t>-</w:t>
              <w:tab/>
              <w:t>-</w:t>
              <w:tab/>
              <w:t>-</w:t>
            </w:r>
          </w:p>
        </w:tc>
      </w:tr>
      <w:tr>
        <w:trPr>
          <w:trHeight w:val="262"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个月以上银行存款</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1"/>
              <w:jc w:val="right"/>
              <w:rPr>
                <w:rFonts w:ascii="Arial" w:hAnsi="Arial" w:cs="Arial" w:eastAsia="Arial" w:hint="default"/>
                <w:sz w:val="20"/>
                <w:szCs w:val="20"/>
              </w:rPr>
            </w:pPr>
            <w:r>
              <w:rPr>
                <w:rFonts w:ascii="Arial"/>
                <w:sz w:val="20"/>
              </w:rPr>
              <w:t>239</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Arial" w:hAnsi="Arial" w:cs="Arial" w:eastAsia="Arial" w:hint="default"/>
                <w:sz w:val="20"/>
                <w:szCs w:val="20"/>
              </w:rPr>
            </w:pPr>
            <w:r>
              <w:rPr>
                <w:rFonts w:ascii="Arial"/>
                <w:sz w:val="20"/>
              </w:rPr>
              <w:t>191</w:t>
            </w:r>
          </w:p>
        </w:tc>
        <w:tc>
          <w:tcPr>
            <w:tcW w:w="76" w:type="dxa"/>
            <w:tcBorders>
              <w:top w:val="nil" w:sz="6" w:space="0" w:color="auto"/>
              <w:left w:val="nil" w:sz="6" w:space="0" w:color="auto"/>
              <w:bottom w:val="nil" w:sz="6" w:space="0" w:color="auto"/>
              <w:right w:val="nil" w:sz="6" w:space="0" w:color="auto"/>
            </w:tcBorders>
          </w:tcPr>
          <w:p>
            <w:pPr/>
          </w:p>
        </w:tc>
        <w:tc>
          <w:tcPr>
            <w:tcW w:w="4025" w:type="dxa"/>
            <w:gridSpan w:val="2"/>
            <w:tcBorders>
              <w:top w:val="nil" w:sz="6" w:space="0" w:color="auto"/>
              <w:left w:val="nil" w:sz="6" w:space="0" w:color="auto"/>
              <w:bottom w:val="nil" w:sz="6" w:space="0" w:color="auto"/>
              <w:right w:val="nil" w:sz="6" w:space="0" w:color="auto"/>
            </w:tcBorders>
          </w:tcPr>
          <w:p>
            <w:pPr>
              <w:pStyle w:val="TableParagraph"/>
              <w:tabs>
                <w:tab w:pos="2682" w:val="left" w:leader="none"/>
                <w:tab w:pos="3838" w:val="left" w:leader="none"/>
              </w:tabs>
              <w:spacing w:line="240" w:lineRule="auto" w:before="36"/>
              <w:ind w:left="1080" w:right="0"/>
              <w:jc w:val="left"/>
              <w:rPr>
                <w:rFonts w:ascii="Arial" w:hAnsi="Arial" w:cs="Arial" w:eastAsia="Arial" w:hint="default"/>
                <w:sz w:val="20"/>
                <w:szCs w:val="20"/>
              </w:rPr>
            </w:pPr>
            <w:r>
              <w:rPr>
                <w:rFonts w:ascii="Arial"/>
                <w:sz w:val="20"/>
              </w:rPr>
              <w:t>-</w:t>
              <w:tab/>
              <w:t>-</w:t>
              <w:tab/>
              <w:t>-</w:t>
            </w:r>
          </w:p>
        </w:tc>
      </w:tr>
      <w:tr>
        <w:trPr>
          <w:trHeight w:val="493" w:hRule="exact"/>
        </w:trPr>
        <w:tc>
          <w:tcPr>
            <w:tcW w:w="9023" w:type="dxa"/>
            <w:gridSpan w:val="6"/>
            <w:tcBorders>
              <w:top w:val="nil" w:sz="6" w:space="0" w:color="auto"/>
              <w:left w:val="nil" w:sz="6" w:space="0" w:color="auto"/>
              <w:bottom w:val="nil" w:sz="6" w:space="0" w:color="auto"/>
              <w:right w:val="nil" w:sz="6" w:space="0" w:color="auto"/>
            </w:tcBorders>
          </w:tcPr>
          <w:p>
            <w:pPr>
              <w:pStyle w:val="TableParagraph"/>
              <w:tabs>
                <w:tab w:pos="2383" w:val="left" w:leader="none"/>
                <w:tab w:pos="3080" w:val="left" w:leader="none"/>
                <w:tab w:pos="4358" w:val="left" w:leader="none"/>
                <w:tab w:pos="6078" w:val="left" w:leader="none"/>
                <w:tab w:pos="7178" w:val="left" w:leader="none"/>
                <w:tab w:pos="8836" w:val="left" w:leader="none"/>
              </w:tabs>
              <w:spacing w:line="240" w:lineRule="auto" w:before="20"/>
              <w:ind w:left="35" w:right="0"/>
              <w:jc w:val="left"/>
              <w:rPr>
                <w:rFonts w:ascii="Arial" w:hAnsi="Arial" w:cs="Arial" w:eastAsia="Arial" w:hint="default"/>
                <w:sz w:val="20"/>
                <w:szCs w:val="20"/>
              </w:rPr>
            </w:pPr>
            <w:r>
              <w:rPr>
                <w:rFonts w:ascii="宋体" w:hAnsi="宋体" w:cs="宋体" w:eastAsia="宋体" w:hint="default"/>
                <w:spacing w:val="-1"/>
                <w:position w:val="1"/>
                <w:sz w:val="20"/>
                <w:szCs w:val="20"/>
              </w:rPr>
              <w:t>可供出售金融资产</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6,837</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6,087</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w:t>
            </w:r>
            <w:r>
              <w:rPr>
                <w:rFonts w:ascii="Arial" w:hAnsi="Arial" w:cs="Arial" w:eastAsia="Arial" w:hint="default"/>
                <w:sz w:val="20"/>
                <w:szCs w:val="20"/>
              </w:rPr>
            </w:r>
            <w:r>
              <w:rPr>
                <w:rFonts w:ascii="Arial" w:hAnsi="Arial" w:cs="Arial" w:eastAsia="Arial" w:hint="default"/>
                <w:sz w:val="20"/>
                <w:szCs w:val="20"/>
                <w:u w:val="single" w:color="000000"/>
              </w:rPr>
              <w:t> </w:t>
              <w:tab/>
            </w:r>
            <w:r>
              <w:rPr>
                <w:rFonts w:ascii="Arial" w:hAnsi="Arial" w:cs="Arial" w:eastAsia="Arial" w:hint="default"/>
                <w:spacing w:val="-1"/>
                <w:sz w:val="20"/>
                <w:szCs w:val="20"/>
                <w:u w:val="single" w:color="000000"/>
              </w:rPr>
              <w:t>(3,361)</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w:t>
              <w:tab/>
            </w:r>
            <w:r>
              <w:rPr>
                <w:rFonts w:ascii="Arial" w:hAnsi="Arial" w:cs="Arial" w:eastAsia="Arial" w:hint="default"/>
                <w:sz w:val="20"/>
                <w:szCs w:val="20"/>
              </w:rPr>
            </w:r>
          </w:p>
        </w:tc>
      </w:tr>
      <w:tr>
        <w:trPr>
          <w:trHeight w:val="442"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合计</w:t>
            </w:r>
            <w:r>
              <w:rPr>
                <w:rFonts w:ascii="宋体" w:hAnsi="宋体" w:cs="宋体" w:eastAsia="宋体" w:hint="default"/>
                <w:sz w:val="20"/>
                <w:szCs w:val="20"/>
              </w:rPr>
            </w:r>
          </w:p>
        </w:tc>
        <w:tc>
          <w:tcPr>
            <w:tcW w:w="1402"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201"/>
              <w:jc w:val="right"/>
              <w:rPr>
                <w:rFonts w:ascii="Arial" w:hAnsi="Arial" w:cs="Arial" w:eastAsia="Arial" w:hint="default"/>
                <w:sz w:val="20"/>
                <w:szCs w:val="20"/>
              </w:rPr>
            </w:pPr>
            <w:r>
              <w:rPr>
                <w:rFonts w:ascii="Arial"/>
                <w:spacing w:val="-1"/>
                <w:sz w:val="20"/>
              </w:rPr>
              <w:t>7,812</w:t>
            </w:r>
            <w:r>
              <w:rPr>
                <w:rFonts w:ascii="Arial"/>
                <w:sz w:val="20"/>
              </w:rPr>
            </w:r>
          </w:p>
        </w:tc>
        <w:tc>
          <w:tcPr>
            <w:tcW w:w="1137"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61"/>
              <w:jc w:val="right"/>
              <w:rPr>
                <w:rFonts w:ascii="Arial" w:hAnsi="Arial" w:cs="Arial" w:eastAsia="Arial" w:hint="default"/>
                <w:sz w:val="20"/>
                <w:szCs w:val="20"/>
              </w:rPr>
            </w:pPr>
            <w:r>
              <w:rPr>
                <w:rFonts w:ascii="Arial"/>
                <w:spacing w:val="-1"/>
                <w:sz w:val="20"/>
              </w:rPr>
              <w:t>18,554</w:t>
            </w:r>
            <w:r>
              <w:rPr>
                <w:rFonts w:ascii="Arial"/>
                <w:sz w:val="20"/>
              </w:rPr>
            </w:r>
          </w:p>
        </w:tc>
        <w:tc>
          <w:tcPr>
            <w:tcW w:w="3402"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黑体" w:hAnsi="黑体" w:cs="黑体" w:eastAsia="黑体" w:hint="default"/>
                <w:sz w:val="14"/>
                <w:szCs w:val="14"/>
              </w:rPr>
            </w:pPr>
          </w:p>
          <w:p>
            <w:pPr>
              <w:pStyle w:val="TableParagraph"/>
              <w:tabs>
                <w:tab w:pos="2256" w:val="left" w:leader="none"/>
              </w:tabs>
              <w:spacing w:line="240" w:lineRule="auto"/>
              <w:ind w:left="1155" w:right="0"/>
              <w:jc w:val="left"/>
              <w:rPr>
                <w:rFonts w:ascii="Arial" w:hAnsi="Arial" w:cs="Arial" w:eastAsia="Arial" w:hint="default"/>
                <w:sz w:val="20"/>
                <w:szCs w:val="20"/>
              </w:rPr>
            </w:pPr>
            <w:r>
              <w:rPr>
                <w:rFonts w:ascii="Arial"/>
                <w:sz w:val="20"/>
              </w:rPr>
              <w:t>-</w:t>
              <w:tab/>
              <w:t>(3,361)</w:t>
            </w:r>
          </w:p>
        </w:tc>
        <w:tc>
          <w:tcPr>
            <w:tcW w:w="698"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17"/>
              <w:jc w:val="right"/>
              <w:rPr>
                <w:rFonts w:ascii="Arial" w:hAnsi="Arial" w:cs="Arial" w:eastAsia="Arial" w:hint="default"/>
                <w:sz w:val="20"/>
                <w:szCs w:val="20"/>
              </w:rPr>
            </w:pPr>
            <w:r>
              <w:rPr>
                <w:rFonts w:ascii="Arial"/>
                <w:w w:val="100"/>
                <w:sz w:val="20"/>
              </w:rPr>
              <w:t>-</w:t>
            </w:r>
          </w:p>
        </w:tc>
      </w:tr>
      <w:tr>
        <w:trPr>
          <w:trHeight w:val="615"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2"/>
                <w:szCs w:val="22"/>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金融负债</w:t>
            </w:r>
            <w:r>
              <w:rPr>
                <w:rFonts w:ascii="宋体" w:hAnsi="宋体" w:cs="宋体" w:eastAsia="宋体" w:hint="default"/>
                <w:sz w:val="20"/>
                <w:szCs w:val="20"/>
              </w:rPr>
            </w:r>
          </w:p>
        </w:tc>
        <w:tc>
          <w:tcPr>
            <w:tcW w:w="1402" w:type="dxa"/>
            <w:tcBorders>
              <w:top w:val="single" w:sz="17" w:space="0" w:color="000000"/>
              <w:left w:val="nil" w:sz="6" w:space="0" w:color="auto"/>
              <w:bottom w:val="nil" w:sz="6" w:space="0" w:color="auto"/>
              <w:right w:val="nil" w:sz="6" w:space="0" w:color="auto"/>
            </w:tcBorders>
          </w:tcPr>
          <w:p>
            <w:pPr/>
          </w:p>
        </w:tc>
        <w:tc>
          <w:tcPr>
            <w:tcW w:w="1137" w:type="dxa"/>
            <w:tcBorders>
              <w:top w:val="single" w:sz="17" w:space="0" w:color="000000"/>
              <w:left w:val="nil" w:sz="6" w:space="0" w:color="auto"/>
              <w:bottom w:val="nil" w:sz="6" w:space="0" w:color="auto"/>
              <w:right w:val="nil" w:sz="6" w:space="0" w:color="auto"/>
            </w:tcBorders>
          </w:tcPr>
          <w:p>
            <w:pPr/>
          </w:p>
        </w:tc>
        <w:tc>
          <w:tcPr>
            <w:tcW w:w="3402" w:type="dxa"/>
            <w:gridSpan w:val="2"/>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5"/>
                <w:szCs w:val="25"/>
              </w:rPr>
            </w:pPr>
          </w:p>
          <w:p>
            <w:pPr>
              <w:pStyle w:val="TableParagraph"/>
              <w:tabs>
                <w:tab w:pos="2758" w:val="left" w:leader="none"/>
              </w:tabs>
              <w:spacing w:line="240" w:lineRule="auto"/>
              <w:ind w:left="1156" w:right="0"/>
              <w:jc w:val="left"/>
              <w:rPr>
                <w:rFonts w:ascii="Arial" w:hAnsi="Arial" w:cs="Arial" w:eastAsia="Arial" w:hint="default"/>
                <w:sz w:val="20"/>
                <w:szCs w:val="20"/>
              </w:rPr>
            </w:pPr>
            <w:r>
              <w:rPr>
                <w:rFonts w:ascii="Arial"/>
                <w:sz w:val="20"/>
              </w:rPr>
              <w:t>-</w:t>
              <w:tab/>
              <w:t>-</w:t>
            </w:r>
          </w:p>
        </w:tc>
        <w:tc>
          <w:tcPr>
            <w:tcW w:w="698"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right="117"/>
              <w:jc w:val="right"/>
              <w:rPr>
                <w:rFonts w:ascii="Arial" w:hAnsi="Arial" w:cs="Arial" w:eastAsia="Arial" w:hint="default"/>
                <w:sz w:val="20"/>
                <w:szCs w:val="20"/>
              </w:rPr>
            </w:pPr>
            <w:r>
              <w:rPr>
                <w:rFonts w:ascii="Arial"/>
                <w:w w:val="100"/>
                <w:sz w:val="20"/>
              </w:rPr>
              <w:t>-</w:t>
            </w:r>
          </w:p>
        </w:tc>
      </w:tr>
      <w:tr>
        <w:trPr>
          <w:trHeight w:val="302"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宋体" w:hAnsi="宋体" w:cs="宋体" w:eastAsia="宋体" w:hint="default"/>
                <w:sz w:val="20"/>
                <w:szCs w:val="20"/>
              </w:rPr>
              <w:t>对网通</w:t>
            </w:r>
            <w:r>
              <w:rPr>
                <w:rFonts w:ascii="宋体" w:hAnsi="宋体" w:cs="宋体" w:eastAsia="宋体" w:hint="default"/>
                <w:spacing w:val="-51"/>
                <w:sz w:val="20"/>
                <w:szCs w:val="20"/>
              </w:rPr>
              <w:t> </w:t>
            </w:r>
            <w:r>
              <w:rPr>
                <w:rFonts w:ascii="Arial" w:hAnsi="Arial" w:cs="Arial" w:eastAsia="Arial" w:hint="default"/>
                <w:sz w:val="20"/>
                <w:szCs w:val="20"/>
              </w:rPr>
              <w:t>BVI</w:t>
            </w:r>
            <w:r>
              <w:rPr>
                <w:rFonts w:ascii="Arial" w:hAnsi="Arial" w:cs="Arial" w:eastAsia="Arial" w:hint="default"/>
                <w:spacing w:val="-7"/>
                <w:sz w:val="20"/>
                <w:szCs w:val="20"/>
              </w:rPr>
              <w:t> </w:t>
            </w:r>
            <w:r>
              <w:rPr>
                <w:rFonts w:ascii="宋体" w:hAnsi="宋体" w:cs="宋体" w:eastAsia="宋体" w:hint="default"/>
                <w:sz w:val="20"/>
                <w:szCs w:val="20"/>
              </w:rPr>
              <w:t>借款本金</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1"/>
              <w:jc w:val="right"/>
              <w:rPr>
                <w:rFonts w:ascii="Arial" w:hAnsi="Arial" w:cs="Arial" w:eastAsia="Arial" w:hint="default"/>
                <w:sz w:val="20"/>
                <w:szCs w:val="20"/>
              </w:rPr>
            </w:pPr>
            <w:r>
              <w:rPr>
                <w:rFonts w:ascii="Arial"/>
                <w:sz w:val="20"/>
              </w:rPr>
              <w:t>2,132</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Arial" w:hAnsi="Arial" w:cs="Arial" w:eastAsia="Arial" w:hint="default"/>
                <w:sz w:val="20"/>
                <w:szCs w:val="20"/>
              </w:rPr>
            </w:pPr>
            <w:r>
              <w:rPr>
                <w:rFonts w:ascii="Arial"/>
                <w:sz w:val="20"/>
              </w:rPr>
              <w:t>2,034</w:t>
            </w:r>
          </w:p>
        </w:tc>
        <w:tc>
          <w:tcPr>
            <w:tcW w:w="3402" w:type="dxa"/>
            <w:gridSpan w:val="2"/>
            <w:tcBorders>
              <w:top w:val="nil" w:sz="6" w:space="0" w:color="auto"/>
              <w:left w:val="nil" w:sz="6" w:space="0" w:color="auto"/>
              <w:bottom w:val="nil" w:sz="6" w:space="0" w:color="auto"/>
              <w:right w:val="nil" w:sz="6" w:space="0" w:color="auto"/>
            </w:tcBorders>
          </w:tcPr>
          <w:p>
            <w:pPr>
              <w:pStyle w:val="TableParagraph"/>
              <w:tabs>
                <w:tab w:pos="2758" w:val="left" w:leader="none"/>
              </w:tabs>
              <w:spacing w:line="240" w:lineRule="auto" w:before="36"/>
              <w:ind w:left="1156" w:right="0"/>
              <w:jc w:val="left"/>
              <w:rPr>
                <w:rFonts w:ascii="Arial" w:hAnsi="Arial" w:cs="Arial" w:eastAsia="Arial" w:hint="default"/>
                <w:sz w:val="20"/>
                <w:szCs w:val="20"/>
              </w:rPr>
            </w:pPr>
            <w:r>
              <w:rPr>
                <w:rFonts w:ascii="Arial"/>
                <w:sz w:val="20"/>
              </w:rPr>
              <w:t>-</w:t>
              <w:tab/>
              <w:t>-</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7"/>
              <w:jc w:val="right"/>
              <w:rPr>
                <w:rFonts w:ascii="Arial" w:hAnsi="Arial" w:cs="Arial" w:eastAsia="Arial" w:hint="default"/>
                <w:sz w:val="20"/>
                <w:szCs w:val="20"/>
              </w:rPr>
            </w:pPr>
            <w:r>
              <w:rPr>
                <w:rFonts w:ascii="Arial"/>
                <w:w w:val="100"/>
                <w:sz w:val="20"/>
              </w:rPr>
              <w:t>-</w:t>
            </w:r>
          </w:p>
        </w:tc>
      </w:tr>
      <w:tr>
        <w:trPr>
          <w:trHeight w:val="302"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0"/>
                <w:szCs w:val="20"/>
              </w:rPr>
            </w:pPr>
            <w:r>
              <w:rPr>
                <w:rFonts w:ascii="宋体" w:hAnsi="宋体" w:cs="宋体" w:eastAsia="宋体" w:hint="default"/>
                <w:sz w:val="20"/>
                <w:szCs w:val="20"/>
              </w:rPr>
              <w:t>对网通集团</w:t>
            </w:r>
            <w:r>
              <w:rPr>
                <w:rFonts w:ascii="宋体" w:hAnsi="宋体" w:cs="宋体" w:eastAsia="宋体" w:hint="default"/>
                <w:spacing w:val="-51"/>
                <w:sz w:val="20"/>
                <w:szCs w:val="20"/>
              </w:rPr>
              <w:t> </w:t>
            </w:r>
            <w:r>
              <w:rPr>
                <w:rFonts w:ascii="Arial" w:hAnsi="Arial" w:cs="Arial" w:eastAsia="Arial" w:hint="default"/>
                <w:sz w:val="20"/>
                <w:szCs w:val="20"/>
              </w:rPr>
              <w:t>BVI</w:t>
            </w:r>
            <w:r>
              <w:rPr>
                <w:rFonts w:ascii="Arial" w:hAnsi="Arial" w:cs="Arial" w:eastAsia="Arial" w:hint="default"/>
                <w:spacing w:val="-7"/>
                <w:sz w:val="20"/>
                <w:szCs w:val="20"/>
              </w:rPr>
              <w:t> </w:t>
            </w:r>
            <w:r>
              <w:rPr>
                <w:rFonts w:ascii="宋体" w:hAnsi="宋体" w:cs="宋体" w:eastAsia="宋体" w:hint="default"/>
                <w:sz w:val="20"/>
                <w:szCs w:val="20"/>
              </w:rPr>
              <w:t>借款本金</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2"/>
              <w:jc w:val="right"/>
              <w:rPr>
                <w:rFonts w:ascii="Arial" w:hAnsi="Arial" w:cs="Arial" w:eastAsia="Arial" w:hint="default"/>
                <w:sz w:val="20"/>
                <w:szCs w:val="20"/>
              </w:rPr>
            </w:pPr>
            <w:r>
              <w:rPr>
                <w:rFonts w:ascii="Arial"/>
                <w:spacing w:val="-1"/>
                <w:sz w:val="20"/>
              </w:rPr>
              <w:t>24</w:t>
            </w:r>
            <w:r>
              <w:rPr>
                <w:rFonts w:ascii="Arial"/>
                <w:sz w:val="20"/>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20"/>
                <w:szCs w:val="20"/>
              </w:rPr>
            </w:pPr>
            <w:r>
              <w:rPr>
                <w:rFonts w:ascii="Arial"/>
                <w:w w:val="100"/>
                <w:sz w:val="20"/>
              </w:rPr>
              <w:t>-</w:t>
            </w:r>
          </w:p>
        </w:tc>
        <w:tc>
          <w:tcPr>
            <w:tcW w:w="3402" w:type="dxa"/>
            <w:gridSpan w:val="2"/>
            <w:tcBorders>
              <w:top w:val="nil" w:sz="6" w:space="0" w:color="auto"/>
              <w:left w:val="nil" w:sz="6" w:space="0" w:color="auto"/>
              <w:bottom w:val="nil" w:sz="6" w:space="0" w:color="auto"/>
              <w:right w:val="nil" w:sz="6" w:space="0" w:color="auto"/>
            </w:tcBorders>
          </w:tcPr>
          <w:p>
            <w:pPr>
              <w:pStyle w:val="TableParagraph"/>
              <w:tabs>
                <w:tab w:pos="2758" w:val="left" w:leader="none"/>
              </w:tabs>
              <w:spacing w:line="240" w:lineRule="auto" w:before="36"/>
              <w:ind w:left="1156" w:right="0"/>
              <w:jc w:val="left"/>
              <w:rPr>
                <w:rFonts w:ascii="Arial" w:hAnsi="Arial" w:cs="Arial" w:eastAsia="Arial" w:hint="default"/>
                <w:sz w:val="20"/>
                <w:szCs w:val="20"/>
              </w:rPr>
            </w:pPr>
            <w:r>
              <w:rPr>
                <w:rFonts w:ascii="Arial"/>
                <w:sz w:val="20"/>
              </w:rPr>
              <w:t>-</w:t>
              <w:tab/>
              <w:t>-</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7"/>
              <w:jc w:val="right"/>
              <w:rPr>
                <w:rFonts w:ascii="Arial" w:hAnsi="Arial" w:cs="Arial" w:eastAsia="Arial" w:hint="default"/>
                <w:sz w:val="20"/>
                <w:szCs w:val="20"/>
              </w:rPr>
            </w:pPr>
            <w:r>
              <w:rPr>
                <w:rFonts w:ascii="Arial"/>
                <w:w w:val="100"/>
                <w:sz w:val="20"/>
              </w:rPr>
              <w:t>-</w:t>
            </w:r>
          </w:p>
        </w:tc>
      </w:tr>
      <w:tr>
        <w:trPr>
          <w:trHeight w:val="319"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01"/>
              <w:jc w:val="right"/>
              <w:rPr>
                <w:rFonts w:ascii="Arial" w:hAnsi="Arial" w:cs="Arial" w:eastAsia="Arial" w:hint="default"/>
                <w:sz w:val="20"/>
                <w:szCs w:val="20"/>
              </w:rPr>
            </w:pPr>
            <w:r>
              <w:rPr>
                <w:rFonts w:ascii="Arial"/>
                <w:sz w:val="20"/>
              </w:rPr>
              <w:t>14,512</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0"/>
              <w:jc w:val="right"/>
              <w:rPr>
                <w:rFonts w:ascii="Arial" w:hAnsi="Arial" w:cs="Arial" w:eastAsia="Arial" w:hint="default"/>
                <w:sz w:val="20"/>
                <w:szCs w:val="20"/>
              </w:rPr>
            </w:pPr>
            <w:r>
              <w:rPr>
                <w:rFonts w:ascii="Arial"/>
                <w:sz w:val="20"/>
              </w:rPr>
              <w:t>10,892</w:t>
            </w:r>
          </w:p>
        </w:tc>
        <w:tc>
          <w:tcPr>
            <w:tcW w:w="3402" w:type="dxa"/>
            <w:gridSpan w:val="2"/>
            <w:tcBorders>
              <w:top w:val="nil" w:sz="6" w:space="0" w:color="auto"/>
              <w:left w:val="nil" w:sz="6" w:space="0" w:color="auto"/>
              <w:bottom w:val="nil" w:sz="6" w:space="0" w:color="auto"/>
              <w:right w:val="nil" w:sz="6" w:space="0" w:color="auto"/>
            </w:tcBorders>
          </w:tcPr>
          <w:p>
            <w:pPr>
              <w:pStyle w:val="TableParagraph"/>
              <w:tabs>
                <w:tab w:pos="2758" w:val="left" w:leader="none"/>
              </w:tabs>
              <w:spacing w:line="240" w:lineRule="auto" w:before="37"/>
              <w:ind w:left="1156" w:right="0"/>
              <w:jc w:val="left"/>
              <w:rPr>
                <w:rFonts w:ascii="Arial" w:hAnsi="Arial" w:cs="Arial" w:eastAsia="Arial" w:hint="default"/>
                <w:sz w:val="20"/>
                <w:szCs w:val="20"/>
              </w:rPr>
            </w:pPr>
            <w:r>
              <w:rPr>
                <w:rFonts w:ascii="Arial"/>
                <w:sz w:val="20"/>
              </w:rPr>
              <w:t>-</w:t>
              <w:tab/>
              <w:t>-</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7"/>
              <w:jc w:val="right"/>
              <w:rPr>
                <w:rFonts w:ascii="Arial" w:hAnsi="Arial" w:cs="Arial" w:eastAsia="Arial" w:hint="default"/>
                <w:sz w:val="20"/>
                <w:szCs w:val="20"/>
              </w:rPr>
            </w:pPr>
            <w:r>
              <w:rPr>
                <w:rFonts w:ascii="Arial"/>
                <w:w w:val="100"/>
                <w:sz w:val="20"/>
              </w:rPr>
              <w:t>-</w:t>
            </w:r>
          </w:p>
        </w:tc>
      </w:tr>
      <w:tr>
        <w:trPr>
          <w:trHeight w:val="578"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60" w:lineRule="exact" w:before="20"/>
              <w:ind w:left="237" w:right="-3" w:hanging="198"/>
              <w:jc w:val="left"/>
              <w:rPr>
                <w:rFonts w:ascii="宋体" w:hAnsi="宋体" w:cs="宋体" w:eastAsia="宋体" w:hint="default"/>
                <w:sz w:val="20"/>
                <w:szCs w:val="20"/>
              </w:rPr>
            </w:pPr>
            <w:r>
              <w:rPr>
                <w:rFonts w:ascii="宋体" w:hAnsi="宋体" w:cs="宋体" w:eastAsia="宋体" w:hint="default"/>
                <w:spacing w:val="-12"/>
                <w:sz w:val="20"/>
                <w:szCs w:val="20"/>
              </w:rPr>
              <w:t>长期借款（含</w:t>
            </w:r>
            <w:r>
              <w:rPr>
                <w:rFonts w:ascii="宋体" w:hAnsi="宋体" w:cs="宋体" w:eastAsia="宋体" w:hint="default"/>
                <w:spacing w:val="-49"/>
                <w:sz w:val="20"/>
                <w:szCs w:val="20"/>
              </w:rPr>
              <w:t> </w:t>
            </w:r>
            <w:r>
              <w:rPr>
                <w:rFonts w:ascii="Arial" w:hAnsi="Arial" w:cs="Arial" w:eastAsia="Arial" w:hint="default"/>
                <w:sz w:val="20"/>
                <w:szCs w:val="20"/>
              </w:rPr>
              <w:t>1</w:t>
            </w:r>
            <w:r>
              <w:rPr>
                <w:rFonts w:ascii="Arial" w:hAnsi="Arial" w:cs="Arial" w:eastAsia="Arial" w:hint="default"/>
                <w:spacing w:val="-3"/>
                <w:sz w:val="20"/>
                <w:szCs w:val="20"/>
              </w:rPr>
              <w:t> </w:t>
            </w:r>
            <w:r>
              <w:rPr>
                <w:rFonts w:ascii="宋体" w:hAnsi="宋体" w:cs="宋体" w:eastAsia="宋体" w:hint="default"/>
                <w:sz w:val="20"/>
                <w:szCs w:val="20"/>
              </w:rPr>
              <w:t>年内到期部</w:t>
            </w:r>
            <w:r>
              <w:rPr>
                <w:rFonts w:ascii="宋体" w:hAnsi="宋体" w:cs="宋体" w:eastAsia="宋体" w:hint="default"/>
                <w:w w:val="100"/>
                <w:sz w:val="20"/>
                <w:szCs w:val="20"/>
              </w:rPr>
              <w:t> </w:t>
            </w:r>
            <w:r>
              <w:rPr>
                <w:rFonts w:ascii="宋体" w:hAnsi="宋体" w:cs="宋体" w:eastAsia="宋体" w:hint="default"/>
                <w:sz w:val="20"/>
                <w:szCs w:val="20"/>
              </w:rPr>
              <w:t>分）</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3"/>
                <w:szCs w:val="23"/>
              </w:rPr>
            </w:pPr>
          </w:p>
          <w:p>
            <w:pPr>
              <w:pStyle w:val="TableParagraph"/>
              <w:spacing w:line="240" w:lineRule="auto"/>
              <w:ind w:right="201"/>
              <w:jc w:val="right"/>
              <w:rPr>
                <w:rFonts w:ascii="Arial" w:hAnsi="Arial" w:cs="Arial" w:eastAsia="Arial" w:hint="default"/>
                <w:sz w:val="20"/>
                <w:szCs w:val="20"/>
              </w:rPr>
            </w:pPr>
            <w:r>
              <w:rPr>
                <w:rFonts w:ascii="Arial"/>
                <w:sz w:val="20"/>
              </w:rPr>
              <w:t>634</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3"/>
                <w:szCs w:val="23"/>
              </w:rPr>
            </w:pPr>
          </w:p>
          <w:p>
            <w:pPr>
              <w:pStyle w:val="TableParagraph"/>
              <w:spacing w:line="240" w:lineRule="auto"/>
              <w:ind w:right="60"/>
              <w:jc w:val="right"/>
              <w:rPr>
                <w:rFonts w:ascii="Arial" w:hAnsi="Arial" w:cs="Arial" w:eastAsia="Arial" w:hint="default"/>
                <w:sz w:val="20"/>
                <w:szCs w:val="20"/>
              </w:rPr>
            </w:pPr>
            <w:r>
              <w:rPr>
                <w:rFonts w:ascii="Arial"/>
                <w:sz w:val="20"/>
              </w:rPr>
              <w:t>720</w:t>
            </w:r>
          </w:p>
        </w:tc>
        <w:tc>
          <w:tcPr>
            <w:tcW w:w="3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3"/>
                <w:szCs w:val="23"/>
              </w:rPr>
            </w:pPr>
          </w:p>
          <w:p>
            <w:pPr>
              <w:pStyle w:val="TableParagraph"/>
              <w:tabs>
                <w:tab w:pos="2758" w:val="left" w:leader="none"/>
              </w:tabs>
              <w:spacing w:line="240" w:lineRule="auto"/>
              <w:ind w:left="1156" w:right="0"/>
              <w:jc w:val="left"/>
              <w:rPr>
                <w:rFonts w:ascii="Arial" w:hAnsi="Arial" w:cs="Arial" w:eastAsia="Arial" w:hint="default"/>
                <w:sz w:val="20"/>
                <w:szCs w:val="20"/>
              </w:rPr>
            </w:pPr>
            <w:r>
              <w:rPr>
                <w:rFonts w:ascii="Arial"/>
                <w:sz w:val="20"/>
              </w:rPr>
              <w:t>-</w:t>
              <w:tab/>
              <w:t>-</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3"/>
                <w:szCs w:val="23"/>
              </w:rPr>
            </w:pPr>
          </w:p>
          <w:p>
            <w:pPr>
              <w:pStyle w:val="TableParagraph"/>
              <w:spacing w:line="240" w:lineRule="auto"/>
              <w:ind w:right="117"/>
              <w:jc w:val="right"/>
              <w:rPr>
                <w:rFonts w:ascii="Arial" w:hAnsi="Arial" w:cs="Arial" w:eastAsia="Arial" w:hint="default"/>
                <w:sz w:val="20"/>
                <w:szCs w:val="20"/>
              </w:rPr>
            </w:pPr>
            <w:r>
              <w:rPr>
                <w:rFonts w:ascii="Arial"/>
                <w:w w:val="100"/>
                <w:sz w:val="20"/>
              </w:rPr>
              <w:t>-</w:t>
            </w:r>
          </w:p>
        </w:tc>
      </w:tr>
      <w:tr>
        <w:trPr>
          <w:trHeight w:val="316"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宋体" w:hAnsi="宋体" w:cs="宋体" w:eastAsia="宋体" w:hint="default"/>
                <w:sz w:val="20"/>
                <w:szCs w:val="20"/>
              </w:rPr>
              <w:t>可转换债券负债部分</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1"/>
              <w:jc w:val="right"/>
              <w:rPr>
                <w:rFonts w:ascii="Arial" w:hAnsi="Arial" w:cs="Arial" w:eastAsia="Arial" w:hint="default"/>
                <w:sz w:val="20"/>
                <w:szCs w:val="20"/>
              </w:rPr>
            </w:pPr>
            <w:r>
              <w:rPr>
                <w:rFonts w:ascii="Arial"/>
                <w:sz w:val="20"/>
              </w:rPr>
              <w:t>11,118</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Arial" w:hAnsi="Arial" w:cs="Arial" w:eastAsia="Arial" w:hint="default"/>
                <w:sz w:val="20"/>
                <w:szCs w:val="20"/>
              </w:rPr>
            </w:pPr>
            <w:r>
              <w:rPr>
                <w:rFonts w:ascii="Arial"/>
                <w:sz w:val="20"/>
              </w:rPr>
              <w:t>11,558</w:t>
            </w:r>
          </w:p>
        </w:tc>
        <w:tc>
          <w:tcPr>
            <w:tcW w:w="3402" w:type="dxa"/>
            <w:gridSpan w:val="2"/>
            <w:tcBorders>
              <w:top w:val="nil" w:sz="6" w:space="0" w:color="auto"/>
              <w:left w:val="nil" w:sz="6" w:space="0" w:color="auto"/>
              <w:bottom w:val="nil" w:sz="6" w:space="0" w:color="auto"/>
              <w:right w:val="nil" w:sz="6" w:space="0" w:color="auto"/>
            </w:tcBorders>
          </w:tcPr>
          <w:p>
            <w:pPr>
              <w:pStyle w:val="TableParagraph"/>
              <w:tabs>
                <w:tab w:pos="2758" w:val="left" w:leader="none"/>
              </w:tabs>
              <w:spacing w:line="240" w:lineRule="auto" w:before="36"/>
              <w:ind w:left="1156" w:right="0"/>
              <w:jc w:val="left"/>
              <w:rPr>
                <w:rFonts w:ascii="Arial" w:hAnsi="Arial" w:cs="Arial" w:eastAsia="Arial" w:hint="default"/>
                <w:sz w:val="20"/>
                <w:szCs w:val="20"/>
              </w:rPr>
            </w:pPr>
            <w:r>
              <w:rPr>
                <w:rFonts w:ascii="Arial"/>
                <w:sz w:val="20"/>
              </w:rPr>
              <w:t>-</w:t>
              <w:tab/>
              <w:t>-</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7"/>
              <w:jc w:val="right"/>
              <w:rPr>
                <w:rFonts w:ascii="Arial" w:hAnsi="Arial" w:cs="Arial" w:eastAsia="Arial" w:hint="default"/>
                <w:sz w:val="20"/>
                <w:szCs w:val="20"/>
              </w:rPr>
            </w:pPr>
            <w:r>
              <w:rPr>
                <w:rFonts w:ascii="Arial"/>
                <w:w w:val="100"/>
                <w:sz w:val="20"/>
              </w:rPr>
              <w:t>-</w:t>
            </w:r>
          </w:p>
        </w:tc>
      </w:tr>
    </w:tbl>
    <w:p>
      <w:pPr>
        <w:tabs>
          <w:tab w:pos="3108" w:val="left" w:leader="none"/>
          <w:tab w:pos="4083" w:val="left" w:leader="none"/>
          <w:tab w:pos="5250" w:val="left" w:leader="none"/>
          <w:tab w:pos="6804" w:val="left" w:leader="none"/>
          <w:tab w:pos="8406" w:val="left" w:leader="none"/>
          <w:tab w:pos="9561" w:val="left" w:leader="none"/>
          <w:tab w:pos="9711" w:val="left" w:leader="none"/>
        </w:tabs>
        <w:spacing w:line="252" w:lineRule="exact" w:before="0"/>
        <w:ind w:left="760"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长期应付款</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78</w:t>
      </w:r>
      <w:r>
        <w:rPr>
          <w:rFonts w:ascii="Arial" w:hAnsi="Arial" w:cs="Arial" w:eastAsia="Arial" w:hint="default"/>
          <w:sz w:val="20"/>
          <w:szCs w:val="20"/>
        </w:rPr>
      </w:r>
      <w:r>
        <w:rPr>
          <w:rFonts w:ascii="Arial" w:hAnsi="Arial" w:cs="Arial" w:eastAsia="Arial" w:hint="default"/>
          <w:sz w:val="20"/>
          <w:szCs w:val="20"/>
          <w:u w:val="single" w:color="000000"/>
        </w:rPr>
        <w:t> </w:t>
        <w:tab/>
        <w:t>205</w:t>
      </w:r>
      <w:r>
        <w:rPr>
          <w:rFonts w:ascii="Arial" w:hAnsi="Arial" w:cs="Arial" w:eastAsia="Arial" w:hint="default"/>
          <w:sz w:val="20"/>
          <w:szCs w:val="20"/>
        </w:rPr>
      </w:r>
      <w:r>
        <w:rPr>
          <w:rFonts w:ascii="Arial" w:hAnsi="Arial" w:cs="Arial" w:eastAsia="Arial" w:hint="default"/>
          <w:sz w:val="20"/>
          <w:szCs w:val="20"/>
          <w:u w:val="single" w:color="000000"/>
        </w:rPr>
        <w:t> </w:t>
        <w:tab/>
        <w:t>-</w:t>
      </w:r>
      <w:r>
        <w:rPr>
          <w:rFonts w:ascii="Arial" w:hAnsi="Arial" w:cs="Arial" w:eastAsia="Arial" w:hint="default"/>
          <w:sz w:val="20"/>
          <w:szCs w:val="20"/>
        </w:rPr>
      </w:r>
      <w:r>
        <w:rPr>
          <w:rFonts w:ascii="Arial" w:hAnsi="Arial" w:cs="Arial" w:eastAsia="Arial" w:hint="default"/>
          <w:sz w:val="20"/>
          <w:szCs w:val="20"/>
          <w:u w:val="single" w:color="000000"/>
        </w:rPr>
        <w:t> </w:t>
        <w:tab/>
        <w:t>-</w:t>
      </w:r>
      <w:r>
        <w:rPr>
          <w:rFonts w:ascii="Arial" w:hAnsi="Arial" w:cs="Arial" w:eastAsia="Arial" w:hint="default"/>
          <w:sz w:val="20"/>
          <w:szCs w:val="20"/>
        </w:rPr>
      </w:r>
      <w:r>
        <w:rPr>
          <w:rFonts w:ascii="Arial" w:hAnsi="Arial" w:cs="Arial" w:eastAsia="Arial" w:hint="default"/>
          <w:sz w:val="20"/>
          <w:szCs w:val="20"/>
          <w:u w:val="single" w:color="000000"/>
        </w:rPr>
        <w:t> </w:t>
        <w:tab/>
        <w:t>-</w:t>
        <w:tab/>
      </w:r>
      <w:r>
        <w:rPr>
          <w:rFonts w:ascii="Arial" w:hAnsi="Arial" w:cs="Arial" w:eastAsia="Arial" w:hint="default"/>
          <w:sz w:val="20"/>
          <w:szCs w:val="20"/>
        </w:rPr>
      </w:r>
    </w:p>
    <w:p>
      <w:pPr>
        <w:spacing w:line="240" w:lineRule="auto" w:before="1"/>
        <w:rPr>
          <w:rFonts w:ascii="Arial" w:hAnsi="Arial" w:cs="Arial" w:eastAsia="Arial" w:hint="default"/>
          <w:sz w:val="24"/>
          <w:szCs w:val="24"/>
        </w:rPr>
      </w:pPr>
    </w:p>
    <w:p>
      <w:pPr>
        <w:tabs>
          <w:tab w:pos="3693" w:val="left" w:leader="none"/>
          <w:tab w:pos="4971" w:val="left" w:leader="none"/>
          <w:tab w:pos="6804" w:val="left" w:leader="none"/>
          <w:tab w:pos="8406" w:val="left" w:leader="none"/>
          <w:tab w:pos="9561" w:val="left" w:leader="none"/>
        </w:tabs>
        <w:spacing w:before="40"/>
        <w:ind w:left="760" w:right="0" w:firstLine="0"/>
        <w:jc w:val="left"/>
        <w:rPr>
          <w:rFonts w:ascii="Arial" w:hAnsi="Arial" w:cs="Arial" w:eastAsia="Arial" w:hint="default"/>
          <w:sz w:val="20"/>
          <w:szCs w:val="20"/>
        </w:rPr>
      </w:pPr>
      <w:r>
        <w:rPr>
          <w:rFonts w:ascii="宋体" w:hAnsi="宋体" w:cs="宋体" w:eastAsia="宋体" w:hint="default"/>
          <w:position w:val="1"/>
          <w:sz w:val="20"/>
          <w:szCs w:val="20"/>
        </w:rPr>
        <w:t>合计</w:t>
        <w:tab/>
      </w:r>
      <w:r>
        <w:rPr>
          <w:rFonts w:ascii="Arial" w:hAnsi="Arial" w:cs="Arial" w:eastAsia="Arial" w:hint="default"/>
          <w:sz w:val="20"/>
          <w:szCs w:val="20"/>
        </w:rPr>
        <w:t>28,498</w:t>
        <w:tab/>
        <w:t>25,409</w:t>
        <w:tab/>
        <w:t>-</w:t>
        <w:tab/>
        <w:t>-</w:t>
        <w:tab/>
        <w:t>-</w:t>
      </w:r>
    </w:p>
    <w:p>
      <w:pPr>
        <w:spacing w:line="43" w:lineRule="exact"/>
        <w:ind w:left="3086" w:right="0" w:firstLine="0"/>
        <w:rPr>
          <w:rFonts w:ascii="Arial" w:hAnsi="Arial" w:cs="Arial" w:eastAsia="Arial" w:hint="default"/>
          <w:sz w:val="4"/>
          <w:szCs w:val="4"/>
        </w:rPr>
      </w:pPr>
      <w:r>
        <w:rPr>
          <w:rFonts w:ascii="Arial" w:hAnsi="Arial" w:cs="Arial" w:eastAsia="Arial" w:hint="default"/>
          <w:position w:val="0"/>
          <w:sz w:val="4"/>
          <w:szCs w:val="4"/>
        </w:rPr>
        <w:pict>
          <v:group style="width:331.65pt;height:2.2pt;mso-position-horizontal-relative:char;mso-position-vertical-relative:line" coordorigin="0,0" coordsize="6633,44">
            <v:group style="position:absolute;left:7;top:36;width:1275;height:2" coordorigin="7,36" coordsize="1275,2">
              <v:shape style="position:absolute;left:7;top:36;width:1275;height:2" coordorigin="7,36" coordsize="1275,0" path="m7,36l1282,36e" filled="false" stroked="true" strokeweight=".71997pt" strokecolor="#000000">
                <v:path arrowok="t"/>
              </v:shape>
            </v:group>
            <v:group style="position:absolute;left:7;top:7;width:1275;height:2" coordorigin="7,7" coordsize="1275,2">
              <v:shape style="position:absolute;left:7;top:7;width:1275;height:2" coordorigin="7,7" coordsize="1275,0" path="m7,7l1282,7e" filled="false" stroked="true" strokeweight=".71997pt" strokecolor="#000000">
                <v:path arrowok="t"/>
              </v:shape>
            </v:group>
            <v:group style="position:absolute;left:1339;top:36;width:1221;height:2" coordorigin="1339,36" coordsize="1221,2">
              <v:shape style="position:absolute;left:1339;top:36;width:1221;height:2" coordorigin="1339,36" coordsize="1221,0" path="m1339,36l2560,36e" filled="false" stroked="true" strokeweight=".71997pt" strokecolor="#000000">
                <v:path arrowok="t"/>
              </v:shape>
            </v:group>
            <v:group style="position:absolute;left:1339;top:7;width:1221;height:2" coordorigin="1339,7" coordsize="1221,2">
              <v:shape style="position:absolute;left:1339;top:7;width:1221;height:2" coordorigin="1339,7" coordsize="1221,0" path="m1339,7l2560,7e" filled="false" stroked="true" strokeweight=".71997pt" strokecolor="#000000">
                <v:path arrowok="t"/>
              </v:shape>
            </v:group>
            <v:group style="position:absolute;left:2622;top:36;width:1252;height:2" coordorigin="2622,36" coordsize="1252,2">
              <v:shape style="position:absolute;left:2622;top:36;width:1252;height:2" coordorigin="2622,36" coordsize="1252,0" path="m2622,36l3874,36e" filled="false" stroked="true" strokeweight=".71997pt" strokecolor="#000000">
                <v:path arrowok="t"/>
              </v:shape>
            </v:group>
            <v:group style="position:absolute;left:2622;top:7;width:1252;height:2" coordorigin="2622,7" coordsize="1252,2">
              <v:shape style="position:absolute;left:2622;top:7;width:1252;height:2" coordorigin="2622,7" coordsize="1252,0" path="m2622,7l3874,7e" filled="false" stroked="true" strokeweight=".71997pt" strokecolor="#000000">
                <v:path arrowok="t"/>
              </v:shape>
            </v:group>
            <v:group style="position:absolute;left:3929;top:36;width:1619;height:2" coordorigin="3929,36" coordsize="1619,2">
              <v:shape style="position:absolute;left:3929;top:36;width:1619;height:2" coordorigin="3929,36" coordsize="1619,0" path="m3929,36l5548,36e" filled="false" stroked="true" strokeweight=".72pt" strokecolor="#000000">
                <v:path arrowok="t"/>
              </v:shape>
            </v:group>
            <v:group style="position:absolute;left:3929;top:7;width:1619;height:2" coordorigin="3929,7" coordsize="1619,2">
              <v:shape style="position:absolute;left:3929;top:7;width:1619;height:2" coordorigin="3929,7" coordsize="1619,0" path="m3929,7l5548,7e" filled="false" stroked="true" strokeweight=".72pt" strokecolor="#000000">
                <v:path arrowok="t"/>
              </v:shape>
            </v:group>
            <v:group style="position:absolute;left:5604;top:36;width:1022;height:2" coordorigin="5604,36" coordsize="1022,2">
              <v:shape style="position:absolute;left:5604;top:36;width:1022;height:2" coordorigin="5604,36" coordsize="1022,0" path="m5604,36l6625,36e" filled="false" stroked="true" strokeweight=".71997pt" strokecolor="#000000">
                <v:path arrowok="t"/>
              </v:shape>
            </v:group>
            <v:group style="position:absolute;left:5604;top:7;width:1022;height:2" coordorigin="5604,7" coordsize="1022,2">
              <v:shape style="position:absolute;left:5604;top:7;width:1022;height:2" coordorigin="5604,7" coordsize="1022,0" path="m5604,7l6625,7e" filled="false" stroked="true" strokeweight=".71997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spacing w:line="240" w:lineRule="auto" w:before="31"/>
        <w:ind w:left="144" w:right="0"/>
        <w:jc w:val="left"/>
        <w:rPr>
          <w:rFonts w:ascii="黑体" w:hAnsi="黑体" w:cs="黑体" w:eastAsia="黑体" w:hint="default"/>
        </w:rPr>
      </w:pPr>
      <w:r>
        <w:rPr>
          <w:rFonts w:ascii="黑体" w:hAnsi="黑体" w:cs="黑体" w:eastAsia="黑体" w:hint="default"/>
        </w:rPr>
        <w:t>十六</w:t>
      </w:r>
      <w:r>
        <w:rPr>
          <w:rFonts w:ascii="黑体" w:hAnsi="黑体" w:cs="黑体" w:eastAsia="黑体" w:hint="default"/>
          <w:spacing w:val="36"/>
        </w:rPr>
        <w:t> </w:t>
      </w:r>
      <w:r>
        <w:rPr>
          <w:rFonts w:ascii="黑体" w:hAnsi="黑体" w:cs="黑体" w:eastAsia="黑体" w:hint="default"/>
        </w:rPr>
        <w:t>本公司个别财务报表主要项目注释</w:t>
      </w:r>
    </w:p>
    <w:p>
      <w:pPr>
        <w:spacing w:line="240" w:lineRule="auto" w:before="2"/>
        <w:rPr>
          <w:rFonts w:ascii="黑体" w:hAnsi="黑体" w:cs="黑体" w:eastAsia="黑体" w:hint="default"/>
          <w:sz w:val="15"/>
          <w:szCs w:val="15"/>
        </w:rPr>
      </w:pPr>
    </w:p>
    <w:p>
      <w:pPr>
        <w:pStyle w:val="BodyText"/>
        <w:tabs>
          <w:tab w:pos="723" w:val="left" w:leader="none"/>
        </w:tabs>
        <w:spacing w:line="240" w:lineRule="auto"/>
        <w:ind w:left="113" w:right="0"/>
        <w:jc w:val="left"/>
      </w:pPr>
      <w:r>
        <w:rPr>
          <w:rFonts w:ascii="Arial" w:hAnsi="Arial" w:cs="Arial" w:eastAsia="Arial" w:hint="default"/>
          <w:w w:val="95"/>
        </w:rPr>
        <w:t>1</w:t>
      </w:r>
      <w:r>
        <w:rPr>
          <w:w w:val="95"/>
        </w:rPr>
        <w:t>、</w:t>
        <w:tab/>
      </w:r>
      <w:r>
        <w:rPr/>
        <w:t>货币资金</w:t>
      </w:r>
    </w:p>
    <w:p>
      <w:pPr>
        <w:spacing w:line="240" w:lineRule="auto" w:before="6"/>
        <w:rPr>
          <w:rFonts w:ascii="宋体" w:hAnsi="宋体" w:cs="宋体" w:eastAsia="宋体" w:hint="default"/>
          <w:sz w:val="11"/>
          <w:szCs w:val="11"/>
        </w:rPr>
      </w:pPr>
    </w:p>
    <w:p>
      <w:pPr>
        <w:pStyle w:val="BodyText"/>
        <w:tabs>
          <w:tab w:pos="7779" w:val="left" w:leader="none"/>
        </w:tabs>
        <w:spacing w:line="240" w:lineRule="auto" w:before="31"/>
        <w:ind w:left="5285"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939" w:right="0" w:firstLine="0"/>
        <w:rPr>
          <w:rFonts w:ascii="宋体" w:hAnsi="宋体" w:cs="宋体" w:eastAsia="宋体" w:hint="default"/>
          <w:sz w:val="2"/>
          <w:szCs w:val="2"/>
        </w:rPr>
      </w:pPr>
      <w:r>
        <w:rPr>
          <w:rFonts w:ascii="宋体"/>
          <w:sz w:val="2"/>
        </w:rPr>
        <w:pict>
          <v:group style="width:116.2pt;height:.75pt;mso-position-horizontal-relative:char;mso-position-vertical-relative:line" coordorigin="0,0" coordsize="2324,15">
            <v:group style="position:absolute;left:7;top:7;width:2309;height:2" coordorigin="7,7" coordsize="2309,2">
              <v:shape style="position:absolute;left:7;top:7;width:2309;height:2" coordorigin="7,7" coordsize="2309,0" path="m7,7l2316,7e" filled="false" stroked="true" strokeweight=".72pt" strokecolor="#000000">
                <v:path arrowok="t"/>
              </v:shape>
            </v:group>
          </v:group>
        </w:pict>
      </w:r>
      <w:r>
        <w:rPr>
          <w:rFonts w:ascii="宋体"/>
          <w:sz w:val="2"/>
        </w:rPr>
      </w:r>
      <w:r>
        <w:rPr>
          <w:rFonts w:ascii="Times New Roman"/>
          <w:spacing w:val="103"/>
          <w:sz w:val="2"/>
        </w:rPr>
        <w:t> </w:t>
      </w:r>
      <w:r>
        <w:rPr>
          <w:rFonts w:ascii="宋体"/>
          <w:spacing w:val="103"/>
          <w:sz w:val="2"/>
        </w:rPr>
        <w:pict>
          <v:group style="width:116.5pt;height:.75pt;mso-position-horizontal-relative:char;mso-position-vertical-relative:line" coordorigin="0,0" coordsize="2330,15">
            <v:group style="position:absolute;left:7;top:7;width:2315;height:2" coordorigin="7,7" coordsize="2315,2">
              <v:shape style="position:absolute;left:7;top:7;width:2315;height:2" coordorigin="7,7" coordsize="2315,0" path="m7,7l2322,7e" filled="false" stroked="true" strokeweight=".72pt" strokecolor="#000000">
                <v:path arrowok="t"/>
              </v:shape>
            </v:group>
          </v:group>
        </w:pict>
      </w:r>
      <w:r>
        <w:rPr>
          <w:rFonts w:ascii="宋体"/>
          <w:spacing w:val="103"/>
          <w:sz w:val="2"/>
        </w:rPr>
      </w:r>
    </w:p>
    <w:p>
      <w:pPr>
        <w:spacing w:line="240" w:lineRule="auto" w:before="2"/>
        <w:rPr>
          <w:rFonts w:ascii="宋体" w:hAnsi="宋体" w:cs="宋体" w:eastAsia="宋体" w:hint="default"/>
          <w:sz w:val="16"/>
          <w:szCs w:val="16"/>
        </w:rPr>
      </w:pPr>
    </w:p>
    <w:p>
      <w:pPr>
        <w:pStyle w:val="BodyText"/>
        <w:tabs>
          <w:tab w:pos="6485" w:val="left" w:leader="none"/>
          <w:tab w:pos="8919" w:val="left" w:leader="none"/>
        </w:tabs>
        <w:spacing w:line="304" w:lineRule="exact" w:before="27"/>
        <w:ind w:left="761" w:right="0"/>
        <w:jc w:val="left"/>
        <w:rPr>
          <w:rFonts w:ascii="Arial" w:hAnsi="Arial" w:cs="Arial" w:eastAsia="Arial" w:hint="default"/>
        </w:rPr>
      </w:pPr>
      <w:r>
        <w:rPr>
          <w:w w:val="95"/>
          <w:position w:val="2"/>
        </w:rPr>
        <w:t>库存现金</w:t>
        <w:tab/>
      </w:r>
      <w:r>
        <w:rPr>
          <w:rFonts w:ascii="Arial" w:hAnsi="Arial" w:cs="Arial" w:eastAsia="Arial" w:hint="default"/>
          <w:w w:val="95"/>
        </w:rPr>
        <w:t>28,938</w:t>
        <w:tab/>
      </w:r>
      <w:r>
        <w:rPr>
          <w:rFonts w:ascii="Arial" w:hAnsi="Arial" w:cs="Arial" w:eastAsia="Arial" w:hint="default"/>
        </w:rPr>
        <w:t>20,495</w:t>
      </w:r>
    </w:p>
    <w:p>
      <w:pPr>
        <w:pStyle w:val="BodyText"/>
        <w:tabs>
          <w:tab w:pos="4946" w:val="left" w:leader="none"/>
          <w:tab w:pos="6056" w:val="left" w:leader="none"/>
          <w:tab w:pos="8491" w:val="left" w:leader="none"/>
          <w:tab w:pos="9696" w:val="left" w:leader="none"/>
        </w:tabs>
        <w:spacing w:line="304" w:lineRule="exact"/>
        <w:ind w:left="761" w:right="0"/>
        <w:jc w:val="left"/>
        <w:rPr>
          <w:rFonts w:ascii="Arial" w:hAnsi="Arial" w:cs="Arial" w:eastAsia="Arial" w:hint="default"/>
        </w:rPr>
      </w:pPr>
      <w:r>
        <w:rPr>
          <w:w w:val="95"/>
          <w:position w:val="2"/>
        </w:rPr>
        <w:t>银行存款</w:t>
        <w:tab/>
      </w:r>
      <w:r>
        <w:rPr>
          <w:rFonts w:ascii="Arial" w:hAnsi="Arial" w:cs="Arial" w:eastAsia="Arial" w:hint="default"/>
          <w:w w:val="95"/>
        </w:rPr>
      </w:r>
      <w:r>
        <w:rPr>
          <w:rFonts w:ascii="Arial" w:hAnsi="Arial" w:cs="Arial" w:eastAsia="Arial" w:hint="default"/>
          <w:w w:val="95"/>
          <w:u w:val="single" w:color="000000"/>
        </w:rPr>
        <w:t> </w:t>
        <w:tab/>
        <w:t>28,354,618</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22,073,979</w:t>
        <w:tab/>
      </w:r>
      <w:r>
        <w:rPr>
          <w:rFonts w:ascii="Arial" w:hAnsi="Arial" w:cs="Arial" w:eastAsia="Arial" w:hint="default"/>
        </w:rPr>
      </w:r>
    </w:p>
    <w:p>
      <w:pPr>
        <w:spacing w:line="240" w:lineRule="auto" w:before="0"/>
        <w:rPr>
          <w:rFonts w:ascii="Arial" w:hAnsi="Arial" w:cs="Arial" w:eastAsia="Arial" w:hint="default"/>
          <w:sz w:val="14"/>
          <w:szCs w:val="14"/>
        </w:rPr>
      </w:pPr>
    </w:p>
    <w:p>
      <w:pPr>
        <w:pStyle w:val="BodyText"/>
        <w:tabs>
          <w:tab w:pos="6056" w:val="left" w:leader="none"/>
          <w:tab w:pos="8491" w:val="left" w:leader="none"/>
        </w:tabs>
        <w:spacing w:line="240" w:lineRule="auto" w:before="27"/>
        <w:ind w:left="761" w:right="0"/>
        <w:jc w:val="left"/>
        <w:rPr>
          <w:rFonts w:ascii="Arial" w:hAnsi="Arial" w:cs="Arial" w:eastAsia="Arial" w:hint="default"/>
        </w:rPr>
      </w:pPr>
      <w:r>
        <w:rPr>
          <w:w w:val="95"/>
          <w:position w:val="2"/>
        </w:rPr>
        <w:t>合计</w:t>
        <w:tab/>
      </w:r>
      <w:r>
        <w:rPr>
          <w:rFonts w:ascii="Arial" w:hAnsi="Arial" w:cs="Arial" w:eastAsia="Arial" w:hint="default"/>
          <w:w w:val="95"/>
        </w:rPr>
        <w:t>28,383,556</w:t>
        <w:tab/>
      </w:r>
      <w:r>
        <w:rPr>
          <w:rFonts w:ascii="Arial" w:hAnsi="Arial" w:cs="Arial" w:eastAsia="Arial" w:hint="default"/>
        </w:rPr>
        <w:t>22,094,474</w:t>
      </w:r>
    </w:p>
    <w:p>
      <w:pPr>
        <w:spacing w:line="43" w:lineRule="exact"/>
        <w:ind w:left="4925" w:right="0" w:firstLine="0"/>
        <w:rPr>
          <w:rFonts w:ascii="Arial" w:hAnsi="Arial" w:cs="Arial" w:eastAsia="Arial" w:hint="default"/>
          <w:sz w:val="4"/>
          <w:szCs w:val="4"/>
        </w:rPr>
      </w:pPr>
      <w:r>
        <w:rPr>
          <w:rFonts w:ascii="Arial"/>
          <w:position w:val="0"/>
          <w:sz w:val="4"/>
        </w:rPr>
        <w:pict>
          <v:group style="width:116.9pt;height:2.2pt;mso-position-horizontal-relative:char;mso-position-vertical-relative:line" coordorigin="0,0" coordsize="2338,44">
            <v:group style="position:absolute;left:7;top:36;width:2324;height:2" coordorigin="7,36" coordsize="2324,2">
              <v:shape style="position:absolute;left:7;top:36;width:2324;height:2" coordorigin="7,36" coordsize="2324,0" path="m7,36l2330,36e" filled="false" stroked="true" strokeweight=".72pt" strokecolor="#000000">
                <v:path arrowok="t"/>
              </v:shape>
            </v:group>
            <v:group style="position:absolute;left:7;top:7;width:2324;height:2" coordorigin="7,7" coordsize="2324,2">
              <v:shape style="position:absolute;left:7;top:7;width:2324;height:2" coordorigin="7,7" coordsize="2324,0" path="m7,7l2330,7e" filled="false" stroked="true" strokeweight=".72pt" strokecolor="#000000">
                <v:path arrowok="t"/>
              </v:shape>
            </v:group>
          </v:group>
        </w:pict>
      </w:r>
      <w:r>
        <w:rPr>
          <w:rFonts w:ascii="Arial"/>
          <w:position w:val="0"/>
          <w:sz w:val="4"/>
        </w:rPr>
      </w:r>
      <w:r>
        <w:rPr>
          <w:rFonts w:ascii="Times New Roman"/>
          <w:spacing w:val="81"/>
          <w:position w:val="0"/>
          <w:sz w:val="4"/>
        </w:rPr>
        <w:t> </w:t>
      </w:r>
      <w:r>
        <w:rPr>
          <w:rFonts w:ascii="Arial"/>
          <w:spacing w:val="81"/>
          <w:position w:val="0"/>
          <w:sz w:val="4"/>
        </w:rPr>
        <w:pict>
          <v:group style="width:117.2pt;height:2.2pt;mso-position-horizontal-relative:char;mso-position-vertical-relative:line" coordorigin="0,0" coordsize="2344,44">
            <v:group style="position:absolute;left:7;top:36;width:2330;height:2" coordorigin="7,36" coordsize="2330,2">
              <v:shape style="position:absolute;left:7;top:36;width:2330;height:2" coordorigin="7,36" coordsize="2330,0" path="m7,36l2336,36e" filled="false" stroked="true" strokeweight=".72pt" strokecolor="#000000">
                <v:path arrowok="t"/>
              </v:shape>
            </v:group>
            <v:group style="position:absolute;left:7;top:7;width:2330;height:2" coordorigin="7,7" coordsize="2330,2">
              <v:shape style="position:absolute;left:7;top:7;width:2330;height:2" coordorigin="7,7" coordsize="2330,0" path="m7,7l2336,7e" filled="false" stroked="true" strokeweight=".72pt" strokecolor="#000000">
                <v:path arrowok="t"/>
              </v:shape>
            </v:group>
          </v:group>
        </w:pict>
      </w:r>
      <w:r>
        <w:rPr>
          <w:rFonts w:ascii="Arial"/>
          <w:spacing w:val="81"/>
          <w:position w:val="0"/>
          <w:sz w:val="4"/>
        </w:rPr>
      </w:r>
    </w:p>
    <w:p>
      <w:pPr>
        <w:spacing w:after="0" w:line="43" w:lineRule="exact"/>
        <w:rPr>
          <w:rFonts w:ascii="Arial" w:hAnsi="Arial" w:cs="Arial" w:eastAsia="Arial" w:hint="default"/>
          <w:sz w:val="4"/>
          <w:szCs w:val="4"/>
        </w:rPr>
        <w:sectPr>
          <w:type w:val="continuous"/>
          <w:pgSz w:w="11900" w:h="16840"/>
          <w:pgMar w:top="1600" w:bottom="280" w:left="1280" w:right="760"/>
        </w:sectPr>
      </w:pPr>
    </w:p>
    <w:p>
      <w:pPr>
        <w:spacing w:line="240" w:lineRule="auto" w:before="11"/>
        <w:rPr>
          <w:rFonts w:ascii="Arial" w:hAnsi="Arial" w:cs="Arial" w:eastAsia="Arial" w:hint="default"/>
          <w:sz w:val="18"/>
          <w:szCs w:val="18"/>
        </w:rPr>
      </w:pPr>
    </w:p>
    <w:p>
      <w:pPr>
        <w:pStyle w:val="BodyText"/>
        <w:tabs>
          <w:tab w:pos="759" w:val="left" w:leader="none"/>
        </w:tabs>
        <w:spacing w:line="240" w:lineRule="auto" w:before="31"/>
        <w:ind w:left="113" w:right="0"/>
        <w:jc w:val="left"/>
      </w:pPr>
      <w:r>
        <w:rPr>
          <w:rFonts w:ascii="Arial" w:hAnsi="Arial" w:cs="Arial" w:eastAsia="Arial" w:hint="default"/>
          <w:w w:val="95"/>
        </w:rPr>
        <w:t>2</w:t>
      </w:r>
      <w:r>
        <w:rPr>
          <w:w w:val="95"/>
        </w:rPr>
        <w:t>、</w:t>
        <w:tab/>
      </w:r>
      <w:r>
        <w:rPr/>
        <w:t>应收股利</w:t>
      </w:r>
    </w:p>
    <w:p>
      <w:pPr>
        <w:spacing w:line="240" w:lineRule="auto" w:before="3"/>
        <w:rPr>
          <w:rFonts w:ascii="宋体" w:hAnsi="宋体" w:cs="宋体" w:eastAsia="宋体" w:hint="default"/>
          <w:sz w:val="10"/>
          <w:szCs w:val="10"/>
        </w:rPr>
      </w:pPr>
    </w:p>
    <w:p>
      <w:pPr>
        <w:pStyle w:val="BodyText"/>
        <w:tabs>
          <w:tab w:pos="7659" w:val="left" w:leader="none"/>
        </w:tabs>
        <w:spacing w:line="240" w:lineRule="auto" w:before="31"/>
        <w:ind w:left="5246" w:right="0"/>
        <w:jc w:val="lef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904" w:right="0" w:firstLine="0"/>
        <w:rPr>
          <w:rFonts w:ascii="宋体" w:hAnsi="宋体" w:cs="宋体" w:eastAsia="宋体" w:hint="default"/>
          <w:sz w:val="2"/>
          <w:szCs w:val="2"/>
        </w:rPr>
      </w:pPr>
      <w:r>
        <w:rPr>
          <w:rFonts w:ascii="宋体"/>
          <w:sz w:val="2"/>
        </w:rPr>
        <w:pict>
          <v:group style="width:115.3pt;height:.75pt;mso-position-horizontal-relative:char;mso-position-vertical-relative:line" coordorigin="0,0" coordsize="2306,15">
            <v:group style="position:absolute;left:7;top:7;width:2291;height:2" coordorigin="7,7" coordsize="2291,2">
              <v:shape style="position:absolute;left:7;top:7;width:2291;height:2" coordorigin="7,7" coordsize="2291,0" path="m7,7l2298,7e" filled="false" stroked="true" strokeweight=".72003pt" strokecolor="#000000">
                <v:path arrowok="t"/>
              </v:shape>
            </v:group>
          </v:group>
        </w:pict>
      </w:r>
      <w:r>
        <w:rPr>
          <w:rFonts w:ascii="宋体"/>
          <w:sz w:val="2"/>
        </w:rPr>
      </w:r>
      <w:r>
        <w:rPr>
          <w:rFonts w:ascii="Times New Roman"/>
          <w:spacing w:val="102"/>
          <w:sz w:val="2"/>
        </w:rPr>
        <w:t> </w:t>
      </w:r>
      <w:r>
        <w:rPr>
          <w:rFonts w:ascii="宋体"/>
          <w:spacing w:val="102"/>
          <w:sz w:val="2"/>
        </w:rPr>
        <w:pict>
          <v:group style="width:113.2pt;height:.75pt;mso-position-horizontal-relative:char;mso-position-vertical-relative:line" coordorigin="0,0" coordsize="2264,15">
            <v:group style="position:absolute;left:7;top:7;width:2249;height:2" coordorigin="7,7" coordsize="2249,2">
              <v:shape style="position:absolute;left:7;top:7;width:2249;height:2" coordorigin="7,7" coordsize="2249,0" path="m7,7l2256,7e" filled="false" stroked="true" strokeweight=".72003pt" strokecolor="#000000">
                <v:path arrowok="t"/>
              </v:shape>
            </v:group>
          </v:group>
        </w:pict>
      </w:r>
      <w:r>
        <w:rPr>
          <w:rFonts w:ascii="宋体"/>
          <w:spacing w:val="102"/>
          <w:sz w:val="2"/>
        </w:rPr>
      </w:r>
    </w:p>
    <w:p>
      <w:pPr>
        <w:spacing w:line="240" w:lineRule="auto" w:before="2"/>
        <w:rPr>
          <w:rFonts w:ascii="宋体" w:hAnsi="宋体" w:cs="宋体" w:eastAsia="宋体" w:hint="default"/>
          <w:sz w:val="17"/>
          <w:szCs w:val="17"/>
        </w:rPr>
      </w:pPr>
    </w:p>
    <w:p>
      <w:pPr>
        <w:pStyle w:val="BodyText"/>
        <w:tabs>
          <w:tab w:pos="5901" w:val="left" w:leader="none"/>
          <w:tab w:pos="8316" w:val="left" w:leader="none"/>
        </w:tabs>
        <w:spacing w:line="240" w:lineRule="auto" w:before="27"/>
        <w:ind w:left="746" w:right="0"/>
        <w:jc w:val="left"/>
        <w:rPr>
          <w:rFonts w:ascii="Arial" w:hAnsi="Arial" w:cs="Arial" w:eastAsia="Arial" w:hint="default"/>
        </w:rPr>
      </w:pPr>
      <w:r>
        <w:rPr>
          <w:w w:val="95"/>
          <w:position w:val="2"/>
        </w:rPr>
        <w:t>应收股利</w:t>
        <w:tab/>
      </w:r>
      <w:r>
        <w:rPr>
          <w:rFonts w:ascii="Arial" w:hAnsi="Arial" w:cs="Arial" w:eastAsia="Arial" w:hint="default"/>
          <w:w w:val="95"/>
        </w:rPr>
        <w:t>479,119,262</w:t>
        <w:tab/>
      </w:r>
      <w:r>
        <w:rPr>
          <w:rFonts w:ascii="Arial" w:hAnsi="Arial" w:cs="Arial" w:eastAsia="Arial" w:hint="default"/>
        </w:rPr>
        <w:t>423,498,119</w:t>
      </w:r>
    </w:p>
    <w:p>
      <w:pPr>
        <w:spacing w:line="43" w:lineRule="exact"/>
        <w:ind w:left="4890" w:right="0" w:firstLine="0"/>
        <w:rPr>
          <w:rFonts w:ascii="Arial" w:hAnsi="Arial" w:cs="Arial" w:eastAsia="Arial" w:hint="default"/>
          <w:sz w:val="4"/>
          <w:szCs w:val="4"/>
        </w:rPr>
      </w:pPr>
      <w:r>
        <w:rPr>
          <w:rFonts w:ascii="Arial"/>
          <w:position w:val="0"/>
          <w:sz w:val="4"/>
        </w:rPr>
        <w:pict>
          <v:group style="width:116pt;height:2.2pt;mso-position-horizontal-relative:char;mso-position-vertical-relative:line" coordorigin="0,0" coordsize="2320,44">
            <v:group style="position:absolute;left:7;top:36;width:2306;height:2" coordorigin="7,36" coordsize="2306,2">
              <v:shape style="position:absolute;left:7;top:36;width:2306;height:2" coordorigin="7,36" coordsize="2306,0" path="m7,36l2312,36e" filled="false" stroked="true" strokeweight=".71997pt" strokecolor="#000000">
                <v:path arrowok="t"/>
              </v:shape>
            </v:group>
            <v:group style="position:absolute;left:7;top:7;width:2306;height:2" coordorigin="7,7" coordsize="2306,2">
              <v:shape style="position:absolute;left:7;top:7;width:2306;height:2" coordorigin="7,7" coordsize="2306,0" path="m7,7l2312,7e" filled="false" stroked="true" strokeweight=".72003pt" strokecolor="#000000">
                <v:path arrowok="t"/>
              </v:shape>
            </v:group>
          </v:group>
        </w:pict>
      </w:r>
      <w:r>
        <w:rPr>
          <w:rFonts w:ascii="Arial"/>
          <w:position w:val="0"/>
          <w:sz w:val="4"/>
        </w:rPr>
      </w:r>
      <w:r>
        <w:rPr>
          <w:rFonts w:ascii="Times New Roman"/>
          <w:spacing w:val="80"/>
          <w:position w:val="0"/>
          <w:sz w:val="4"/>
        </w:rPr>
        <w:t> </w:t>
      </w:r>
      <w:r>
        <w:rPr>
          <w:rFonts w:ascii="Arial"/>
          <w:spacing w:val="80"/>
          <w:position w:val="0"/>
          <w:sz w:val="4"/>
        </w:rPr>
        <w:pict>
          <v:group style="width:113.9pt;height:2.2pt;mso-position-horizontal-relative:char;mso-position-vertical-relative:line" coordorigin="0,0" coordsize="2278,44">
            <v:group style="position:absolute;left:7;top:36;width:2264;height:2" coordorigin="7,36" coordsize="2264,2">
              <v:shape style="position:absolute;left:7;top:36;width:2264;height:2" coordorigin="7,36" coordsize="2264,0" path="m7,36l2270,36e" filled="false" stroked="true" strokeweight=".71997pt" strokecolor="#000000">
                <v:path arrowok="t"/>
              </v:shape>
            </v:group>
            <v:group style="position:absolute;left:7;top:7;width:2264;height:2" coordorigin="7,7" coordsize="2264,2">
              <v:shape style="position:absolute;left:7;top:7;width:2264;height:2" coordorigin="7,7" coordsize="2264,0" path="m7,7l2270,7e" filled="false" stroked="true" strokeweight=".72003pt" strokecolor="#000000">
                <v:path arrowok="t"/>
              </v:shape>
            </v:group>
          </v:group>
        </w:pict>
      </w:r>
      <w:r>
        <w:rPr>
          <w:rFonts w:ascii="Arial"/>
          <w:spacing w:val="80"/>
          <w:position w:val="0"/>
          <w:sz w:val="4"/>
        </w:rPr>
      </w:r>
    </w:p>
    <w:p>
      <w:pPr>
        <w:spacing w:line="240" w:lineRule="auto" w:before="5"/>
        <w:rPr>
          <w:rFonts w:ascii="Arial" w:hAnsi="Arial" w:cs="Arial" w:eastAsia="Arial" w:hint="default"/>
          <w:sz w:val="16"/>
          <w:szCs w:val="16"/>
        </w:rPr>
      </w:pPr>
    </w:p>
    <w:p>
      <w:pPr>
        <w:pStyle w:val="BodyText"/>
        <w:spacing w:line="286" w:lineRule="exact" w:before="60"/>
        <w:ind w:left="774" w:right="109"/>
        <w:jc w:val="both"/>
      </w:pPr>
      <w:r>
        <w:rPr/>
        <w:t>于</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日的应收股利余额中有人民币</w:t>
      </w:r>
      <w:r>
        <w:rPr>
          <w:spacing w:val="-57"/>
        </w:rPr>
        <w:t> </w:t>
      </w:r>
      <w:r>
        <w:rPr>
          <w:rFonts w:ascii="Arial" w:hAnsi="Arial" w:cs="Arial" w:eastAsia="Arial" w:hint="default"/>
        </w:rPr>
        <w:t>4.23</w:t>
      </w:r>
      <w:r>
        <w:rPr>
          <w:rFonts w:ascii="Arial" w:hAnsi="Arial" w:cs="Arial" w:eastAsia="Arial" w:hint="default"/>
          <w:spacing w:val="-8"/>
        </w:rPr>
        <w:t> </w:t>
      </w:r>
      <w:r>
        <w:rPr/>
        <w:t>亿元为</w:t>
      </w:r>
      <w:r>
        <w:rPr>
          <w:spacing w:val="-57"/>
        </w:rPr>
        <w:t> </w:t>
      </w:r>
      <w:r>
        <w:rPr>
          <w:rFonts w:ascii="Arial" w:hAnsi="Arial" w:cs="Arial" w:eastAsia="Arial" w:hint="default"/>
        </w:rPr>
        <w:t>1</w:t>
      </w:r>
      <w:r>
        <w:rPr>
          <w:rFonts w:ascii="Arial" w:hAnsi="Arial" w:cs="Arial" w:eastAsia="Arial" w:hint="default"/>
          <w:spacing w:val="-8"/>
        </w:rPr>
        <w:t> </w:t>
      </w:r>
      <w:r>
        <w:rPr/>
        <w:t>年以上应收股利，为本公司</w:t>
      </w:r>
      <w:r>
        <w:rPr>
          <w:w w:val="99"/>
        </w:rPr>
        <w:t> 的子公司联通</w:t>
      </w:r>
      <w:r>
        <w:rPr>
          <w:spacing w:val="-51"/>
          <w:w w:val="99"/>
        </w:rPr>
        <w:t> </w:t>
      </w:r>
      <w:r>
        <w:rPr>
          <w:rFonts w:ascii="Arial" w:hAnsi="Arial" w:cs="Arial" w:eastAsia="Arial" w:hint="default"/>
          <w:spacing w:val="-1"/>
          <w:w w:val="99"/>
        </w:rPr>
        <w:t>BVI</w:t>
      </w:r>
      <w:r>
        <w:rPr>
          <w:rFonts w:ascii="Arial" w:hAnsi="Arial" w:cs="Arial" w:eastAsia="Arial" w:hint="default"/>
          <w:spacing w:val="-2"/>
          <w:w w:val="99"/>
        </w:rPr>
        <w:t> </w:t>
      </w:r>
      <w:r>
        <w:rPr>
          <w:w w:val="99"/>
        </w:rPr>
        <w:t>公司未支付的</w:t>
      </w:r>
      <w:r>
        <w:rPr>
          <w:spacing w:val="-51"/>
          <w:w w:val="99"/>
        </w:rPr>
        <w:t> </w:t>
      </w:r>
      <w:r>
        <w:rPr>
          <w:rFonts w:ascii="Arial" w:hAnsi="Arial" w:cs="Arial" w:eastAsia="Arial" w:hint="default"/>
          <w:w w:val="99"/>
        </w:rPr>
        <w:t>2010</w:t>
      </w:r>
      <w:r>
        <w:rPr>
          <w:rFonts w:ascii="Arial" w:hAnsi="Arial" w:cs="Arial" w:eastAsia="Arial" w:hint="default"/>
          <w:spacing w:val="-2"/>
          <w:w w:val="99"/>
        </w:rPr>
        <w:t> </w:t>
      </w:r>
      <w:r>
        <w:rPr>
          <w:spacing w:val="-4"/>
          <w:w w:val="99"/>
        </w:rPr>
        <w:t>年度及以前年度现金股利。本公司认为该等应收股利并</w:t>
      </w:r>
      <w:r>
        <w:rPr>
          <w:w w:val="99"/>
        </w:rPr>
        <w:t> </w:t>
      </w:r>
      <w:r>
        <w:rPr/>
        <w:t>无回收风险。</w:t>
      </w:r>
    </w:p>
    <w:p>
      <w:pPr>
        <w:spacing w:line="240" w:lineRule="auto" w:before="1"/>
        <w:rPr>
          <w:rFonts w:ascii="宋体" w:hAnsi="宋体" w:cs="宋体" w:eastAsia="宋体" w:hint="default"/>
          <w:sz w:val="17"/>
          <w:szCs w:val="17"/>
        </w:rPr>
      </w:pPr>
    </w:p>
    <w:p>
      <w:pPr>
        <w:pStyle w:val="BodyText"/>
        <w:tabs>
          <w:tab w:pos="732" w:val="left" w:leader="none"/>
        </w:tabs>
        <w:spacing w:line="240" w:lineRule="auto"/>
        <w:ind w:left="113" w:right="0"/>
        <w:jc w:val="left"/>
      </w:pPr>
      <w:r>
        <w:rPr>
          <w:rFonts w:ascii="Arial" w:hAnsi="Arial" w:cs="Arial" w:eastAsia="Arial" w:hint="default"/>
          <w:w w:val="95"/>
        </w:rPr>
        <w:t>3</w:t>
      </w:r>
      <w:r>
        <w:rPr>
          <w:w w:val="95"/>
        </w:rPr>
        <w:t>、</w:t>
        <w:tab/>
      </w:r>
      <w:r>
        <w:rPr/>
        <w:t>长期股权投资</w:t>
      </w:r>
    </w:p>
    <w:p>
      <w:pPr>
        <w:spacing w:line="240" w:lineRule="auto" w:before="2"/>
        <w:rPr>
          <w:rFonts w:ascii="宋体" w:hAnsi="宋体" w:cs="宋体" w:eastAsia="宋体" w:hint="default"/>
          <w:sz w:val="19"/>
          <w:szCs w:val="19"/>
        </w:rPr>
      </w:pPr>
    </w:p>
    <w:p>
      <w:pPr>
        <w:pStyle w:val="BodyText"/>
        <w:spacing w:line="225" w:lineRule="auto"/>
        <w:ind w:left="760" w:right="169" w:hanging="1"/>
        <w:jc w:val="both"/>
      </w:pPr>
      <w:r>
        <w:rPr/>
        <w:t>本公司的长期股权投资为持有联通</w:t>
      </w:r>
      <w:r>
        <w:rPr>
          <w:spacing w:val="-57"/>
        </w:rPr>
        <w:t> </w:t>
      </w:r>
      <w:r>
        <w:rPr>
          <w:rFonts w:ascii="Arial" w:hAnsi="Arial" w:cs="Arial" w:eastAsia="Arial" w:hint="default"/>
        </w:rPr>
        <w:t>BVI</w:t>
      </w:r>
      <w:r>
        <w:rPr>
          <w:rFonts w:ascii="Arial" w:hAnsi="Arial" w:cs="Arial" w:eastAsia="Arial" w:hint="default"/>
          <w:spacing w:val="-9"/>
        </w:rPr>
        <w:t> </w:t>
      </w:r>
      <w:r>
        <w:rPr/>
        <w:t>公司的股权投资，本公司再通过联通</w:t>
      </w:r>
      <w:r>
        <w:rPr>
          <w:spacing w:val="-58"/>
        </w:rPr>
        <w:t> </w:t>
      </w:r>
      <w:r>
        <w:rPr>
          <w:rFonts w:ascii="Arial" w:hAnsi="Arial" w:cs="Arial" w:eastAsia="Arial" w:hint="default"/>
        </w:rPr>
        <w:t>BVI</w:t>
      </w:r>
      <w:r>
        <w:rPr>
          <w:rFonts w:ascii="Arial" w:hAnsi="Arial" w:cs="Arial" w:eastAsia="Arial" w:hint="default"/>
          <w:spacing w:val="-8"/>
        </w:rPr>
        <w:t> </w:t>
      </w:r>
      <w:r>
        <w:rPr/>
        <w:t>公司间接拥</w:t>
      </w:r>
      <w:r>
        <w:rPr>
          <w:w w:val="99"/>
        </w:rPr>
        <w:t> </w:t>
      </w:r>
      <w:r>
        <w:rPr/>
        <w:t>有对联通红筹公司及其子公司的投资。于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日，本公司对联通</w:t>
      </w:r>
      <w:r>
        <w:rPr>
          <w:spacing w:val="-56"/>
        </w:rPr>
        <w:t> </w:t>
      </w:r>
      <w:r>
        <w:rPr>
          <w:rFonts w:ascii="Arial" w:hAnsi="Arial" w:cs="Arial" w:eastAsia="Arial" w:hint="default"/>
        </w:rPr>
        <w:t>BVI</w:t>
      </w:r>
      <w:r>
        <w:rPr>
          <w:rFonts w:ascii="Arial" w:hAnsi="Arial" w:cs="Arial" w:eastAsia="Arial" w:hint="default"/>
          <w:spacing w:val="-7"/>
        </w:rPr>
        <w:t> </w:t>
      </w:r>
      <w:r>
        <w:rPr/>
        <w:t>公司的长</w:t>
      </w:r>
      <w:r>
        <w:rPr>
          <w:w w:val="99"/>
        </w:rPr>
        <w:t> </w:t>
      </w:r>
      <w:r>
        <w:rPr/>
        <w:t>期股权投资明细如下：</w:t>
      </w:r>
    </w:p>
    <w:p>
      <w:pPr>
        <w:spacing w:line="240" w:lineRule="auto" w:before="4"/>
        <w:rPr>
          <w:rFonts w:ascii="宋体" w:hAnsi="宋体" w:cs="宋体" w:eastAsia="宋体" w:hint="default"/>
          <w:sz w:val="19"/>
          <w:szCs w:val="19"/>
        </w:rPr>
      </w:pPr>
    </w:p>
    <w:p>
      <w:pPr>
        <w:pStyle w:val="BodyText"/>
        <w:tabs>
          <w:tab w:pos="4189" w:val="left" w:leader="none"/>
        </w:tabs>
        <w:spacing w:line="240" w:lineRule="auto"/>
        <w:ind w:left="2488" w:right="0"/>
        <w:jc w:val="left"/>
      </w:pPr>
      <w:r>
        <w:rPr>
          <w:w w:val="95"/>
        </w:rPr>
        <w:t>初始投资成本</w:t>
        <w:tab/>
      </w:r>
      <w:r>
        <w:rPr>
          <w:rFonts w:ascii="Arial" w:hAnsi="Arial" w:cs="Arial" w:eastAsia="Arial" w:hint="default"/>
        </w:rPr>
        <w:t>2010</w:t>
      </w:r>
      <w:r>
        <w:rPr>
          <w:rFonts w:ascii="Arial" w:hAnsi="Arial" w:cs="Arial" w:eastAsia="Arial" w:hint="default"/>
          <w:spacing w:val="-18"/>
        </w:rPr>
        <w:t> </w:t>
      </w:r>
      <w:r>
        <w:rPr/>
        <w:t>年</w:t>
      </w:r>
      <w:r>
        <w:rPr>
          <w:spacing w:val="-67"/>
        </w:rPr>
        <w:t> </w:t>
      </w:r>
      <w:r>
        <w:rPr>
          <w:rFonts w:ascii="Arial" w:hAnsi="Arial" w:cs="Arial" w:eastAsia="Arial" w:hint="default"/>
        </w:rPr>
        <w:t>12</w:t>
      </w:r>
      <w:r>
        <w:rPr>
          <w:rFonts w:ascii="Arial" w:hAnsi="Arial" w:cs="Arial" w:eastAsia="Arial" w:hint="default"/>
          <w:spacing w:val="-18"/>
        </w:rPr>
        <w:t> </w:t>
      </w:r>
      <w:r>
        <w:rPr/>
        <w:t>月</w:t>
      </w:r>
      <w:r>
        <w:rPr>
          <w:spacing w:val="-67"/>
        </w:rPr>
        <w:t> </w:t>
      </w:r>
      <w:r>
        <w:rPr>
          <w:rFonts w:ascii="Arial" w:hAnsi="Arial" w:cs="Arial" w:eastAsia="Arial" w:hint="default"/>
        </w:rPr>
        <w:t>31</w:t>
      </w:r>
      <w:r>
        <w:rPr>
          <w:rFonts w:ascii="Arial" w:hAnsi="Arial" w:cs="Arial" w:eastAsia="Arial" w:hint="default"/>
          <w:spacing w:val="-18"/>
        </w:rPr>
        <w:t> </w:t>
      </w:r>
      <w:r>
        <w:rPr/>
        <w:t>日</w:t>
      </w:r>
      <w:r>
        <w:rPr>
          <w:spacing w:val="71"/>
        </w:rPr>
        <w:t> </w:t>
      </w:r>
      <w:r>
        <w:rPr/>
        <w:t>本年增减变动</w:t>
      </w:r>
      <w:r>
        <w:rPr>
          <w:spacing w:val="29"/>
        </w:rPr>
        <w:t> </w:t>
      </w:r>
      <w:r>
        <w:rPr>
          <w:rFonts w:ascii="Arial" w:hAnsi="Arial" w:cs="Arial" w:eastAsia="Arial" w:hint="default"/>
        </w:rPr>
        <w:t>2011</w:t>
      </w:r>
      <w:r>
        <w:rPr>
          <w:rFonts w:ascii="Arial" w:hAnsi="Arial" w:cs="Arial" w:eastAsia="Arial" w:hint="default"/>
          <w:spacing w:val="-21"/>
        </w:rPr>
        <w:t> </w:t>
      </w:r>
      <w:r>
        <w:rPr/>
        <w:t>年</w:t>
      </w:r>
      <w:r>
        <w:rPr>
          <w:spacing w:val="-71"/>
        </w:rPr>
        <w:t> </w:t>
      </w:r>
      <w:r>
        <w:rPr>
          <w:rFonts w:ascii="Arial" w:hAnsi="Arial" w:cs="Arial" w:eastAsia="Arial" w:hint="default"/>
        </w:rPr>
        <w:t>12</w:t>
      </w:r>
      <w:r>
        <w:rPr>
          <w:rFonts w:ascii="Arial" w:hAnsi="Arial" w:cs="Arial" w:eastAsia="Arial" w:hint="default"/>
          <w:spacing w:val="-20"/>
        </w:rPr>
        <w:t> </w:t>
      </w:r>
      <w:r>
        <w:rPr/>
        <w:t>月</w:t>
      </w:r>
      <w:r>
        <w:rPr>
          <w:spacing w:val="-71"/>
        </w:rPr>
        <w:t> </w:t>
      </w:r>
      <w:r>
        <w:rPr>
          <w:rFonts w:ascii="Arial" w:hAnsi="Arial" w:cs="Arial" w:eastAsia="Arial" w:hint="default"/>
        </w:rPr>
        <w:t>31</w:t>
      </w:r>
      <w:r>
        <w:rPr>
          <w:rFonts w:ascii="Arial" w:hAnsi="Arial" w:cs="Arial" w:eastAsia="Arial" w:hint="default"/>
          <w:spacing w:val="-21"/>
        </w:rPr>
        <w:t> </w:t>
      </w:r>
      <w:r>
        <w:rPr/>
        <w:t>日</w:t>
      </w:r>
    </w:p>
    <w:p>
      <w:pPr>
        <w:spacing w:line="20" w:lineRule="exact"/>
        <w:ind w:left="2264" w:right="0" w:firstLine="0"/>
        <w:rPr>
          <w:rFonts w:ascii="宋体" w:hAnsi="宋体" w:cs="宋体" w:eastAsia="宋体" w:hint="default"/>
          <w:sz w:val="2"/>
          <w:szCs w:val="2"/>
        </w:rPr>
      </w:pPr>
      <w:r>
        <w:rPr>
          <w:rFonts w:ascii="宋体"/>
          <w:sz w:val="2"/>
        </w:rPr>
        <w:pict>
          <v:group style="width:88.3pt;height:.75pt;mso-position-horizontal-relative:char;mso-position-vertical-relative:line" coordorigin="0,0" coordsize="1766,15">
            <v:group style="position:absolute;left:7;top:7;width:1751;height:2" coordorigin="7,7" coordsize="1751,2">
              <v:shape style="position:absolute;left:7;top:7;width:1751;height:2" coordorigin="7,7" coordsize="1751,0" path="m7,7l1758,7e" filled="false" stroked="true" strokeweight=".71997pt" strokecolor="#000000">
                <v:path arrowok="t"/>
              </v:shape>
            </v:group>
          </v:group>
        </w:pict>
      </w:r>
      <w:r>
        <w:rPr>
          <w:rFonts w:ascii="宋体"/>
          <w:sz w:val="2"/>
        </w:rPr>
      </w:r>
      <w:r>
        <w:rPr>
          <w:rFonts w:ascii="Times New Roman"/>
          <w:spacing w:val="68"/>
          <w:sz w:val="2"/>
        </w:rPr>
        <w:t> </w:t>
      </w:r>
      <w:r>
        <w:rPr>
          <w:rFonts w:ascii="宋体"/>
          <w:spacing w:val="68"/>
          <w:sz w:val="2"/>
        </w:rPr>
        <w:pict>
          <v:group style="width:99.45pt;height:.75pt;mso-position-horizontal-relative:char;mso-position-vertical-relative:line" coordorigin="0,0" coordsize="1989,15">
            <v:group style="position:absolute;left:7;top:7;width:1974;height:2" coordorigin="7,7" coordsize="1974,2">
              <v:shape style="position:absolute;left:7;top:7;width:1974;height:2" coordorigin="7,7" coordsize="1974,0" path="m7,7l1981,7e" filled="false" stroked="true" strokeweight=".71997pt" strokecolor="#000000">
                <v:path arrowok="t"/>
              </v:shape>
            </v:group>
          </v:group>
        </w:pict>
      </w:r>
      <w:r>
        <w:rPr>
          <w:rFonts w:ascii="宋体"/>
          <w:spacing w:val="68"/>
          <w:sz w:val="2"/>
        </w:rPr>
      </w:r>
      <w:r>
        <w:rPr>
          <w:rFonts w:ascii="Times New Roman"/>
          <w:spacing w:val="74"/>
          <w:sz w:val="2"/>
        </w:rPr>
        <w:t> </w:t>
      </w:r>
      <w:r>
        <w:rPr>
          <w:rFonts w:ascii="宋体"/>
          <w:spacing w:val="74"/>
          <w:sz w:val="2"/>
        </w:rPr>
        <w:pict>
          <v:group style="width:71.8pt;height:.75pt;mso-position-horizontal-relative:char;mso-position-vertical-relative:line" coordorigin="0,0" coordsize="1436,15">
            <v:group style="position:absolute;left:7;top:7;width:1421;height:2" coordorigin="7,7" coordsize="1421,2">
              <v:shape style="position:absolute;left:7;top:7;width:1421;height:2" coordorigin="7,7" coordsize="1421,0" path="m7,7l1428,7e" filled="false" stroked="true" strokeweight=".72pt" strokecolor="#000000">
                <v:path arrowok="t"/>
              </v:shape>
            </v:group>
          </v:group>
        </w:pict>
      </w:r>
      <w:r>
        <w:rPr>
          <w:rFonts w:ascii="宋体"/>
          <w:spacing w:val="74"/>
          <w:sz w:val="2"/>
        </w:rPr>
      </w:r>
      <w:r>
        <w:rPr>
          <w:rFonts w:ascii="Times New Roman"/>
          <w:spacing w:val="68"/>
          <w:sz w:val="2"/>
        </w:rPr>
        <w:t> </w:t>
      </w:r>
      <w:r>
        <w:rPr>
          <w:rFonts w:ascii="宋体"/>
          <w:spacing w:val="68"/>
          <w:sz w:val="2"/>
        </w:rPr>
        <w:pict>
          <v:group style="width:94.7pt;height:.75pt;mso-position-horizontal-relative:char;mso-position-vertical-relative:line" coordorigin="0,0" coordsize="1894,15">
            <v:group style="position:absolute;left:7;top:7;width:1880;height:2" coordorigin="7,7" coordsize="1880,2">
              <v:shape style="position:absolute;left:7;top:7;width:1880;height:2" coordorigin="7,7" coordsize="1880,0" path="m7,7l1886,7e" filled="false" stroked="true" strokeweight=".71997pt" strokecolor="#000000">
                <v:path arrowok="t"/>
              </v:shape>
            </v:group>
          </v:group>
        </w:pict>
      </w:r>
      <w:r>
        <w:rPr>
          <w:rFonts w:ascii="宋体"/>
          <w:spacing w:val="68"/>
          <w:sz w:val="2"/>
        </w:rPr>
      </w:r>
    </w:p>
    <w:p>
      <w:pPr>
        <w:spacing w:line="240" w:lineRule="auto" w:before="2"/>
        <w:rPr>
          <w:rFonts w:ascii="宋体" w:hAnsi="宋体" w:cs="宋体" w:eastAsia="宋体" w:hint="default"/>
          <w:sz w:val="15"/>
          <w:szCs w:val="15"/>
        </w:rPr>
      </w:pPr>
    </w:p>
    <w:p>
      <w:pPr>
        <w:pStyle w:val="BodyText"/>
        <w:tabs>
          <w:tab w:pos="2367" w:val="left" w:leader="none"/>
          <w:tab w:pos="4509" w:val="left" w:leader="none"/>
          <w:tab w:pos="7386" w:val="left" w:leader="none"/>
          <w:tab w:pos="7947" w:val="left" w:leader="none"/>
        </w:tabs>
        <w:spacing w:line="240" w:lineRule="auto" w:before="27"/>
        <w:ind w:left="774" w:right="0"/>
        <w:jc w:val="left"/>
        <w:rPr>
          <w:rFonts w:ascii="Arial" w:hAnsi="Arial" w:cs="Arial" w:eastAsia="Arial" w:hint="default"/>
        </w:rPr>
      </w:pPr>
      <w:r>
        <w:rPr>
          <w:position w:val="2"/>
        </w:rPr>
        <w:t>联通</w:t>
      </w:r>
      <w:r>
        <w:rPr>
          <w:spacing w:val="-56"/>
          <w:position w:val="2"/>
        </w:rPr>
        <w:t> </w:t>
      </w:r>
      <w:r>
        <w:rPr>
          <w:rFonts w:ascii="Arial" w:hAnsi="Arial" w:cs="Arial" w:eastAsia="Arial" w:hint="default"/>
          <w:spacing w:val="-1"/>
          <w:position w:val="2"/>
        </w:rPr>
        <w:t>BVI</w:t>
      </w:r>
      <w:r>
        <w:rPr>
          <w:rFonts w:ascii="Arial" w:hAnsi="Arial" w:cs="Arial" w:eastAsia="Arial" w:hint="default"/>
          <w:spacing w:val="-7"/>
          <w:position w:val="2"/>
        </w:rPr>
        <w:t> </w:t>
      </w:r>
      <w:r>
        <w:rPr>
          <w:position w:val="2"/>
        </w:rPr>
        <w:t>公司</w:t>
        <w:tab/>
      </w:r>
      <w:r>
        <w:rPr>
          <w:rFonts w:ascii="Arial" w:hAnsi="Arial" w:cs="Arial" w:eastAsia="Arial" w:hint="default"/>
          <w:spacing w:val="-1"/>
        </w:rPr>
        <w:t>38,538,133,791</w:t>
        <w:tab/>
        <w:t>38,538,133,791</w:t>
        <w:tab/>
      </w:r>
      <w:r>
        <w:rPr>
          <w:rFonts w:ascii="Arial" w:hAnsi="Arial" w:cs="Arial" w:eastAsia="Arial" w:hint="default"/>
          <w:w w:val="95"/>
        </w:rPr>
        <w:t>-</w:t>
        <w:tab/>
      </w:r>
      <w:r>
        <w:rPr>
          <w:rFonts w:ascii="Arial" w:hAnsi="Arial" w:cs="Arial" w:eastAsia="Arial" w:hint="default"/>
          <w:spacing w:val="-1"/>
        </w:rPr>
        <w:t>38,538,133,791</w:t>
      </w:r>
    </w:p>
    <w:p>
      <w:pPr>
        <w:spacing w:line="43" w:lineRule="exact"/>
        <w:ind w:left="2250" w:right="0" w:firstLine="0"/>
        <w:rPr>
          <w:rFonts w:ascii="Arial" w:hAnsi="Arial" w:cs="Arial" w:eastAsia="Arial" w:hint="default"/>
          <w:sz w:val="4"/>
          <w:szCs w:val="4"/>
        </w:rPr>
      </w:pPr>
      <w:r>
        <w:rPr>
          <w:rFonts w:ascii="Arial"/>
          <w:position w:val="0"/>
          <w:sz w:val="4"/>
        </w:rPr>
        <w:pict>
          <v:group style="width:192.25pt;height:2.2pt;mso-position-horizontal-relative:char;mso-position-vertical-relative:line" coordorigin="0,0" coordsize="3845,44">
            <v:group style="position:absolute;left:7;top:36;width:1766;height:2" coordorigin="7,36" coordsize="1766,2">
              <v:shape style="position:absolute;left:7;top:36;width:1766;height:2" coordorigin="7,36" coordsize="1766,0" path="m7,36l1772,36e" filled="false" stroked="true" strokeweight=".72pt" strokecolor="#000000">
                <v:path arrowok="t"/>
              </v:shape>
            </v:group>
            <v:group style="position:absolute;left:7;top:7;width:1766;height:2" coordorigin="7,7" coordsize="1766,2">
              <v:shape style="position:absolute;left:7;top:7;width:1766;height:2" coordorigin="7,7" coordsize="1766,0" path="m7,7l1772,7e" filled="false" stroked="true" strokeweight=".72pt" strokecolor="#000000">
                <v:path arrowok="t"/>
              </v:shape>
            </v:group>
            <v:group style="position:absolute;left:1849;top:36;width:1989;height:2" coordorigin="1849,36" coordsize="1989,2">
              <v:shape style="position:absolute;left:1849;top:36;width:1989;height:2" coordorigin="1849,36" coordsize="1989,0" path="m1849,36l3838,36e" filled="false" stroked="true" strokeweight=".72pt" strokecolor="#000000">
                <v:path arrowok="t"/>
              </v:shape>
            </v:group>
            <v:group style="position:absolute;left:1849;top:7;width:1989;height:2" coordorigin="1849,7" coordsize="1989,2">
              <v:shape style="position:absolute;left:1849;top:7;width:1989;height:2" coordorigin="1849,7" coordsize="1989,0" path="m1849,7l3838,7e" filled="false" stroked="true" strokeweight=".72pt" strokecolor="#000000">
                <v:path arrowok="t"/>
              </v:shape>
            </v:group>
          </v:group>
        </w:pict>
      </w:r>
      <w:r>
        <w:rPr>
          <w:rFonts w:ascii="Arial"/>
          <w:position w:val="0"/>
          <w:sz w:val="4"/>
        </w:rPr>
      </w:r>
      <w:r>
        <w:rPr>
          <w:rFonts w:ascii="Times New Roman"/>
          <w:spacing w:val="53"/>
          <w:position w:val="0"/>
          <w:sz w:val="4"/>
        </w:rPr>
        <w:t> </w:t>
      </w:r>
      <w:r>
        <w:rPr>
          <w:rFonts w:ascii="Arial"/>
          <w:spacing w:val="53"/>
          <w:position w:val="0"/>
          <w:sz w:val="4"/>
        </w:rPr>
        <w:pict>
          <v:group style="width:171pt;height:2.2pt;mso-position-horizontal-relative:char;mso-position-vertical-relative:line" coordorigin="0,0" coordsize="3420,44">
            <v:group style="position:absolute;left:7;top:36;width:1436;height:2" coordorigin="7,36" coordsize="1436,2">
              <v:shape style="position:absolute;left:7;top:36;width:1436;height:2" coordorigin="7,36" coordsize="1436,0" path="m7,36l1442,36e" filled="false" stroked="true" strokeweight=".72pt" strokecolor="#000000">
                <v:path arrowok="t"/>
              </v:shape>
            </v:group>
            <v:group style="position:absolute;left:7;top:7;width:1436;height:2" coordorigin="7,7" coordsize="1436,2">
              <v:shape style="position:absolute;left:7;top:7;width:1436;height:2" coordorigin="7,7" coordsize="1436,0" path="m7,7l1442,7e" filled="false" stroked="true" strokeweight=".72pt" strokecolor="#000000">
                <v:path arrowok="t"/>
              </v:shape>
            </v:group>
            <v:group style="position:absolute;left:1519;top:36;width:1894;height:2" coordorigin="1519,36" coordsize="1894,2">
              <v:shape style="position:absolute;left:1519;top:36;width:1894;height:2" coordorigin="1519,36" coordsize="1894,0" path="m1519,36l3413,36e" filled="false" stroked="true" strokeweight=".72pt" strokecolor="#000000">
                <v:path arrowok="t"/>
              </v:shape>
            </v:group>
            <v:group style="position:absolute;left:1519;top:7;width:1894;height:2" coordorigin="1519,7" coordsize="1894,2">
              <v:shape style="position:absolute;left:1519;top:7;width:1894;height:2" coordorigin="1519,7" coordsize="1894,0" path="m1519,7l3413,7e" filled="false" stroked="true" strokeweight=".72pt" strokecolor="#000000">
                <v:path arrowok="t"/>
              </v:shape>
            </v:group>
          </v:group>
        </w:pict>
      </w:r>
      <w:r>
        <w:rPr>
          <w:rFonts w:ascii="Arial"/>
          <w:spacing w:val="53"/>
          <w:position w:val="0"/>
          <w:sz w:val="4"/>
        </w:rPr>
      </w:r>
    </w:p>
    <w:p>
      <w:pPr>
        <w:spacing w:line="240" w:lineRule="auto" w:before="3"/>
        <w:rPr>
          <w:rFonts w:ascii="Arial" w:hAnsi="Arial" w:cs="Arial" w:eastAsia="Arial" w:hint="default"/>
          <w:sz w:val="16"/>
          <w:szCs w:val="16"/>
        </w:rPr>
      </w:pPr>
    </w:p>
    <w:p>
      <w:pPr>
        <w:spacing w:after="0" w:line="240" w:lineRule="auto"/>
        <w:rPr>
          <w:rFonts w:ascii="Arial" w:hAnsi="Arial" w:cs="Arial" w:eastAsia="Arial" w:hint="default"/>
          <w:sz w:val="16"/>
          <w:szCs w:val="16"/>
        </w:rPr>
        <w:sectPr>
          <w:headerReference w:type="default" r:id="rId149"/>
          <w:pgSz w:w="11900" w:h="16840"/>
          <w:pgMar w:header="1184" w:footer="752" w:top="3040" w:bottom="940" w:left="1280" w:right="840"/>
        </w:sectPr>
      </w:pPr>
    </w:p>
    <w:p>
      <w:pPr>
        <w:spacing w:line="240" w:lineRule="auto" w:before="10"/>
        <w:rPr>
          <w:rFonts w:ascii="Arial" w:hAnsi="Arial" w:cs="Arial" w:eastAsia="Arial" w:hint="default"/>
          <w:sz w:val="25"/>
          <w:szCs w:val="25"/>
        </w:rPr>
      </w:pPr>
    </w:p>
    <w:p>
      <w:pPr>
        <w:spacing w:before="0"/>
        <w:ind w:left="2237" w:right="-19" w:firstLine="0"/>
        <w:jc w:val="left"/>
        <w:rPr>
          <w:rFonts w:ascii="宋体" w:hAnsi="宋体" w:cs="宋体" w:eastAsia="宋体" w:hint="default"/>
          <w:sz w:val="20"/>
          <w:szCs w:val="20"/>
        </w:rPr>
      </w:pPr>
      <w:r>
        <w:rPr>
          <w:rFonts w:ascii="宋体" w:hAnsi="宋体" w:cs="宋体" w:eastAsia="宋体" w:hint="default"/>
          <w:position w:val="3"/>
          <w:sz w:val="20"/>
          <w:szCs w:val="20"/>
        </w:rPr>
        <w:t>核算</w:t>
      </w:r>
      <w:r>
        <w:rPr>
          <w:rFonts w:ascii="宋体" w:hAnsi="宋体" w:cs="宋体" w:eastAsia="宋体" w:hint="default"/>
          <w:spacing w:val="55"/>
          <w:position w:val="3"/>
          <w:sz w:val="20"/>
          <w:szCs w:val="20"/>
        </w:rPr>
        <w:t> </w:t>
      </w:r>
      <w:r>
        <w:rPr>
          <w:rFonts w:ascii="宋体" w:hAnsi="宋体" w:cs="宋体" w:eastAsia="宋体" w:hint="default"/>
          <w:sz w:val="20"/>
          <w:szCs w:val="20"/>
        </w:rPr>
        <w:t>持股比例</w:t>
      </w:r>
    </w:p>
    <w:p>
      <w:pPr>
        <w:spacing w:line="240" w:lineRule="auto" w:before="1"/>
        <w:rPr>
          <w:rFonts w:ascii="宋体" w:hAnsi="宋体" w:cs="宋体" w:eastAsia="宋体" w:hint="default"/>
          <w:sz w:val="25"/>
          <w:szCs w:val="25"/>
        </w:rPr>
      </w:pPr>
      <w:r>
        <w:rPr/>
        <w:br w:type="column"/>
      </w:r>
      <w:r>
        <w:rPr>
          <w:rFonts w:ascii="宋体"/>
          <w:sz w:val="25"/>
        </w:rPr>
      </w:r>
    </w:p>
    <w:p>
      <w:pPr>
        <w:spacing w:before="0"/>
        <w:ind w:left="74" w:right="-15" w:firstLine="0"/>
        <w:jc w:val="left"/>
        <w:rPr>
          <w:rFonts w:ascii="宋体" w:hAnsi="宋体" w:cs="宋体" w:eastAsia="宋体" w:hint="default"/>
          <w:sz w:val="20"/>
          <w:szCs w:val="20"/>
        </w:rPr>
      </w:pPr>
      <w:r>
        <w:rPr>
          <w:rFonts w:ascii="宋体" w:hAnsi="宋体" w:cs="宋体" w:eastAsia="宋体" w:hint="default"/>
          <w:spacing w:val="-1"/>
          <w:sz w:val="20"/>
          <w:szCs w:val="20"/>
        </w:rPr>
        <w:t>表决权比例</w:t>
      </w:r>
    </w:p>
    <w:p>
      <w:pPr>
        <w:spacing w:line="260" w:lineRule="exact" w:before="64"/>
        <w:ind w:left="102" w:right="-12"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持股比例与表</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
          <w:sz w:val="20"/>
          <w:szCs w:val="20"/>
        </w:rPr>
        <w:t>决权比例不一</w:t>
      </w:r>
    </w:p>
    <w:p>
      <w:pPr>
        <w:spacing w:line="240" w:lineRule="auto" w:before="10"/>
        <w:rPr>
          <w:rFonts w:ascii="宋体" w:hAnsi="宋体" w:cs="宋体" w:eastAsia="宋体" w:hint="default"/>
          <w:sz w:val="22"/>
          <w:szCs w:val="22"/>
        </w:rPr>
      </w:pPr>
      <w:r>
        <w:rPr/>
        <w:br w:type="column"/>
      </w:r>
      <w:r>
        <w:rPr>
          <w:rFonts w:ascii="宋体"/>
          <w:sz w:val="22"/>
        </w:rPr>
      </w:r>
    </w:p>
    <w:p>
      <w:pPr>
        <w:spacing w:before="0"/>
        <w:ind w:left="1135" w:right="-18" w:firstLine="0"/>
        <w:jc w:val="left"/>
        <w:rPr>
          <w:rFonts w:ascii="宋体" w:hAnsi="宋体" w:cs="宋体" w:eastAsia="宋体" w:hint="default"/>
          <w:sz w:val="20"/>
          <w:szCs w:val="20"/>
        </w:rPr>
      </w:pPr>
      <w:r>
        <w:rPr>
          <w:rFonts w:ascii="宋体" w:hAnsi="宋体" w:cs="宋体" w:eastAsia="宋体" w:hint="default"/>
          <w:sz w:val="20"/>
          <w:szCs w:val="20"/>
        </w:rPr>
        <w:t>本年计提</w:t>
      </w:r>
    </w:p>
    <w:p>
      <w:pPr>
        <w:spacing w:line="240" w:lineRule="auto" w:before="10"/>
        <w:rPr>
          <w:rFonts w:ascii="宋体" w:hAnsi="宋体" w:cs="宋体" w:eastAsia="宋体" w:hint="default"/>
          <w:sz w:val="22"/>
          <w:szCs w:val="22"/>
        </w:rPr>
      </w:pPr>
      <w:r>
        <w:rPr/>
        <w:br w:type="column"/>
      </w:r>
      <w:r>
        <w:rPr>
          <w:rFonts w:ascii="宋体"/>
          <w:sz w:val="22"/>
        </w:rPr>
      </w:r>
    </w:p>
    <w:p>
      <w:pPr>
        <w:spacing w:before="0"/>
        <w:ind w:left="84" w:right="0" w:firstLine="0"/>
        <w:jc w:val="left"/>
        <w:rPr>
          <w:rFonts w:ascii="宋体" w:hAnsi="宋体" w:cs="宋体" w:eastAsia="宋体" w:hint="default"/>
          <w:sz w:val="20"/>
          <w:szCs w:val="20"/>
        </w:rPr>
      </w:pPr>
      <w:r>
        <w:rPr>
          <w:rFonts w:ascii="宋体" w:hAnsi="宋体" w:cs="宋体" w:eastAsia="宋体" w:hint="default"/>
          <w:sz w:val="20"/>
          <w:szCs w:val="20"/>
        </w:rPr>
        <w:t>本年宣告分派的</w:t>
      </w:r>
    </w:p>
    <w:p>
      <w:pPr>
        <w:spacing w:after="0"/>
        <w:jc w:val="left"/>
        <w:rPr>
          <w:rFonts w:ascii="宋体" w:hAnsi="宋体" w:cs="宋体" w:eastAsia="宋体" w:hint="default"/>
          <w:sz w:val="20"/>
          <w:szCs w:val="20"/>
        </w:rPr>
        <w:sectPr>
          <w:type w:val="continuous"/>
          <w:pgSz w:w="11900" w:h="16840"/>
          <w:pgMar w:top="1600" w:bottom="280" w:left="1280" w:right="840"/>
          <w:cols w:num="5" w:equalWidth="0">
            <w:col w:w="3594" w:space="40"/>
            <w:col w:w="1075" w:space="40"/>
            <w:col w:w="1305" w:space="40"/>
            <w:col w:w="1938" w:space="40"/>
            <w:col w:w="1708"/>
          </w:cols>
        </w:sectPr>
      </w:pPr>
    </w:p>
    <w:p>
      <w:pPr>
        <w:tabs>
          <w:tab w:pos="3281" w:val="left" w:leader="none"/>
          <w:tab w:pos="4395" w:val="left" w:leader="none"/>
        </w:tabs>
        <w:spacing w:line="257" w:lineRule="exact" w:before="0"/>
        <w:ind w:left="2020" w:right="-16" w:firstLine="0"/>
        <w:jc w:val="left"/>
        <w:rPr>
          <w:rFonts w:ascii="Arial" w:hAnsi="Arial" w:cs="Arial" w:eastAsia="Arial" w:hint="default"/>
          <w:sz w:val="20"/>
          <w:szCs w:val="20"/>
        </w:rPr>
      </w:pPr>
      <w:r>
        <w:rPr>
          <w:rFonts w:ascii="Times New Roman" w:hAnsi="Times New Roman" w:cs="Times New Roman" w:eastAsia="Times New Roman" w:hint="default"/>
          <w:w w:val="100"/>
          <w:position w:val="1"/>
          <w:sz w:val="20"/>
          <w:szCs w:val="20"/>
        </w:rPr>
      </w:r>
      <w:r>
        <w:rPr>
          <w:rFonts w:ascii="Times New Roman" w:hAnsi="Times New Roman" w:cs="Times New Roman" w:eastAsia="Times New Roman" w:hint="default"/>
          <w:w w:val="100"/>
          <w:position w:val="1"/>
          <w:sz w:val="20"/>
          <w:szCs w:val="20"/>
          <w:u w:val="single" w:color="000000"/>
        </w:rPr>
        <w:t> </w:t>
      </w:r>
      <w:r>
        <w:rPr>
          <w:rFonts w:ascii="Times New Roman" w:hAnsi="Times New Roman" w:cs="Times New Roman" w:eastAsia="Times New Roman" w:hint="default"/>
          <w:position w:val="1"/>
          <w:sz w:val="20"/>
          <w:szCs w:val="20"/>
          <w:u w:val="single" w:color="000000"/>
        </w:rPr>
        <w:t>  </w:t>
      </w:r>
      <w:r>
        <w:rPr>
          <w:rFonts w:ascii="Times New Roman" w:hAnsi="Times New Roman" w:cs="Times New Roman" w:eastAsia="Times New Roman" w:hint="default"/>
          <w:spacing w:val="17"/>
          <w:position w:val="1"/>
          <w:sz w:val="20"/>
          <w:szCs w:val="20"/>
          <w:u w:val="single" w:color="000000"/>
        </w:rPr>
        <w:t> </w:t>
      </w:r>
      <w:r>
        <w:rPr>
          <w:rFonts w:ascii="宋体" w:hAnsi="宋体" w:cs="宋体" w:eastAsia="宋体" w:hint="default"/>
          <w:position w:val="1"/>
          <w:sz w:val="20"/>
          <w:szCs w:val="20"/>
          <w:u w:val="single" w:color="000000"/>
        </w:rPr>
        <w:t>方法</w:t>
        <w:tab/>
      </w:r>
      <w:r>
        <w:rPr>
          <w:rFonts w:ascii="Arial" w:hAnsi="Arial" w:cs="Arial" w:eastAsia="Arial" w:hint="default"/>
          <w:spacing w:val="-1"/>
          <w:sz w:val="20"/>
          <w:szCs w:val="20"/>
          <w:u w:val="single" w:color="000000"/>
        </w:rPr>
        <w:t>(%)</w:t>
        <w:tab/>
        <w:t>(%)</w:t>
      </w:r>
      <w:r>
        <w:rPr>
          <w:rFonts w:ascii="Arial" w:hAnsi="Arial" w:cs="Arial" w:eastAsia="Arial" w:hint="default"/>
          <w:spacing w:val="-1"/>
          <w:sz w:val="20"/>
          <w:szCs w:val="20"/>
        </w:rPr>
      </w:r>
    </w:p>
    <w:p>
      <w:pPr>
        <w:spacing w:line="229" w:lineRule="exact" w:before="0"/>
        <w:ind w:left="502"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致的说明</w:t>
      </w:r>
      <w:r>
        <w:rPr>
          <w:rFonts w:ascii="宋体" w:hAnsi="宋体" w:cs="宋体" w:eastAsia="宋体" w:hint="default"/>
          <w:spacing w:val="-12"/>
          <w:sz w:val="20"/>
          <w:szCs w:val="20"/>
        </w:rPr>
        <w:t> </w:t>
      </w:r>
      <w:r>
        <w:rPr>
          <w:rFonts w:ascii="宋体" w:hAnsi="宋体" w:cs="宋体" w:eastAsia="宋体" w:hint="default"/>
          <w:sz w:val="20"/>
          <w:szCs w:val="20"/>
        </w:rPr>
        <w:t>减值准备</w:t>
      </w:r>
    </w:p>
    <w:p>
      <w:pPr>
        <w:spacing w:line="229" w:lineRule="exact" w:before="0"/>
        <w:ind w:left="249"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减值准备</w:t>
      </w:r>
    </w:p>
    <w:p>
      <w:pPr>
        <w:spacing w:line="229" w:lineRule="exact" w:before="0"/>
        <w:ind w:left="684"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现金股利</w:t>
      </w:r>
    </w:p>
    <w:p>
      <w:pPr>
        <w:spacing w:after="0" w:line="229" w:lineRule="exact"/>
        <w:jc w:val="left"/>
        <w:rPr>
          <w:rFonts w:ascii="宋体" w:hAnsi="宋体" w:cs="宋体" w:eastAsia="宋体" w:hint="default"/>
          <w:sz w:val="20"/>
          <w:szCs w:val="20"/>
        </w:rPr>
        <w:sectPr>
          <w:type w:val="continuous"/>
          <w:pgSz w:w="11900" w:h="16840"/>
          <w:pgMar w:top="1600" w:bottom="280" w:left="1280" w:right="840"/>
          <w:cols w:num="4" w:equalWidth="0">
            <w:col w:w="4708" w:space="40"/>
            <w:col w:w="2192" w:space="40"/>
            <w:col w:w="1051" w:space="40"/>
            <w:col w:w="1709"/>
          </w:cols>
        </w:sectPr>
      </w:pPr>
    </w:p>
    <w:p>
      <w:pPr>
        <w:spacing w:line="20" w:lineRule="exact"/>
        <w:ind w:left="4775" w:right="0" w:firstLine="0"/>
        <w:rPr>
          <w:rFonts w:ascii="宋体" w:hAnsi="宋体" w:cs="宋体" w:eastAsia="宋体" w:hint="default"/>
          <w:sz w:val="2"/>
          <w:szCs w:val="2"/>
        </w:rPr>
      </w:pPr>
      <w:r>
        <w:rPr>
          <w:rFonts w:ascii="宋体" w:hAnsi="宋体" w:cs="宋体" w:eastAsia="宋体" w:hint="default"/>
          <w:sz w:val="2"/>
          <w:szCs w:val="2"/>
        </w:rPr>
        <w:pict>
          <v:group style="width:239.9pt;height:.75pt;mso-position-horizontal-relative:char;mso-position-vertical-relative:line" coordorigin="0,0" coordsize="4798,15">
            <v:group style="position:absolute;left:7;top:7;width:1278;height:2" coordorigin="7,7" coordsize="1278,2">
              <v:shape style="position:absolute;left:7;top:7;width:1278;height:2" coordorigin="7,7" coordsize="1278,0" path="m7,7l1285,7e" filled="false" stroked="true" strokeweight=".72pt" strokecolor="#000000">
                <v:path arrowok="t"/>
              </v:shape>
            </v:group>
            <v:group style="position:absolute;left:1339;top:7;width:833;height:2" coordorigin="1339,7" coordsize="833,2">
              <v:shape style="position:absolute;left:1339;top:7;width:833;height:2" coordorigin="1339,7" coordsize="833,0" path="m1339,7l2172,7e" filled="false" stroked="true" strokeweight=".72pt" strokecolor="#000000">
                <v:path arrowok="t"/>
              </v:shape>
            </v:group>
            <v:group style="position:absolute;left:2231;top:7;width:1034;height:2" coordorigin="2231,7" coordsize="1034,2">
              <v:shape style="position:absolute;left:2231;top:7;width:1034;height:2" coordorigin="2231,7" coordsize="1034,0" path="m2231,7l3264,7e" filled="false" stroked="true" strokeweight=".72pt" strokecolor="#000000">
                <v:path arrowok="t"/>
              </v:shape>
            </v:group>
            <v:group style="position:absolute;left:3319;top:7;width:1472;height:2" coordorigin="3319,7" coordsize="1472,2">
              <v:shape style="position:absolute;left:3319;top:7;width:1472;height:2" coordorigin="3319,7" coordsize="1472,0" path="m3319,7l479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2"/>
          <w:szCs w:val="12"/>
        </w:rPr>
      </w:pPr>
    </w:p>
    <w:p>
      <w:pPr>
        <w:tabs>
          <w:tab w:pos="3091" w:val="left" w:leader="none"/>
          <w:tab w:pos="4206" w:val="left" w:leader="none"/>
          <w:tab w:pos="5450" w:val="left" w:leader="none"/>
          <w:tab w:pos="6835" w:val="left" w:leader="none"/>
          <w:tab w:pos="7931" w:val="left" w:leader="none"/>
          <w:tab w:pos="8396" w:val="left" w:leader="none"/>
        </w:tabs>
        <w:spacing w:before="40"/>
        <w:ind w:left="744" w:right="0" w:firstLine="0"/>
        <w:jc w:val="left"/>
        <w:rPr>
          <w:rFonts w:ascii="Arial" w:hAnsi="Arial" w:cs="Arial" w:eastAsia="Arial" w:hint="default"/>
          <w:sz w:val="20"/>
          <w:szCs w:val="20"/>
        </w:rPr>
      </w:pPr>
      <w:r>
        <w:rPr>
          <w:rFonts w:ascii="宋体" w:hAnsi="宋体" w:cs="宋体" w:eastAsia="宋体" w:hint="default"/>
          <w:position w:val="1"/>
          <w:sz w:val="20"/>
          <w:szCs w:val="20"/>
        </w:rPr>
        <w:t>联通</w:t>
      </w:r>
      <w:r>
        <w:rPr>
          <w:rFonts w:ascii="宋体" w:hAnsi="宋体" w:cs="宋体" w:eastAsia="宋体" w:hint="default"/>
          <w:spacing w:val="-50"/>
          <w:position w:val="1"/>
          <w:sz w:val="20"/>
          <w:szCs w:val="20"/>
        </w:rPr>
        <w:t> </w:t>
      </w:r>
      <w:r>
        <w:rPr>
          <w:rFonts w:ascii="Arial" w:hAnsi="Arial" w:cs="Arial" w:eastAsia="Arial" w:hint="default"/>
          <w:position w:val="1"/>
          <w:sz w:val="20"/>
          <w:szCs w:val="20"/>
        </w:rPr>
        <w:t>BVI</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公司</w:t>
      </w:r>
      <w:r>
        <w:rPr>
          <w:rFonts w:ascii="宋体" w:hAnsi="宋体" w:cs="宋体" w:eastAsia="宋体" w:hint="default"/>
          <w:spacing w:val="-32"/>
          <w:position w:val="1"/>
          <w:sz w:val="20"/>
          <w:szCs w:val="20"/>
        </w:rPr>
        <w:t> </w:t>
      </w:r>
      <w:r>
        <w:rPr>
          <w:rFonts w:ascii="宋体" w:hAnsi="宋体" w:cs="宋体" w:eastAsia="宋体" w:hint="default"/>
          <w:position w:val="1"/>
          <w:sz w:val="20"/>
          <w:szCs w:val="20"/>
        </w:rPr>
        <w:t>成本法</w:t>
        <w:tab/>
      </w:r>
      <w:r>
        <w:rPr>
          <w:rFonts w:ascii="Arial" w:hAnsi="Arial" w:cs="Arial" w:eastAsia="Arial" w:hint="default"/>
          <w:sz w:val="20"/>
          <w:szCs w:val="20"/>
        </w:rPr>
        <w:t>82.10</w:t>
        <w:tab/>
        <w:t>82.10</w:t>
        <w:tab/>
      </w:r>
      <w:r>
        <w:rPr>
          <w:rFonts w:ascii="宋体" w:hAnsi="宋体" w:cs="宋体" w:eastAsia="宋体" w:hint="default"/>
          <w:position w:val="1"/>
          <w:sz w:val="20"/>
          <w:szCs w:val="20"/>
        </w:rPr>
        <w:t>不适用</w:t>
        <w:tab/>
      </w:r>
      <w:r>
        <w:rPr>
          <w:rFonts w:ascii="Arial" w:hAnsi="Arial" w:cs="Arial" w:eastAsia="Arial" w:hint="default"/>
          <w:sz w:val="20"/>
          <w:szCs w:val="20"/>
        </w:rPr>
        <w:t>-</w:t>
        <w:tab/>
        <w:t>-</w:t>
        <w:tab/>
        <w:t>625,590,662</w:t>
      </w:r>
    </w:p>
    <w:p>
      <w:pPr>
        <w:spacing w:line="43" w:lineRule="exact"/>
        <w:ind w:left="6092" w:right="0" w:firstLine="0"/>
        <w:rPr>
          <w:rFonts w:ascii="Arial" w:hAnsi="Arial" w:cs="Arial" w:eastAsia="Arial" w:hint="default"/>
          <w:sz w:val="4"/>
          <w:szCs w:val="4"/>
        </w:rPr>
      </w:pPr>
      <w:r>
        <w:rPr>
          <w:rFonts w:ascii="Arial" w:hAnsi="Arial" w:cs="Arial" w:eastAsia="Arial" w:hint="default"/>
          <w:position w:val="0"/>
          <w:sz w:val="4"/>
          <w:szCs w:val="4"/>
        </w:rPr>
        <w:pict>
          <v:group style="width:174pt;height:2.2pt;mso-position-horizontal-relative:char;mso-position-vertical-relative:line" coordorigin="0,0" coordsize="3480,44">
            <v:group style="position:absolute;left:7;top:36;width:848;height:2" coordorigin="7,36" coordsize="848,2">
              <v:shape style="position:absolute;left:7;top:36;width:848;height:2" coordorigin="7,36" coordsize="848,0" path="m7,36l854,36e" filled="false" stroked="true" strokeweight=".72pt" strokecolor="#000000">
                <v:path arrowok="t"/>
              </v:shape>
            </v:group>
            <v:group style="position:absolute;left:7;top:7;width:848;height:2" coordorigin="7,7" coordsize="848,2">
              <v:shape style="position:absolute;left:7;top:7;width:848;height:2" coordorigin="7,7" coordsize="848,0" path="m7,7l854,7e" filled="false" stroked="true" strokeweight=".72pt" strokecolor="#000000">
                <v:path arrowok="t"/>
              </v:shape>
            </v:group>
            <v:group style="position:absolute;left:899;top:36;width:1048;height:2" coordorigin="899,36" coordsize="1048,2">
              <v:shape style="position:absolute;left:899;top:36;width:1048;height:2" coordorigin="899,36" coordsize="1048,0" path="m899,36l1946,36e" filled="false" stroked="true" strokeweight=".72pt" strokecolor="#000000">
                <v:path arrowok="t"/>
              </v:shape>
            </v:group>
            <v:group style="position:absolute;left:899;top:7;width:1048;height:2" coordorigin="899,7" coordsize="1048,2">
              <v:shape style="position:absolute;left:899;top:7;width:1048;height:2" coordorigin="899,7" coordsize="1048,0" path="m899,7l1946,7e" filled="false" stroked="true" strokeweight=".72pt" strokecolor="#000000">
                <v:path arrowok="t"/>
              </v:shape>
            </v:group>
            <v:group style="position:absolute;left:1987;top:36;width:1486;height:2" coordorigin="1987,36" coordsize="1486,2">
              <v:shape style="position:absolute;left:1987;top:36;width:1486;height:2" coordorigin="1987,36" coordsize="1486,0" path="m1987,36l3473,36e" filled="false" stroked="true" strokeweight=".72pt" strokecolor="#000000">
                <v:path arrowok="t"/>
              </v:shape>
            </v:group>
            <v:group style="position:absolute;left:1987;top:7;width:1486;height:2" coordorigin="1987,7" coordsize="1486,2">
              <v:shape style="position:absolute;left:1987;top:7;width:1486;height:2" coordorigin="1987,7" coordsize="1486,0" path="m1987,7l3473,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tabs>
          <w:tab w:pos="759" w:val="left" w:leader="none"/>
        </w:tabs>
        <w:spacing w:line="240" w:lineRule="auto" w:before="31"/>
        <w:ind w:left="113" w:right="0"/>
        <w:jc w:val="left"/>
      </w:pPr>
      <w:r>
        <w:rPr>
          <w:rFonts w:ascii="Arial" w:hAnsi="Arial" w:cs="Arial" w:eastAsia="Arial" w:hint="default"/>
          <w:w w:val="95"/>
        </w:rPr>
        <w:t>4</w:t>
      </w:r>
      <w:r>
        <w:rPr>
          <w:w w:val="95"/>
        </w:rPr>
        <w:t>、</w:t>
        <w:tab/>
      </w:r>
      <w:r>
        <w:rPr/>
        <w:t>盈余公积</w:t>
      </w:r>
    </w:p>
    <w:p>
      <w:pPr>
        <w:pStyle w:val="BodyText"/>
        <w:spacing w:line="240" w:lineRule="auto" w:before="162"/>
        <w:ind w:left="759" w:right="0"/>
        <w:jc w:val="left"/>
      </w:pPr>
      <w:r>
        <w:rPr/>
        <w:t>本公司盈余公积参见附注五</w:t>
      </w:r>
      <w:r>
        <w:rPr>
          <w:rFonts w:ascii="Arial" w:hAnsi="Arial" w:cs="Arial" w:eastAsia="Arial" w:hint="default"/>
        </w:rPr>
        <w:t>(32)</w:t>
      </w:r>
      <w:r>
        <w:rPr/>
        <w:t>。</w:t>
      </w:r>
    </w:p>
    <w:p>
      <w:pPr>
        <w:spacing w:line="240" w:lineRule="auto" w:before="12"/>
        <w:rPr>
          <w:rFonts w:ascii="宋体" w:hAnsi="宋体" w:cs="宋体" w:eastAsia="宋体" w:hint="default"/>
          <w:sz w:val="17"/>
          <w:szCs w:val="17"/>
        </w:rPr>
      </w:pPr>
    </w:p>
    <w:p>
      <w:pPr>
        <w:pStyle w:val="BodyText"/>
        <w:tabs>
          <w:tab w:pos="759" w:val="left" w:leader="none"/>
        </w:tabs>
        <w:spacing w:line="240" w:lineRule="auto"/>
        <w:ind w:left="113" w:right="0"/>
        <w:jc w:val="left"/>
      </w:pPr>
      <w:r>
        <w:rPr>
          <w:rFonts w:ascii="Arial" w:hAnsi="Arial" w:cs="Arial" w:eastAsia="Arial" w:hint="default"/>
          <w:w w:val="95"/>
        </w:rPr>
        <w:t>5</w:t>
      </w:r>
      <w:r>
        <w:rPr>
          <w:w w:val="95"/>
        </w:rPr>
        <w:t>、</w:t>
        <w:tab/>
      </w:r>
      <w:r>
        <w:rPr/>
        <w:t>管理费用</w:t>
      </w:r>
    </w:p>
    <w:p>
      <w:pPr>
        <w:spacing w:line="240" w:lineRule="auto" w:before="13"/>
        <w:rPr>
          <w:rFonts w:ascii="宋体" w:hAnsi="宋体" w:cs="宋体" w:eastAsia="宋体" w:hint="default"/>
          <w:sz w:val="17"/>
          <w:szCs w:val="17"/>
        </w:rPr>
      </w:pPr>
    </w:p>
    <w:p>
      <w:pPr>
        <w:pStyle w:val="BodyText"/>
        <w:spacing w:line="240" w:lineRule="auto"/>
        <w:ind w:left="760" w:right="0"/>
        <w:jc w:val="left"/>
      </w:pPr>
      <w:r>
        <w:rPr/>
        <w:t>管理费用主要包括本公司本部日常经费支出、工资、福利费等。</w:t>
      </w:r>
    </w:p>
    <w:p>
      <w:pPr>
        <w:spacing w:line="240" w:lineRule="auto" w:before="2"/>
        <w:rPr>
          <w:rFonts w:ascii="宋体" w:hAnsi="宋体" w:cs="宋体" w:eastAsia="宋体" w:hint="default"/>
          <w:sz w:val="19"/>
          <w:szCs w:val="19"/>
        </w:rPr>
      </w:pPr>
    </w:p>
    <w:p>
      <w:pPr>
        <w:pStyle w:val="BodyText"/>
        <w:tabs>
          <w:tab w:pos="759" w:val="left" w:leader="none"/>
        </w:tabs>
        <w:spacing w:line="240" w:lineRule="auto"/>
        <w:ind w:left="113" w:right="0"/>
        <w:jc w:val="left"/>
      </w:pPr>
      <w:r>
        <w:rPr>
          <w:rFonts w:ascii="Arial" w:hAnsi="Arial" w:cs="Arial" w:eastAsia="Arial" w:hint="default"/>
          <w:w w:val="95"/>
        </w:rPr>
        <w:t>6</w:t>
      </w:r>
      <w:r>
        <w:rPr>
          <w:w w:val="95"/>
        </w:rPr>
        <w:t>、</w:t>
        <w:tab/>
      </w:r>
      <w:r>
        <w:rPr/>
        <w:t>投资收益</w:t>
      </w:r>
    </w:p>
    <w:p>
      <w:pPr>
        <w:spacing w:line="240" w:lineRule="auto" w:before="12"/>
        <w:rPr>
          <w:rFonts w:ascii="宋体" w:hAnsi="宋体" w:cs="宋体" w:eastAsia="宋体" w:hint="default"/>
          <w:sz w:val="17"/>
          <w:szCs w:val="17"/>
        </w:rPr>
      </w:pPr>
    </w:p>
    <w:p>
      <w:pPr>
        <w:pStyle w:val="BodyText"/>
        <w:tabs>
          <w:tab w:pos="8524" w:val="left" w:leader="none"/>
        </w:tabs>
        <w:spacing w:line="240" w:lineRule="auto"/>
        <w:ind w:left="6205" w:right="0"/>
        <w:jc w:val="left"/>
      </w:pPr>
      <w:r>
        <w:rPr>
          <w:rFonts w:ascii="Arial" w:hAnsi="Arial" w:cs="Arial" w:eastAsia="Arial" w:hint="default"/>
        </w:rPr>
        <w:t>2011</w:t>
      </w:r>
      <w:r>
        <w:rPr>
          <w:rFonts w:ascii="Arial" w:hAnsi="Arial" w:cs="Arial" w:eastAsia="Arial" w:hint="default"/>
          <w:spacing w:val="-8"/>
        </w:rPr>
        <w:t> </w:t>
      </w:r>
      <w:r>
        <w:rPr/>
        <w:t>年度</w:t>
        <w:tab/>
      </w:r>
      <w:r>
        <w:rPr>
          <w:rFonts w:ascii="Arial" w:hAnsi="Arial" w:cs="Arial" w:eastAsia="Arial" w:hint="default"/>
        </w:rPr>
        <w:t>2010</w:t>
      </w:r>
      <w:r>
        <w:rPr>
          <w:rFonts w:ascii="Arial" w:hAnsi="Arial" w:cs="Arial" w:eastAsia="Arial" w:hint="default"/>
          <w:spacing w:val="-8"/>
        </w:rPr>
        <w:t> </w:t>
      </w:r>
      <w:r>
        <w:rPr/>
        <w:t>年度</w:t>
      </w:r>
    </w:p>
    <w:p>
      <w:pPr>
        <w:spacing w:line="20" w:lineRule="exact"/>
        <w:ind w:left="4918" w:right="0" w:firstLine="0"/>
        <w:rPr>
          <w:rFonts w:ascii="宋体" w:hAnsi="宋体" w:cs="宋体" w:eastAsia="宋体" w:hint="default"/>
          <w:sz w:val="2"/>
          <w:szCs w:val="2"/>
        </w:rPr>
      </w:pPr>
      <w:r>
        <w:rPr>
          <w:rFonts w:ascii="宋体"/>
          <w:sz w:val="2"/>
        </w:rPr>
        <w:pict>
          <v:group style="width:115.6pt;height:.75pt;mso-position-horizontal-relative:char;mso-position-vertical-relative:line" coordorigin="0,0" coordsize="2312,15">
            <v:group style="position:absolute;left:7;top:7;width:2297;height:2" coordorigin="7,7" coordsize="2297,2">
              <v:shape style="position:absolute;left:7;top:7;width:2297;height:2" coordorigin="7,7" coordsize="2297,0" path="m7,7l2304,7e" filled="false" stroked="true" strokeweight=".72pt" strokecolor="#000000">
                <v:path arrowok="t"/>
              </v:shape>
            </v:group>
          </v:group>
        </w:pict>
      </w:r>
      <w:r>
        <w:rPr>
          <w:rFonts w:ascii="宋体"/>
          <w:sz w:val="2"/>
        </w:rPr>
      </w:r>
      <w:r>
        <w:rPr>
          <w:rFonts w:ascii="Times New Roman"/>
          <w:spacing w:val="74"/>
          <w:sz w:val="2"/>
        </w:rPr>
        <w:t> </w:t>
      </w:r>
      <w:r>
        <w:rPr>
          <w:rFonts w:ascii="宋体"/>
          <w:spacing w:val="74"/>
          <w:sz w:val="2"/>
        </w:rPr>
        <w:pict>
          <v:group style="width:113.6pt;height:.75pt;mso-position-horizontal-relative:char;mso-position-vertical-relative:line" coordorigin="0,0" coordsize="2272,15">
            <v:group style="position:absolute;left:7;top:7;width:2258;height:2" coordorigin="7,7" coordsize="2258,2">
              <v:shape style="position:absolute;left:7;top:7;width:2258;height:2" coordorigin="7,7" coordsize="2258,0" path="m7,7l2264,7e" filled="false" stroked="true" strokeweight=".72pt" strokecolor="#000000">
                <v:path arrowok="t"/>
              </v:shape>
            </v:group>
          </v:group>
        </w:pict>
      </w:r>
      <w:r>
        <w:rPr>
          <w:rFonts w:ascii="宋体"/>
          <w:spacing w:val="74"/>
          <w:sz w:val="2"/>
        </w:rPr>
      </w:r>
    </w:p>
    <w:p>
      <w:pPr>
        <w:spacing w:line="240" w:lineRule="auto" w:before="9"/>
        <w:rPr>
          <w:rFonts w:ascii="宋体" w:hAnsi="宋体" w:cs="宋体" w:eastAsia="宋体" w:hint="default"/>
          <w:sz w:val="14"/>
          <w:szCs w:val="14"/>
        </w:rPr>
      </w:pPr>
    </w:p>
    <w:p>
      <w:pPr>
        <w:pStyle w:val="BodyText"/>
        <w:tabs>
          <w:tab w:pos="5936" w:val="left" w:leader="none"/>
          <w:tab w:pos="8146" w:val="left" w:leader="none"/>
        </w:tabs>
        <w:spacing w:line="240" w:lineRule="auto" w:before="27"/>
        <w:ind w:left="746" w:right="0"/>
        <w:jc w:val="left"/>
        <w:rPr>
          <w:rFonts w:ascii="Arial" w:hAnsi="Arial" w:cs="Arial" w:eastAsia="Arial" w:hint="default"/>
        </w:rPr>
      </w:pPr>
      <w:r>
        <w:rPr>
          <w:w w:val="95"/>
          <w:position w:val="2"/>
        </w:rPr>
        <w:t>投资收益</w:t>
        <w:tab/>
      </w:r>
      <w:r>
        <w:rPr>
          <w:rFonts w:ascii="Arial" w:hAnsi="Arial" w:cs="Arial" w:eastAsia="Arial" w:hint="default"/>
          <w:w w:val="95"/>
        </w:rPr>
        <w:t>625,590,662</w:t>
        <w:tab/>
      </w:r>
      <w:r>
        <w:rPr>
          <w:rFonts w:ascii="Arial" w:hAnsi="Arial" w:cs="Arial" w:eastAsia="Arial" w:hint="default"/>
        </w:rPr>
        <w:t>1,277,413,763</w:t>
      </w:r>
    </w:p>
    <w:p>
      <w:pPr>
        <w:spacing w:line="43" w:lineRule="exact"/>
        <w:ind w:left="4903" w:right="0" w:firstLine="0"/>
        <w:rPr>
          <w:rFonts w:ascii="Arial" w:hAnsi="Arial" w:cs="Arial" w:eastAsia="Arial" w:hint="default"/>
          <w:sz w:val="4"/>
          <w:szCs w:val="4"/>
        </w:rPr>
      </w:pPr>
      <w:r>
        <w:rPr>
          <w:rFonts w:ascii="Arial"/>
          <w:position w:val="0"/>
          <w:sz w:val="4"/>
        </w:rPr>
        <w:pict>
          <v:group style="width:116.3pt;height:2.2pt;mso-position-horizontal-relative:char;mso-position-vertical-relative:line" coordorigin="0,0" coordsize="2326,44">
            <v:group style="position:absolute;left:7;top:36;width:2312;height:2" coordorigin="7,36" coordsize="2312,2">
              <v:shape style="position:absolute;left:7;top:36;width:2312;height:2" coordorigin="7,36" coordsize="2312,0" path="m7,36l2318,36e" filled="false" stroked="true" strokeweight=".72pt" strokecolor="#000000">
                <v:path arrowok="t"/>
              </v:shape>
            </v:group>
            <v:group style="position:absolute;left:7;top:7;width:2312;height:2" coordorigin="7,7" coordsize="2312,2">
              <v:shape style="position:absolute;left:7;top:7;width:2312;height:2" coordorigin="7,7" coordsize="2312,0" path="m7,7l2318,7e" filled="false" stroked="true" strokeweight=".72pt" strokecolor="#000000">
                <v:path arrowok="t"/>
              </v:shape>
            </v:group>
          </v:group>
        </w:pict>
      </w:r>
      <w:r>
        <w:rPr>
          <w:rFonts w:ascii="Arial"/>
          <w:position w:val="0"/>
          <w:sz w:val="4"/>
        </w:rPr>
      </w:r>
      <w:r>
        <w:rPr>
          <w:rFonts w:ascii="Times New Roman"/>
          <w:spacing w:val="53"/>
          <w:position w:val="0"/>
          <w:sz w:val="4"/>
        </w:rPr>
        <w:t> </w:t>
      </w:r>
      <w:r>
        <w:rPr>
          <w:rFonts w:ascii="Arial"/>
          <w:spacing w:val="53"/>
          <w:position w:val="0"/>
          <w:sz w:val="4"/>
        </w:rPr>
        <w:pict>
          <v:group style="width:114.3pt;height:2.2pt;mso-position-horizontal-relative:char;mso-position-vertical-relative:line" coordorigin="0,0" coordsize="2286,44">
            <v:group style="position:absolute;left:7;top:36;width:2272;height:2" coordorigin="7,36" coordsize="2272,2">
              <v:shape style="position:absolute;left:7;top:36;width:2272;height:2" coordorigin="7,36" coordsize="2272,0" path="m7,36l2279,36e" filled="false" stroked="true" strokeweight=".72pt" strokecolor="#000000">
                <v:path arrowok="t"/>
              </v:shape>
            </v:group>
            <v:group style="position:absolute;left:7;top:7;width:2272;height:2" coordorigin="7,7" coordsize="2272,2">
              <v:shape style="position:absolute;left:7;top:7;width:2272;height:2" coordorigin="7,7" coordsize="2272,0" path="m7,7l2279,7e" filled="false" stroked="true" strokeweight=".72pt" strokecolor="#000000">
                <v:path arrowok="t"/>
              </v:shape>
            </v:group>
          </v:group>
        </w:pict>
      </w:r>
      <w:r>
        <w:rPr>
          <w:rFonts w:ascii="Arial"/>
          <w:spacing w:val="53"/>
          <w:position w:val="0"/>
          <w:sz w:val="4"/>
        </w:rPr>
      </w:r>
    </w:p>
    <w:p>
      <w:pPr>
        <w:spacing w:line="240" w:lineRule="auto" w:before="5"/>
        <w:rPr>
          <w:rFonts w:ascii="Arial" w:hAnsi="Arial" w:cs="Arial" w:eastAsia="Arial" w:hint="default"/>
          <w:sz w:val="16"/>
          <w:szCs w:val="16"/>
        </w:rPr>
      </w:pPr>
    </w:p>
    <w:p>
      <w:pPr>
        <w:pStyle w:val="BodyText"/>
        <w:spacing w:line="286" w:lineRule="exact" w:before="60"/>
        <w:ind w:left="739" w:right="109" w:hanging="1"/>
        <w:jc w:val="left"/>
      </w:pPr>
      <w:r>
        <w:rPr/>
        <w:t>于</w:t>
      </w:r>
      <w:r>
        <w:rPr>
          <w:spacing w:val="-57"/>
        </w:rPr>
        <w:t> </w:t>
      </w:r>
      <w:r>
        <w:rPr>
          <w:rFonts w:ascii="Arial" w:hAnsi="Arial" w:cs="Arial" w:eastAsia="Arial" w:hint="default"/>
        </w:rPr>
        <w:t>2011</w:t>
      </w:r>
      <w:r>
        <w:rPr>
          <w:rFonts w:ascii="Arial" w:hAnsi="Arial" w:cs="Arial" w:eastAsia="Arial" w:hint="default"/>
          <w:spacing w:val="-8"/>
        </w:rPr>
        <w:t> </w:t>
      </w:r>
      <w:r>
        <w:rPr/>
        <w:t>年度，本公司子公司联通</w:t>
      </w:r>
      <w:r>
        <w:rPr>
          <w:spacing w:val="-56"/>
        </w:rPr>
        <w:t> </w:t>
      </w:r>
      <w:r>
        <w:rPr>
          <w:rFonts w:ascii="Arial" w:hAnsi="Arial" w:cs="Arial" w:eastAsia="Arial" w:hint="default"/>
        </w:rPr>
        <w:t>BVI</w:t>
      </w:r>
      <w:r>
        <w:rPr>
          <w:rFonts w:ascii="Arial" w:hAnsi="Arial" w:cs="Arial" w:eastAsia="Arial" w:hint="default"/>
          <w:spacing w:val="-8"/>
        </w:rPr>
        <w:t> </w:t>
      </w:r>
      <w:r>
        <w:rPr/>
        <w:t>公司宣布派发的</w:t>
      </w:r>
      <w:r>
        <w:rPr>
          <w:spacing w:val="-57"/>
        </w:rPr>
        <w:t> </w:t>
      </w:r>
      <w:r>
        <w:rPr>
          <w:rFonts w:ascii="Arial" w:hAnsi="Arial" w:cs="Arial" w:eastAsia="Arial" w:hint="default"/>
        </w:rPr>
        <w:t>2010</w:t>
      </w:r>
      <w:r>
        <w:rPr>
          <w:rFonts w:ascii="Arial" w:hAnsi="Arial" w:cs="Arial" w:eastAsia="Arial" w:hint="default"/>
          <w:spacing w:val="-8"/>
        </w:rPr>
        <w:t> </w:t>
      </w:r>
      <w:r>
        <w:rPr/>
        <w:t>年度现金股利中归属于本公司的</w:t>
      </w:r>
      <w:r>
        <w:rPr>
          <w:w w:val="99"/>
        </w:rPr>
        <w:t> </w:t>
      </w:r>
      <w:r>
        <w:rPr/>
        <w:t>约人民币</w:t>
      </w:r>
      <w:r>
        <w:rPr>
          <w:spacing w:val="-57"/>
        </w:rPr>
        <w:t> </w:t>
      </w:r>
      <w:r>
        <w:rPr>
          <w:rFonts w:ascii="Arial" w:hAnsi="Arial" w:cs="Arial" w:eastAsia="Arial" w:hint="default"/>
        </w:rPr>
        <w:t>6.26</w:t>
      </w:r>
      <w:r>
        <w:rPr>
          <w:rFonts w:ascii="Arial" w:hAnsi="Arial" w:cs="Arial" w:eastAsia="Arial" w:hint="default"/>
          <w:spacing w:val="-8"/>
        </w:rPr>
        <w:t> </w:t>
      </w:r>
      <w:r>
        <w:rPr/>
        <w:t>亿元（</w:t>
      </w:r>
      <w:r>
        <w:rPr>
          <w:rFonts w:ascii="Arial" w:hAnsi="Arial" w:cs="Arial" w:eastAsia="Arial" w:hint="default"/>
        </w:rPr>
        <w:t>2010</w:t>
      </w:r>
      <w:r>
        <w:rPr>
          <w:rFonts w:ascii="Arial" w:hAnsi="Arial" w:cs="Arial" w:eastAsia="Arial" w:hint="default"/>
          <w:spacing w:val="-8"/>
        </w:rPr>
        <w:t> </w:t>
      </w:r>
      <w:r>
        <w:rPr/>
        <w:t>年度：约人民币</w:t>
      </w:r>
      <w:r>
        <w:rPr>
          <w:spacing w:val="-57"/>
        </w:rPr>
        <w:t> </w:t>
      </w:r>
      <w:r>
        <w:rPr>
          <w:rFonts w:ascii="Arial" w:hAnsi="Arial" w:cs="Arial" w:eastAsia="Arial" w:hint="default"/>
        </w:rPr>
        <w:t>12.77</w:t>
      </w:r>
      <w:r>
        <w:rPr>
          <w:rFonts w:ascii="Arial" w:hAnsi="Arial" w:cs="Arial" w:eastAsia="Arial" w:hint="default"/>
          <w:spacing w:val="-8"/>
        </w:rPr>
        <w:t> </w:t>
      </w:r>
      <w:r>
        <w:rPr/>
        <w:t>亿元）。</w:t>
      </w:r>
    </w:p>
    <w:p>
      <w:pPr>
        <w:spacing w:line="240" w:lineRule="auto" w:before="2"/>
        <w:rPr>
          <w:rFonts w:ascii="宋体" w:hAnsi="宋体" w:cs="宋体" w:eastAsia="宋体" w:hint="default"/>
          <w:sz w:val="17"/>
          <w:szCs w:val="17"/>
        </w:rPr>
      </w:pPr>
    </w:p>
    <w:p>
      <w:pPr>
        <w:pStyle w:val="BodyText"/>
        <w:spacing w:line="240" w:lineRule="auto"/>
        <w:ind w:left="739" w:right="0"/>
        <w:jc w:val="left"/>
      </w:pPr>
      <w:r>
        <w:rPr/>
        <w:t>本公司不存在投资收益汇回的重大限制。</w:t>
      </w:r>
    </w:p>
    <w:p>
      <w:pPr>
        <w:spacing w:after="0" w:line="240" w:lineRule="auto"/>
        <w:jc w:val="left"/>
        <w:sectPr>
          <w:type w:val="continuous"/>
          <w:pgSz w:w="11900" w:h="16840"/>
          <w:pgMar w:top="1600" w:bottom="280" w:left="1280" w:right="840"/>
        </w:sectPr>
      </w:pPr>
    </w:p>
    <w:p>
      <w:pPr>
        <w:spacing w:line="240" w:lineRule="auto" w:before="11"/>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558"/>
        <w:gridCol w:w="4124"/>
        <w:gridCol w:w="2234"/>
        <w:gridCol w:w="240"/>
        <w:gridCol w:w="2297"/>
      </w:tblGrid>
      <w:tr>
        <w:trPr>
          <w:trHeight w:val="1437" w:hRule="exact"/>
        </w:trPr>
        <w:tc>
          <w:tcPr>
            <w:tcW w:w="558" w:type="dxa"/>
            <w:tcBorders>
              <w:top w:val="nil" w:sz="6" w:space="0" w:color="auto"/>
              <w:left w:val="nil" w:sz="6" w:space="0" w:color="auto"/>
              <w:bottom w:val="nil" w:sz="6" w:space="0" w:color="auto"/>
              <w:right w:val="nil" w:sz="6" w:space="0" w:color="auto"/>
            </w:tcBorders>
          </w:tcPr>
          <w:p>
            <w:pPr>
              <w:pStyle w:val="TableParagraph"/>
              <w:spacing w:line="465" w:lineRule="auto" w:before="31"/>
              <w:ind w:left="35" w:right="150" w:firstLine="28"/>
              <w:jc w:val="left"/>
              <w:rPr>
                <w:rFonts w:ascii="Arial" w:hAnsi="Arial" w:cs="Arial" w:eastAsia="Arial" w:hint="default"/>
                <w:sz w:val="22"/>
                <w:szCs w:val="22"/>
              </w:rPr>
            </w:pPr>
            <w:r>
              <w:rPr>
                <w:rFonts w:ascii="Arial" w:hAnsi="Arial" w:cs="Arial" w:eastAsia="Arial" w:hint="default"/>
                <w:sz w:val="22"/>
                <w:szCs w:val="22"/>
              </w:rPr>
              <w:t>7</w:t>
            </w:r>
            <w:r>
              <w:rPr>
                <w:rFonts w:ascii="宋体" w:hAnsi="宋体" w:cs="宋体" w:eastAsia="宋体" w:hint="default"/>
                <w:sz w:val="22"/>
                <w:szCs w:val="22"/>
              </w:rPr>
              <w:t>、</w:t>
            </w:r>
            <w:r>
              <w:rPr>
                <w:rFonts w:ascii="宋体" w:hAnsi="宋体" w:cs="宋体" w:eastAsia="宋体" w:hint="default"/>
                <w:w w:val="99"/>
                <w:sz w:val="22"/>
                <w:szCs w:val="22"/>
              </w:rPr>
              <w:t> </w:t>
            </w:r>
            <w:r>
              <w:rPr>
                <w:rFonts w:ascii="Arial" w:hAnsi="Arial" w:cs="Arial" w:eastAsia="Arial" w:hint="default"/>
                <w:sz w:val="22"/>
                <w:szCs w:val="22"/>
              </w:rPr>
              <w:t>(a)</w:t>
            </w:r>
          </w:p>
        </w:tc>
        <w:tc>
          <w:tcPr>
            <w:tcW w:w="4124" w:type="dxa"/>
            <w:tcBorders>
              <w:top w:val="nil" w:sz="6" w:space="0" w:color="auto"/>
              <w:left w:val="nil" w:sz="6" w:space="0" w:color="auto"/>
              <w:bottom w:val="nil" w:sz="6" w:space="0" w:color="auto"/>
              <w:right w:val="nil" w:sz="6" w:space="0" w:color="auto"/>
            </w:tcBorders>
          </w:tcPr>
          <w:p>
            <w:pPr>
              <w:pStyle w:val="TableParagraph"/>
              <w:spacing w:line="448" w:lineRule="auto" w:before="31"/>
              <w:ind w:left="152" w:right="669" w:hanging="1"/>
              <w:jc w:val="left"/>
              <w:rPr>
                <w:rFonts w:ascii="宋体" w:hAnsi="宋体" w:cs="宋体" w:eastAsia="宋体" w:hint="default"/>
                <w:sz w:val="22"/>
                <w:szCs w:val="22"/>
              </w:rPr>
            </w:pPr>
            <w:r>
              <w:rPr>
                <w:rFonts w:ascii="宋体" w:hAnsi="宋体" w:cs="宋体" w:eastAsia="宋体" w:hint="default"/>
                <w:sz w:val="22"/>
                <w:szCs w:val="22"/>
              </w:rPr>
              <w:t>公司现金流量表补充资料</w:t>
            </w:r>
            <w:r>
              <w:rPr>
                <w:rFonts w:ascii="宋体" w:hAnsi="宋体" w:cs="宋体" w:eastAsia="宋体" w:hint="default"/>
                <w:w w:val="99"/>
                <w:sz w:val="22"/>
                <w:szCs w:val="22"/>
              </w:rPr>
              <w:t> </w:t>
            </w:r>
            <w:r>
              <w:rPr>
                <w:rFonts w:ascii="宋体" w:hAnsi="宋体" w:cs="宋体" w:eastAsia="宋体" w:hint="default"/>
                <w:sz w:val="22"/>
                <w:szCs w:val="22"/>
              </w:rPr>
              <w:t>将净利润调节为经营活动现金流量</w:t>
            </w:r>
          </w:p>
        </w:tc>
        <w:tc>
          <w:tcPr>
            <w:tcW w:w="223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30"/>
                <w:szCs w:val="30"/>
              </w:rPr>
            </w:pPr>
          </w:p>
          <w:p>
            <w:pPr>
              <w:pStyle w:val="TableParagraph"/>
              <w:spacing w:line="240" w:lineRule="auto"/>
              <w:ind w:right="10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30"/>
                <w:szCs w:val="30"/>
              </w:rPr>
            </w:pPr>
          </w:p>
          <w:p>
            <w:pPr>
              <w:pStyle w:val="TableParagraph"/>
              <w:spacing w:line="240" w:lineRule="auto"/>
              <w:ind w:right="14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59"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234"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Arial" w:hAnsi="Arial" w:cs="Arial" w:eastAsia="Arial" w:hint="default"/>
                <w:sz w:val="22"/>
                <w:szCs w:val="22"/>
              </w:rPr>
            </w:pPr>
            <w:r>
              <w:rPr>
                <w:rFonts w:ascii="Arial"/>
                <w:w w:val="95"/>
                <w:sz w:val="22"/>
              </w:rPr>
              <w:t>615,402,212</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73"/>
              <w:jc w:val="right"/>
              <w:rPr>
                <w:rFonts w:ascii="Arial" w:hAnsi="Arial" w:cs="Arial" w:eastAsia="Arial" w:hint="default"/>
                <w:sz w:val="22"/>
                <w:szCs w:val="22"/>
              </w:rPr>
            </w:pPr>
            <w:r>
              <w:rPr>
                <w:rFonts w:ascii="Arial"/>
                <w:spacing w:val="-1"/>
                <w:sz w:val="22"/>
              </w:rPr>
              <w:t>1,264,549,285</w:t>
            </w:r>
          </w:p>
        </w:tc>
      </w:tr>
      <w:tr>
        <w:trPr>
          <w:trHeight w:val="286"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39" w:lineRule="exact"/>
              <w:ind w:left="159" w:right="0"/>
              <w:jc w:val="left"/>
              <w:rPr>
                <w:rFonts w:ascii="宋体" w:hAnsi="宋体" w:cs="宋体" w:eastAsia="宋体" w:hint="default"/>
                <w:sz w:val="22"/>
                <w:szCs w:val="22"/>
              </w:rPr>
            </w:pPr>
            <w:r>
              <w:rPr>
                <w:rFonts w:ascii="宋体" w:hAnsi="宋体" w:cs="宋体" w:eastAsia="宋体" w:hint="default"/>
                <w:sz w:val="22"/>
                <w:szCs w:val="22"/>
              </w:rPr>
              <w:t>加：固定资产折旧</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w w:val="95"/>
                <w:sz w:val="22"/>
              </w:rPr>
              <w:t>374,308</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3"/>
              <w:jc w:val="right"/>
              <w:rPr>
                <w:rFonts w:ascii="Arial" w:hAnsi="Arial" w:cs="Arial" w:eastAsia="Arial" w:hint="default"/>
                <w:sz w:val="22"/>
                <w:szCs w:val="22"/>
              </w:rPr>
            </w:pPr>
            <w:r>
              <w:rPr>
                <w:rFonts w:ascii="Arial"/>
                <w:w w:val="95"/>
                <w:sz w:val="22"/>
              </w:rPr>
              <w:t>242,155</w:t>
            </w:r>
            <w:r>
              <w:rPr>
                <w:rFonts w:ascii="Arial"/>
                <w:sz w:val="22"/>
              </w:rPr>
            </w:r>
          </w:p>
        </w:tc>
      </w:tr>
      <w:tr>
        <w:trPr>
          <w:trHeight w:val="558"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38" w:lineRule="exact"/>
              <w:ind w:left="616" w:right="0"/>
              <w:jc w:val="left"/>
              <w:rPr>
                <w:rFonts w:ascii="宋体" w:hAnsi="宋体" w:cs="宋体" w:eastAsia="宋体" w:hint="default"/>
                <w:sz w:val="22"/>
                <w:szCs w:val="22"/>
              </w:rPr>
            </w:pPr>
            <w:r>
              <w:rPr>
                <w:rFonts w:ascii="宋体" w:hAnsi="宋体" w:cs="宋体" w:eastAsia="宋体" w:hint="default"/>
                <w:sz w:val="22"/>
                <w:szCs w:val="22"/>
              </w:rPr>
              <w:t>无形资产摊销</w:t>
            </w:r>
          </w:p>
          <w:p>
            <w:pPr>
              <w:pStyle w:val="TableParagraph"/>
              <w:spacing w:line="287" w:lineRule="exact"/>
              <w:ind w:left="615" w:right="0"/>
              <w:jc w:val="left"/>
              <w:rPr>
                <w:rFonts w:ascii="宋体" w:hAnsi="宋体" w:cs="宋体" w:eastAsia="宋体" w:hint="default"/>
                <w:sz w:val="22"/>
                <w:szCs w:val="22"/>
              </w:rPr>
            </w:pPr>
            <w:r>
              <w:rPr>
                <w:rFonts w:ascii="宋体" w:hAnsi="宋体" w:cs="宋体" w:eastAsia="宋体" w:hint="default"/>
                <w:w w:val="99"/>
                <w:sz w:val="22"/>
                <w:szCs w:val="22"/>
              </w:rPr>
              <w:t>处置固</w:t>
            </w:r>
            <w:r>
              <w:rPr>
                <w:rFonts w:ascii="宋体" w:hAnsi="宋体" w:cs="宋体" w:eastAsia="宋体" w:hint="default"/>
                <w:spacing w:val="1"/>
                <w:w w:val="99"/>
                <w:sz w:val="22"/>
                <w:szCs w:val="22"/>
              </w:rPr>
              <w:t>定资</w:t>
            </w:r>
            <w:r>
              <w:rPr>
                <w:rFonts w:ascii="宋体" w:hAnsi="宋体" w:cs="宋体" w:eastAsia="宋体" w:hint="default"/>
                <w:w w:val="99"/>
                <w:sz w:val="22"/>
                <w:szCs w:val="22"/>
              </w:rPr>
              <w:t>产</w:t>
            </w:r>
            <w:r>
              <w:rPr>
                <w:rFonts w:ascii="宋体" w:hAnsi="宋体" w:cs="宋体" w:eastAsia="宋体" w:hint="default"/>
                <w:spacing w:val="-105"/>
                <w:w w:val="99"/>
                <w:sz w:val="22"/>
                <w:szCs w:val="22"/>
              </w:rPr>
              <w:t>、</w:t>
            </w:r>
            <w:r>
              <w:rPr>
                <w:rFonts w:ascii="宋体" w:hAnsi="宋体" w:cs="宋体" w:eastAsia="宋体" w:hint="default"/>
                <w:spacing w:val="1"/>
                <w:w w:val="99"/>
                <w:sz w:val="22"/>
                <w:szCs w:val="22"/>
              </w:rPr>
              <w:t>无</w:t>
            </w:r>
            <w:r>
              <w:rPr>
                <w:rFonts w:ascii="宋体" w:hAnsi="宋体" w:cs="宋体" w:eastAsia="宋体" w:hint="default"/>
                <w:w w:val="99"/>
                <w:sz w:val="22"/>
                <w:szCs w:val="22"/>
              </w:rPr>
              <w:t>形资</w:t>
            </w:r>
            <w:r>
              <w:rPr>
                <w:rFonts w:ascii="宋体" w:hAnsi="宋体" w:cs="宋体" w:eastAsia="宋体" w:hint="default"/>
                <w:spacing w:val="1"/>
                <w:w w:val="99"/>
                <w:sz w:val="22"/>
                <w:szCs w:val="22"/>
              </w:rPr>
              <w:t>产</w:t>
            </w:r>
            <w:r>
              <w:rPr>
                <w:rFonts w:ascii="宋体" w:hAnsi="宋体" w:cs="宋体" w:eastAsia="宋体" w:hint="default"/>
                <w:w w:val="99"/>
                <w:sz w:val="22"/>
                <w:szCs w:val="22"/>
              </w:rPr>
              <w:t>和其他</w:t>
            </w:r>
            <w:r>
              <w:rPr>
                <w:rFonts w:ascii="宋体" w:hAnsi="宋体" w:cs="宋体" w:eastAsia="宋体" w:hint="default"/>
                <w:spacing w:val="1"/>
                <w:w w:val="99"/>
                <w:sz w:val="22"/>
                <w:szCs w:val="22"/>
              </w:rPr>
              <w:t>长</w:t>
            </w:r>
            <w:r>
              <w:rPr>
                <w:rFonts w:ascii="宋体" w:hAnsi="宋体" w:cs="宋体" w:eastAsia="宋体" w:hint="default"/>
                <w:w w:val="99"/>
                <w:sz w:val="22"/>
                <w:szCs w:val="22"/>
              </w:rPr>
              <w:t>期</w:t>
            </w:r>
            <w:r>
              <w:rPr>
                <w:rFonts w:ascii="宋体" w:hAnsi="宋体" w:cs="宋体" w:eastAsia="宋体" w:hint="default"/>
                <w:sz w:val="22"/>
                <w:szCs w:val="22"/>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w w:val="95"/>
                <w:sz w:val="22"/>
              </w:rPr>
              <w:t>248,107</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3"/>
              <w:jc w:val="right"/>
              <w:rPr>
                <w:rFonts w:ascii="Arial" w:hAnsi="Arial" w:cs="Arial" w:eastAsia="Arial" w:hint="default"/>
                <w:sz w:val="22"/>
                <w:szCs w:val="22"/>
              </w:rPr>
            </w:pPr>
            <w:r>
              <w:rPr>
                <w:rFonts w:ascii="Arial"/>
                <w:w w:val="95"/>
                <w:sz w:val="22"/>
              </w:rPr>
              <w:t>248,107</w:t>
            </w:r>
            <w:r>
              <w:rPr>
                <w:rFonts w:ascii="Arial"/>
                <w:sz w:val="22"/>
              </w:rPr>
            </w:r>
          </w:p>
        </w:tc>
      </w:tr>
      <w:tr>
        <w:trPr>
          <w:trHeight w:val="298"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53" w:lineRule="exact"/>
              <w:ind w:left="826" w:right="0"/>
              <w:jc w:val="left"/>
              <w:rPr>
                <w:rFonts w:ascii="宋体" w:hAnsi="宋体" w:cs="宋体" w:eastAsia="宋体" w:hint="default"/>
                <w:sz w:val="22"/>
                <w:szCs w:val="22"/>
              </w:rPr>
            </w:pPr>
            <w:r>
              <w:rPr>
                <w:rFonts w:ascii="宋体" w:hAnsi="宋体" w:cs="宋体" w:eastAsia="宋体" w:hint="default"/>
                <w:sz w:val="22"/>
                <w:szCs w:val="22"/>
              </w:rPr>
              <w:t>资产的收益</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
              <w:jc w:val="right"/>
              <w:rPr>
                <w:rFonts w:ascii="Arial" w:hAnsi="Arial" w:cs="Arial" w:eastAsia="Arial" w:hint="default"/>
                <w:sz w:val="22"/>
                <w:szCs w:val="22"/>
              </w:rPr>
            </w:pPr>
            <w:r>
              <w:rPr>
                <w:rFonts w:ascii="Arial"/>
                <w:w w:val="95"/>
                <w:sz w:val="22"/>
              </w:rPr>
              <w:t>(23,449)</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3"/>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39" w:lineRule="exact"/>
              <w:ind w:left="616" w:right="0"/>
              <w:jc w:val="left"/>
              <w:rPr>
                <w:rFonts w:ascii="宋体" w:hAnsi="宋体" w:cs="宋体" w:eastAsia="宋体" w:hint="default"/>
                <w:sz w:val="22"/>
                <w:szCs w:val="22"/>
              </w:rPr>
            </w:pPr>
            <w:r>
              <w:rPr>
                <w:rFonts w:ascii="宋体" w:hAnsi="宋体" w:cs="宋体" w:eastAsia="宋体" w:hint="default"/>
                <w:sz w:val="22"/>
                <w:szCs w:val="22"/>
              </w:rPr>
              <w:t>财务费用（收入）</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
              <w:jc w:val="right"/>
              <w:rPr>
                <w:rFonts w:ascii="Arial" w:hAnsi="Arial" w:cs="Arial" w:eastAsia="Arial" w:hint="default"/>
                <w:sz w:val="22"/>
                <w:szCs w:val="22"/>
              </w:rPr>
            </w:pPr>
            <w:r>
              <w:rPr>
                <w:rFonts w:ascii="Arial"/>
                <w:w w:val="95"/>
                <w:sz w:val="22"/>
              </w:rPr>
              <w:t>(477,380)</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3"/>
              <w:jc w:val="right"/>
              <w:rPr>
                <w:rFonts w:ascii="Arial" w:hAnsi="Arial" w:cs="Arial" w:eastAsia="Arial" w:hint="default"/>
                <w:sz w:val="22"/>
                <w:szCs w:val="22"/>
              </w:rPr>
            </w:pPr>
            <w:r>
              <w:rPr>
                <w:rFonts w:ascii="Arial"/>
                <w:w w:val="95"/>
                <w:sz w:val="22"/>
              </w:rPr>
              <w:t>2,418,593</w:t>
            </w:r>
            <w:r>
              <w:rPr>
                <w:rFonts w:ascii="Arial"/>
                <w:sz w:val="22"/>
              </w:rPr>
            </w:r>
          </w:p>
        </w:tc>
      </w:tr>
      <w:tr>
        <w:trPr>
          <w:trHeight w:val="286"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39" w:lineRule="exact"/>
              <w:ind w:left="616"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
              <w:jc w:val="right"/>
              <w:rPr>
                <w:rFonts w:ascii="Arial" w:hAnsi="Arial" w:cs="Arial" w:eastAsia="Arial" w:hint="default"/>
                <w:sz w:val="22"/>
                <w:szCs w:val="22"/>
              </w:rPr>
            </w:pPr>
            <w:r>
              <w:rPr>
                <w:rFonts w:ascii="Arial"/>
                <w:w w:val="95"/>
                <w:sz w:val="22"/>
              </w:rPr>
              <w:t>(625,590,662)</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22"/>
                <w:szCs w:val="22"/>
              </w:rPr>
            </w:pPr>
            <w:r>
              <w:rPr>
                <w:rFonts w:ascii="Arial"/>
                <w:w w:val="95"/>
                <w:sz w:val="22"/>
              </w:rPr>
              <w:t>(1,277,413,763)</w:t>
            </w:r>
            <w:r>
              <w:rPr>
                <w:rFonts w:ascii="Arial"/>
                <w:sz w:val="22"/>
              </w:rPr>
            </w:r>
          </w:p>
        </w:tc>
      </w:tr>
      <w:tr>
        <w:trPr>
          <w:trHeight w:val="286"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39" w:lineRule="exact"/>
              <w:ind w:right="426"/>
              <w:jc w:val="right"/>
              <w:rPr>
                <w:rFonts w:ascii="宋体" w:hAnsi="宋体" w:cs="宋体" w:eastAsia="宋体" w:hint="default"/>
                <w:sz w:val="22"/>
                <w:szCs w:val="22"/>
              </w:rPr>
            </w:pPr>
            <w:r>
              <w:rPr>
                <w:rFonts w:ascii="宋体" w:hAnsi="宋体" w:cs="宋体" w:eastAsia="宋体" w:hint="default"/>
                <w:w w:val="95"/>
                <w:sz w:val="22"/>
                <w:szCs w:val="22"/>
              </w:rPr>
              <w:t>经营性应收项目的减少（增加）</w:t>
            </w:r>
            <w:r>
              <w:rPr>
                <w:rFonts w:ascii="宋体" w:hAnsi="宋体" w:cs="宋体" w:eastAsia="宋体" w:hint="default"/>
                <w:sz w:val="22"/>
                <w:szCs w:val="22"/>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w w:val="95"/>
                <w:sz w:val="22"/>
              </w:rPr>
              <w:t>4,977</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3"/>
              <w:jc w:val="right"/>
              <w:rPr>
                <w:rFonts w:ascii="Arial" w:hAnsi="Arial" w:cs="Arial" w:eastAsia="Arial" w:hint="default"/>
                <w:sz w:val="22"/>
                <w:szCs w:val="22"/>
              </w:rPr>
            </w:pPr>
            <w:r>
              <w:rPr>
                <w:rFonts w:ascii="Arial"/>
                <w:w w:val="95"/>
                <w:sz w:val="22"/>
              </w:rPr>
              <w:t>161,592</w:t>
            </w:r>
            <w:r>
              <w:rPr>
                <w:rFonts w:ascii="Arial"/>
                <w:sz w:val="22"/>
              </w:rPr>
            </w:r>
          </w:p>
        </w:tc>
      </w:tr>
      <w:tr>
        <w:trPr>
          <w:trHeight w:val="293"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39" w:lineRule="exact"/>
              <w:ind w:right="426"/>
              <w:jc w:val="right"/>
              <w:rPr>
                <w:rFonts w:ascii="宋体" w:hAnsi="宋体" w:cs="宋体" w:eastAsia="宋体" w:hint="default"/>
                <w:sz w:val="22"/>
                <w:szCs w:val="22"/>
              </w:rPr>
            </w:pPr>
            <w:r>
              <w:rPr>
                <w:rFonts w:ascii="宋体" w:hAnsi="宋体" w:cs="宋体" w:eastAsia="宋体" w:hint="default"/>
                <w:w w:val="95"/>
                <w:sz w:val="22"/>
                <w:szCs w:val="22"/>
              </w:rPr>
              <w:t>经营性应付项目的（减少）增加</w:t>
            </w:r>
            <w:r>
              <w:rPr>
                <w:rFonts w:ascii="宋体" w:hAnsi="宋体" w:cs="宋体" w:eastAsia="宋体" w:hint="default"/>
                <w:sz w:val="22"/>
                <w:szCs w:val="22"/>
              </w:rPr>
            </w:r>
          </w:p>
        </w:tc>
        <w:tc>
          <w:tcPr>
            <w:tcW w:w="2234" w:type="dxa"/>
            <w:tcBorders>
              <w:top w:val="nil" w:sz="6" w:space="0" w:color="auto"/>
              <w:left w:val="nil" w:sz="6" w:space="0" w:color="auto"/>
              <w:bottom w:val="nil" w:sz="6" w:space="0" w:color="auto"/>
              <w:right w:val="nil" w:sz="6" w:space="0" w:color="auto"/>
            </w:tcBorders>
          </w:tcPr>
          <w:p>
            <w:pPr>
              <w:pStyle w:val="TableParagraph"/>
              <w:tabs>
                <w:tab w:pos="1061" w:val="left" w:leader="none"/>
              </w:tabs>
              <w:spacing w:line="240" w:lineRule="auto" w:before="17"/>
              <w:ind w:right="3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(2,964,375)</w:t>
            </w:r>
            <w:r>
              <w:rPr>
                <w:rFonts w:ascii="Arial"/>
                <w:w w:val="95"/>
                <w:sz w:val="22"/>
              </w:rPr>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tabs>
                <w:tab w:pos="1028" w:val="left" w:leader="none"/>
                <w:tab w:pos="2261"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(1,653,282)</w:t>
              <w:tab/>
            </w:r>
            <w:r>
              <w:rPr>
                <w:rFonts w:ascii="Arial"/>
                <w:sz w:val="22"/>
              </w:rPr>
            </w:r>
          </w:p>
        </w:tc>
      </w:tr>
      <w:tr>
        <w:trPr>
          <w:trHeight w:val="303"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47" w:lineRule="exact"/>
              <w:ind w:left="616"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234"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30"/>
              <w:jc w:val="right"/>
              <w:rPr>
                <w:rFonts w:ascii="Arial" w:hAnsi="Arial" w:cs="Arial" w:eastAsia="Arial" w:hint="default"/>
                <w:sz w:val="22"/>
                <w:szCs w:val="22"/>
              </w:rPr>
            </w:pPr>
            <w:r>
              <w:rPr>
                <w:rFonts w:ascii="Arial"/>
                <w:w w:val="95"/>
                <w:sz w:val="22"/>
              </w:rPr>
              <w:t>(13,026,262)</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41"/>
              <w:jc w:val="right"/>
              <w:rPr>
                <w:rFonts w:ascii="Arial" w:hAnsi="Arial" w:cs="Arial" w:eastAsia="Arial" w:hint="default"/>
                <w:sz w:val="22"/>
                <w:szCs w:val="22"/>
              </w:rPr>
            </w:pPr>
            <w:r>
              <w:rPr>
                <w:rFonts w:ascii="Arial"/>
                <w:w w:val="95"/>
                <w:sz w:val="22"/>
              </w:rPr>
              <w:t>(11,447,313)</w:t>
            </w:r>
            <w:r>
              <w:rPr>
                <w:rFonts w:ascii="Arial"/>
                <w:sz w:val="22"/>
              </w:rPr>
            </w:r>
          </w:p>
        </w:tc>
      </w:tr>
      <w:tr>
        <w:trPr>
          <w:trHeight w:val="691" w:hRule="exact"/>
        </w:trPr>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2"/>
                <w:szCs w:val="22"/>
              </w:rPr>
            </w:pPr>
            <w:r>
              <w:rPr>
                <w:rFonts w:ascii="Arial"/>
                <w:sz w:val="22"/>
              </w:rPr>
              <w:t>(b)</w:t>
            </w:r>
          </w:p>
        </w:tc>
        <w:tc>
          <w:tcPr>
            <w:tcW w:w="41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52" w:right="0"/>
              <w:jc w:val="left"/>
              <w:rPr>
                <w:rFonts w:ascii="宋体" w:hAnsi="宋体" w:cs="宋体" w:eastAsia="宋体" w:hint="default"/>
                <w:sz w:val="22"/>
                <w:szCs w:val="22"/>
              </w:rPr>
            </w:pPr>
            <w:r>
              <w:rPr>
                <w:rFonts w:ascii="宋体" w:hAnsi="宋体" w:cs="宋体" w:eastAsia="宋体" w:hint="default"/>
                <w:sz w:val="22"/>
                <w:szCs w:val="22"/>
              </w:rPr>
              <w:t>现金及现金等价物净变动情况</w:t>
            </w:r>
          </w:p>
        </w:tc>
        <w:tc>
          <w:tcPr>
            <w:tcW w:w="2234" w:type="dxa"/>
            <w:tcBorders>
              <w:top w:val="single" w:sz="17"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single" w:sz="17" w:space="0" w:color="000000"/>
              <w:left w:val="nil" w:sz="6" w:space="0" w:color="auto"/>
              <w:bottom w:val="nil" w:sz="6" w:space="0" w:color="auto"/>
              <w:right w:val="nil" w:sz="6" w:space="0" w:color="auto"/>
            </w:tcBorders>
          </w:tcPr>
          <w:p>
            <w:pPr/>
          </w:p>
        </w:tc>
      </w:tr>
      <w:tr>
        <w:trPr>
          <w:trHeight w:val="414"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10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142"/>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59" w:right="0"/>
              <w:jc w:val="left"/>
              <w:rPr>
                <w:rFonts w:ascii="宋体" w:hAnsi="宋体" w:cs="宋体" w:eastAsia="宋体" w:hint="default"/>
                <w:sz w:val="22"/>
                <w:szCs w:val="22"/>
              </w:rPr>
            </w:pPr>
            <w:r>
              <w:rPr>
                <w:rFonts w:ascii="宋体" w:hAnsi="宋体" w:cs="宋体" w:eastAsia="宋体" w:hint="default"/>
                <w:sz w:val="22"/>
                <w:szCs w:val="22"/>
              </w:rPr>
              <w:t>现金的年末余额</w:t>
            </w:r>
          </w:p>
        </w:tc>
        <w:tc>
          <w:tcPr>
            <w:tcW w:w="2234"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w:hAnsi="Arial" w:cs="Arial" w:eastAsia="Arial" w:hint="default"/>
                <w:sz w:val="22"/>
                <w:szCs w:val="22"/>
              </w:rPr>
            </w:pPr>
            <w:r>
              <w:rPr>
                <w:rFonts w:ascii="Arial"/>
                <w:w w:val="95"/>
                <w:sz w:val="22"/>
              </w:rPr>
              <w:t>28,383,556</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57"/>
              <w:jc w:val="right"/>
              <w:rPr>
                <w:rFonts w:ascii="Arial" w:hAnsi="Arial" w:cs="Arial" w:eastAsia="Arial" w:hint="default"/>
                <w:sz w:val="22"/>
                <w:szCs w:val="22"/>
              </w:rPr>
            </w:pPr>
            <w:r>
              <w:rPr>
                <w:rFonts w:ascii="Arial"/>
                <w:w w:val="95"/>
                <w:sz w:val="22"/>
              </w:rPr>
              <w:t>22,094,474</w:t>
            </w:r>
            <w:r>
              <w:rPr>
                <w:rFonts w:ascii="Arial"/>
                <w:sz w:val="22"/>
              </w:rPr>
            </w:r>
          </w:p>
        </w:tc>
      </w:tr>
      <w:tr>
        <w:trPr>
          <w:trHeight w:val="293"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39" w:lineRule="exact"/>
              <w:ind w:left="159" w:right="0"/>
              <w:jc w:val="left"/>
              <w:rPr>
                <w:rFonts w:ascii="宋体" w:hAnsi="宋体" w:cs="宋体" w:eastAsia="宋体" w:hint="default"/>
                <w:sz w:val="22"/>
                <w:szCs w:val="22"/>
              </w:rPr>
            </w:pPr>
            <w:r>
              <w:rPr>
                <w:rFonts w:ascii="宋体" w:hAnsi="宋体" w:cs="宋体" w:eastAsia="宋体" w:hint="default"/>
                <w:sz w:val="22"/>
                <w:szCs w:val="22"/>
              </w:rPr>
              <w:t>减：现金的年初余额</w:t>
            </w:r>
          </w:p>
        </w:tc>
        <w:tc>
          <w:tcPr>
            <w:tcW w:w="2234"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17"/>
              <w:ind w:right="3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(22,094,474)</w:t>
            </w:r>
            <w:r>
              <w:rPr>
                <w:rFonts w:ascii="Arial"/>
                <w:w w:val="95"/>
                <w:sz w:val="22"/>
              </w:rPr>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tabs>
                <w:tab w:pos="964"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(11,533,374)</w:t>
            </w:r>
            <w:r>
              <w:rPr>
                <w:rFonts w:ascii="Arial"/>
                <w:sz w:val="22"/>
              </w:rPr>
            </w:r>
          </w:p>
        </w:tc>
      </w:tr>
      <w:tr>
        <w:trPr>
          <w:trHeight w:val="304" w:hRule="exact"/>
        </w:trPr>
        <w:tc>
          <w:tcPr>
            <w:tcW w:w="558" w:type="dxa"/>
            <w:tcBorders>
              <w:top w:val="nil" w:sz="6" w:space="0" w:color="auto"/>
              <w:left w:val="nil" w:sz="6" w:space="0" w:color="auto"/>
              <w:bottom w:val="nil" w:sz="6" w:space="0" w:color="auto"/>
              <w:right w:val="nil" w:sz="6" w:space="0" w:color="auto"/>
            </w:tcBorders>
          </w:tcPr>
          <w:p>
            <w:pPr/>
          </w:p>
        </w:tc>
        <w:tc>
          <w:tcPr>
            <w:tcW w:w="4124" w:type="dxa"/>
            <w:tcBorders>
              <w:top w:val="nil" w:sz="6" w:space="0" w:color="auto"/>
              <w:left w:val="nil" w:sz="6" w:space="0" w:color="auto"/>
              <w:bottom w:val="nil" w:sz="6" w:space="0" w:color="auto"/>
              <w:right w:val="nil" w:sz="6" w:space="0" w:color="auto"/>
            </w:tcBorders>
          </w:tcPr>
          <w:p>
            <w:pPr>
              <w:pStyle w:val="TableParagraph"/>
              <w:spacing w:line="247" w:lineRule="exact"/>
              <w:ind w:left="159" w:right="0"/>
              <w:jc w:val="left"/>
              <w:rPr>
                <w:rFonts w:ascii="宋体" w:hAnsi="宋体" w:cs="宋体" w:eastAsia="宋体" w:hint="default"/>
                <w:sz w:val="22"/>
                <w:szCs w:val="22"/>
              </w:rPr>
            </w:pPr>
            <w:r>
              <w:rPr>
                <w:rFonts w:ascii="宋体" w:hAnsi="宋体" w:cs="宋体" w:eastAsia="宋体" w:hint="default"/>
                <w:sz w:val="22"/>
                <w:szCs w:val="22"/>
              </w:rPr>
              <w:t>现金净增加额</w:t>
            </w:r>
          </w:p>
        </w:tc>
        <w:tc>
          <w:tcPr>
            <w:tcW w:w="2234"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06"/>
              <w:jc w:val="right"/>
              <w:rPr>
                <w:rFonts w:ascii="Arial" w:hAnsi="Arial" w:cs="Arial" w:eastAsia="Arial" w:hint="default"/>
                <w:sz w:val="22"/>
                <w:szCs w:val="22"/>
              </w:rPr>
            </w:pPr>
            <w:r>
              <w:rPr>
                <w:rFonts w:ascii="Arial"/>
                <w:w w:val="95"/>
                <w:sz w:val="22"/>
              </w:rPr>
              <w:t>6,289,082</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55"/>
              <w:jc w:val="right"/>
              <w:rPr>
                <w:rFonts w:ascii="Arial" w:hAnsi="Arial" w:cs="Arial" w:eastAsia="Arial" w:hint="default"/>
                <w:sz w:val="22"/>
                <w:szCs w:val="22"/>
              </w:rPr>
            </w:pPr>
            <w:r>
              <w:rPr>
                <w:rFonts w:ascii="Arial"/>
                <w:w w:val="95"/>
                <w:sz w:val="22"/>
              </w:rPr>
              <w:t>10,561,100</w:t>
            </w:r>
            <w:r>
              <w:rPr>
                <w:rFonts w:ascii="Arial"/>
                <w:sz w:val="22"/>
              </w:rPr>
            </w:r>
          </w:p>
        </w:tc>
      </w:tr>
    </w:tbl>
    <w:p>
      <w:pPr>
        <w:spacing w:after="0" w:line="240" w:lineRule="auto"/>
        <w:jc w:val="right"/>
        <w:rPr>
          <w:rFonts w:ascii="Arial" w:hAnsi="Arial" w:cs="Arial" w:eastAsia="Arial" w:hint="default"/>
          <w:sz w:val="22"/>
          <w:szCs w:val="22"/>
        </w:rPr>
        <w:sectPr>
          <w:headerReference w:type="default" r:id="rId150"/>
          <w:pgSz w:w="11900" w:h="16840"/>
          <w:pgMar w:header="1184" w:footer="752" w:top="3040" w:bottom="940" w:left="1220" w:right="1000"/>
        </w:sectPr>
      </w:pPr>
    </w:p>
    <w:p>
      <w:pPr>
        <w:spacing w:line="240" w:lineRule="auto" w:before="7"/>
        <w:rPr>
          <w:rFonts w:ascii="Times New Roman" w:hAnsi="Times New Roman" w:cs="Times New Roman" w:eastAsia="Times New Roman" w:hint="default"/>
          <w:sz w:val="22"/>
          <w:szCs w:val="22"/>
        </w:rPr>
      </w:pPr>
    </w:p>
    <w:p>
      <w:pPr>
        <w:pStyle w:val="BodyText"/>
        <w:spacing w:line="240" w:lineRule="auto" w:before="31"/>
        <w:ind w:left="304" w:right="888"/>
        <w:jc w:val="left"/>
        <w:rPr>
          <w:rFonts w:ascii="黑体" w:hAnsi="黑体" w:cs="黑体" w:eastAsia="黑体" w:hint="default"/>
        </w:rPr>
      </w:pPr>
      <w:r>
        <w:rPr/>
        <w:pict>
          <v:group style="position:absolute;margin-left:463.679993pt;margin-top:76.017975pt;width:.1pt;height:48.75pt;mso-position-horizontal-relative:page;mso-position-vertical-relative:paragraph;z-index:-814336" coordorigin="9274,1520" coordsize="2,975">
            <v:shape style="position:absolute;left:9274;top:1520;width:2;height:975" coordorigin="9274,1520" coordsize="0,975" path="m9274,1520l9274,2495e" filled="false" stroked="true" strokeweight=".71997pt" strokecolor="#000000">
              <v:path arrowok="t"/>
            </v:shape>
            <w10:wrap type="none"/>
          </v:group>
        </w:pict>
      </w:r>
      <w:r>
        <w:rPr>
          <w:rFonts w:ascii="黑体" w:hAnsi="黑体" w:cs="黑体" w:eastAsia="黑体" w:hint="default"/>
        </w:rPr>
        <w:t>一、非经常性损益明细表</w:t>
      </w:r>
    </w:p>
    <w:p>
      <w:pPr>
        <w:spacing w:line="240" w:lineRule="auto" w:before="11"/>
        <w:rPr>
          <w:rFonts w:ascii="黑体" w:hAnsi="黑体" w:cs="黑体" w:eastAsia="黑体" w:hint="default"/>
          <w:sz w:val="17"/>
          <w:szCs w:val="17"/>
        </w:rPr>
      </w:pPr>
    </w:p>
    <w:tbl>
      <w:tblPr>
        <w:tblW w:w="0" w:type="auto"/>
        <w:jc w:val="left"/>
        <w:tblInd w:w="727" w:type="dxa"/>
        <w:tblLayout w:type="fixed"/>
        <w:tblCellMar>
          <w:top w:w="0" w:type="dxa"/>
          <w:left w:w="0" w:type="dxa"/>
          <w:bottom w:w="0" w:type="dxa"/>
          <w:right w:w="0" w:type="dxa"/>
        </w:tblCellMar>
        <w:tblLook w:val="01E0"/>
      </w:tblPr>
      <w:tblGrid>
        <w:gridCol w:w="5470"/>
        <w:gridCol w:w="1559"/>
        <w:gridCol w:w="238"/>
        <w:gridCol w:w="1454"/>
      </w:tblGrid>
      <w:tr>
        <w:trPr>
          <w:trHeight w:val="361"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55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62"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315" w:hRule="exact"/>
        </w:trPr>
        <w:tc>
          <w:tcPr>
            <w:tcW w:w="5470" w:type="dxa"/>
            <w:tcBorders>
              <w:top w:val="nil" w:sz="6" w:space="0" w:color="auto"/>
              <w:left w:val="nil" w:sz="6" w:space="0" w:color="auto"/>
              <w:bottom w:val="nil" w:sz="6" w:space="0" w:color="auto"/>
              <w:right w:val="nil" w:sz="6" w:space="0" w:color="auto"/>
            </w:tcBorders>
          </w:tcPr>
          <w:p>
            <w:pPr/>
          </w:p>
        </w:tc>
        <w:tc>
          <w:tcPr>
            <w:tcW w:w="1559" w:type="dxa"/>
            <w:tcBorders>
              <w:top w:val="single" w:sz="6"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single" w:sz="6" w:space="0" w:color="000000"/>
              <w:left w:val="nil" w:sz="6" w:space="0" w:color="auto"/>
              <w:bottom w:val="nil" w:sz="6" w:space="0" w:color="auto"/>
              <w:right w:val="nil" w:sz="6" w:space="0" w:color="auto"/>
            </w:tcBorders>
          </w:tcPr>
          <w:p>
            <w:pPr>
              <w:pStyle w:val="TableParagraph"/>
              <w:spacing w:line="267" w:lineRule="exact"/>
              <w:ind w:left="246" w:right="0"/>
              <w:jc w:val="left"/>
              <w:rPr>
                <w:rFonts w:ascii="宋体" w:hAnsi="宋体" w:cs="宋体" w:eastAsia="宋体" w:hint="default"/>
                <w:sz w:val="22"/>
                <w:szCs w:val="22"/>
              </w:rPr>
            </w:pPr>
            <w:r>
              <w:rPr>
                <w:rFonts w:ascii="宋体" w:hAnsi="宋体" w:cs="宋体" w:eastAsia="宋体" w:hint="default"/>
                <w:sz w:val="22"/>
                <w:szCs w:val="22"/>
              </w:rPr>
              <w:t>（经重列）</w:t>
            </w:r>
          </w:p>
        </w:tc>
      </w:tr>
      <w:tr>
        <w:trPr>
          <w:trHeight w:val="300"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2"/>
                <w:szCs w:val="22"/>
              </w:rPr>
            </w:pPr>
            <w:r>
              <w:rPr>
                <w:rFonts w:ascii="宋体" w:hAnsi="宋体" w:cs="宋体" w:eastAsia="宋体" w:hint="default"/>
                <w:sz w:val="22"/>
                <w:szCs w:val="22"/>
              </w:rPr>
              <w:t>－营业外收入（注）</w:t>
            </w:r>
          </w:p>
        </w:tc>
        <w:tc>
          <w:tcPr>
            <w:tcW w:w="1559"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96"/>
              <w:jc w:val="right"/>
              <w:rPr>
                <w:rFonts w:ascii="Arial" w:hAnsi="Arial" w:cs="Arial" w:eastAsia="Arial" w:hint="default"/>
                <w:sz w:val="22"/>
                <w:szCs w:val="22"/>
              </w:rPr>
            </w:pPr>
            <w:r>
              <w:rPr>
                <w:rFonts w:ascii="Arial"/>
                <w:w w:val="95"/>
                <w:sz w:val="22"/>
              </w:rPr>
              <w:t>1,874</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106"/>
              <w:jc w:val="right"/>
              <w:rPr>
                <w:rFonts w:ascii="Arial" w:hAnsi="Arial" w:cs="Arial" w:eastAsia="Arial" w:hint="default"/>
                <w:sz w:val="22"/>
                <w:szCs w:val="22"/>
              </w:rPr>
            </w:pPr>
            <w:r>
              <w:rPr>
                <w:rFonts w:ascii="Arial"/>
                <w:w w:val="95"/>
                <w:sz w:val="22"/>
              </w:rPr>
              <w:t>1,060</w:t>
            </w:r>
            <w:r>
              <w:rPr>
                <w:rFonts w:ascii="Arial"/>
                <w:sz w:val="22"/>
              </w:rPr>
            </w:r>
          </w:p>
        </w:tc>
      </w:tr>
      <w:tr>
        <w:trPr>
          <w:trHeight w:val="328" w:hRule="exact"/>
        </w:trPr>
        <w:tc>
          <w:tcPr>
            <w:tcW w:w="5470" w:type="dxa"/>
            <w:tcBorders>
              <w:top w:val="nil" w:sz="6" w:space="0" w:color="auto"/>
              <w:left w:val="nil" w:sz="6" w:space="0" w:color="auto"/>
              <w:bottom w:val="nil" w:sz="6" w:space="0" w:color="auto"/>
              <w:right w:val="single" w:sz="6" w:space="0" w:color="000000"/>
            </w:tcBorders>
          </w:tcPr>
          <w:p>
            <w:pPr>
              <w:pStyle w:val="TableParagraph"/>
              <w:spacing w:line="275" w:lineRule="exact"/>
              <w:ind w:left="254" w:right="0"/>
              <w:jc w:val="left"/>
              <w:rPr>
                <w:rFonts w:ascii="宋体" w:hAnsi="宋体" w:cs="宋体" w:eastAsia="宋体" w:hint="default"/>
                <w:sz w:val="22"/>
                <w:szCs w:val="22"/>
              </w:rPr>
            </w:pPr>
            <w:r>
              <w:rPr>
                <w:rFonts w:ascii="宋体" w:hAnsi="宋体" w:cs="宋体" w:eastAsia="宋体" w:hint="default"/>
                <w:sz w:val="22"/>
                <w:szCs w:val="22"/>
              </w:rPr>
              <w:t>其中：非流动资产处置收益</w:t>
            </w:r>
          </w:p>
        </w:tc>
        <w:tc>
          <w:tcPr>
            <w:tcW w:w="155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89"/>
              <w:jc w:val="right"/>
              <w:rPr>
                <w:rFonts w:ascii="Arial" w:hAnsi="Arial" w:cs="Arial" w:eastAsia="Arial" w:hint="default"/>
                <w:sz w:val="22"/>
                <w:szCs w:val="22"/>
              </w:rPr>
            </w:pPr>
            <w:r>
              <w:rPr>
                <w:rFonts w:ascii="Arial"/>
                <w:w w:val="95"/>
                <w:sz w:val="22"/>
              </w:rPr>
              <w:t>1,174</w:t>
            </w:r>
            <w:r>
              <w:rPr>
                <w:rFonts w:ascii="Arial"/>
                <w:sz w:val="22"/>
              </w:rPr>
            </w:r>
          </w:p>
        </w:tc>
        <w:tc>
          <w:tcPr>
            <w:tcW w:w="238" w:type="dxa"/>
            <w:tcBorders>
              <w:top w:val="nil" w:sz="6" w:space="0" w:color="auto"/>
              <w:left w:val="single" w:sz="6" w:space="0" w:color="000000"/>
              <w:bottom w:val="nil" w:sz="6" w:space="0" w:color="auto"/>
              <w:right w:val="nil" w:sz="6" w:space="0" w:color="auto"/>
            </w:tcBorders>
          </w:tcPr>
          <w:p>
            <w:pPr/>
          </w:p>
        </w:tc>
        <w:tc>
          <w:tcPr>
            <w:tcW w:w="1454"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right="98"/>
              <w:jc w:val="right"/>
              <w:rPr>
                <w:rFonts w:ascii="Arial" w:hAnsi="Arial" w:cs="Arial" w:eastAsia="Arial" w:hint="default"/>
                <w:sz w:val="22"/>
                <w:szCs w:val="22"/>
              </w:rPr>
            </w:pPr>
            <w:r>
              <w:rPr>
                <w:rFonts w:ascii="Arial"/>
                <w:w w:val="95"/>
                <w:sz w:val="22"/>
              </w:rPr>
              <w:t>213</w:t>
            </w:r>
            <w:r>
              <w:rPr>
                <w:rFonts w:ascii="Arial"/>
                <w:sz w:val="22"/>
              </w:rPr>
            </w:r>
          </w:p>
        </w:tc>
      </w:tr>
      <w:tr>
        <w:trPr>
          <w:trHeight w:val="323" w:hRule="exact"/>
        </w:trPr>
        <w:tc>
          <w:tcPr>
            <w:tcW w:w="5470" w:type="dxa"/>
            <w:tcBorders>
              <w:top w:val="nil" w:sz="6" w:space="0" w:color="auto"/>
              <w:left w:val="nil" w:sz="6" w:space="0" w:color="auto"/>
              <w:bottom w:val="nil" w:sz="6" w:space="0" w:color="auto"/>
              <w:right w:val="single" w:sz="6" w:space="0" w:color="000000"/>
            </w:tcBorders>
          </w:tcPr>
          <w:p>
            <w:pPr>
              <w:pStyle w:val="TableParagraph"/>
              <w:spacing w:line="247" w:lineRule="exact"/>
              <w:ind w:left="914"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25"/>
              <w:ind w:right="89"/>
              <w:jc w:val="right"/>
              <w:rPr>
                <w:rFonts w:ascii="Arial" w:hAnsi="Arial" w:cs="Arial" w:eastAsia="Arial" w:hint="default"/>
                <w:sz w:val="22"/>
                <w:szCs w:val="22"/>
              </w:rPr>
            </w:pPr>
            <w:r>
              <w:rPr>
                <w:rFonts w:ascii="Arial"/>
                <w:w w:val="95"/>
                <w:sz w:val="22"/>
              </w:rPr>
              <w:t>118</w:t>
            </w:r>
            <w:r>
              <w:rPr>
                <w:rFonts w:ascii="Arial"/>
                <w:sz w:val="22"/>
              </w:rPr>
            </w:r>
          </w:p>
        </w:tc>
        <w:tc>
          <w:tcPr>
            <w:tcW w:w="238" w:type="dxa"/>
            <w:tcBorders>
              <w:top w:val="nil" w:sz="6" w:space="0" w:color="auto"/>
              <w:left w:val="single" w:sz="6" w:space="0" w:color="000000"/>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right="98"/>
              <w:jc w:val="right"/>
              <w:rPr>
                <w:rFonts w:ascii="Arial" w:hAnsi="Arial" w:cs="Arial" w:eastAsia="Arial" w:hint="default"/>
                <w:sz w:val="22"/>
                <w:szCs w:val="22"/>
              </w:rPr>
            </w:pPr>
            <w:r>
              <w:rPr>
                <w:rFonts w:ascii="Arial"/>
                <w:w w:val="95"/>
                <w:sz w:val="22"/>
              </w:rPr>
              <w:t>112</w:t>
            </w:r>
            <w:r>
              <w:rPr>
                <w:rFonts w:ascii="Arial"/>
                <w:sz w:val="22"/>
              </w:rPr>
            </w:r>
          </w:p>
        </w:tc>
      </w:tr>
      <w:tr>
        <w:trPr>
          <w:trHeight w:val="309" w:hRule="exact"/>
        </w:trPr>
        <w:tc>
          <w:tcPr>
            <w:tcW w:w="5470" w:type="dxa"/>
            <w:tcBorders>
              <w:top w:val="nil" w:sz="6" w:space="0" w:color="auto"/>
              <w:left w:val="nil" w:sz="6" w:space="0" w:color="auto"/>
              <w:bottom w:val="nil" w:sz="6" w:space="0" w:color="auto"/>
              <w:right w:val="single" w:sz="6" w:space="0" w:color="000000"/>
            </w:tcBorders>
          </w:tcPr>
          <w:p>
            <w:pPr>
              <w:pStyle w:val="TableParagraph"/>
              <w:spacing w:line="269" w:lineRule="exact"/>
              <w:ind w:left="914" w:right="0"/>
              <w:jc w:val="left"/>
              <w:rPr>
                <w:rFonts w:ascii="宋体" w:hAnsi="宋体" w:cs="宋体" w:eastAsia="宋体" w:hint="default"/>
                <w:sz w:val="22"/>
                <w:szCs w:val="22"/>
              </w:rPr>
            </w:pPr>
            <w:r>
              <w:rPr>
                <w:rFonts w:ascii="宋体" w:hAnsi="宋体" w:cs="宋体" w:eastAsia="宋体" w:hint="default"/>
                <w:sz w:val="22"/>
                <w:szCs w:val="22"/>
              </w:rPr>
              <w:t>其他营业外收入</w:t>
            </w:r>
          </w:p>
        </w:tc>
        <w:tc>
          <w:tcPr>
            <w:tcW w:w="155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right="89"/>
              <w:jc w:val="right"/>
              <w:rPr>
                <w:rFonts w:ascii="Arial" w:hAnsi="Arial" w:cs="Arial" w:eastAsia="Arial" w:hint="default"/>
                <w:sz w:val="22"/>
                <w:szCs w:val="22"/>
              </w:rPr>
            </w:pPr>
            <w:r>
              <w:rPr>
                <w:rFonts w:ascii="Arial"/>
                <w:w w:val="95"/>
                <w:sz w:val="22"/>
              </w:rPr>
              <w:t>582</w:t>
            </w:r>
            <w:r>
              <w:rPr>
                <w:rFonts w:ascii="Arial"/>
                <w:sz w:val="22"/>
              </w:rPr>
            </w:r>
          </w:p>
        </w:tc>
        <w:tc>
          <w:tcPr>
            <w:tcW w:w="238" w:type="dxa"/>
            <w:tcBorders>
              <w:top w:val="nil" w:sz="6" w:space="0" w:color="auto"/>
              <w:left w:val="single" w:sz="6" w:space="0" w:color="000000"/>
              <w:bottom w:val="nil" w:sz="6" w:space="0" w:color="auto"/>
              <w:right w:val="nil" w:sz="6" w:space="0" w:color="auto"/>
            </w:tcBorders>
          </w:tcPr>
          <w:p>
            <w:pPr/>
          </w:p>
        </w:tc>
        <w:tc>
          <w:tcPr>
            <w:tcW w:w="1454" w:type="dxa"/>
            <w:tcBorders>
              <w:top w:val="nil" w:sz="6" w:space="0" w:color="auto"/>
              <w:left w:val="nil" w:sz="6" w:space="0" w:color="auto"/>
              <w:bottom w:val="single" w:sz="6" w:space="0" w:color="000000"/>
              <w:right w:val="single" w:sz="6" w:space="0" w:color="000000"/>
            </w:tcBorders>
          </w:tcPr>
          <w:p>
            <w:pPr>
              <w:pStyle w:val="TableParagraph"/>
              <w:spacing w:line="240" w:lineRule="auto" w:before="47"/>
              <w:ind w:right="98"/>
              <w:jc w:val="right"/>
              <w:rPr>
                <w:rFonts w:ascii="Arial" w:hAnsi="Arial" w:cs="Arial" w:eastAsia="Arial" w:hint="default"/>
                <w:sz w:val="22"/>
                <w:szCs w:val="22"/>
              </w:rPr>
            </w:pPr>
            <w:r>
              <w:rPr>
                <w:rFonts w:ascii="Arial"/>
                <w:w w:val="95"/>
                <w:sz w:val="22"/>
              </w:rPr>
              <w:t>735</w:t>
            </w:r>
            <w:r>
              <w:rPr>
                <w:rFonts w:ascii="Arial"/>
                <w:sz w:val="22"/>
              </w:rPr>
            </w:r>
          </w:p>
        </w:tc>
      </w:tr>
      <w:tr>
        <w:trPr>
          <w:trHeight w:val="316"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75" w:lineRule="exact"/>
              <w:ind w:left="35" w:right="0"/>
              <w:jc w:val="left"/>
              <w:rPr>
                <w:rFonts w:ascii="宋体" w:hAnsi="宋体" w:cs="宋体" w:eastAsia="宋体" w:hint="default"/>
                <w:sz w:val="22"/>
                <w:szCs w:val="22"/>
              </w:rPr>
            </w:pPr>
            <w:r>
              <w:rPr>
                <w:rFonts w:ascii="宋体" w:hAnsi="宋体" w:cs="宋体" w:eastAsia="宋体" w:hint="default"/>
                <w:sz w:val="22"/>
                <w:szCs w:val="22"/>
              </w:rPr>
              <w:t>－营业外支出（注）</w:t>
            </w:r>
          </w:p>
        </w:tc>
        <w:tc>
          <w:tcPr>
            <w:tcW w:w="1559"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23"/>
              <w:jc w:val="right"/>
              <w:rPr>
                <w:rFonts w:ascii="Arial" w:hAnsi="Arial" w:cs="Arial" w:eastAsia="Arial" w:hint="default"/>
                <w:sz w:val="22"/>
                <w:szCs w:val="22"/>
              </w:rPr>
            </w:pPr>
            <w:r>
              <w:rPr>
                <w:rFonts w:ascii="Arial"/>
                <w:w w:val="95"/>
                <w:sz w:val="22"/>
              </w:rPr>
              <w:t>(865)</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32"/>
              <w:jc w:val="right"/>
              <w:rPr>
                <w:rFonts w:ascii="Arial" w:hAnsi="Arial" w:cs="Arial" w:eastAsia="Arial" w:hint="default"/>
                <w:sz w:val="22"/>
                <w:szCs w:val="22"/>
              </w:rPr>
            </w:pPr>
            <w:r>
              <w:rPr>
                <w:rFonts w:ascii="Arial"/>
                <w:w w:val="95"/>
                <w:sz w:val="22"/>
              </w:rPr>
              <w:t>(327)</w:t>
            </w:r>
            <w:r>
              <w:rPr>
                <w:rFonts w:ascii="Arial"/>
                <w:sz w:val="22"/>
              </w:rPr>
            </w:r>
          </w:p>
        </w:tc>
      </w:tr>
      <w:tr>
        <w:trPr>
          <w:trHeight w:val="328" w:hRule="exact"/>
        </w:trPr>
        <w:tc>
          <w:tcPr>
            <w:tcW w:w="5470" w:type="dxa"/>
            <w:tcBorders>
              <w:top w:val="nil" w:sz="6" w:space="0" w:color="auto"/>
              <w:left w:val="nil" w:sz="6" w:space="0" w:color="auto"/>
              <w:bottom w:val="nil" w:sz="6" w:space="0" w:color="auto"/>
              <w:right w:val="single" w:sz="6" w:space="0" w:color="000000"/>
            </w:tcBorders>
          </w:tcPr>
          <w:p>
            <w:pPr>
              <w:pStyle w:val="TableParagraph"/>
              <w:spacing w:line="275" w:lineRule="exact"/>
              <w:ind w:left="254" w:right="0"/>
              <w:jc w:val="left"/>
              <w:rPr>
                <w:rFonts w:ascii="宋体" w:hAnsi="宋体" w:cs="宋体" w:eastAsia="宋体" w:hint="default"/>
                <w:sz w:val="22"/>
                <w:szCs w:val="22"/>
              </w:rPr>
            </w:pPr>
            <w:r>
              <w:rPr>
                <w:rFonts w:ascii="宋体" w:hAnsi="宋体" w:cs="宋体" w:eastAsia="宋体" w:hint="default"/>
                <w:sz w:val="22"/>
                <w:szCs w:val="22"/>
              </w:rPr>
              <w:t>其中：非流动资产处置损失</w:t>
            </w:r>
          </w:p>
        </w:tc>
        <w:tc>
          <w:tcPr>
            <w:tcW w:w="155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16"/>
              <w:jc w:val="right"/>
              <w:rPr>
                <w:rFonts w:ascii="Arial" w:hAnsi="Arial" w:cs="Arial" w:eastAsia="Arial" w:hint="default"/>
                <w:sz w:val="22"/>
                <w:szCs w:val="22"/>
              </w:rPr>
            </w:pPr>
            <w:r>
              <w:rPr>
                <w:rFonts w:ascii="Arial"/>
                <w:w w:val="95"/>
                <w:sz w:val="22"/>
              </w:rPr>
              <w:t>(740)</w:t>
            </w:r>
            <w:r>
              <w:rPr>
                <w:rFonts w:ascii="Arial"/>
                <w:sz w:val="22"/>
              </w:rPr>
            </w:r>
          </w:p>
        </w:tc>
        <w:tc>
          <w:tcPr>
            <w:tcW w:w="238" w:type="dxa"/>
            <w:tcBorders>
              <w:top w:val="nil" w:sz="6" w:space="0" w:color="auto"/>
              <w:left w:val="single" w:sz="6" w:space="0" w:color="000000"/>
              <w:bottom w:val="nil" w:sz="6" w:space="0" w:color="auto"/>
              <w:right w:val="single" w:sz="6" w:space="0" w:color="000000"/>
            </w:tcBorders>
          </w:tcPr>
          <w:p>
            <w:pPr/>
          </w:p>
        </w:tc>
        <w:tc>
          <w:tcPr>
            <w:tcW w:w="14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25"/>
              <w:jc w:val="right"/>
              <w:rPr>
                <w:rFonts w:ascii="Arial" w:hAnsi="Arial" w:cs="Arial" w:eastAsia="Arial" w:hint="default"/>
                <w:sz w:val="22"/>
                <w:szCs w:val="22"/>
              </w:rPr>
            </w:pPr>
            <w:r>
              <w:rPr>
                <w:rFonts w:ascii="Arial"/>
                <w:w w:val="95"/>
                <w:sz w:val="22"/>
              </w:rPr>
              <w:t>(210)</w:t>
            </w:r>
            <w:r>
              <w:rPr>
                <w:rFonts w:ascii="Arial"/>
                <w:sz w:val="22"/>
              </w:rPr>
            </w:r>
          </w:p>
        </w:tc>
      </w:tr>
      <w:tr>
        <w:trPr>
          <w:trHeight w:val="287" w:hRule="exact"/>
        </w:trPr>
        <w:tc>
          <w:tcPr>
            <w:tcW w:w="5470" w:type="dxa"/>
            <w:tcBorders>
              <w:top w:val="nil" w:sz="6" w:space="0" w:color="auto"/>
              <w:left w:val="nil" w:sz="6" w:space="0" w:color="auto"/>
              <w:bottom w:val="nil" w:sz="6" w:space="0" w:color="auto"/>
              <w:right w:val="single" w:sz="6" w:space="0" w:color="000000"/>
            </w:tcBorders>
          </w:tcPr>
          <w:p>
            <w:pPr>
              <w:pStyle w:val="TableParagraph"/>
              <w:spacing w:line="247" w:lineRule="exact"/>
              <w:ind w:left="907" w:right="0"/>
              <w:jc w:val="left"/>
              <w:rPr>
                <w:rFonts w:ascii="宋体" w:hAnsi="宋体" w:cs="宋体" w:eastAsia="宋体" w:hint="default"/>
                <w:sz w:val="22"/>
                <w:szCs w:val="22"/>
              </w:rPr>
            </w:pPr>
            <w:r>
              <w:rPr>
                <w:rFonts w:ascii="宋体" w:hAnsi="宋体" w:cs="宋体" w:eastAsia="宋体" w:hint="default"/>
                <w:sz w:val="22"/>
                <w:szCs w:val="22"/>
              </w:rPr>
              <w:t>其他营业外支出</w:t>
            </w:r>
          </w:p>
        </w:tc>
        <w:tc>
          <w:tcPr>
            <w:tcW w:w="155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16"/>
              <w:jc w:val="right"/>
              <w:rPr>
                <w:rFonts w:ascii="Arial" w:hAnsi="Arial" w:cs="Arial" w:eastAsia="Arial" w:hint="default"/>
                <w:sz w:val="22"/>
                <w:szCs w:val="22"/>
              </w:rPr>
            </w:pPr>
            <w:r>
              <w:rPr>
                <w:rFonts w:ascii="Arial"/>
                <w:w w:val="95"/>
                <w:sz w:val="22"/>
              </w:rPr>
              <w:t>(125)</w:t>
            </w:r>
            <w:r>
              <w:rPr>
                <w:rFonts w:ascii="Arial"/>
                <w:sz w:val="22"/>
              </w:rPr>
            </w:r>
          </w:p>
        </w:tc>
        <w:tc>
          <w:tcPr>
            <w:tcW w:w="238" w:type="dxa"/>
            <w:tcBorders>
              <w:top w:val="nil" w:sz="6" w:space="0" w:color="auto"/>
              <w:left w:val="single" w:sz="6" w:space="0" w:color="000000"/>
              <w:bottom w:val="nil" w:sz="6" w:space="0" w:color="auto"/>
              <w:right w:val="single" w:sz="6" w:space="0" w:color="000000"/>
            </w:tcBorders>
          </w:tcPr>
          <w:p>
            <w:pPr/>
          </w:p>
        </w:tc>
        <w:tc>
          <w:tcPr>
            <w:tcW w:w="145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25"/>
              <w:jc w:val="right"/>
              <w:rPr>
                <w:rFonts w:ascii="Arial" w:hAnsi="Arial" w:cs="Arial" w:eastAsia="Arial" w:hint="default"/>
                <w:sz w:val="22"/>
                <w:szCs w:val="22"/>
              </w:rPr>
            </w:pPr>
            <w:r>
              <w:rPr>
                <w:rFonts w:ascii="Arial"/>
                <w:w w:val="95"/>
                <w:sz w:val="22"/>
              </w:rPr>
              <w:t>(117)</w:t>
            </w:r>
            <w:r>
              <w:rPr>
                <w:rFonts w:ascii="Arial"/>
                <w:sz w:val="22"/>
              </w:rPr>
            </w:r>
          </w:p>
        </w:tc>
      </w:tr>
      <w:tr>
        <w:trPr>
          <w:trHeight w:val="478"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75" w:lineRule="exact"/>
              <w:ind w:left="946"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59"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right="96"/>
              <w:jc w:val="right"/>
              <w:rPr>
                <w:rFonts w:ascii="Arial" w:hAnsi="Arial" w:cs="Arial" w:eastAsia="Arial" w:hint="default"/>
                <w:sz w:val="22"/>
                <w:szCs w:val="22"/>
              </w:rPr>
            </w:pPr>
            <w:r>
              <w:rPr>
                <w:rFonts w:ascii="Arial"/>
                <w:w w:val="95"/>
                <w:sz w:val="22"/>
              </w:rPr>
              <w:t>1,009</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right="106"/>
              <w:jc w:val="right"/>
              <w:rPr>
                <w:rFonts w:ascii="Arial" w:hAnsi="Arial" w:cs="Arial" w:eastAsia="Arial" w:hint="default"/>
                <w:sz w:val="22"/>
                <w:szCs w:val="22"/>
              </w:rPr>
            </w:pPr>
            <w:r>
              <w:rPr>
                <w:rFonts w:ascii="Arial"/>
                <w:w w:val="95"/>
                <w:sz w:val="22"/>
              </w:rPr>
              <w:t>733</w:t>
            </w:r>
            <w:r>
              <w:rPr>
                <w:rFonts w:ascii="Arial"/>
                <w:sz w:val="22"/>
              </w:rPr>
            </w:r>
          </w:p>
        </w:tc>
      </w:tr>
      <w:tr>
        <w:trPr>
          <w:trHeight w:val="458"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2"/>
                <w:szCs w:val="22"/>
              </w:rPr>
            </w:pPr>
            <w:r>
              <w:rPr>
                <w:rFonts w:ascii="宋体" w:hAnsi="宋体" w:cs="宋体" w:eastAsia="宋体" w:hint="default"/>
                <w:sz w:val="22"/>
                <w:szCs w:val="22"/>
              </w:rPr>
              <w:t>－所得税影响数</w:t>
            </w:r>
          </w:p>
        </w:tc>
        <w:tc>
          <w:tcPr>
            <w:tcW w:w="1559"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0" w:lineRule="auto" w:before="175"/>
              <w:ind w:right="2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(264)</w:t>
            </w:r>
            <w:r>
              <w:rPr>
                <w:rFonts w:ascii="Arial"/>
                <w:w w:val="95"/>
                <w:sz w:val="22"/>
              </w:rPr>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905" w:val="left" w:leader="none"/>
              </w:tabs>
              <w:spacing w:line="240" w:lineRule="auto" w:before="175"/>
              <w:ind w:right="3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(203)</w:t>
            </w:r>
            <w:r>
              <w:rPr>
                <w:rFonts w:ascii="Arial"/>
                <w:w w:val="95"/>
                <w:sz w:val="22"/>
              </w:rPr>
            </w:r>
            <w:r>
              <w:rPr>
                <w:rFonts w:ascii="Arial"/>
                <w:sz w:val="22"/>
              </w:rPr>
            </w:r>
          </w:p>
        </w:tc>
      </w:tr>
      <w:tr>
        <w:trPr>
          <w:trHeight w:val="458"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6"/>
              <w:jc w:val="right"/>
              <w:rPr>
                <w:rFonts w:ascii="Arial" w:hAnsi="Arial" w:cs="Arial" w:eastAsia="Arial" w:hint="default"/>
                <w:sz w:val="22"/>
                <w:szCs w:val="22"/>
              </w:rPr>
            </w:pPr>
            <w:r>
              <w:rPr>
                <w:rFonts w:ascii="Arial"/>
                <w:w w:val="95"/>
                <w:sz w:val="22"/>
              </w:rPr>
              <w:t>745</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w w:val="95"/>
                <w:sz w:val="22"/>
              </w:rPr>
              <w:t>530</w:t>
            </w:r>
            <w:r>
              <w:rPr>
                <w:rFonts w:ascii="Arial"/>
                <w:sz w:val="22"/>
              </w:rPr>
            </w:r>
          </w:p>
        </w:tc>
      </w:tr>
      <w:tr>
        <w:trPr>
          <w:trHeight w:val="457"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2"/>
                <w:szCs w:val="22"/>
              </w:rPr>
            </w:pPr>
            <w:r>
              <w:rPr>
                <w:rFonts w:ascii="宋体" w:hAnsi="宋体" w:cs="宋体" w:eastAsia="宋体" w:hint="default"/>
                <w:sz w:val="22"/>
                <w:szCs w:val="22"/>
              </w:rPr>
              <w:t>－同一控制下收购联通新时讯合并日前的当期净利润</w:t>
            </w:r>
          </w:p>
        </w:tc>
        <w:tc>
          <w:tcPr>
            <w:tcW w:w="1559" w:type="dxa"/>
            <w:tcBorders>
              <w:top w:val="nil" w:sz="6" w:space="0" w:color="auto"/>
              <w:left w:val="nil" w:sz="6" w:space="0" w:color="auto"/>
              <w:bottom w:val="nil" w:sz="6" w:space="0" w:color="auto"/>
              <w:right w:val="nil" w:sz="6" w:space="0" w:color="auto"/>
            </w:tcBorders>
          </w:tcPr>
          <w:p>
            <w:pPr>
              <w:pStyle w:val="TableParagraph"/>
              <w:tabs>
                <w:tab w:pos="1337" w:val="left" w:leader="none"/>
                <w:tab w:pos="1558" w:val="left" w:leader="none"/>
              </w:tabs>
              <w:spacing w:line="240" w:lineRule="auto" w:before="175"/>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w:t>
            </w:r>
            <w:r>
              <w:rPr>
                <w:rFonts w:ascii="Arial"/>
                <w:sz w:val="22"/>
                <w:u w:val="single" w:color="000000"/>
              </w:rPr>
              <w:tab/>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1101" w:val="left" w:leader="none"/>
                <w:tab w:pos="1454" w:val="left" w:leader="none"/>
              </w:tabs>
              <w:spacing w:line="240" w:lineRule="auto" w:before="175"/>
              <w:ind w:right="-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20</w:t>
            </w:r>
            <w:r>
              <w:rPr>
                <w:rFonts w:ascii="Arial"/>
                <w:sz w:val="22"/>
                <w:u w:val="single" w:color="000000"/>
              </w:rPr>
              <w:tab/>
            </w:r>
            <w:r>
              <w:rPr>
                <w:rFonts w:ascii="Arial"/>
                <w:sz w:val="22"/>
              </w:rPr>
            </w:r>
          </w:p>
        </w:tc>
      </w:tr>
      <w:tr>
        <w:trPr>
          <w:trHeight w:val="457"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6"/>
              <w:jc w:val="right"/>
              <w:rPr>
                <w:rFonts w:ascii="Arial" w:hAnsi="Arial" w:cs="Arial" w:eastAsia="Arial" w:hint="default"/>
                <w:sz w:val="22"/>
                <w:szCs w:val="22"/>
              </w:rPr>
            </w:pPr>
            <w:r>
              <w:rPr>
                <w:rFonts w:ascii="Arial"/>
                <w:w w:val="95"/>
                <w:sz w:val="22"/>
              </w:rPr>
              <w:t>754</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w w:val="95"/>
                <w:sz w:val="22"/>
              </w:rPr>
              <w:t>550</w:t>
            </w:r>
            <w:r>
              <w:rPr>
                <w:rFonts w:ascii="Arial"/>
                <w:sz w:val="22"/>
              </w:rPr>
            </w:r>
          </w:p>
        </w:tc>
      </w:tr>
      <w:tr>
        <w:trPr>
          <w:trHeight w:val="608"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2"/>
                <w:szCs w:val="22"/>
              </w:rPr>
            </w:pPr>
            <w:r>
              <w:rPr>
                <w:rFonts w:ascii="宋体" w:hAnsi="宋体" w:cs="宋体" w:eastAsia="宋体" w:hint="default"/>
                <w:sz w:val="22"/>
                <w:szCs w:val="22"/>
              </w:rPr>
              <w:t>－少数股东损益的影响</w:t>
            </w:r>
          </w:p>
        </w:tc>
        <w:tc>
          <w:tcPr>
            <w:tcW w:w="1559"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0" w:lineRule="auto" w:before="175"/>
              <w:ind w:right="2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(498)</w:t>
            </w:r>
            <w:r>
              <w:rPr>
                <w:rFonts w:ascii="Arial"/>
                <w:w w:val="95"/>
                <w:sz w:val="22"/>
              </w:rPr>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905" w:val="left" w:leader="none"/>
              </w:tabs>
              <w:spacing w:line="240" w:lineRule="auto" w:before="175"/>
              <w:ind w:right="3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(364)</w:t>
            </w:r>
            <w:r>
              <w:rPr>
                <w:rFonts w:ascii="Arial"/>
                <w:w w:val="95"/>
                <w:sz w:val="22"/>
              </w:rPr>
            </w:r>
            <w:r>
              <w:rPr>
                <w:rFonts w:ascii="Arial"/>
                <w:sz w:val="22"/>
              </w:rPr>
            </w:r>
          </w:p>
        </w:tc>
      </w:tr>
      <w:tr>
        <w:trPr>
          <w:trHeight w:val="461" w:hRule="exact"/>
        </w:trPr>
        <w:tc>
          <w:tcPr>
            <w:tcW w:w="547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559" w:type="dxa"/>
            <w:tcBorders>
              <w:top w:val="nil" w:sz="6" w:space="0" w:color="auto"/>
              <w:left w:val="nil" w:sz="6" w:space="0" w:color="auto"/>
              <w:bottom w:val="single" w:sz="17" w:space="0" w:color="000000"/>
              <w:right w:val="nil" w:sz="6" w:space="0" w:color="auto"/>
            </w:tcBorders>
          </w:tcPr>
          <w:p>
            <w:pPr>
              <w:pStyle w:val="TableParagraph"/>
              <w:spacing w:line="240" w:lineRule="auto" w:before="182"/>
              <w:ind w:right="96"/>
              <w:jc w:val="right"/>
              <w:rPr>
                <w:rFonts w:ascii="Arial" w:hAnsi="Arial" w:cs="Arial" w:eastAsia="Arial" w:hint="default"/>
                <w:sz w:val="22"/>
                <w:szCs w:val="22"/>
              </w:rPr>
            </w:pPr>
            <w:r>
              <w:rPr>
                <w:rFonts w:ascii="Arial"/>
                <w:w w:val="95"/>
                <w:sz w:val="22"/>
              </w:rPr>
              <w:t>256</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7" w:space="0" w:color="000000"/>
              <w:right w:val="nil" w:sz="6" w:space="0" w:color="auto"/>
            </w:tcBorders>
          </w:tcPr>
          <w:p>
            <w:pPr>
              <w:pStyle w:val="TableParagraph"/>
              <w:spacing w:line="240" w:lineRule="auto" w:before="182"/>
              <w:ind w:right="106"/>
              <w:jc w:val="right"/>
              <w:rPr>
                <w:rFonts w:ascii="Arial" w:hAnsi="Arial" w:cs="Arial" w:eastAsia="Arial" w:hint="default"/>
                <w:sz w:val="22"/>
                <w:szCs w:val="22"/>
              </w:rPr>
            </w:pPr>
            <w:r>
              <w:rPr>
                <w:rFonts w:ascii="Arial"/>
                <w:w w:val="95"/>
                <w:sz w:val="22"/>
              </w:rPr>
              <w:t>186</w:t>
            </w:r>
            <w:r>
              <w:rPr>
                <w:rFonts w:ascii="Arial"/>
                <w:sz w:val="22"/>
              </w:rPr>
            </w:r>
          </w:p>
        </w:tc>
      </w:tr>
    </w:tbl>
    <w:p>
      <w:pPr>
        <w:spacing w:line="240" w:lineRule="auto" w:before="7"/>
        <w:rPr>
          <w:rFonts w:ascii="黑体" w:hAnsi="黑体" w:cs="黑体" w:eastAsia="黑体" w:hint="default"/>
          <w:sz w:val="12"/>
          <w:szCs w:val="12"/>
        </w:rPr>
      </w:pPr>
    </w:p>
    <w:p>
      <w:pPr>
        <w:pStyle w:val="BodyText"/>
        <w:spacing w:line="286" w:lineRule="exact" w:before="60"/>
        <w:ind w:left="1086" w:right="97" w:hanging="363"/>
        <w:jc w:val="left"/>
      </w:pPr>
      <w:r>
        <w:rPr>
          <w:spacing w:val="-2"/>
        </w:rPr>
        <w:t>注：该营业外收入和营业外支出不包括同一控制下企业合并被合并方在合并日前发生的营业</w:t>
      </w:r>
      <w:r>
        <w:rPr>
          <w:w w:val="99"/>
        </w:rPr>
        <w:t> </w:t>
      </w:r>
      <w:r>
        <w:rPr/>
        <w:t>外收入和营业外支出。</w:t>
      </w:r>
    </w:p>
    <w:p>
      <w:pPr>
        <w:spacing w:line="240" w:lineRule="auto" w:before="1"/>
        <w:rPr>
          <w:rFonts w:ascii="宋体" w:hAnsi="宋体" w:cs="宋体" w:eastAsia="宋体" w:hint="default"/>
          <w:sz w:val="17"/>
          <w:szCs w:val="17"/>
        </w:rPr>
      </w:pPr>
    </w:p>
    <w:p>
      <w:pPr>
        <w:pStyle w:val="BodyText"/>
        <w:spacing w:line="240" w:lineRule="auto"/>
        <w:ind w:left="724" w:right="0"/>
        <w:jc w:val="both"/>
      </w:pPr>
      <w:r>
        <w:rPr/>
        <w:t>非经常性损益明细表编制基础</w:t>
      </w:r>
    </w:p>
    <w:p>
      <w:pPr>
        <w:spacing w:line="240" w:lineRule="auto" w:before="10"/>
        <w:rPr>
          <w:rFonts w:ascii="宋体" w:hAnsi="宋体" w:cs="宋体" w:eastAsia="宋体" w:hint="default"/>
          <w:sz w:val="19"/>
          <w:szCs w:val="19"/>
        </w:rPr>
      </w:pPr>
    </w:p>
    <w:p>
      <w:pPr>
        <w:pStyle w:val="BodyText"/>
        <w:spacing w:line="232" w:lineRule="auto"/>
        <w:ind w:left="724" w:right="112"/>
        <w:jc w:val="both"/>
      </w:pPr>
      <w:r>
        <w:rPr/>
        <w:t>根据《公开发行证券的公司信息披露解释性公告第</w:t>
      </w:r>
      <w:r>
        <w:rPr>
          <w:spacing w:val="-78"/>
        </w:rPr>
        <w:t> </w:t>
      </w:r>
      <w:r>
        <w:rPr>
          <w:rFonts w:ascii="Arial" w:hAnsi="Arial" w:cs="Arial" w:eastAsia="Arial" w:hint="default"/>
        </w:rPr>
        <w:t>1</w:t>
      </w:r>
      <w:r>
        <w:rPr>
          <w:rFonts w:ascii="Arial" w:hAnsi="Arial" w:cs="Arial" w:eastAsia="Arial" w:hint="default"/>
          <w:spacing w:val="-29"/>
        </w:rPr>
        <w:t> </w:t>
      </w:r>
      <w:r>
        <w:rPr/>
        <w:t>号—非经常性损益</w:t>
      </w:r>
      <w:r>
        <w:rPr>
          <w:rFonts w:ascii="Arial" w:hAnsi="Arial" w:cs="Arial" w:eastAsia="Arial" w:hint="default"/>
        </w:rPr>
        <w:t>[2008]</w:t>
      </w:r>
      <w:r>
        <w:rPr/>
        <w:t>》的规定，非</w:t>
      </w:r>
      <w:r>
        <w:rPr>
          <w:w w:val="99"/>
        </w:rPr>
        <w:t> </w:t>
      </w:r>
      <w:r>
        <w:rPr>
          <w:spacing w:val="-2"/>
        </w:rPr>
        <w:t>经常性损益是指与公司正常经营业务无直接关系，以及虽与正常经营业务相关，但由于其性</w:t>
      </w:r>
      <w:r>
        <w:rPr>
          <w:w w:val="99"/>
        </w:rPr>
        <w:t> </w:t>
      </w:r>
      <w:r>
        <w:rPr>
          <w:spacing w:val="-2"/>
        </w:rPr>
        <w:t>质特殊和偶发性，影响报表使用人对公司经营业绩和盈利作出正确判断的各项交易和事项产</w:t>
      </w:r>
      <w:r>
        <w:rPr>
          <w:w w:val="99"/>
        </w:rPr>
        <w:t> </w:t>
      </w:r>
      <w:r>
        <w:rPr/>
        <w:t>生的损益。</w:t>
      </w:r>
    </w:p>
    <w:p>
      <w:pPr>
        <w:spacing w:after="0" w:line="232" w:lineRule="auto"/>
        <w:jc w:val="both"/>
        <w:sectPr>
          <w:headerReference w:type="default" r:id="rId151"/>
          <w:pgSz w:w="11900" w:h="16840"/>
          <w:pgMar w:header="1184" w:footer="752" w:top="2280" w:bottom="940" w:left="1280" w:right="1060"/>
        </w:sectPr>
      </w:pPr>
    </w:p>
    <w:p>
      <w:pPr>
        <w:spacing w:line="240" w:lineRule="auto" w:before="11"/>
        <w:rPr>
          <w:rFonts w:ascii="宋体" w:hAnsi="宋体" w:cs="宋体" w:eastAsia="宋体" w:hint="default"/>
          <w:sz w:val="15"/>
          <w:szCs w:val="15"/>
        </w:rPr>
      </w:pPr>
    </w:p>
    <w:p>
      <w:pPr>
        <w:pStyle w:val="BodyText"/>
        <w:spacing w:line="240" w:lineRule="auto" w:before="31"/>
        <w:ind w:left="103" w:right="0"/>
        <w:jc w:val="left"/>
        <w:rPr>
          <w:rFonts w:ascii="黑体" w:hAnsi="黑体" w:cs="黑体" w:eastAsia="黑体" w:hint="default"/>
        </w:rPr>
      </w:pPr>
      <w:r>
        <w:rPr>
          <w:rFonts w:ascii="黑体" w:hAnsi="黑体" w:cs="黑体" w:eastAsia="黑体" w:hint="default"/>
        </w:rPr>
        <w:t>二、财务报表差异调节表</w:t>
      </w:r>
    </w:p>
    <w:p>
      <w:pPr>
        <w:spacing w:line="240" w:lineRule="auto" w:before="9"/>
        <w:rPr>
          <w:rFonts w:ascii="黑体" w:hAnsi="黑体" w:cs="黑体" w:eastAsia="黑体" w:hint="default"/>
          <w:sz w:val="16"/>
          <w:szCs w:val="16"/>
        </w:rPr>
      </w:pPr>
    </w:p>
    <w:p>
      <w:pPr>
        <w:pStyle w:val="BodyText"/>
        <w:spacing w:line="228" w:lineRule="auto"/>
        <w:ind w:left="562" w:right="0"/>
        <w:jc w:val="left"/>
      </w:pPr>
      <w:r>
        <w:rPr/>
        <w:t>鉴于本公司的特殊架构，即通过联通 </w:t>
      </w:r>
      <w:r>
        <w:rPr>
          <w:rFonts w:ascii="Arial" w:hAnsi="Arial" w:cs="Arial" w:eastAsia="Arial" w:hint="default"/>
        </w:rPr>
        <w:t>BVI</w:t>
      </w:r>
      <w:r>
        <w:rPr>
          <w:rFonts w:ascii="Arial" w:hAnsi="Arial" w:cs="Arial" w:eastAsia="Arial" w:hint="default"/>
          <w:spacing w:val="34"/>
        </w:rPr>
        <w:t> </w:t>
      </w:r>
      <w:r>
        <w:rPr/>
        <w:t>公司间接持有联通红筹公司的股权，联通红筹公</w:t>
      </w:r>
      <w:r>
        <w:rPr>
          <w:w w:val="99"/>
        </w:rPr>
        <w:t> </w:t>
      </w:r>
      <w:r>
        <w:rPr>
          <w:spacing w:val="-1"/>
          <w:w w:val="95"/>
        </w:rPr>
        <w:t>司为在香港注册的有限公司。联通红筹公司按照国际</w:t>
      </w:r>
      <w:r>
        <w:rPr>
          <w:rFonts w:ascii="Arial" w:hAnsi="Arial" w:cs="Arial" w:eastAsia="Arial" w:hint="default"/>
          <w:spacing w:val="-1"/>
          <w:w w:val="95"/>
        </w:rPr>
        <w:t>/</w:t>
      </w:r>
      <w:r>
        <w:rPr>
          <w:spacing w:val="-1"/>
          <w:w w:val="95"/>
        </w:rPr>
        <w:t>香港财务报告准则编制合并财务报表，</w:t>
      </w:r>
      <w:r>
        <w:rPr>
          <w:spacing w:val="14"/>
          <w:w w:val="95"/>
        </w:rPr>
        <w:t> </w:t>
      </w:r>
      <w:r>
        <w:rPr>
          <w:spacing w:val="14"/>
          <w:w w:val="95"/>
        </w:rPr>
      </w:r>
      <w:r>
        <w:rPr/>
        <w:t>并已经罗兵咸永道会计师事务所审计，本集团按照财政部于</w:t>
      </w:r>
      <w:r>
        <w:rPr>
          <w:spacing w:val="-50"/>
        </w:rPr>
        <w:t> </w:t>
      </w:r>
      <w:r>
        <w:rPr>
          <w:rFonts w:ascii="Arial" w:hAnsi="Arial" w:cs="Arial" w:eastAsia="Arial" w:hint="default"/>
        </w:rPr>
        <w:t>2006</w:t>
      </w:r>
      <w:r>
        <w:rPr>
          <w:rFonts w:ascii="Arial" w:hAnsi="Arial" w:cs="Arial" w:eastAsia="Arial" w:hint="default"/>
          <w:spacing w:val="-1"/>
        </w:rPr>
        <w:t> </w:t>
      </w:r>
      <w:r>
        <w:rPr/>
        <w:t>年</w:t>
      </w:r>
      <w:r>
        <w:rPr>
          <w:spacing w:val="-50"/>
        </w:rPr>
        <w:t> </w:t>
      </w:r>
      <w:r>
        <w:rPr>
          <w:rFonts w:ascii="Arial" w:hAnsi="Arial" w:cs="Arial" w:eastAsia="Arial" w:hint="default"/>
        </w:rPr>
        <w:t>2</w:t>
      </w:r>
      <w:r>
        <w:rPr>
          <w:rFonts w:ascii="Arial" w:hAnsi="Arial" w:cs="Arial" w:eastAsia="Arial" w:hint="default"/>
          <w:spacing w:val="-1"/>
        </w:rPr>
        <w:t> </w:t>
      </w:r>
      <w:r>
        <w:rPr/>
        <w:t>月</w:t>
      </w:r>
      <w:r>
        <w:rPr>
          <w:spacing w:val="-50"/>
        </w:rPr>
        <w:t> </w:t>
      </w:r>
      <w:r>
        <w:rPr>
          <w:rFonts w:ascii="Arial" w:hAnsi="Arial" w:cs="Arial" w:eastAsia="Arial" w:hint="default"/>
        </w:rPr>
        <w:t>15</w:t>
      </w:r>
      <w:r>
        <w:rPr>
          <w:rFonts w:ascii="Arial" w:hAnsi="Arial" w:cs="Arial" w:eastAsia="Arial" w:hint="default"/>
          <w:spacing w:val="-1"/>
        </w:rPr>
        <w:t> </w:t>
      </w:r>
      <w:r>
        <w:rPr/>
        <w:t>日颁布的企业</w:t>
      </w:r>
      <w:r>
        <w:rPr>
          <w:w w:val="99"/>
        </w:rPr>
        <w:t> </w:t>
      </w:r>
      <w:r>
        <w:rPr>
          <w:spacing w:val="-3"/>
        </w:rPr>
        <w:t>会计准则（“新中国会计准则”）编制合并财务报表，在适用新中国会计准则前境内外会计</w:t>
      </w:r>
      <w:r>
        <w:rPr>
          <w:spacing w:val="-94"/>
        </w:rPr>
        <w:t> </w:t>
      </w:r>
      <w:r>
        <w:rPr>
          <w:spacing w:val="-94"/>
        </w:rPr>
      </w:r>
      <w:r>
        <w:rPr/>
        <w:t>准则仍存在差异。自</w:t>
      </w:r>
      <w:r>
        <w:rPr>
          <w:spacing w:val="-65"/>
        </w:rPr>
        <w:t> </w:t>
      </w:r>
      <w:r>
        <w:rPr>
          <w:rFonts w:ascii="Arial" w:hAnsi="Arial" w:cs="Arial" w:eastAsia="Arial" w:hint="default"/>
        </w:rPr>
        <w:t>2007</w:t>
      </w:r>
      <w:r>
        <w:rPr>
          <w:rFonts w:ascii="Arial" w:hAnsi="Arial" w:cs="Arial" w:eastAsia="Arial" w:hint="default"/>
          <w:spacing w:val="-16"/>
        </w:rPr>
        <w:t> </w:t>
      </w:r>
      <w:r>
        <w:rPr/>
        <w:t>年采用新中国会计准则后，无新增重大会计准则差异。该等准则</w:t>
      </w:r>
      <w:r>
        <w:rPr>
          <w:w w:val="99"/>
        </w:rPr>
        <w:t> </w:t>
      </w:r>
      <w:r>
        <w:rPr/>
        <w:t>差异对本集团净利润和净资产的影响列示如下：</w:t>
      </w:r>
    </w:p>
    <w:p>
      <w:pPr>
        <w:spacing w:line="240" w:lineRule="auto" w:before="8"/>
        <w:rPr>
          <w:rFonts w:ascii="宋体" w:hAnsi="宋体" w:cs="宋体" w:eastAsia="宋体" w:hint="default"/>
          <w:sz w:val="12"/>
          <w:szCs w:val="12"/>
        </w:rPr>
      </w:pPr>
    </w:p>
    <w:tbl>
      <w:tblPr>
        <w:tblW w:w="0" w:type="auto"/>
        <w:jc w:val="left"/>
        <w:tblInd w:w="563" w:type="dxa"/>
        <w:tblLayout w:type="fixed"/>
        <w:tblCellMar>
          <w:top w:w="0" w:type="dxa"/>
          <w:left w:w="0" w:type="dxa"/>
          <w:bottom w:w="0" w:type="dxa"/>
          <w:right w:w="0" w:type="dxa"/>
        </w:tblCellMar>
        <w:tblLook w:val="01E0"/>
      </w:tblPr>
      <w:tblGrid>
        <w:gridCol w:w="4824"/>
        <w:gridCol w:w="80"/>
        <w:gridCol w:w="514"/>
        <w:gridCol w:w="80"/>
        <w:gridCol w:w="1846"/>
        <w:gridCol w:w="80"/>
        <w:gridCol w:w="1822"/>
      </w:tblGrid>
      <w:tr>
        <w:trPr>
          <w:trHeight w:val="292" w:hRule="exact"/>
        </w:trPr>
        <w:tc>
          <w:tcPr>
            <w:tcW w:w="5498" w:type="dxa"/>
            <w:gridSpan w:val="4"/>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single" w:sz="6" w:space="0" w:color="000000"/>
              <w:right w:val="nil" w:sz="6" w:space="0" w:color="auto"/>
            </w:tcBorders>
          </w:tcPr>
          <w:p>
            <w:pPr>
              <w:pStyle w:val="TableParagraph"/>
              <w:spacing w:line="240" w:lineRule="auto" w:before="50"/>
              <w:ind w:right="1"/>
              <w:jc w:val="center"/>
              <w:rPr>
                <w:rFonts w:ascii="宋体" w:hAnsi="宋体" w:cs="宋体" w:eastAsia="宋体" w:hint="default"/>
                <w:sz w:val="16"/>
                <w:szCs w:val="16"/>
              </w:rPr>
            </w:pPr>
            <w:r>
              <w:rPr>
                <w:rFonts w:ascii="宋体" w:hAnsi="宋体" w:cs="宋体" w:eastAsia="宋体" w:hint="default"/>
                <w:sz w:val="16"/>
                <w:szCs w:val="16"/>
              </w:rPr>
              <w:t>净利润</w:t>
            </w:r>
          </w:p>
        </w:tc>
        <w:tc>
          <w:tcPr>
            <w:tcW w:w="80"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6" w:space="0" w:color="000000"/>
              <w:right w:val="nil" w:sz="6" w:space="0" w:color="auto"/>
            </w:tcBorders>
          </w:tcPr>
          <w:p>
            <w:pPr>
              <w:pStyle w:val="TableParagraph"/>
              <w:spacing w:line="240" w:lineRule="auto" w:before="50"/>
              <w:ind w:right="1"/>
              <w:jc w:val="center"/>
              <w:rPr>
                <w:rFonts w:ascii="宋体" w:hAnsi="宋体" w:cs="宋体" w:eastAsia="宋体" w:hint="default"/>
                <w:sz w:val="16"/>
                <w:szCs w:val="16"/>
              </w:rPr>
            </w:pPr>
            <w:r>
              <w:rPr>
                <w:rFonts w:ascii="宋体" w:hAnsi="宋体" w:cs="宋体" w:eastAsia="宋体" w:hint="default"/>
                <w:sz w:val="16"/>
                <w:szCs w:val="16"/>
              </w:rPr>
              <w:t>净资产</w:t>
            </w:r>
          </w:p>
        </w:tc>
      </w:tr>
      <w:tr>
        <w:trPr>
          <w:trHeight w:val="425" w:hRule="exact"/>
        </w:trPr>
        <w:tc>
          <w:tcPr>
            <w:tcW w:w="48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项目</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84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3"/>
              <w:jc w:val="righ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年度</w:t>
            </w:r>
          </w:p>
        </w:tc>
        <w:tc>
          <w:tcPr>
            <w:tcW w:w="80" w:type="dxa"/>
            <w:tcBorders>
              <w:top w:val="nil" w:sz="6" w:space="0" w:color="auto"/>
              <w:left w:val="nil" w:sz="6" w:space="0" w:color="auto"/>
              <w:bottom w:val="nil" w:sz="6" w:space="0" w:color="auto"/>
              <w:right w:val="nil" w:sz="6" w:space="0" w:color="auto"/>
            </w:tcBorders>
          </w:tcPr>
          <w:p>
            <w:pPr/>
          </w:p>
        </w:tc>
        <w:tc>
          <w:tcPr>
            <w:tcW w:w="1822" w:type="dxa"/>
            <w:tcBorders>
              <w:top w:val="single" w:sz="6" w:space="0" w:color="000000"/>
              <w:left w:val="nil" w:sz="6" w:space="0" w:color="auto"/>
              <w:bottom w:val="nil" w:sz="6" w:space="0" w:color="auto"/>
              <w:right w:val="nil" w:sz="6" w:space="0" w:color="auto"/>
            </w:tcBorders>
          </w:tcPr>
          <w:p>
            <w:pPr>
              <w:pStyle w:val="TableParagraph"/>
              <w:spacing w:line="187" w:lineRule="exact"/>
              <w:ind w:left="1207"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280" w:right="0"/>
              <w:jc w:val="left"/>
              <w:rPr>
                <w:rFonts w:ascii="宋体" w:hAnsi="宋体" w:cs="宋体" w:eastAsia="宋体" w:hint="default"/>
                <w:sz w:val="16"/>
                <w:szCs w:val="16"/>
              </w:rPr>
            </w:pPr>
            <w:r>
              <w:rPr>
                <w:rFonts w:ascii="Arial" w:hAnsi="Arial" w:cs="Arial" w:eastAsia="Arial" w:hint="default"/>
                <w:sz w:val="16"/>
                <w:szCs w:val="16"/>
              </w:rPr>
              <w:t>2011 </w:t>
            </w:r>
            <w:r>
              <w:rPr>
                <w:rFonts w:ascii="宋体" w:hAnsi="宋体" w:cs="宋体" w:eastAsia="宋体" w:hint="default"/>
                <w:sz w:val="16"/>
                <w:szCs w:val="16"/>
              </w:rPr>
              <w:t>年 </w:t>
            </w:r>
            <w:r>
              <w:rPr>
                <w:rFonts w:ascii="Arial" w:hAnsi="Arial" w:cs="Arial" w:eastAsia="Arial" w:hint="default"/>
                <w:sz w:val="16"/>
                <w:szCs w:val="16"/>
              </w:rPr>
              <w:t>12 </w:t>
            </w:r>
            <w:r>
              <w:rPr>
                <w:rFonts w:ascii="宋体" w:hAnsi="宋体" w:cs="宋体" w:eastAsia="宋体" w:hint="default"/>
                <w:sz w:val="16"/>
                <w:szCs w:val="16"/>
              </w:rPr>
              <w:t>月 </w:t>
            </w:r>
            <w:r>
              <w:rPr>
                <w:rFonts w:ascii="Arial" w:hAnsi="Arial" w:cs="Arial" w:eastAsia="Arial" w:hint="default"/>
                <w:sz w:val="16"/>
                <w:szCs w:val="16"/>
              </w:rPr>
              <w:t>31</w:t>
            </w:r>
            <w:r>
              <w:rPr>
                <w:rFonts w:ascii="Arial" w:hAnsi="Arial" w:cs="Arial" w:eastAsia="Arial" w:hint="default"/>
                <w:spacing w:val="-7"/>
                <w:sz w:val="16"/>
                <w:szCs w:val="16"/>
              </w:rPr>
              <w:t> </w:t>
            </w:r>
            <w:r>
              <w:rPr>
                <w:rFonts w:ascii="宋体" w:hAnsi="宋体" w:cs="宋体" w:eastAsia="宋体" w:hint="default"/>
                <w:sz w:val="16"/>
                <w:szCs w:val="16"/>
              </w:rPr>
              <w:t>日</w:t>
            </w:r>
          </w:p>
        </w:tc>
      </w:tr>
      <w:tr>
        <w:trPr>
          <w:trHeight w:val="212" w:hRule="exact"/>
        </w:trPr>
        <w:tc>
          <w:tcPr>
            <w:tcW w:w="4824" w:type="dxa"/>
            <w:tcBorders>
              <w:top w:val="nil" w:sz="6" w:space="0" w:color="auto"/>
              <w:left w:val="nil" w:sz="6" w:space="0" w:color="auto"/>
              <w:bottom w:val="single" w:sz="6" w:space="0" w:color="000000"/>
              <w:right w:val="nil" w:sz="6" w:space="0" w:color="auto"/>
            </w:tcBorders>
          </w:tcPr>
          <w:p>
            <w:pPr>
              <w:pStyle w:val="TableParagraph"/>
              <w:spacing w:line="180" w:lineRule="exact"/>
              <w:ind w:right="1"/>
              <w:jc w:val="center"/>
              <w:rPr>
                <w:rFonts w:ascii="宋体" w:hAnsi="宋体" w:cs="宋体" w:eastAsia="宋体" w:hint="default"/>
                <w:sz w:val="16"/>
                <w:szCs w:val="16"/>
              </w:rPr>
            </w:pPr>
            <w:r>
              <w:rPr>
                <w:rFonts w:ascii="宋体" w:hAnsi="宋体" w:cs="宋体" w:eastAsia="宋体" w:hint="default"/>
                <w:sz w:val="16"/>
                <w:szCs w:val="16"/>
              </w:rPr>
              <w:t>（单位：人民币百万元）</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single" w:sz="6" w:space="0" w:color="000000"/>
              <w:right w:val="nil" w:sz="6" w:space="0" w:color="auto"/>
            </w:tcBorders>
          </w:tcPr>
          <w:p>
            <w:pPr>
              <w:pStyle w:val="TableParagraph"/>
              <w:spacing w:line="180" w:lineRule="exact"/>
              <w:ind w:left="95" w:right="0"/>
              <w:jc w:val="left"/>
              <w:rPr>
                <w:rFonts w:ascii="宋体" w:hAnsi="宋体" w:cs="宋体" w:eastAsia="宋体" w:hint="default"/>
                <w:sz w:val="16"/>
                <w:szCs w:val="16"/>
              </w:rPr>
            </w:pPr>
            <w:r>
              <w:rPr>
                <w:rFonts w:ascii="宋体" w:hAnsi="宋体" w:cs="宋体" w:eastAsia="宋体" w:hint="default"/>
                <w:sz w:val="16"/>
                <w:szCs w:val="16"/>
              </w:rPr>
              <w:t>注释</w:t>
            </w:r>
          </w:p>
        </w:tc>
        <w:tc>
          <w:tcPr>
            <w:tcW w:w="80"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single" w:sz="6" w:space="0" w:color="000000"/>
              <w:right w:val="nil" w:sz="6" w:space="0" w:color="auto"/>
            </w:tcBorders>
          </w:tcPr>
          <w:p>
            <w:pPr>
              <w:pStyle w:val="TableParagraph"/>
              <w:spacing w:line="191" w:lineRule="exact"/>
              <w:ind w:right="32"/>
              <w:jc w:val="right"/>
              <w:rPr>
                <w:rFonts w:ascii="宋体" w:hAnsi="宋体" w:cs="宋体" w:eastAsia="宋体" w:hint="default"/>
                <w:sz w:val="16"/>
                <w:szCs w:val="16"/>
              </w:rPr>
            </w:pPr>
            <w:r>
              <w:rPr>
                <w:rFonts w:ascii="Arial" w:hAnsi="Arial" w:cs="Arial" w:eastAsia="Arial" w:hint="default"/>
                <w:sz w:val="16"/>
                <w:szCs w:val="16"/>
              </w:rPr>
              <w:t>2011 </w:t>
            </w:r>
            <w:r>
              <w:rPr>
                <w:rFonts w:ascii="宋体" w:hAnsi="宋体" w:cs="宋体" w:eastAsia="宋体" w:hint="default"/>
                <w:sz w:val="16"/>
                <w:szCs w:val="16"/>
              </w:rPr>
              <w:t>年度</w:t>
            </w:r>
            <w:r>
              <w:rPr>
                <w:rFonts w:ascii="宋体" w:hAnsi="宋体" w:cs="宋体" w:eastAsia="宋体" w:hint="default"/>
                <w:spacing w:val="79"/>
                <w:sz w:val="16"/>
                <w:szCs w:val="16"/>
              </w:rPr>
              <w:t> </w:t>
            </w:r>
            <w:r>
              <w:rPr>
                <w:rFonts w:ascii="宋体" w:hAnsi="宋体" w:cs="宋体" w:eastAsia="宋体" w:hint="default"/>
                <w:sz w:val="16"/>
                <w:szCs w:val="16"/>
              </w:rPr>
              <w:t>（经重列）</w:t>
            </w:r>
          </w:p>
        </w:tc>
        <w:tc>
          <w:tcPr>
            <w:tcW w:w="80"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6" w:space="0" w:color="000000"/>
              <w:right w:val="nil" w:sz="6" w:space="0" w:color="auto"/>
            </w:tcBorders>
          </w:tcPr>
          <w:p>
            <w:pPr>
              <w:pStyle w:val="TableParagraph"/>
              <w:spacing w:line="191" w:lineRule="exact"/>
              <w:ind w:right="17"/>
              <w:jc w:val="center"/>
              <w:rPr>
                <w:rFonts w:ascii="宋体" w:hAnsi="宋体" w:cs="宋体" w:eastAsia="宋体" w:hint="default"/>
                <w:sz w:val="16"/>
                <w:szCs w:val="16"/>
              </w:rPr>
            </w:pPr>
            <w:r>
              <w:rPr>
                <w:rFonts w:ascii="Arial" w:hAnsi="Arial" w:cs="Arial" w:eastAsia="Arial" w:hint="default"/>
                <w:sz w:val="16"/>
                <w:szCs w:val="16"/>
              </w:rPr>
              <w:t>12 </w:t>
            </w:r>
            <w:r>
              <w:rPr>
                <w:rFonts w:ascii="宋体" w:hAnsi="宋体" w:cs="宋体" w:eastAsia="宋体" w:hint="default"/>
                <w:sz w:val="16"/>
                <w:szCs w:val="16"/>
              </w:rPr>
              <w:t>月 </w:t>
            </w:r>
            <w:r>
              <w:rPr>
                <w:rFonts w:ascii="Arial" w:hAnsi="Arial" w:cs="Arial" w:eastAsia="Arial" w:hint="default"/>
                <w:sz w:val="16"/>
                <w:szCs w:val="16"/>
              </w:rPr>
              <w:t>31 </w:t>
            </w:r>
            <w:r>
              <w:rPr>
                <w:rFonts w:ascii="宋体" w:hAnsi="宋体" w:cs="宋体" w:eastAsia="宋体" w:hint="default"/>
                <w:sz w:val="16"/>
                <w:szCs w:val="16"/>
              </w:rPr>
              <w:t>日</w:t>
            </w:r>
            <w:r>
              <w:rPr>
                <w:rFonts w:ascii="宋体" w:hAnsi="宋体" w:cs="宋体" w:eastAsia="宋体" w:hint="default"/>
                <w:spacing w:val="-6"/>
                <w:sz w:val="16"/>
                <w:szCs w:val="16"/>
              </w:rPr>
              <w:t> </w:t>
            </w:r>
            <w:r>
              <w:rPr>
                <w:rFonts w:ascii="宋体" w:hAnsi="宋体" w:cs="宋体" w:eastAsia="宋体" w:hint="default"/>
                <w:sz w:val="16"/>
                <w:szCs w:val="16"/>
              </w:rPr>
              <w:t>（经重列）</w:t>
            </w:r>
          </w:p>
        </w:tc>
      </w:tr>
    </w:tbl>
    <w:p>
      <w:pPr>
        <w:spacing w:line="240" w:lineRule="auto" w:before="8"/>
        <w:rPr>
          <w:rFonts w:ascii="宋体" w:hAnsi="宋体" w:cs="宋体" w:eastAsia="宋体" w:hint="default"/>
          <w:sz w:val="7"/>
          <w:szCs w:val="7"/>
        </w:rPr>
      </w:pPr>
    </w:p>
    <w:p>
      <w:pPr>
        <w:tabs>
          <w:tab w:pos="6479" w:val="left" w:leader="none"/>
          <w:tab w:pos="7415" w:val="left" w:leader="none"/>
          <w:tab w:pos="8219" w:val="left" w:leader="none"/>
          <w:tab w:pos="9136" w:val="left" w:leader="none"/>
        </w:tabs>
        <w:spacing w:before="51"/>
        <w:ind w:left="562"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本集团中国会计准则下的净利润</w:t>
      </w:r>
      <w:r>
        <w:rPr>
          <w:rFonts w:ascii="Arial" w:hAnsi="Arial" w:cs="Arial" w:eastAsia="Arial" w:hint="default"/>
          <w:w w:val="95"/>
          <w:position w:val="1"/>
          <w:sz w:val="16"/>
          <w:szCs w:val="16"/>
        </w:rPr>
        <w:t>/</w:t>
      </w:r>
      <w:r>
        <w:rPr>
          <w:rFonts w:ascii="宋体" w:hAnsi="宋体" w:cs="宋体" w:eastAsia="宋体" w:hint="default"/>
          <w:w w:val="95"/>
          <w:position w:val="1"/>
          <w:sz w:val="16"/>
          <w:szCs w:val="16"/>
        </w:rPr>
        <w:t>净资产</w:t>
        <w:tab/>
      </w:r>
      <w:r>
        <w:rPr>
          <w:rFonts w:ascii="Arial" w:hAnsi="Arial" w:cs="Arial" w:eastAsia="Arial" w:hint="default"/>
          <w:w w:val="95"/>
          <w:sz w:val="16"/>
          <w:szCs w:val="16"/>
        </w:rPr>
        <w:t>4,188</w:t>
        <w:tab/>
        <w:t>3,692</w:t>
        <w:tab/>
        <w:t>208,611</w:t>
        <w:tab/>
      </w:r>
      <w:r>
        <w:rPr>
          <w:rFonts w:ascii="Arial" w:hAnsi="Arial" w:cs="Arial" w:eastAsia="Arial" w:hint="default"/>
          <w:sz w:val="16"/>
          <w:szCs w:val="16"/>
        </w:rPr>
        <w:t>208,324</w:t>
      </w:r>
    </w:p>
    <w:p>
      <w:pPr>
        <w:tabs>
          <w:tab w:pos="6702" w:val="left" w:leader="none"/>
          <w:tab w:pos="7638" w:val="left" w:leader="none"/>
          <w:tab w:pos="8531" w:val="left" w:leader="none"/>
          <w:tab w:pos="9714" w:val="right" w:leader="none"/>
        </w:tabs>
        <w:spacing w:line="219" w:lineRule="exact" w:before="161"/>
        <w:ind w:left="573" w:right="0" w:firstLine="0"/>
        <w:jc w:val="left"/>
        <w:rPr>
          <w:rFonts w:ascii="Arial" w:hAnsi="Arial" w:cs="Arial" w:eastAsia="Arial" w:hint="default"/>
          <w:sz w:val="16"/>
          <w:szCs w:val="16"/>
        </w:rPr>
      </w:pPr>
      <w:r>
        <w:rPr>
          <w:rFonts w:ascii="宋体" w:hAnsi="宋体" w:cs="宋体" w:eastAsia="宋体" w:hint="default"/>
          <w:position w:val="1"/>
          <w:sz w:val="16"/>
          <w:szCs w:val="16"/>
        </w:rPr>
        <w:t>加：本公司及联通</w:t>
      </w:r>
      <w:r>
        <w:rPr>
          <w:rFonts w:ascii="宋体" w:hAnsi="宋体" w:cs="宋体" w:eastAsia="宋体" w:hint="default"/>
          <w:spacing w:val="-44"/>
          <w:position w:val="1"/>
          <w:sz w:val="16"/>
          <w:szCs w:val="16"/>
        </w:rPr>
        <w:t> </w:t>
      </w:r>
      <w:r>
        <w:rPr>
          <w:rFonts w:ascii="Arial" w:hAnsi="Arial" w:cs="Arial" w:eastAsia="Arial" w:hint="default"/>
          <w:position w:val="1"/>
          <w:sz w:val="16"/>
          <w:szCs w:val="16"/>
        </w:rPr>
        <w:t>BVI</w:t>
      </w:r>
      <w:r>
        <w:rPr>
          <w:rFonts w:ascii="Arial" w:hAnsi="Arial" w:cs="Arial" w:eastAsia="Arial" w:hint="default"/>
          <w:spacing w:val="-8"/>
          <w:position w:val="1"/>
          <w:sz w:val="16"/>
          <w:szCs w:val="16"/>
        </w:rPr>
        <w:t> </w:t>
      </w:r>
      <w:r>
        <w:rPr>
          <w:rFonts w:ascii="宋体" w:hAnsi="宋体" w:cs="宋体" w:eastAsia="宋体" w:hint="default"/>
          <w:position w:val="1"/>
          <w:sz w:val="16"/>
          <w:szCs w:val="16"/>
        </w:rPr>
        <w:t>公司发生的（累计发生的）费用及所得税</w:t>
        <w:tab/>
      </w:r>
      <w:r>
        <w:rPr>
          <w:rFonts w:ascii="Arial" w:hAnsi="Arial" w:cs="Arial" w:eastAsia="Arial" w:hint="default"/>
          <w:w w:val="95"/>
          <w:sz w:val="16"/>
          <w:szCs w:val="16"/>
        </w:rPr>
        <w:t>10</w:t>
        <w:tab/>
        <w:t>30</w:t>
        <w:tab/>
      </w:r>
      <w:r>
        <w:rPr>
          <w:rFonts w:ascii="Arial" w:hAnsi="Arial" w:cs="Arial" w:eastAsia="Arial" w:hint="default"/>
          <w:sz w:val="16"/>
          <w:szCs w:val="16"/>
        </w:rPr>
        <w:t>136</w:t>
        <w:tab/>
        <w:t>126</w:t>
      </w:r>
    </w:p>
    <w:p>
      <w:pPr>
        <w:tabs>
          <w:tab w:pos="6783" w:val="left" w:leader="none"/>
          <w:tab w:pos="7737" w:val="left" w:leader="none"/>
          <w:tab w:pos="8397" w:val="left" w:leader="none"/>
          <w:tab w:pos="9314" w:val="left" w:leader="none"/>
        </w:tabs>
        <w:spacing w:line="219" w:lineRule="exact" w:before="0"/>
        <w:ind w:left="896"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本公司宣派股利</w:t>
        <w:tab/>
      </w:r>
      <w:r>
        <w:rPr>
          <w:rFonts w:ascii="Arial" w:hAnsi="Arial" w:cs="Arial" w:eastAsia="Arial" w:hint="default"/>
          <w:w w:val="95"/>
          <w:sz w:val="16"/>
          <w:szCs w:val="16"/>
        </w:rPr>
        <w:t>-</w:t>
        <w:tab/>
        <w:t>-</w:t>
        <w:tab/>
      </w:r>
      <w:r>
        <w:rPr>
          <w:rFonts w:ascii="Arial" w:hAnsi="Arial" w:cs="Arial" w:eastAsia="Arial" w:hint="default"/>
          <w:spacing w:val="-1"/>
          <w:w w:val="95"/>
          <w:sz w:val="16"/>
          <w:szCs w:val="16"/>
        </w:rPr>
        <w:t>8,920</w:t>
        <w:tab/>
      </w:r>
      <w:r>
        <w:rPr>
          <w:rFonts w:ascii="Arial" w:hAnsi="Arial" w:cs="Arial" w:eastAsia="Arial" w:hint="default"/>
          <w:spacing w:val="-1"/>
          <w:sz w:val="16"/>
          <w:szCs w:val="16"/>
        </w:rPr>
        <w:t>8,369</w:t>
      </w:r>
      <w:r>
        <w:rPr>
          <w:rFonts w:ascii="Arial" w:hAnsi="Arial" w:cs="Arial" w:eastAsia="Arial" w:hint="default"/>
          <w:sz w:val="16"/>
          <w:szCs w:val="16"/>
        </w:rPr>
      </w:r>
    </w:p>
    <w:p>
      <w:pPr>
        <w:tabs>
          <w:tab w:pos="6783" w:val="left" w:leader="none"/>
          <w:tab w:pos="7737" w:val="left" w:leader="none"/>
          <w:tab w:pos="8656" w:val="left" w:leader="none"/>
          <w:tab w:pos="9573" w:val="left" w:leader="none"/>
        </w:tabs>
        <w:spacing w:line="219" w:lineRule="exact" w:before="161"/>
        <w:ind w:left="573"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减：本公司其他四家发起单位注资</w:t>
        <w:tab/>
      </w:r>
      <w:r>
        <w:rPr>
          <w:rFonts w:ascii="Arial" w:hAnsi="Arial" w:cs="Arial" w:eastAsia="Arial" w:hint="default"/>
          <w:w w:val="95"/>
          <w:sz w:val="16"/>
          <w:szCs w:val="16"/>
        </w:rPr>
        <w:t>-</w:t>
        <w:tab/>
        <w:t>-</w:t>
        <w:tab/>
      </w:r>
      <w:r>
        <w:rPr>
          <w:rFonts w:ascii="Arial" w:hAnsi="Arial" w:cs="Arial" w:eastAsia="Arial" w:hint="default"/>
          <w:spacing w:val="-1"/>
          <w:sz w:val="16"/>
          <w:szCs w:val="16"/>
        </w:rPr>
        <w:t>(4)</w:t>
        <w:tab/>
        <w:t>(4)</w:t>
      </w:r>
      <w:r>
        <w:rPr>
          <w:rFonts w:ascii="Arial" w:hAnsi="Arial" w:cs="Arial" w:eastAsia="Arial" w:hint="default"/>
          <w:sz w:val="16"/>
          <w:szCs w:val="16"/>
        </w:rPr>
      </w:r>
    </w:p>
    <w:p>
      <w:pPr>
        <w:tabs>
          <w:tab w:pos="6783" w:val="left" w:leader="none"/>
          <w:tab w:pos="7737" w:val="left" w:leader="none"/>
          <w:tab w:pos="8568" w:val="left" w:leader="none"/>
          <w:tab w:pos="9484" w:val="left" w:leader="none"/>
        </w:tabs>
        <w:spacing w:line="208" w:lineRule="exact" w:before="0"/>
        <w:ind w:left="896"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申购资金于冻结期间的利息收入</w:t>
        <w:tab/>
      </w:r>
      <w:r>
        <w:rPr>
          <w:rFonts w:ascii="Arial" w:hAnsi="Arial" w:cs="Arial" w:eastAsia="Arial" w:hint="default"/>
          <w:w w:val="95"/>
          <w:sz w:val="16"/>
          <w:szCs w:val="16"/>
        </w:rPr>
        <w:t>-</w:t>
        <w:tab/>
        <w:t>-</w:t>
        <w:tab/>
      </w:r>
      <w:r>
        <w:rPr>
          <w:rFonts w:ascii="Arial" w:hAnsi="Arial" w:cs="Arial" w:eastAsia="Arial" w:hint="default"/>
          <w:spacing w:val="-1"/>
          <w:sz w:val="16"/>
          <w:szCs w:val="16"/>
        </w:rPr>
        <w:t>(20)</w:t>
        <w:tab/>
        <w:t>(20)</w:t>
      </w:r>
      <w:r>
        <w:rPr>
          <w:rFonts w:ascii="Arial" w:hAnsi="Arial" w:cs="Arial" w:eastAsia="Arial" w:hint="default"/>
          <w:sz w:val="16"/>
          <w:szCs w:val="16"/>
        </w:rPr>
      </w:r>
    </w:p>
    <w:p>
      <w:pPr>
        <w:tabs>
          <w:tab w:pos="6783" w:val="left" w:leader="none"/>
          <w:tab w:pos="7737" w:val="left" w:leader="none"/>
          <w:tab w:pos="8346" w:val="left" w:leader="none"/>
          <w:tab w:pos="9262" w:val="left" w:leader="none"/>
        </w:tabs>
        <w:spacing w:line="207" w:lineRule="exact" w:before="0"/>
        <w:ind w:left="914" w:right="0" w:firstLine="0"/>
        <w:jc w:val="left"/>
        <w:rPr>
          <w:rFonts w:ascii="Arial" w:hAnsi="Arial" w:cs="Arial" w:eastAsia="Arial" w:hint="default"/>
          <w:sz w:val="16"/>
          <w:szCs w:val="16"/>
        </w:rPr>
      </w:pPr>
      <w:r>
        <w:rPr>
          <w:rFonts w:ascii="宋体" w:hAnsi="宋体" w:cs="宋体" w:eastAsia="宋体" w:hint="default"/>
          <w:position w:val="1"/>
          <w:sz w:val="16"/>
          <w:szCs w:val="16"/>
        </w:rPr>
        <w:t>联通</w:t>
      </w:r>
      <w:r>
        <w:rPr>
          <w:rFonts w:ascii="宋体" w:hAnsi="宋体" w:cs="宋体" w:eastAsia="宋体" w:hint="default"/>
          <w:spacing w:val="-43"/>
          <w:position w:val="1"/>
          <w:sz w:val="16"/>
          <w:szCs w:val="16"/>
        </w:rPr>
        <w:t> </w:t>
      </w:r>
      <w:r>
        <w:rPr>
          <w:rFonts w:ascii="Arial" w:hAnsi="Arial" w:cs="Arial" w:eastAsia="Arial" w:hint="default"/>
          <w:position w:val="1"/>
          <w:sz w:val="16"/>
          <w:szCs w:val="16"/>
        </w:rPr>
        <w:t>BVI</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公司宣派股利</w:t>
        <w:tab/>
      </w:r>
      <w:r>
        <w:rPr>
          <w:rFonts w:ascii="Arial" w:hAnsi="Arial" w:cs="Arial" w:eastAsia="Arial" w:hint="default"/>
          <w:w w:val="95"/>
          <w:sz w:val="16"/>
          <w:szCs w:val="16"/>
        </w:rPr>
        <w:t>-</w:t>
        <w:tab/>
        <w:t>-</w:t>
        <w:tab/>
      </w:r>
      <w:r>
        <w:rPr>
          <w:rFonts w:ascii="Arial" w:hAnsi="Arial" w:cs="Arial" w:eastAsia="Arial" w:hint="default"/>
          <w:spacing w:val="-1"/>
          <w:w w:val="95"/>
          <w:sz w:val="16"/>
          <w:szCs w:val="16"/>
        </w:rPr>
        <w:t>(9,539)</w:t>
        <w:tab/>
      </w:r>
      <w:r>
        <w:rPr>
          <w:rFonts w:ascii="Arial" w:hAnsi="Arial" w:cs="Arial" w:eastAsia="Arial" w:hint="default"/>
          <w:spacing w:val="-1"/>
          <w:sz w:val="16"/>
          <w:szCs w:val="16"/>
        </w:rPr>
        <w:t>(8,914)</w:t>
      </w:r>
      <w:r>
        <w:rPr>
          <w:rFonts w:ascii="Arial" w:hAnsi="Arial" w:cs="Arial" w:eastAsia="Arial" w:hint="default"/>
          <w:sz w:val="16"/>
          <w:szCs w:val="16"/>
        </w:rPr>
      </w:r>
    </w:p>
    <w:p>
      <w:pPr>
        <w:tabs>
          <w:tab w:pos="6061" w:val="left" w:leader="none"/>
          <w:tab w:pos="6783" w:val="left" w:leader="none"/>
          <w:tab w:pos="7737" w:val="left" w:leader="none"/>
          <w:tab w:pos="8567" w:val="left" w:leader="none"/>
          <w:tab w:pos="9661" w:val="left" w:leader="none"/>
          <w:tab w:pos="9809" w:val="left" w:leader="none"/>
        </w:tabs>
        <w:spacing w:line="219" w:lineRule="exact" w:before="0"/>
        <w:ind w:left="914" w:right="0" w:firstLine="0"/>
        <w:jc w:val="left"/>
        <w:rPr>
          <w:rFonts w:ascii="Arial" w:hAnsi="Arial" w:cs="Arial" w:eastAsia="Arial" w:hint="default"/>
          <w:sz w:val="16"/>
          <w:szCs w:val="16"/>
        </w:rPr>
      </w:pPr>
      <w:r>
        <w:rPr>
          <w:rFonts w:ascii="宋体" w:hAnsi="宋体" w:cs="宋体" w:eastAsia="宋体" w:hint="default"/>
          <w:position w:val="1"/>
          <w:sz w:val="16"/>
          <w:szCs w:val="16"/>
        </w:rPr>
        <w:t>联通</w:t>
      </w:r>
      <w:r>
        <w:rPr>
          <w:rFonts w:ascii="宋体" w:hAnsi="宋体" w:cs="宋体" w:eastAsia="宋体" w:hint="default"/>
          <w:spacing w:val="-43"/>
          <w:position w:val="1"/>
          <w:sz w:val="16"/>
          <w:szCs w:val="16"/>
        </w:rPr>
        <w:t> </w:t>
      </w:r>
      <w:r>
        <w:rPr>
          <w:rFonts w:ascii="Arial" w:hAnsi="Arial" w:cs="Arial" w:eastAsia="Arial" w:hint="default"/>
          <w:position w:val="1"/>
          <w:sz w:val="16"/>
          <w:szCs w:val="16"/>
        </w:rPr>
        <w:t>BVI</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公司留存的联通红筹公司宣派的股利</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pacing w:val="-1"/>
          <w:sz w:val="16"/>
          <w:szCs w:val="16"/>
          <w:u w:val="single" w:color="000000"/>
        </w:rPr>
        <w:t>(16)</w:t>
      </w:r>
      <w:r>
        <w:rPr>
          <w:rFonts w:ascii="Arial" w:hAnsi="Arial" w:cs="Arial" w:eastAsia="Arial" w:hint="default"/>
          <w:spacing w:val="-1"/>
          <w:sz w:val="16"/>
          <w:szCs w:val="16"/>
        </w:rPr>
      </w:r>
      <w:r>
        <w:rPr>
          <w:rFonts w:ascii="Arial" w:hAnsi="Arial" w:cs="Arial" w:eastAsia="Arial" w:hint="default"/>
          <w:spacing w:val="-1"/>
          <w:sz w:val="16"/>
          <w:szCs w:val="16"/>
          <w:u w:val="single" w:color="000000"/>
        </w:rPr>
        <w:t> </w:t>
        <w:tab/>
      </w:r>
      <w:r>
        <w:rPr>
          <w:rFonts w:ascii="Arial" w:hAnsi="Arial" w:cs="Arial" w:eastAsia="Arial" w:hint="default"/>
          <w:sz w:val="16"/>
          <w:szCs w:val="16"/>
          <w:u w:val="single" w:color="000000"/>
        </w:rPr>
        <w:t>-</w:t>
        <w:tab/>
      </w:r>
      <w:r>
        <w:rPr>
          <w:rFonts w:ascii="Arial" w:hAnsi="Arial" w:cs="Arial" w:eastAsia="Arial" w:hint="default"/>
          <w:sz w:val="16"/>
          <w:szCs w:val="16"/>
        </w:rPr>
      </w:r>
    </w:p>
    <w:p>
      <w:pPr>
        <w:spacing w:line="240" w:lineRule="auto" w:before="10"/>
        <w:rPr>
          <w:rFonts w:ascii="Arial" w:hAnsi="Arial" w:cs="Arial" w:eastAsia="Arial" w:hint="default"/>
          <w:sz w:val="10"/>
          <w:szCs w:val="10"/>
        </w:rPr>
      </w:pPr>
    </w:p>
    <w:p>
      <w:pPr>
        <w:tabs>
          <w:tab w:pos="6061" w:val="left" w:leader="none"/>
          <w:tab w:pos="6479" w:val="left" w:leader="none"/>
          <w:tab w:pos="7415" w:val="left" w:leader="none"/>
          <w:tab w:pos="9809" w:val="left" w:leader="none"/>
        </w:tabs>
        <w:spacing w:before="51"/>
        <w:ind w:left="582"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联通红筹公司中国会计准则下的净利润</w:t>
      </w:r>
      <w:r>
        <w:rPr>
          <w:rFonts w:ascii="Arial" w:hAnsi="Arial" w:cs="Arial" w:eastAsia="Arial" w:hint="default"/>
          <w:w w:val="95"/>
          <w:position w:val="1"/>
          <w:sz w:val="16"/>
          <w:szCs w:val="16"/>
        </w:rPr>
        <w:t>/</w:t>
      </w:r>
      <w:r>
        <w:rPr>
          <w:rFonts w:ascii="宋体" w:hAnsi="宋体" w:cs="宋体" w:eastAsia="宋体" w:hint="default"/>
          <w:w w:val="95"/>
          <w:position w:val="1"/>
          <w:sz w:val="16"/>
          <w:szCs w:val="16"/>
        </w:rPr>
        <w:t>净资产</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4,198</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3,722         </w:t>
      </w:r>
      <w:r>
        <w:rPr>
          <w:rFonts w:ascii="Arial" w:hAnsi="Arial" w:cs="Arial" w:eastAsia="Arial" w:hint="default"/>
          <w:sz w:val="16"/>
          <w:szCs w:val="16"/>
        </w:rPr>
      </w:r>
      <w:r>
        <w:rPr>
          <w:rFonts w:ascii="Arial" w:hAnsi="Arial" w:cs="Arial" w:eastAsia="Arial" w:hint="default"/>
          <w:sz w:val="16"/>
          <w:szCs w:val="16"/>
          <w:u w:val="single" w:color="000000"/>
        </w:rPr>
        <w:t> 208,088      </w:t>
      </w:r>
      <w:r>
        <w:rPr>
          <w:rFonts w:ascii="Arial" w:hAnsi="Arial" w:cs="Arial" w:eastAsia="Arial" w:hint="default"/>
          <w:spacing w:val="26"/>
          <w:sz w:val="16"/>
          <w:szCs w:val="16"/>
          <w:u w:val="single" w:color="000000"/>
        </w:rPr>
        <w:t> </w:t>
      </w:r>
      <w:r>
        <w:rPr>
          <w:rFonts w:ascii="Arial" w:hAnsi="Arial" w:cs="Arial" w:eastAsia="Arial" w:hint="default"/>
          <w:spacing w:val="26"/>
          <w:sz w:val="16"/>
          <w:szCs w:val="16"/>
        </w:rPr>
      </w:r>
      <w:r>
        <w:rPr>
          <w:rFonts w:ascii="Arial" w:hAnsi="Arial" w:cs="Arial" w:eastAsia="Arial" w:hint="default"/>
          <w:spacing w:val="26"/>
          <w:sz w:val="16"/>
          <w:szCs w:val="16"/>
          <w:u w:val="single" w:color="000000"/>
        </w:rPr>
        <w:t> </w:t>
      </w:r>
      <w:r>
        <w:rPr>
          <w:rFonts w:ascii="Arial" w:hAnsi="Arial" w:cs="Arial" w:eastAsia="Arial" w:hint="default"/>
          <w:sz w:val="16"/>
          <w:szCs w:val="16"/>
          <w:u w:val="single" w:color="000000"/>
        </w:rPr>
        <w:t>207,881</w:t>
        <w:tab/>
      </w:r>
      <w:r>
        <w:rPr>
          <w:rFonts w:ascii="Arial" w:hAnsi="Arial" w:cs="Arial" w:eastAsia="Arial" w:hint="default"/>
          <w:sz w:val="16"/>
          <w:szCs w:val="16"/>
        </w:rPr>
      </w:r>
    </w:p>
    <w:p>
      <w:pPr>
        <w:spacing w:line="214" w:lineRule="exact" w:before="135"/>
        <w:ind w:left="582" w:right="0" w:firstLine="0"/>
        <w:jc w:val="left"/>
        <w:rPr>
          <w:rFonts w:ascii="宋体" w:hAnsi="宋体" w:cs="宋体" w:eastAsia="宋体" w:hint="default"/>
          <w:sz w:val="16"/>
          <w:szCs w:val="16"/>
        </w:rPr>
      </w:pPr>
      <w:r>
        <w:rPr>
          <w:rFonts w:ascii="宋体" w:hAnsi="宋体" w:cs="宋体" w:eastAsia="宋体" w:hint="default"/>
          <w:sz w:val="16"/>
          <w:szCs w:val="16"/>
        </w:rPr>
        <w:t>国际</w:t>
      </w:r>
      <w:r>
        <w:rPr>
          <w:rFonts w:ascii="Arial" w:hAnsi="Arial" w:cs="Arial" w:eastAsia="Arial" w:hint="default"/>
          <w:sz w:val="16"/>
          <w:szCs w:val="16"/>
        </w:rPr>
        <w:t>/</w:t>
      </w:r>
      <w:r>
        <w:rPr>
          <w:rFonts w:ascii="宋体" w:hAnsi="宋体" w:cs="宋体" w:eastAsia="宋体" w:hint="default"/>
          <w:sz w:val="16"/>
          <w:szCs w:val="16"/>
        </w:rPr>
        <w:t>香港财务报告准则调整增加（减少）：</w:t>
      </w:r>
    </w:p>
    <w:p>
      <w:pPr>
        <w:spacing w:line="208" w:lineRule="exact" w:before="0"/>
        <w:ind w:left="724" w:right="0" w:firstLine="0"/>
        <w:jc w:val="left"/>
        <w:rPr>
          <w:rFonts w:ascii="宋体" w:hAnsi="宋体" w:cs="宋体" w:eastAsia="宋体" w:hint="default"/>
          <w:sz w:val="16"/>
          <w:szCs w:val="16"/>
        </w:rPr>
      </w:pPr>
      <w:r>
        <w:rPr>
          <w:rFonts w:ascii="宋体" w:hAnsi="宋体" w:cs="宋体" w:eastAsia="宋体" w:hint="default"/>
          <w:sz w:val="16"/>
          <w:szCs w:val="16"/>
        </w:rPr>
        <w:t>—调整以前年度国际</w:t>
      </w:r>
      <w:r>
        <w:rPr>
          <w:rFonts w:ascii="Arial" w:hAnsi="Arial" w:cs="Arial" w:eastAsia="Arial" w:hint="default"/>
          <w:sz w:val="16"/>
          <w:szCs w:val="16"/>
        </w:rPr>
        <w:t>/</w:t>
      </w:r>
      <w:r>
        <w:rPr>
          <w:rFonts w:ascii="宋体" w:hAnsi="宋体" w:cs="宋体" w:eastAsia="宋体" w:hint="default"/>
          <w:sz w:val="16"/>
          <w:szCs w:val="16"/>
        </w:rPr>
        <w:t>香港财务报告准则下额外资本化利息对折旧</w:t>
      </w:r>
    </w:p>
    <w:p>
      <w:pPr>
        <w:tabs>
          <w:tab w:pos="5626" w:val="left" w:leader="none"/>
          <w:tab w:pos="6561" w:val="left" w:leader="none"/>
          <w:tab w:pos="7497" w:val="left" w:leader="none"/>
          <w:tab w:pos="8531" w:val="left" w:leader="none"/>
          <w:tab w:pos="9714" w:val="right" w:leader="none"/>
        </w:tabs>
        <w:spacing w:line="213" w:lineRule="exact" w:before="0"/>
        <w:ind w:left="1057"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的税后影响</w:t>
        <w:tab/>
      </w:r>
      <w:r>
        <w:rPr>
          <w:rFonts w:ascii="Arial" w:hAnsi="Arial" w:cs="Arial" w:eastAsia="Arial" w:hint="default"/>
          <w:spacing w:val="-1"/>
          <w:sz w:val="16"/>
          <w:szCs w:val="16"/>
        </w:rPr>
        <w:t>(1)</w:t>
        <w:tab/>
        <w:t>(175)</w:t>
        <w:tab/>
        <w:t>(225)</w:t>
        <w:tab/>
        <w:t>574</w:t>
        <w:tab/>
        <w:t>749</w:t>
      </w:r>
      <w:r>
        <w:rPr>
          <w:rFonts w:ascii="Arial" w:hAnsi="Arial" w:cs="Arial" w:eastAsia="Arial" w:hint="default"/>
          <w:sz w:val="16"/>
          <w:szCs w:val="16"/>
        </w:rPr>
      </w:r>
    </w:p>
    <w:p>
      <w:pPr>
        <w:spacing w:line="197" w:lineRule="exact" w:before="0"/>
        <w:ind w:left="724" w:right="0" w:firstLine="0"/>
        <w:jc w:val="left"/>
        <w:rPr>
          <w:rFonts w:ascii="宋体" w:hAnsi="宋体" w:cs="宋体" w:eastAsia="宋体" w:hint="default"/>
          <w:sz w:val="16"/>
          <w:szCs w:val="16"/>
        </w:rPr>
      </w:pPr>
      <w:r>
        <w:rPr>
          <w:rFonts w:ascii="宋体" w:hAnsi="宋体" w:cs="宋体" w:eastAsia="宋体" w:hint="default"/>
          <w:sz w:val="16"/>
          <w:szCs w:val="16"/>
        </w:rPr>
        <w:t>—调整以前年度原中国会计准则下因土地及房屋建筑物的评估对</w:t>
      </w:r>
    </w:p>
    <w:p>
      <w:pPr>
        <w:spacing w:before="204"/>
        <w:ind w:left="724" w:right="0" w:firstLine="0"/>
        <w:jc w:val="left"/>
        <w:rPr>
          <w:rFonts w:ascii="宋体" w:hAnsi="宋体" w:cs="宋体" w:eastAsia="宋体" w:hint="default"/>
          <w:sz w:val="16"/>
          <w:szCs w:val="16"/>
        </w:rPr>
      </w:pPr>
      <w:r>
        <w:rPr/>
        <w:pict>
          <v:shape style="position:absolute;margin-left:99.529999pt;margin-top:1.183555pt;width:466.7pt;height:151.15pt;mso-position-horizontal-relative:page;mso-position-vertical-relative:paragraph;z-index:10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42"/>
                    <w:gridCol w:w="595"/>
                    <w:gridCol w:w="1168"/>
                    <w:gridCol w:w="866"/>
                    <w:gridCol w:w="976"/>
                    <w:gridCol w:w="788"/>
                  </w:tblGrid>
                  <w:tr>
                    <w:trPr>
                      <w:trHeight w:val="320"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182" w:lineRule="exact"/>
                          <w:ind w:left="565" w:right="0"/>
                          <w:jc w:val="left"/>
                          <w:rPr>
                            <w:rFonts w:ascii="宋体" w:hAnsi="宋体" w:cs="宋体" w:eastAsia="宋体" w:hint="default"/>
                            <w:sz w:val="16"/>
                            <w:szCs w:val="16"/>
                          </w:rPr>
                        </w:pPr>
                        <w:r>
                          <w:rPr>
                            <w:rFonts w:ascii="宋体" w:hAnsi="宋体" w:cs="宋体" w:eastAsia="宋体" w:hint="default"/>
                            <w:sz w:val="16"/>
                            <w:szCs w:val="16"/>
                          </w:rPr>
                          <w:t>折旧及摊销的税后影响</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3" w:right="0"/>
                          <w:jc w:val="left"/>
                          <w:rPr>
                            <w:rFonts w:ascii="Arial" w:hAnsi="Arial" w:cs="Arial" w:eastAsia="Arial" w:hint="default"/>
                            <w:sz w:val="16"/>
                            <w:szCs w:val="16"/>
                          </w:rPr>
                        </w:pPr>
                        <w:r>
                          <w:rPr>
                            <w:rFonts w:ascii="Arial"/>
                            <w:sz w:val="16"/>
                          </w:rPr>
                          <w:t>(2)</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6" w:right="0"/>
                          <w:jc w:val="left"/>
                          <w:rPr>
                            <w:rFonts w:ascii="Arial" w:hAnsi="Arial" w:cs="Arial" w:eastAsia="Arial" w:hint="default"/>
                            <w:sz w:val="16"/>
                            <w:szCs w:val="16"/>
                          </w:rPr>
                        </w:pPr>
                        <w:r>
                          <w:rPr>
                            <w:rFonts w:ascii="Arial"/>
                            <w:sz w:val="16"/>
                          </w:rPr>
                          <w:t>203</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4" w:right="0"/>
                          <w:jc w:val="left"/>
                          <w:rPr>
                            <w:rFonts w:ascii="Arial" w:hAnsi="Arial" w:cs="Arial" w:eastAsia="Arial" w:hint="default"/>
                            <w:sz w:val="16"/>
                            <w:szCs w:val="16"/>
                          </w:rPr>
                        </w:pPr>
                        <w:r>
                          <w:rPr>
                            <w:rFonts w:ascii="Arial"/>
                            <w:sz w:val="16"/>
                          </w:rPr>
                          <w:t>204</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4" w:right="0"/>
                          <w:jc w:val="left"/>
                          <w:rPr>
                            <w:rFonts w:ascii="Arial" w:hAnsi="Arial" w:cs="Arial" w:eastAsia="Arial" w:hint="default"/>
                            <w:sz w:val="16"/>
                            <w:szCs w:val="16"/>
                          </w:rPr>
                        </w:pPr>
                        <w:r>
                          <w:rPr>
                            <w:rFonts w:ascii="Arial"/>
                            <w:sz w:val="16"/>
                          </w:rPr>
                          <w:t>(5,588)</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5" w:right="0"/>
                          <w:jc w:val="left"/>
                          <w:rPr>
                            <w:rFonts w:ascii="Arial" w:hAnsi="Arial" w:cs="Arial" w:eastAsia="Arial" w:hint="default"/>
                            <w:sz w:val="16"/>
                            <w:szCs w:val="16"/>
                          </w:rPr>
                        </w:pPr>
                        <w:r>
                          <w:rPr>
                            <w:rFonts w:ascii="Arial"/>
                            <w:sz w:val="16"/>
                          </w:rPr>
                          <w:t>(5,791)</w:t>
                        </w:r>
                      </w:p>
                    </w:tc>
                  </w:tr>
                  <w:tr>
                    <w:trPr>
                      <w:trHeight w:val="552"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08" w:lineRule="exact" w:before="88"/>
                          <w:ind w:left="565" w:right="173"/>
                          <w:jc w:val="left"/>
                          <w:rPr>
                            <w:rFonts w:ascii="宋体" w:hAnsi="宋体" w:cs="宋体" w:eastAsia="宋体" w:hint="default"/>
                            <w:sz w:val="16"/>
                            <w:szCs w:val="16"/>
                          </w:rPr>
                        </w:pPr>
                        <w:r>
                          <w:rPr>
                            <w:rFonts w:ascii="宋体" w:hAnsi="宋体" w:cs="宋体" w:eastAsia="宋体" w:hint="default"/>
                            <w:w w:val="95"/>
                            <w:sz w:val="16"/>
                            <w:szCs w:val="16"/>
                          </w:rPr>
                          <w:t>资差额、商誉及收购费用在中国会计准则与国际</w:t>
                        </w:r>
                        <w:r>
                          <w:rPr>
                            <w:rFonts w:ascii="Arial" w:hAnsi="Arial" w:cs="Arial" w:eastAsia="Arial" w:hint="default"/>
                            <w:w w:val="95"/>
                            <w:sz w:val="16"/>
                            <w:szCs w:val="16"/>
                          </w:rPr>
                          <w:t>/</w:t>
                        </w:r>
                        <w:r>
                          <w:rPr>
                            <w:rFonts w:ascii="宋体" w:hAnsi="宋体" w:cs="宋体" w:eastAsia="宋体" w:hint="default"/>
                            <w:w w:val="95"/>
                            <w:sz w:val="16"/>
                            <w:szCs w:val="16"/>
                          </w:rPr>
                          <w:t>香港财务报</w:t>
                        </w:r>
                        <w:r>
                          <w:rPr>
                            <w:rFonts w:ascii="宋体" w:hAnsi="宋体" w:cs="宋体" w:eastAsia="宋体" w:hint="default"/>
                            <w:spacing w:val="54"/>
                            <w:w w:val="95"/>
                            <w:sz w:val="16"/>
                            <w:szCs w:val="16"/>
                          </w:rPr>
                          <w:t> </w:t>
                        </w:r>
                        <w:r>
                          <w:rPr>
                            <w:rFonts w:ascii="宋体" w:hAnsi="宋体" w:cs="宋体" w:eastAsia="宋体" w:hint="default"/>
                            <w:spacing w:val="54"/>
                            <w:w w:val="95"/>
                            <w:sz w:val="16"/>
                            <w:szCs w:val="16"/>
                          </w:rPr>
                        </w:r>
                        <w:r>
                          <w:rPr>
                            <w:rFonts w:ascii="宋体" w:hAnsi="宋体" w:cs="宋体" w:eastAsia="宋体" w:hint="default"/>
                            <w:sz w:val="16"/>
                            <w:szCs w:val="16"/>
                          </w:rPr>
                          <w:t>告准则下存在差异</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left="173" w:right="0"/>
                          <w:jc w:val="left"/>
                          <w:rPr>
                            <w:rFonts w:ascii="Arial" w:hAnsi="Arial" w:cs="Arial" w:eastAsia="Arial" w:hint="default"/>
                            <w:sz w:val="16"/>
                            <w:szCs w:val="16"/>
                          </w:rPr>
                        </w:pPr>
                        <w:r>
                          <w:rPr>
                            <w:rFonts w:ascii="Arial"/>
                            <w:sz w:val="16"/>
                          </w:rPr>
                          <w:t>(3)</w:t>
                        </w:r>
                      </w:p>
                    </w:tc>
                    <w:tc>
                      <w:tcPr>
                        <w:tcW w:w="3797"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tabs>
                            <w:tab w:pos="1689" w:val="left" w:leader="none"/>
                            <w:tab w:pos="2350" w:val="left" w:leader="none"/>
                            <w:tab w:pos="3266" w:val="left" w:leader="none"/>
                          </w:tabs>
                          <w:spacing w:line="240" w:lineRule="auto" w:before="115"/>
                          <w:ind w:left="735" w:right="0"/>
                          <w:jc w:val="left"/>
                          <w:rPr>
                            <w:rFonts w:ascii="Arial" w:hAnsi="Arial" w:cs="Arial" w:eastAsia="Arial" w:hint="default"/>
                            <w:sz w:val="16"/>
                            <w:szCs w:val="16"/>
                          </w:rPr>
                        </w:pPr>
                        <w:r>
                          <w:rPr>
                            <w:rFonts w:ascii="Arial"/>
                            <w:w w:val="95"/>
                            <w:sz w:val="16"/>
                          </w:rPr>
                          <w:t>-</w:t>
                          <w:tab/>
                          <w:t>-</w:t>
                          <w:tab/>
                        </w:r>
                        <w:r>
                          <w:rPr>
                            <w:rFonts w:ascii="Arial"/>
                            <w:spacing w:val="-1"/>
                            <w:w w:val="95"/>
                            <w:sz w:val="16"/>
                          </w:rPr>
                          <w:t>2,598</w:t>
                          <w:tab/>
                        </w:r>
                        <w:r>
                          <w:rPr>
                            <w:rFonts w:ascii="Arial"/>
                            <w:spacing w:val="-1"/>
                            <w:sz w:val="16"/>
                          </w:rPr>
                          <w:t>2,598</w:t>
                        </w:r>
                        <w:r>
                          <w:rPr>
                            <w:rFonts w:ascii="Arial"/>
                            <w:sz w:val="16"/>
                          </w:rPr>
                        </w:r>
                      </w:p>
                    </w:tc>
                  </w:tr>
                  <w:tr>
                    <w:trPr>
                      <w:trHeight w:val="339"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07" w:lineRule="exact"/>
                          <w:ind w:left="229"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595" w:type="dxa"/>
                        <w:tcBorders>
                          <w:top w:val="nil" w:sz="6" w:space="0" w:color="auto"/>
                          <w:left w:val="nil" w:sz="6" w:space="0" w:color="auto"/>
                          <w:bottom w:val="nil" w:sz="6" w:space="0" w:color="auto"/>
                          <w:right w:val="nil" w:sz="6" w:space="0" w:color="auto"/>
                        </w:tcBorders>
                      </w:tcPr>
                      <w:p>
                        <w:pPr/>
                      </w:p>
                    </w:tc>
                    <w:tc>
                      <w:tcPr>
                        <w:tcW w:w="3797" w:type="dxa"/>
                        <w:gridSpan w:val="4"/>
                        <w:tcBorders>
                          <w:top w:val="nil" w:sz="6" w:space="0" w:color="auto"/>
                          <w:left w:val="nil" w:sz="6" w:space="0" w:color="auto"/>
                          <w:bottom w:val="nil" w:sz="6" w:space="0" w:color="auto"/>
                          <w:right w:val="nil" w:sz="6" w:space="0" w:color="auto"/>
                        </w:tcBorders>
                      </w:tcPr>
                      <w:p>
                        <w:pPr>
                          <w:pStyle w:val="TableParagraph"/>
                          <w:tabs>
                            <w:tab w:pos="735" w:val="left" w:leader="none"/>
                            <w:tab w:pos="1689" w:val="left" w:leader="none"/>
                            <w:tab w:pos="2484" w:val="left" w:leader="none"/>
                            <w:tab w:pos="3400" w:val="left" w:leader="none"/>
                            <w:tab w:pos="3761" w:val="left" w:leader="none"/>
                          </w:tabs>
                          <w:spacing w:line="240" w:lineRule="auto" w:before="45"/>
                          <w:ind w:left="14"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w w:val="95"/>
                            <w:sz w:val="16"/>
                            <w:u w:val="single" w:color="000000"/>
                          </w:rPr>
                          <w:t> </w:t>
                          <w:tab/>
                          <w:t>-</w:t>
                        </w:r>
                        <w:r>
                          <w:rPr>
                            <w:rFonts w:ascii="Arial"/>
                            <w:w w:val="95"/>
                            <w:sz w:val="16"/>
                          </w:rPr>
                        </w:r>
                        <w:r>
                          <w:rPr>
                            <w:rFonts w:ascii="Arial"/>
                            <w:w w:val="95"/>
                            <w:sz w:val="16"/>
                            <w:u w:val="single" w:color="000000"/>
                          </w:rPr>
                          <w:t> </w:t>
                          <w:tab/>
                        </w:r>
                        <w:r>
                          <w:rPr>
                            <w:rFonts w:ascii="Arial"/>
                            <w:spacing w:val="-1"/>
                            <w:sz w:val="16"/>
                            <w:u w:val="single" w:color="000000"/>
                          </w:rPr>
                          <w:t>225</w:t>
                        </w:r>
                        <w:r>
                          <w:rPr>
                            <w:rFonts w:ascii="Arial"/>
                            <w:spacing w:val="-1"/>
                            <w:sz w:val="16"/>
                          </w:rPr>
                        </w:r>
                        <w:r>
                          <w:rPr>
                            <w:rFonts w:ascii="Arial"/>
                            <w:spacing w:val="-1"/>
                            <w:sz w:val="16"/>
                            <w:u w:val="single" w:color="000000"/>
                          </w:rPr>
                          <w:t> </w:t>
                          <w:tab/>
                          <w:t>225</w:t>
                          <w:tab/>
                        </w:r>
                        <w:r>
                          <w:rPr>
                            <w:rFonts w:ascii="Arial"/>
                            <w:spacing w:val="-1"/>
                            <w:sz w:val="16"/>
                          </w:rPr>
                        </w:r>
                      </w:p>
                    </w:tc>
                  </w:tr>
                  <w:tr>
                    <w:trPr>
                      <w:trHeight w:val="407"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1" w:right="0"/>
                          <w:jc w:val="left"/>
                          <w:rPr>
                            <w:rFonts w:ascii="宋体" w:hAnsi="宋体" w:cs="宋体" w:eastAsia="宋体" w:hint="default"/>
                            <w:sz w:val="16"/>
                            <w:szCs w:val="16"/>
                          </w:rPr>
                        </w:pPr>
                        <w:r>
                          <w:rPr>
                            <w:rFonts w:ascii="宋体" w:hAnsi="宋体" w:cs="宋体" w:eastAsia="宋体" w:hint="default"/>
                            <w:sz w:val="16"/>
                            <w:szCs w:val="16"/>
                          </w:rPr>
                          <w:t>调整小计</w:t>
                        </w:r>
                      </w:p>
                    </w:tc>
                    <w:tc>
                      <w:tcPr>
                        <w:tcW w:w="595" w:type="dxa"/>
                        <w:tcBorders>
                          <w:top w:val="nil" w:sz="6" w:space="0" w:color="auto"/>
                          <w:left w:val="nil" w:sz="6" w:space="0" w:color="auto"/>
                          <w:bottom w:val="nil" w:sz="6" w:space="0" w:color="auto"/>
                          <w:right w:val="nil" w:sz="6" w:space="0" w:color="auto"/>
                        </w:tcBorders>
                      </w:tcPr>
                      <w:p>
                        <w:pPr/>
                      </w:p>
                    </w:tc>
                    <w:tc>
                      <w:tcPr>
                        <w:tcW w:w="3797" w:type="dxa"/>
                        <w:gridSpan w:val="4"/>
                        <w:tcBorders>
                          <w:top w:val="nil" w:sz="6" w:space="0" w:color="auto"/>
                          <w:left w:val="nil" w:sz="6" w:space="0" w:color="auto"/>
                          <w:bottom w:val="nil" w:sz="6" w:space="0" w:color="auto"/>
                          <w:right w:val="nil" w:sz="6" w:space="0" w:color="auto"/>
                        </w:tcBorders>
                      </w:tcPr>
                      <w:p>
                        <w:pPr>
                          <w:pStyle w:val="TableParagraph"/>
                          <w:tabs>
                            <w:tab w:pos="655" w:val="left" w:leader="none"/>
                            <w:tab w:pos="1538" w:val="left" w:leader="none"/>
                            <w:tab w:pos="2298" w:val="left" w:leader="none"/>
                            <w:tab w:pos="3214" w:val="left" w:leader="none"/>
                          </w:tabs>
                          <w:spacing w:line="240" w:lineRule="auto" w:before="112"/>
                          <w:ind w:left="14"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28</w:t>
                        </w:r>
                        <w:r>
                          <w:rPr>
                            <w:rFonts w:ascii="Arial"/>
                            <w:w w:val="95"/>
                            <w:sz w:val="16"/>
                          </w:rPr>
                        </w:r>
                        <w:r>
                          <w:rPr>
                            <w:rFonts w:ascii="Arial"/>
                            <w:w w:val="95"/>
                            <w:sz w:val="16"/>
                            <w:u w:val="single" w:color="000000"/>
                          </w:rPr>
                          <w:t> </w:t>
                          <w:tab/>
                          <w:t>(21)</w:t>
                        </w:r>
                        <w:r>
                          <w:rPr>
                            <w:rFonts w:ascii="Arial"/>
                            <w:w w:val="95"/>
                            <w:sz w:val="16"/>
                          </w:rPr>
                        </w:r>
                        <w:r>
                          <w:rPr>
                            <w:rFonts w:ascii="Arial"/>
                            <w:w w:val="95"/>
                            <w:sz w:val="16"/>
                            <w:u w:val="single" w:color="000000"/>
                          </w:rPr>
                          <w:t> </w:t>
                          <w:tab/>
                          <w:t>(2,191)</w:t>
                        </w:r>
                        <w:r>
                          <w:rPr>
                            <w:rFonts w:ascii="Arial"/>
                            <w:w w:val="95"/>
                            <w:sz w:val="16"/>
                          </w:rPr>
                        </w:r>
                        <w:r>
                          <w:rPr>
                            <w:rFonts w:ascii="Arial"/>
                            <w:w w:val="95"/>
                            <w:sz w:val="16"/>
                            <w:u w:val="single" w:color="000000"/>
                          </w:rPr>
                          <w:t> </w:t>
                          <w:tab/>
                        </w:r>
                        <w:r>
                          <w:rPr>
                            <w:rFonts w:ascii="Arial"/>
                            <w:sz w:val="16"/>
                            <w:u w:val="single" w:color="000000"/>
                          </w:rPr>
                          <w:t>(2,219)</w:t>
                        </w:r>
                        <w:r>
                          <w:rPr>
                            <w:rFonts w:ascii="Arial"/>
                            <w:sz w:val="16"/>
                          </w:rPr>
                        </w:r>
                      </w:p>
                    </w:tc>
                  </w:tr>
                  <w:tr>
                    <w:trPr>
                      <w:trHeight w:val="323"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1" w:right="0"/>
                          <w:jc w:val="left"/>
                          <w:rPr>
                            <w:rFonts w:ascii="宋体" w:hAnsi="宋体" w:cs="宋体" w:eastAsia="宋体" w:hint="default"/>
                            <w:sz w:val="16"/>
                            <w:szCs w:val="16"/>
                          </w:rPr>
                        </w:pPr>
                        <w:r>
                          <w:rPr>
                            <w:rFonts w:ascii="宋体" w:hAnsi="宋体" w:cs="宋体" w:eastAsia="宋体" w:hint="default"/>
                            <w:sz w:val="16"/>
                            <w:szCs w:val="16"/>
                          </w:rPr>
                          <w:t>联通红筹公司国际</w:t>
                        </w:r>
                        <w:r>
                          <w:rPr>
                            <w:rFonts w:ascii="Arial" w:hAnsi="Arial" w:cs="Arial" w:eastAsia="Arial" w:hint="default"/>
                            <w:sz w:val="16"/>
                            <w:szCs w:val="16"/>
                          </w:rPr>
                          <w:t>/</w:t>
                        </w:r>
                        <w:r>
                          <w:rPr>
                            <w:rFonts w:ascii="宋体" w:hAnsi="宋体" w:cs="宋体" w:eastAsia="宋体" w:hint="default"/>
                            <w:sz w:val="16"/>
                            <w:szCs w:val="16"/>
                          </w:rPr>
                          <w:t>香港财务报告准则下净利润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595" w:type="dxa"/>
                        <w:tcBorders>
                          <w:top w:val="nil" w:sz="6" w:space="0" w:color="auto"/>
                          <w:left w:val="nil" w:sz="6" w:space="0" w:color="auto"/>
                          <w:bottom w:val="nil" w:sz="6" w:space="0" w:color="auto"/>
                          <w:right w:val="nil" w:sz="6" w:space="0" w:color="auto"/>
                        </w:tcBorders>
                      </w:tcPr>
                      <w:p>
                        <w:pPr/>
                      </w:p>
                    </w:tc>
                    <w:tc>
                      <w:tcPr>
                        <w:tcW w:w="3797" w:type="dxa"/>
                        <w:gridSpan w:val="4"/>
                        <w:tcBorders>
                          <w:top w:val="nil" w:sz="6" w:space="0" w:color="auto"/>
                          <w:left w:val="nil" w:sz="6" w:space="0" w:color="auto"/>
                          <w:bottom w:val="single" w:sz="17" w:space="0" w:color="000000"/>
                          <w:right w:val="nil" w:sz="6" w:space="0" w:color="auto"/>
                        </w:tcBorders>
                      </w:tcPr>
                      <w:p>
                        <w:pPr>
                          <w:pStyle w:val="TableParagraph"/>
                          <w:tabs>
                            <w:tab w:pos="1367" w:val="left" w:leader="none"/>
                            <w:tab w:pos="2171" w:val="left" w:leader="none"/>
                            <w:tab w:pos="3088" w:val="left" w:leader="none"/>
                          </w:tabs>
                          <w:spacing w:line="240" w:lineRule="auto" w:before="112"/>
                          <w:ind w:left="432" w:right="0"/>
                          <w:jc w:val="left"/>
                          <w:rPr>
                            <w:rFonts w:ascii="Arial" w:hAnsi="Arial" w:cs="Arial" w:eastAsia="Arial" w:hint="default"/>
                            <w:sz w:val="16"/>
                            <w:szCs w:val="16"/>
                          </w:rPr>
                        </w:pPr>
                        <w:r>
                          <w:rPr>
                            <w:rFonts w:ascii="Arial"/>
                            <w:w w:val="95"/>
                            <w:sz w:val="16"/>
                          </w:rPr>
                          <w:t>4,226</w:t>
                          <w:tab/>
                          <w:t>3,701</w:t>
                          <w:tab/>
                          <w:t>205,897</w:t>
                          <w:tab/>
                        </w:r>
                        <w:r>
                          <w:rPr>
                            <w:rFonts w:ascii="Arial"/>
                            <w:sz w:val="16"/>
                          </w:rPr>
                          <w:t>205,662</w:t>
                        </w:r>
                      </w:p>
                    </w:tc>
                  </w:tr>
                  <w:tr>
                    <w:trPr>
                      <w:trHeight w:val="616"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35" w:right="0"/>
                          <w:jc w:val="left"/>
                          <w:rPr>
                            <w:rFonts w:ascii="宋体" w:hAnsi="宋体" w:cs="宋体" w:eastAsia="宋体" w:hint="default"/>
                            <w:sz w:val="22"/>
                            <w:szCs w:val="22"/>
                          </w:rPr>
                        </w:pPr>
                        <w:r>
                          <w:rPr>
                            <w:rFonts w:ascii="宋体" w:hAnsi="宋体" w:cs="宋体" w:eastAsia="宋体" w:hint="default"/>
                            <w:sz w:val="22"/>
                            <w:szCs w:val="22"/>
                          </w:rPr>
                          <w:t>财务报表差异调节表项目注释说明：</w:t>
                        </w:r>
                      </w:p>
                    </w:tc>
                    <w:tc>
                      <w:tcPr>
                        <w:tcW w:w="595" w:type="dxa"/>
                        <w:tcBorders>
                          <w:top w:val="nil" w:sz="6" w:space="0" w:color="auto"/>
                          <w:left w:val="nil" w:sz="6" w:space="0" w:color="auto"/>
                          <w:bottom w:val="nil" w:sz="6" w:space="0" w:color="auto"/>
                          <w:right w:val="nil" w:sz="6" w:space="0" w:color="auto"/>
                        </w:tcBorders>
                      </w:tcPr>
                      <w:p>
                        <w:pPr/>
                      </w:p>
                    </w:tc>
                    <w:tc>
                      <w:tcPr>
                        <w:tcW w:w="3797" w:type="dxa"/>
                        <w:gridSpan w:val="4"/>
                        <w:tcBorders>
                          <w:top w:val="single" w:sz="17" w:space="0" w:color="000000"/>
                          <w:left w:val="nil" w:sz="6" w:space="0" w:color="auto"/>
                          <w:bottom w:val="nil" w:sz="6" w:space="0" w:color="auto"/>
                          <w:right w:val="nil" w:sz="6" w:space="0" w:color="auto"/>
                        </w:tcBorders>
                      </w:tcPr>
                      <w:p>
                        <w:pPr/>
                      </w:p>
                    </w:tc>
                  </w:tr>
                  <w:tr>
                    <w:trPr>
                      <w:trHeight w:val="467" w:hRule="exact"/>
                    </w:trPr>
                    <w:tc>
                      <w:tcPr>
                        <w:tcW w:w="494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：额外资本化利息及折旧的影响</w:t>
                        </w:r>
                      </w:p>
                    </w:tc>
                    <w:tc>
                      <w:tcPr>
                        <w:tcW w:w="595" w:type="dxa"/>
                        <w:tcBorders>
                          <w:top w:val="nil" w:sz="6" w:space="0" w:color="auto"/>
                          <w:left w:val="nil" w:sz="6" w:space="0" w:color="auto"/>
                          <w:bottom w:val="nil" w:sz="6" w:space="0" w:color="auto"/>
                          <w:right w:val="nil" w:sz="6" w:space="0" w:color="auto"/>
                        </w:tcBorders>
                      </w:tcPr>
                      <w:p>
                        <w:pPr/>
                      </w:p>
                    </w:tc>
                    <w:tc>
                      <w:tcPr>
                        <w:tcW w:w="3797" w:type="dxa"/>
                        <w:gridSpan w:val="4"/>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6"/>
          <w:szCs w:val="16"/>
        </w:rPr>
        <w:t>—因以前年度收购联通新世纪</w:t>
      </w:r>
      <w:r>
        <w:rPr>
          <w:rFonts w:ascii="宋体" w:hAnsi="宋体" w:cs="宋体" w:eastAsia="宋体" w:hint="default"/>
          <w:spacing w:val="-57"/>
          <w:sz w:val="16"/>
          <w:szCs w:val="16"/>
        </w:rPr>
        <w:t> </w:t>
      </w:r>
      <w:r>
        <w:rPr>
          <w:rFonts w:ascii="Arial" w:hAnsi="Arial" w:cs="Arial" w:eastAsia="Arial" w:hint="default"/>
          <w:sz w:val="16"/>
          <w:szCs w:val="16"/>
        </w:rPr>
        <w:t>BVI</w:t>
      </w:r>
      <w:r>
        <w:rPr>
          <w:rFonts w:ascii="Arial" w:hAnsi="Arial" w:cs="Arial" w:eastAsia="Arial" w:hint="default"/>
          <w:spacing w:val="-22"/>
          <w:sz w:val="16"/>
          <w:szCs w:val="16"/>
        </w:rPr>
        <w:t> </w:t>
      </w:r>
      <w:r>
        <w:rPr>
          <w:rFonts w:ascii="宋体" w:hAnsi="宋体" w:cs="宋体" w:eastAsia="宋体" w:hint="default"/>
          <w:sz w:val="16"/>
          <w:szCs w:val="16"/>
        </w:rPr>
        <w:t>和联通新世界</w:t>
      </w:r>
      <w:r>
        <w:rPr>
          <w:rFonts w:ascii="宋体" w:hAnsi="宋体" w:cs="宋体" w:eastAsia="宋体" w:hint="default"/>
          <w:spacing w:val="-57"/>
          <w:sz w:val="16"/>
          <w:szCs w:val="16"/>
        </w:rPr>
        <w:t> </w:t>
      </w:r>
      <w:r>
        <w:rPr>
          <w:rFonts w:ascii="Arial" w:hAnsi="Arial" w:cs="Arial" w:eastAsia="Arial" w:hint="default"/>
          <w:sz w:val="16"/>
          <w:szCs w:val="16"/>
        </w:rPr>
        <w:t>BVI</w:t>
      </w:r>
      <w:r>
        <w:rPr>
          <w:rFonts w:ascii="Arial" w:hAnsi="Arial" w:cs="Arial" w:eastAsia="Arial" w:hint="default"/>
          <w:spacing w:val="-22"/>
          <w:sz w:val="16"/>
          <w:szCs w:val="16"/>
        </w:rPr>
        <w:t> </w:t>
      </w:r>
      <w:r>
        <w:rPr>
          <w:rFonts w:ascii="宋体" w:hAnsi="宋体" w:cs="宋体" w:eastAsia="宋体" w:hint="default"/>
          <w:sz w:val="16"/>
          <w:szCs w:val="16"/>
        </w:rPr>
        <w:t>产生的股权投</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1"/>
          <w:szCs w:val="31"/>
        </w:rPr>
      </w:pPr>
    </w:p>
    <w:p>
      <w:pPr>
        <w:pStyle w:val="BodyText"/>
        <w:spacing w:line="294" w:lineRule="exact"/>
        <w:ind w:left="1148" w:right="0"/>
        <w:jc w:val="both"/>
      </w:pPr>
      <w:r>
        <w:rPr/>
        <w:t>本集团于</w:t>
      </w:r>
      <w:r>
        <w:rPr>
          <w:spacing w:val="-56"/>
        </w:rPr>
        <w:t> </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日，根据《企业会计准则第</w:t>
      </w:r>
      <w:r>
        <w:rPr>
          <w:spacing w:val="-56"/>
        </w:rPr>
        <w:t> </w:t>
      </w:r>
      <w:r>
        <w:rPr>
          <w:rFonts w:ascii="Arial" w:hAnsi="Arial" w:cs="Arial" w:eastAsia="Arial" w:hint="default"/>
        </w:rPr>
        <w:t>38</w:t>
      </w:r>
      <w:r>
        <w:rPr>
          <w:rFonts w:ascii="Arial" w:hAnsi="Arial" w:cs="Arial" w:eastAsia="Arial" w:hint="default"/>
          <w:spacing w:val="-7"/>
        </w:rPr>
        <w:t> </w:t>
      </w:r>
      <w:r>
        <w:rPr/>
        <w:t>号—首次执行企业会计准则》</w:t>
      </w:r>
    </w:p>
    <w:p>
      <w:pPr>
        <w:pStyle w:val="BodyText"/>
        <w:spacing w:line="230" w:lineRule="auto"/>
        <w:ind w:left="1147" w:right="666"/>
        <w:jc w:val="both"/>
      </w:pPr>
      <w:r>
        <w:rPr/>
        <w:t>（“第 </w:t>
      </w:r>
      <w:r>
        <w:rPr>
          <w:rFonts w:ascii="Arial" w:hAnsi="Arial" w:cs="Arial" w:eastAsia="Arial" w:hint="default"/>
        </w:rPr>
        <w:t>38</w:t>
      </w:r>
      <w:r>
        <w:rPr>
          <w:rFonts w:ascii="Arial" w:hAnsi="Arial" w:cs="Arial" w:eastAsia="Arial" w:hint="default"/>
          <w:spacing w:val="18"/>
        </w:rPr>
        <w:t> </w:t>
      </w:r>
      <w:r>
        <w:rPr/>
        <w:t>号准则”）的要求，以未来适用法将原会计准则和制度下应直接费用化的</w:t>
      </w:r>
      <w:r>
        <w:rPr>
          <w:w w:val="99"/>
        </w:rPr>
        <w:t> </w:t>
      </w:r>
      <w:r>
        <w:rPr/>
        <w:t>一般借款费用按新中国会计准则的要求在满足相关条件的前提下予以资本化，这与国</w:t>
      </w:r>
      <w:r>
        <w:rPr>
          <w:w w:val="99"/>
        </w:rPr>
        <w:t> </w:t>
      </w:r>
      <w:r>
        <w:rPr>
          <w:spacing w:val="-3"/>
        </w:rPr>
        <w:t>际</w:t>
      </w:r>
      <w:r>
        <w:rPr>
          <w:rFonts w:ascii="Arial" w:hAnsi="Arial" w:cs="Arial" w:eastAsia="Arial" w:hint="default"/>
          <w:spacing w:val="-3"/>
        </w:rPr>
        <w:t>/</w:t>
      </w:r>
      <w:r>
        <w:rPr>
          <w:spacing w:val="-3"/>
        </w:rPr>
        <w:t>香港财务报告准则已经一致。但在</w:t>
      </w:r>
      <w:r>
        <w:rPr>
          <w:spacing w:val="-55"/>
        </w:rPr>
        <w:t> </w:t>
      </w:r>
      <w:r>
        <w:rPr>
          <w:rFonts w:ascii="Arial" w:hAnsi="Arial" w:cs="Arial" w:eastAsia="Arial" w:hint="default"/>
        </w:rPr>
        <w:t>2007</w:t>
      </w:r>
      <w:r>
        <w:rPr>
          <w:rFonts w:ascii="Arial" w:hAnsi="Arial" w:cs="Arial" w:eastAsia="Arial" w:hint="default"/>
          <w:spacing w:val="-6"/>
        </w:rPr>
        <w:t> </w:t>
      </w:r>
      <w:r>
        <w:rPr/>
        <w:t>年</w:t>
      </w:r>
      <w:r>
        <w:rPr>
          <w:spacing w:val="-55"/>
        </w:rPr>
        <w:t> </w:t>
      </w:r>
      <w:r>
        <w:rPr>
          <w:rFonts w:ascii="Arial" w:hAnsi="Arial" w:cs="Arial" w:eastAsia="Arial" w:hint="default"/>
        </w:rPr>
        <w:t>1</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spacing w:val="-3"/>
        </w:rPr>
        <w:t>日前，在国际</w:t>
      </w:r>
      <w:r>
        <w:rPr>
          <w:rFonts w:ascii="Arial" w:hAnsi="Arial" w:cs="Arial" w:eastAsia="Arial" w:hint="default"/>
          <w:spacing w:val="-3"/>
        </w:rPr>
        <w:t>/</w:t>
      </w:r>
      <w:r>
        <w:rPr>
          <w:spacing w:val="-3"/>
        </w:rPr>
        <w:t>香港财务报告准则</w:t>
      </w:r>
      <w:r>
        <w:rPr>
          <w:w w:val="99"/>
        </w:rPr>
        <w:t> </w:t>
      </w:r>
      <w:r>
        <w:rPr>
          <w:spacing w:val="3"/>
        </w:rPr>
        <w:t>下符合资本化条件的一般借款费用已经记入本集团国际</w:t>
      </w:r>
      <w:r>
        <w:rPr>
          <w:rFonts w:ascii="Arial" w:hAnsi="Arial" w:cs="Arial" w:eastAsia="Arial" w:hint="default"/>
          <w:spacing w:val="3"/>
        </w:rPr>
        <w:t>/</w:t>
      </w:r>
      <w:r>
        <w:rPr>
          <w:spacing w:val="3"/>
        </w:rPr>
        <w:t>香港财务报告准则下的在建</w:t>
      </w:r>
      <w:r>
        <w:rPr>
          <w:spacing w:val="-90"/>
        </w:rPr>
        <w:t> </w:t>
      </w:r>
      <w:r>
        <w:rPr>
          <w:spacing w:val="-90"/>
        </w:rPr>
      </w:r>
      <w:r>
        <w:rPr/>
        <w:t>工程成本并转入固定资产，由此导致这些固定资产的折旧及账面净值在中国会计准则</w:t>
      </w:r>
      <w:r>
        <w:rPr>
          <w:w w:val="99"/>
        </w:rPr>
        <w:t> </w:t>
      </w:r>
      <w:r>
        <w:rPr/>
        <w:t>和国际</w:t>
      </w:r>
      <w:r>
        <w:rPr>
          <w:rFonts w:ascii="Arial" w:hAnsi="Arial" w:cs="Arial" w:eastAsia="Arial" w:hint="default"/>
        </w:rPr>
        <w:t>/</w:t>
      </w:r>
      <w:r>
        <w:rPr/>
        <w:t>香港财务报告准则下不同。同时，该准则差异亦考虑了递延所得税的影响。</w:t>
      </w:r>
    </w:p>
    <w:p>
      <w:pPr>
        <w:spacing w:after="0" w:line="230" w:lineRule="auto"/>
        <w:jc w:val="both"/>
        <w:sectPr>
          <w:headerReference w:type="default" r:id="rId152"/>
          <w:pgSz w:w="11900" w:h="16840"/>
          <w:pgMar w:header="1328" w:footer="752" w:top="2300" w:bottom="940" w:left="1480" w:right="460"/>
        </w:sectPr>
      </w:pPr>
    </w:p>
    <w:p>
      <w:pPr>
        <w:spacing w:line="240" w:lineRule="auto" w:before="11"/>
        <w:rPr>
          <w:rFonts w:ascii="宋体" w:hAnsi="宋体" w:cs="宋体" w:eastAsia="宋体" w:hint="default"/>
          <w:sz w:val="15"/>
          <w:szCs w:val="15"/>
        </w:rPr>
      </w:pPr>
    </w:p>
    <w:p>
      <w:pPr>
        <w:pStyle w:val="BodyText"/>
        <w:spacing w:line="240" w:lineRule="auto" w:before="31"/>
        <w:ind w:left="103" w:right="0"/>
        <w:jc w:val="left"/>
        <w:rPr>
          <w:rFonts w:ascii="黑体" w:hAnsi="黑体" w:cs="黑体" w:eastAsia="黑体" w:hint="default"/>
        </w:rPr>
      </w:pPr>
      <w:r>
        <w:rPr>
          <w:rFonts w:ascii="黑体" w:hAnsi="黑体" w:cs="黑体" w:eastAsia="黑体" w:hint="default"/>
        </w:rPr>
        <w:t>二、财务报表差异调节表（续）</w:t>
      </w:r>
    </w:p>
    <w:p>
      <w:pPr>
        <w:spacing w:line="240" w:lineRule="auto" w:before="9"/>
        <w:rPr>
          <w:rFonts w:ascii="黑体" w:hAnsi="黑体" w:cs="黑体" w:eastAsia="黑体" w:hint="default"/>
          <w:sz w:val="15"/>
          <w:szCs w:val="15"/>
        </w:rPr>
      </w:pPr>
    </w:p>
    <w:p>
      <w:pPr>
        <w:pStyle w:val="BodyText"/>
        <w:spacing w:line="240" w:lineRule="auto"/>
        <w:ind w:left="545" w:right="0"/>
        <w:jc w:val="left"/>
      </w:pPr>
      <w:r>
        <w:rPr/>
        <w:t>财务报表差异调节表项目注释说明（续）：</w:t>
      </w:r>
    </w:p>
    <w:p>
      <w:pPr>
        <w:spacing w:line="240" w:lineRule="auto" w:before="1"/>
        <w:rPr>
          <w:rFonts w:ascii="宋体" w:hAnsi="宋体" w:cs="宋体" w:eastAsia="宋体" w:hint="default"/>
          <w:sz w:val="20"/>
          <w:szCs w:val="20"/>
        </w:rPr>
      </w:pPr>
    </w:p>
    <w:p>
      <w:pPr>
        <w:pStyle w:val="BodyText"/>
        <w:spacing w:line="240" w:lineRule="auto"/>
        <w:ind w:left="536" w:right="0"/>
        <w:jc w:val="left"/>
      </w:pPr>
      <w:r>
        <w:rPr/>
        <w:t>注</w:t>
      </w:r>
      <w:r>
        <w:rPr>
          <w:spacing w:val="-58"/>
        </w:rPr>
        <w:t> </w:t>
      </w:r>
      <w:r>
        <w:rPr>
          <w:rFonts w:ascii="Arial" w:hAnsi="Arial" w:cs="Arial" w:eastAsia="Arial" w:hint="default"/>
        </w:rPr>
        <w:t>2</w:t>
      </w:r>
      <w:r>
        <w:rPr/>
        <w:t>：因土地及房屋建筑物的评估对折旧及摊销的影响</w:t>
      </w:r>
    </w:p>
    <w:p>
      <w:pPr>
        <w:spacing w:line="240" w:lineRule="auto" w:before="0"/>
        <w:rPr>
          <w:rFonts w:ascii="宋体" w:hAnsi="宋体" w:cs="宋体" w:eastAsia="宋体" w:hint="default"/>
          <w:sz w:val="20"/>
          <w:szCs w:val="20"/>
        </w:rPr>
      </w:pPr>
    </w:p>
    <w:p>
      <w:pPr>
        <w:pStyle w:val="BodyText"/>
        <w:spacing w:line="286" w:lineRule="exact"/>
        <w:ind w:left="1175" w:right="226"/>
        <w:jc w:val="both"/>
      </w:pPr>
      <w:r>
        <w:rPr/>
        <w:t>在中国会计准则下，本集团所持有的土地及房屋建筑物在本集团改制重组上市以及后</w:t>
      </w:r>
      <w:r>
        <w:rPr>
          <w:spacing w:val="-69"/>
        </w:rPr>
        <w:t> </w:t>
      </w:r>
      <w:r>
        <w:rPr>
          <w:spacing w:val="-69"/>
        </w:rPr>
      </w:r>
      <w:r>
        <w:rPr>
          <w:w w:val="95"/>
        </w:rPr>
        <w:t>续同一控制下的企业合并收购过程中以评估后价值入账并计提折旧及摊销。在国际</w:t>
      </w:r>
      <w:r>
        <w:rPr>
          <w:rFonts w:ascii="Arial" w:hAnsi="Arial" w:cs="Arial" w:eastAsia="Arial" w:hint="default"/>
          <w:w w:val="95"/>
        </w:rPr>
        <w:t>/</w:t>
      </w:r>
      <w:r>
        <w:rPr>
          <w:w w:val="95"/>
        </w:rPr>
        <w:t>香</w:t>
      </w:r>
      <w:r>
        <w:rPr>
          <w:spacing w:val="86"/>
          <w:w w:val="95"/>
        </w:rPr>
        <w:t> </w:t>
      </w:r>
      <w:r>
        <w:rPr/>
        <w:t>港财务报告准则下，对于土地及房屋建筑物一直以历史成本确认并计提折旧，由此产</w:t>
      </w:r>
      <w:r>
        <w:rPr>
          <w:spacing w:val="-69"/>
        </w:rPr>
        <w:t> </w:t>
      </w:r>
      <w:r>
        <w:rPr>
          <w:spacing w:val="-69"/>
        </w:rPr>
      </w:r>
      <w:r>
        <w:rPr/>
        <w:t>生准则差异。该准则差异亦考虑递延所得税的影响。</w:t>
      </w:r>
    </w:p>
    <w:p>
      <w:pPr>
        <w:spacing w:line="240" w:lineRule="auto" w:before="3"/>
        <w:rPr>
          <w:rFonts w:ascii="宋体" w:hAnsi="宋体" w:cs="宋体" w:eastAsia="宋体" w:hint="default"/>
          <w:sz w:val="19"/>
          <w:szCs w:val="19"/>
        </w:rPr>
      </w:pPr>
    </w:p>
    <w:p>
      <w:pPr>
        <w:pStyle w:val="BodyText"/>
        <w:spacing w:line="286" w:lineRule="exact"/>
        <w:ind w:left="1175" w:right="219" w:hanging="640"/>
        <w:jc w:val="left"/>
      </w:pPr>
      <w:r>
        <w:rPr/>
        <w:t>注</w:t>
      </w:r>
      <w:r>
        <w:rPr>
          <w:spacing w:val="-51"/>
        </w:rPr>
        <w:t> </w:t>
      </w:r>
      <w:r>
        <w:rPr>
          <w:rFonts w:ascii="Arial" w:hAnsi="Arial" w:cs="Arial" w:eastAsia="Arial" w:hint="default"/>
        </w:rPr>
        <w:t>3</w:t>
      </w:r>
      <w:r>
        <w:rPr/>
        <w:t>：因以前年度收购联通新世纪</w:t>
      </w:r>
      <w:r>
        <w:rPr>
          <w:spacing w:val="-51"/>
        </w:rPr>
        <w:t> </w:t>
      </w:r>
      <w:r>
        <w:rPr>
          <w:rFonts w:ascii="Arial" w:hAnsi="Arial" w:cs="Arial" w:eastAsia="Arial" w:hint="default"/>
        </w:rPr>
        <w:t>BVI</w:t>
      </w:r>
      <w:r>
        <w:rPr>
          <w:rFonts w:ascii="Arial" w:hAnsi="Arial" w:cs="Arial" w:eastAsia="Arial" w:hint="default"/>
          <w:spacing w:val="-3"/>
        </w:rPr>
        <w:t> </w:t>
      </w:r>
      <w:r>
        <w:rPr/>
        <w:t>和联通新世界</w:t>
      </w:r>
      <w:r>
        <w:rPr>
          <w:spacing w:val="-51"/>
        </w:rPr>
        <w:t> </w:t>
      </w:r>
      <w:r>
        <w:rPr>
          <w:rFonts w:ascii="Arial" w:hAnsi="Arial" w:cs="Arial" w:eastAsia="Arial" w:hint="default"/>
        </w:rPr>
        <w:t>BVI</w:t>
      </w:r>
      <w:r>
        <w:rPr>
          <w:rFonts w:ascii="Arial" w:hAnsi="Arial" w:cs="Arial" w:eastAsia="Arial" w:hint="default"/>
          <w:spacing w:val="-2"/>
        </w:rPr>
        <w:t> </w:t>
      </w:r>
      <w:r>
        <w:rPr/>
        <w:t>产生的股权投资差额、商誉及收购</w:t>
      </w:r>
      <w:r>
        <w:rPr>
          <w:w w:val="99"/>
        </w:rPr>
        <w:t> </w:t>
      </w:r>
      <w:r>
        <w:rPr/>
        <w:t>费用在不同准则下的差异</w:t>
      </w:r>
    </w:p>
    <w:p>
      <w:pPr>
        <w:spacing w:line="240" w:lineRule="auto" w:before="3"/>
        <w:rPr>
          <w:rFonts w:ascii="宋体" w:hAnsi="宋体" w:cs="宋体" w:eastAsia="宋体" w:hint="default"/>
          <w:sz w:val="19"/>
          <w:szCs w:val="19"/>
        </w:rPr>
      </w:pPr>
    </w:p>
    <w:p>
      <w:pPr>
        <w:pStyle w:val="BodyText"/>
        <w:spacing w:line="286" w:lineRule="exact"/>
        <w:ind w:left="1175" w:right="225"/>
        <w:jc w:val="both"/>
        <w:rPr>
          <w:rFonts w:ascii="Arial" w:hAnsi="Arial" w:cs="Arial" w:eastAsia="Arial" w:hint="default"/>
        </w:rPr>
      </w:pPr>
      <w:r>
        <w:rPr/>
        <w:t>本公司分别于</w:t>
      </w:r>
      <w:r>
        <w:rPr>
          <w:spacing w:val="-50"/>
        </w:rPr>
        <w:t> </w:t>
      </w:r>
      <w:r>
        <w:rPr>
          <w:rFonts w:ascii="Arial" w:hAnsi="Arial" w:cs="Arial" w:eastAsia="Arial" w:hint="default"/>
        </w:rPr>
        <w:t>2002</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日和</w:t>
      </w:r>
      <w:r>
        <w:rPr>
          <w:spacing w:val="-50"/>
        </w:rPr>
        <w:t> </w:t>
      </w:r>
      <w:r>
        <w:rPr>
          <w:rFonts w:ascii="Arial" w:hAnsi="Arial" w:cs="Arial" w:eastAsia="Arial" w:hint="default"/>
        </w:rPr>
        <w:t>2003</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日间接通过联通红筹公司收购</w:t>
      </w:r>
      <w:r>
        <w:rPr>
          <w:w w:val="99"/>
        </w:rPr>
        <w:t> </w:t>
      </w:r>
      <w:r>
        <w:rPr/>
        <w:t>了联通新世纪</w:t>
      </w:r>
      <w:r>
        <w:rPr>
          <w:spacing w:val="-56"/>
        </w:rPr>
        <w:t> </w:t>
      </w:r>
      <w:r>
        <w:rPr>
          <w:rFonts w:ascii="Arial" w:hAnsi="Arial" w:cs="Arial" w:eastAsia="Arial" w:hint="default"/>
        </w:rPr>
        <w:t>BVI</w:t>
      </w:r>
      <w:r>
        <w:rPr>
          <w:rFonts w:ascii="Arial" w:hAnsi="Arial" w:cs="Arial" w:eastAsia="Arial" w:hint="default"/>
          <w:spacing w:val="-6"/>
        </w:rPr>
        <w:t> </w:t>
      </w:r>
      <w:r>
        <w:rPr/>
        <w:t>和联通新世界</w:t>
      </w:r>
      <w:r>
        <w:rPr>
          <w:spacing w:val="-56"/>
        </w:rPr>
        <w:t> </w:t>
      </w:r>
      <w:r>
        <w:rPr>
          <w:rFonts w:ascii="Arial" w:hAnsi="Arial" w:cs="Arial" w:eastAsia="Arial" w:hint="default"/>
        </w:rPr>
        <w:t>BVI</w:t>
      </w:r>
      <w:r>
        <w:rPr>
          <w:rFonts w:ascii="Arial" w:hAnsi="Arial" w:cs="Arial" w:eastAsia="Arial" w:hint="default"/>
          <w:spacing w:val="-7"/>
        </w:rPr>
        <w:t> </w:t>
      </w:r>
      <w:r>
        <w:rPr/>
        <w:t>的全部股权。在中国会计准则下，收购价与收购</w:t>
      </w:r>
      <w:r>
        <w:rPr>
          <w:w w:val="99"/>
        </w:rPr>
        <w:t> </w:t>
      </w:r>
      <w:r>
        <w:rPr/>
        <w:t>生效日被收购公司账面净资产值之间的差额确认为长期股权投资差额，并于</w:t>
      </w:r>
      <w:r>
        <w:rPr>
          <w:spacing w:val="-77"/>
        </w:rPr>
        <w:t> </w:t>
      </w:r>
      <w:r>
        <w:rPr>
          <w:rFonts w:ascii="Arial" w:hAnsi="Arial" w:cs="Arial" w:eastAsia="Arial" w:hint="default"/>
        </w:rPr>
        <w:t>2007</w:t>
      </w:r>
      <w:r>
        <w:rPr>
          <w:rFonts w:ascii="Arial" w:hAnsi="Arial" w:cs="Arial" w:eastAsia="Arial" w:hint="default"/>
          <w:spacing w:val="-28"/>
        </w:rPr>
        <w:t> </w:t>
      </w:r>
      <w:r>
        <w:rPr/>
        <w:t>年</w:t>
      </w:r>
      <w:r>
        <w:rPr>
          <w:spacing w:val="-78"/>
        </w:rPr>
        <w:t> </w:t>
      </w:r>
      <w:r>
        <w:rPr>
          <w:rFonts w:ascii="Arial" w:hAnsi="Arial" w:cs="Arial" w:eastAsia="Arial" w:hint="default"/>
        </w:rPr>
        <w:t>1</w:t>
      </w:r>
    </w:p>
    <w:p>
      <w:pPr>
        <w:pStyle w:val="BodyText"/>
        <w:spacing w:line="225" w:lineRule="auto"/>
        <w:ind w:left="1175" w:right="115"/>
        <w:jc w:val="both"/>
      </w:pPr>
      <w:r>
        <w:rPr/>
        <w:t>月 </w:t>
      </w:r>
      <w:r>
        <w:rPr>
          <w:rFonts w:ascii="Arial" w:hAnsi="Arial" w:cs="Arial" w:eastAsia="Arial" w:hint="default"/>
        </w:rPr>
        <w:t>1</w:t>
      </w:r>
      <w:r>
        <w:rPr>
          <w:rFonts w:ascii="Arial" w:hAnsi="Arial" w:cs="Arial" w:eastAsia="Arial" w:hint="default"/>
          <w:spacing w:val="-22"/>
        </w:rPr>
        <w:t> </w:t>
      </w:r>
      <w:r>
        <w:rPr/>
        <w:t>日将尚未摊销的长期股权投资差额调整留存收益，减少本集团的净资产。而在国</w:t>
      </w:r>
      <w:r>
        <w:rPr>
          <w:w w:val="99"/>
        </w:rPr>
        <w:t> </w:t>
      </w:r>
      <w:r>
        <w:rPr/>
        <w:t>际</w:t>
      </w:r>
      <w:r>
        <w:rPr>
          <w:rFonts w:ascii="Arial" w:hAnsi="Arial" w:cs="Arial" w:eastAsia="Arial" w:hint="default"/>
        </w:rPr>
        <w:t>/</w:t>
      </w:r>
      <w:r>
        <w:rPr/>
        <w:t>香港财务报告准则下，收购价与收购生效日被收购公司资产及负债的公允价值之间</w:t>
      </w:r>
      <w:r>
        <w:rPr>
          <w:w w:val="99"/>
        </w:rPr>
        <w:t> </w:t>
      </w:r>
      <w:r>
        <w:rPr>
          <w:spacing w:val="-2"/>
        </w:rPr>
        <w:t>的差额确认为商誉记入资产且不进行摊销，而是每年或当有减值迹象时进行减值测试。</w:t>
      </w:r>
    </w:p>
    <w:p>
      <w:pPr>
        <w:spacing w:line="240" w:lineRule="auto" w:before="4"/>
        <w:rPr>
          <w:rFonts w:ascii="宋体" w:hAnsi="宋体" w:cs="宋体" w:eastAsia="宋体" w:hint="default"/>
          <w:sz w:val="19"/>
          <w:szCs w:val="19"/>
        </w:rPr>
      </w:pPr>
    </w:p>
    <w:p>
      <w:pPr>
        <w:pStyle w:val="BodyText"/>
        <w:spacing w:line="295" w:lineRule="exact"/>
        <w:ind w:left="1175" w:right="0"/>
        <w:jc w:val="both"/>
      </w:pPr>
      <w:r>
        <w:rPr/>
        <w:t>除收购价外，本集团支付与上述收购直接相关的其他费用分别约人民币 </w:t>
      </w:r>
      <w:r>
        <w:rPr>
          <w:rFonts w:ascii="Arial" w:hAnsi="Arial" w:cs="Arial" w:eastAsia="Arial" w:hint="default"/>
        </w:rPr>
        <w:t>1.09 </w:t>
      </w:r>
      <w:r>
        <w:rPr>
          <w:rFonts w:ascii="Arial" w:hAnsi="Arial" w:cs="Arial" w:eastAsia="Arial" w:hint="default"/>
          <w:spacing w:val="40"/>
        </w:rPr>
        <w:t> </w:t>
      </w:r>
      <w:r>
        <w:rPr/>
        <w:t>亿元和</w:t>
      </w:r>
    </w:p>
    <w:p>
      <w:pPr>
        <w:pStyle w:val="BodyText"/>
        <w:spacing w:line="225" w:lineRule="auto" w:before="6"/>
        <w:ind w:left="1175" w:right="104" w:hanging="1"/>
        <w:jc w:val="left"/>
      </w:pPr>
      <w:r>
        <w:rPr>
          <w:rFonts w:ascii="Arial" w:hAnsi="Arial" w:cs="Arial" w:eastAsia="Arial" w:hint="default"/>
        </w:rPr>
        <w:t>4,938</w:t>
      </w:r>
      <w:r>
        <w:rPr>
          <w:rFonts w:ascii="Arial" w:hAnsi="Arial" w:cs="Arial" w:eastAsia="Arial" w:hint="default"/>
          <w:spacing w:val="-14"/>
        </w:rPr>
        <w:t> </w:t>
      </w:r>
      <w:r>
        <w:rPr>
          <w:spacing w:val="-6"/>
        </w:rPr>
        <w:t>万元。在中国会计准则下，发生的交易费用作为期间费用，于发生之时计入损益。</w:t>
      </w:r>
      <w:r>
        <w:rPr>
          <w:w w:val="99"/>
        </w:rPr>
        <w:t> </w:t>
      </w:r>
      <w:r>
        <w:rPr/>
        <w:t>于国际</w:t>
      </w:r>
      <w:r>
        <w:rPr>
          <w:rFonts w:ascii="Arial" w:hAnsi="Arial" w:cs="Arial" w:eastAsia="Arial" w:hint="default"/>
        </w:rPr>
        <w:t>/</w:t>
      </w:r>
      <w:r>
        <w:rPr/>
        <w:t>香港财务报告准则下，该等费用作为收购成本的一部分，随同收购成本一并予</w:t>
      </w:r>
      <w:r>
        <w:rPr>
          <w:w w:val="99"/>
        </w:rPr>
        <w:t> </w:t>
      </w:r>
      <w:r>
        <w:rPr/>
        <w:t>以资本化并于合并时计入商誉。</w:t>
      </w:r>
    </w:p>
    <w:p>
      <w:pPr>
        <w:spacing w:line="240" w:lineRule="auto" w:before="8"/>
        <w:rPr>
          <w:rFonts w:ascii="宋体" w:hAnsi="宋体" w:cs="宋体" w:eastAsia="宋体" w:hint="default"/>
          <w:sz w:val="17"/>
          <w:szCs w:val="17"/>
        </w:rPr>
      </w:pPr>
    </w:p>
    <w:p>
      <w:pPr>
        <w:pStyle w:val="BodyText"/>
        <w:spacing w:line="240" w:lineRule="auto"/>
        <w:ind w:left="104" w:right="0"/>
        <w:jc w:val="left"/>
        <w:rPr>
          <w:rFonts w:ascii="黑体" w:hAnsi="黑体" w:cs="黑体" w:eastAsia="黑体" w:hint="default"/>
        </w:rPr>
      </w:pPr>
      <w:r>
        <w:rPr>
          <w:rFonts w:ascii="黑体" w:hAnsi="黑体" w:cs="黑体" w:eastAsia="黑体" w:hint="default"/>
        </w:rPr>
        <w:t>三、计算净资产收益率及每股收益</w:t>
      </w:r>
    </w:p>
    <w:p>
      <w:pPr>
        <w:spacing w:line="240" w:lineRule="auto" w:before="11"/>
        <w:rPr>
          <w:rFonts w:ascii="黑体" w:hAnsi="黑体" w:cs="黑体" w:eastAsia="黑体" w:hint="default"/>
          <w:sz w:val="17"/>
          <w:szCs w:val="17"/>
        </w:rPr>
      </w:pPr>
    </w:p>
    <w:tbl>
      <w:tblPr>
        <w:tblW w:w="0" w:type="auto"/>
        <w:jc w:val="left"/>
        <w:tblInd w:w="546" w:type="dxa"/>
        <w:tblLayout w:type="fixed"/>
        <w:tblCellMar>
          <w:top w:w="0" w:type="dxa"/>
          <w:left w:w="0" w:type="dxa"/>
          <w:bottom w:w="0" w:type="dxa"/>
          <w:right w:w="0" w:type="dxa"/>
        </w:tblCellMar>
        <w:tblLook w:val="01E0"/>
      </w:tblPr>
      <w:tblGrid>
        <w:gridCol w:w="2088"/>
        <w:gridCol w:w="1104"/>
        <w:gridCol w:w="1146"/>
        <w:gridCol w:w="1126"/>
        <w:gridCol w:w="1098"/>
        <w:gridCol w:w="1080"/>
        <w:gridCol w:w="1214"/>
      </w:tblGrid>
      <w:tr>
        <w:trPr>
          <w:trHeight w:val="300" w:hRule="exact"/>
        </w:trPr>
        <w:tc>
          <w:tcPr>
            <w:tcW w:w="2088" w:type="dxa"/>
            <w:vMerge w:val="restart"/>
            <w:tcBorders>
              <w:top w:val="single" w:sz="6" w:space="0" w:color="000000"/>
              <w:left w:val="single" w:sz="6" w:space="0" w:color="000000"/>
              <w:right w:val="single" w:sz="6" w:space="0" w:color="000000"/>
            </w:tcBorders>
          </w:tcPr>
          <w:p>
            <w:pPr/>
          </w:p>
        </w:tc>
        <w:tc>
          <w:tcPr>
            <w:tcW w:w="2250" w:type="dxa"/>
            <w:gridSpan w:val="2"/>
            <w:vMerge w:val="restart"/>
            <w:tcBorders>
              <w:top w:val="single" w:sz="6" w:space="0" w:color="000000"/>
              <w:left w:val="single" w:sz="6" w:space="0" w:color="000000"/>
              <w:right w:val="single" w:sz="6" w:space="0" w:color="000000"/>
            </w:tcBorders>
          </w:tcPr>
          <w:p>
            <w:pPr>
              <w:pStyle w:val="TableParagraph"/>
              <w:spacing w:line="240" w:lineRule="auto" w:before="79"/>
              <w:ind w:left="117"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p>
        </w:tc>
        <w:tc>
          <w:tcPr>
            <w:tcW w:w="45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每股收益</w:t>
            </w:r>
          </w:p>
        </w:tc>
      </w:tr>
      <w:tr>
        <w:trPr>
          <w:trHeight w:val="74" w:hRule="exact"/>
        </w:trPr>
        <w:tc>
          <w:tcPr>
            <w:tcW w:w="2088" w:type="dxa"/>
            <w:vMerge/>
            <w:tcBorders>
              <w:left w:val="single" w:sz="6" w:space="0" w:color="000000"/>
              <w:right w:val="single" w:sz="6" w:space="0" w:color="000000"/>
            </w:tcBorders>
          </w:tcPr>
          <w:p>
            <w:pPr/>
          </w:p>
        </w:tc>
        <w:tc>
          <w:tcPr>
            <w:tcW w:w="2250" w:type="dxa"/>
            <w:gridSpan w:val="2"/>
            <w:vMerge/>
            <w:tcBorders>
              <w:left w:val="single" w:sz="6" w:space="0" w:color="000000"/>
              <w:bottom w:val="nil" w:sz="6" w:space="0" w:color="auto"/>
              <w:right w:val="single" w:sz="6" w:space="0" w:color="000000"/>
            </w:tcBorders>
          </w:tcPr>
          <w:p>
            <w:pPr/>
          </w:p>
        </w:tc>
        <w:tc>
          <w:tcPr>
            <w:tcW w:w="2224" w:type="dxa"/>
            <w:gridSpan w:val="2"/>
            <w:vMerge w:val="restart"/>
            <w:tcBorders>
              <w:top w:val="single" w:sz="6" w:space="0" w:color="000000"/>
              <w:left w:val="single" w:sz="6" w:space="0" w:color="000000"/>
              <w:right w:val="single" w:sz="6" w:space="0" w:color="000000"/>
            </w:tcBorders>
          </w:tcPr>
          <w:p>
            <w:pPr>
              <w:pStyle w:val="TableParagraph"/>
              <w:spacing w:line="240" w:lineRule="auto" w:before="8"/>
              <w:ind w:left="504"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2294" w:type="dxa"/>
            <w:gridSpan w:val="2"/>
            <w:vMerge w:val="restart"/>
            <w:tcBorders>
              <w:top w:val="single" w:sz="6" w:space="0" w:color="000000"/>
              <w:left w:val="single" w:sz="6" w:space="0" w:color="000000"/>
              <w:right w:val="single" w:sz="6" w:space="0" w:color="000000"/>
            </w:tcBorders>
          </w:tcPr>
          <w:p>
            <w:pPr>
              <w:pStyle w:val="TableParagraph"/>
              <w:spacing w:line="240" w:lineRule="auto" w:before="8"/>
              <w:ind w:left="539"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240" w:hRule="exact"/>
        </w:trPr>
        <w:tc>
          <w:tcPr>
            <w:tcW w:w="2088" w:type="dxa"/>
            <w:vMerge/>
            <w:tcBorders>
              <w:left w:val="single" w:sz="6" w:space="0" w:color="000000"/>
              <w:right w:val="single" w:sz="6" w:space="0" w:color="000000"/>
            </w:tcBorders>
          </w:tcPr>
          <w:p>
            <w:pPr/>
          </w:p>
        </w:tc>
        <w:tc>
          <w:tcPr>
            <w:tcW w:w="2250"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center"/>
              <w:rPr>
                <w:rFonts w:ascii="Arial" w:hAnsi="Arial" w:cs="Arial" w:eastAsia="Arial" w:hint="default"/>
                <w:sz w:val="20"/>
                <w:szCs w:val="20"/>
              </w:rPr>
            </w:pPr>
            <w:r>
              <w:rPr>
                <w:rFonts w:ascii="Arial"/>
                <w:sz w:val="20"/>
              </w:rPr>
              <w:t>(%)</w:t>
            </w:r>
          </w:p>
        </w:tc>
        <w:tc>
          <w:tcPr>
            <w:tcW w:w="2224" w:type="dxa"/>
            <w:gridSpan w:val="2"/>
            <w:vMerge/>
            <w:tcBorders>
              <w:left w:val="single" w:sz="6" w:space="0" w:color="000000"/>
              <w:bottom w:val="single" w:sz="6" w:space="0" w:color="000000"/>
              <w:right w:val="single" w:sz="6" w:space="0" w:color="000000"/>
            </w:tcBorders>
          </w:tcPr>
          <w:p>
            <w:pPr/>
          </w:p>
        </w:tc>
        <w:tc>
          <w:tcPr>
            <w:tcW w:w="2294" w:type="dxa"/>
            <w:gridSpan w:val="2"/>
            <w:vMerge/>
            <w:tcBorders>
              <w:left w:val="single" w:sz="6" w:space="0" w:color="000000"/>
              <w:bottom w:val="single" w:sz="6" w:space="0" w:color="000000"/>
              <w:right w:val="single" w:sz="6" w:space="0" w:color="000000"/>
            </w:tcBorders>
          </w:tcPr>
          <w:p>
            <w:pPr/>
          </w:p>
        </w:tc>
      </w:tr>
      <w:tr>
        <w:trPr>
          <w:trHeight w:val="316" w:hRule="exact"/>
        </w:trPr>
        <w:tc>
          <w:tcPr>
            <w:tcW w:w="2088" w:type="dxa"/>
            <w:vMerge/>
            <w:tcBorders>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3"/>
                <w:sz w:val="20"/>
                <w:szCs w:val="20"/>
              </w:rPr>
              <w:t> </w:t>
            </w:r>
            <w:r>
              <w:rPr>
                <w:rFonts w:ascii="宋体" w:hAnsi="宋体" w:cs="宋体" w:eastAsia="宋体" w:hint="default"/>
                <w:sz w:val="20"/>
                <w:szCs w:val="20"/>
              </w:rPr>
              <w:t>年度</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9"/>
                <w:sz w:val="20"/>
                <w:szCs w:val="20"/>
              </w:rPr>
              <w:t> </w:t>
            </w:r>
            <w:r>
              <w:rPr>
                <w:rFonts w:ascii="宋体" w:hAnsi="宋体" w:cs="宋体" w:eastAsia="宋体" w:hint="default"/>
                <w:sz w:val="20"/>
                <w:szCs w:val="20"/>
              </w:rPr>
              <w:t>年度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tc>
      </w:tr>
      <w:tr>
        <w:trPr>
          <w:trHeight w:val="534"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归属于母公司普通股</w:t>
            </w:r>
          </w:p>
          <w:p>
            <w:pPr>
              <w:pStyle w:val="TableParagraph"/>
              <w:spacing w:line="261" w:lineRule="exact"/>
              <w:ind w:left="289" w:right="0"/>
              <w:jc w:val="left"/>
              <w:rPr>
                <w:rFonts w:ascii="宋体" w:hAnsi="宋体" w:cs="宋体" w:eastAsia="宋体" w:hint="default"/>
                <w:sz w:val="20"/>
                <w:szCs w:val="20"/>
              </w:rPr>
            </w:pPr>
            <w:r>
              <w:rPr>
                <w:rFonts w:ascii="宋体" w:hAnsi="宋体" w:cs="宋体" w:eastAsia="宋体" w:hint="default"/>
                <w:sz w:val="20"/>
                <w:szCs w:val="20"/>
              </w:rPr>
              <w:t>股东的净利润</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z w:val="20"/>
              </w:rPr>
              <w:t>1.99</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z w:val="20"/>
              </w:rPr>
              <w:t>1.73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z w:val="20"/>
              </w:rPr>
              <w:t>0.0666</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z w:val="20"/>
              </w:rPr>
              <w:t>0.0582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z w:val="20"/>
              </w:rPr>
              <w:t>0.0660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z w:val="20"/>
              </w:rPr>
              <w:t>0.0579</w:t>
            </w:r>
          </w:p>
        </w:tc>
      </w:tr>
      <w:tr>
        <w:trPr>
          <w:trHeight w:val="266" w:hRule="exact"/>
        </w:trPr>
        <w:tc>
          <w:tcPr>
            <w:tcW w:w="2088" w:type="dxa"/>
            <w:tcBorders>
              <w:top w:val="single" w:sz="6" w:space="0" w:color="000000"/>
              <w:left w:val="single" w:sz="6" w:space="0" w:color="000000"/>
              <w:bottom w:val="nil" w:sz="6" w:space="0" w:color="auto"/>
              <w:right w:val="single" w:sz="6" w:space="0" w:color="000000"/>
            </w:tcBorders>
          </w:tcPr>
          <w:p>
            <w:pPr>
              <w:pStyle w:val="TableParagraph"/>
              <w:spacing w:line="230" w:lineRule="exact"/>
              <w:ind w:right="169"/>
              <w:jc w:val="right"/>
              <w:rPr>
                <w:rFonts w:ascii="宋体" w:hAnsi="宋体" w:cs="宋体" w:eastAsia="宋体" w:hint="default"/>
                <w:sz w:val="20"/>
                <w:szCs w:val="20"/>
              </w:rPr>
            </w:pPr>
            <w:r>
              <w:rPr>
                <w:rFonts w:ascii="宋体" w:hAnsi="宋体" w:cs="宋体" w:eastAsia="宋体" w:hint="default"/>
                <w:spacing w:val="-1"/>
                <w:sz w:val="20"/>
                <w:szCs w:val="20"/>
              </w:rPr>
              <w:t>扣除非经常性损益后</w:t>
            </w:r>
          </w:p>
        </w:tc>
        <w:tc>
          <w:tcPr>
            <w:tcW w:w="1104" w:type="dxa"/>
            <w:tcBorders>
              <w:top w:val="single" w:sz="6" w:space="0" w:color="000000"/>
              <w:left w:val="single" w:sz="6" w:space="0" w:color="000000"/>
              <w:bottom w:val="nil" w:sz="6" w:space="0" w:color="auto"/>
              <w:right w:val="single" w:sz="6" w:space="0" w:color="000000"/>
            </w:tcBorders>
          </w:tcPr>
          <w:p>
            <w:pPr/>
          </w:p>
        </w:tc>
        <w:tc>
          <w:tcPr>
            <w:tcW w:w="1146" w:type="dxa"/>
            <w:tcBorders>
              <w:top w:val="single" w:sz="6" w:space="0" w:color="000000"/>
              <w:left w:val="single" w:sz="6" w:space="0" w:color="000000"/>
              <w:bottom w:val="nil" w:sz="6" w:space="0" w:color="auto"/>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
        </w:tc>
        <w:tc>
          <w:tcPr>
            <w:tcW w:w="1098"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r>
      <w:tr>
        <w:trPr>
          <w:trHeight w:val="260" w:hRule="exact"/>
        </w:trPr>
        <w:tc>
          <w:tcPr>
            <w:tcW w:w="2088" w:type="dxa"/>
            <w:tcBorders>
              <w:top w:val="nil" w:sz="6" w:space="0" w:color="auto"/>
              <w:left w:val="single" w:sz="6" w:space="0" w:color="000000"/>
              <w:bottom w:val="nil" w:sz="6" w:space="0" w:color="auto"/>
              <w:right w:val="single" w:sz="6" w:space="0" w:color="000000"/>
            </w:tcBorders>
          </w:tcPr>
          <w:p>
            <w:pPr>
              <w:pStyle w:val="TableParagraph"/>
              <w:spacing w:line="230" w:lineRule="exact"/>
              <w:ind w:right="181"/>
              <w:jc w:val="right"/>
              <w:rPr>
                <w:rFonts w:ascii="宋体" w:hAnsi="宋体" w:cs="宋体" w:eastAsia="宋体" w:hint="default"/>
                <w:sz w:val="20"/>
                <w:szCs w:val="20"/>
              </w:rPr>
            </w:pPr>
            <w:r>
              <w:rPr>
                <w:rFonts w:ascii="宋体" w:hAnsi="宋体" w:cs="宋体" w:eastAsia="宋体" w:hint="default"/>
                <w:spacing w:val="-1"/>
                <w:sz w:val="20"/>
                <w:szCs w:val="20"/>
              </w:rPr>
              <w:t>归属于母公司普通</w:t>
            </w:r>
          </w:p>
        </w:tc>
        <w:tc>
          <w:tcPr>
            <w:tcW w:w="1104" w:type="dxa"/>
            <w:tcBorders>
              <w:top w:val="nil" w:sz="6" w:space="0" w:color="auto"/>
              <w:left w:val="single" w:sz="6" w:space="0" w:color="000000"/>
              <w:bottom w:val="nil" w:sz="6" w:space="0" w:color="auto"/>
              <w:right w:val="single" w:sz="6" w:space="0" w:color="000000"/>
            </w:tcBorders>
          </w:tcPr>
          <w:p>
            <w:pPr/>
          </w:p>
        </w:tc>
        <w:tc>
          <w:tcPr>
            <w:tcW w:w="1146"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c>
          <w:tcPr>
            <w:tcW w:w="109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r>
      <w:tr>
        <w:trPr>
          <w:trHeight w:val="266" w:hRule="exact"/>
        </w:trPr>
        <w:tc>
          <w:tcPr>
            <w:tcW w:w="2088" w:type="dxa"/>
            <w:tcBorders>
              <w:top w:val="nil" w:sz="6" w:space="0" w:color="auto"/>
              <w:left w:val="single" w:sz="6" w:space="0" w:color="000000"/>
              <w:bottom w:val="single" w:sz="6" w:space="0" w:color="000000"/>
              <w:right w:val="single" w:sz="6" w:space="0" w:color="000000"/>
            </w:tcBorders>
          </w:tcPr>
          <w:p>
            <w:pPr>
              <w:pStyle w:val="TableParagraph"/>
              <w:spacing w:line="230" w:lineRule="exact"/>
              <w:ind w:left="289" w:right="0"/>
              <w:jc w:val="left"/>
              <w:rPr>
                <w:rFonts w:ascii="宋体" w:hAnsi="宋体" w:cs="宋体" w:eastAsia="宋体" w:hint="default"/>
                <w:sz w:val="20"/>
                <w:szCs w:val="20"/>
              </w:rPr>
            </w:pPr>
            <w:r>
              <w:rPr>
                <w:rFonts w:ascii="宋体" w:hAnsi="宋体" w:cs="宋体" w:eastAsia="宋体" w:hint="default"/>
                <w:sz w:val="20"/>
                <w:szCs w:val="20"/>
              </w:rPr>
              <w:t>股股东的净利润</w:t>
            </w:r>
          </w:p>
        </w:tc>
        <w:tc>
          <w:tcPr>
            <w:tcW w:w="110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6"/>
              <w:ind w:right="97"/>
              <w:jc w:val="right"/>
              <w:rPr>
                <w:rFonts w:ascii="Arial" w:hAnsi="Arial" w:cs="Arial" w:eastAsia="Arial" w:hint="default"/>
                <w:sz w:val="20"/>
                <w:szCs w:val="20"/>
              </w:rPr>
            </w:pPr>
            <w:r>
              <w:rPr>
                <w:rFonts w:ascii="Arial"/>
                <w:sz w:val="20"/>
              </w:rPr>
              <w:t>1.63</w:t>
            </w:r>
          </w:p>
        </w:tc>
        <w:tc>
          <w:tcPr>
            <w:tcW w:w="11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6"/>
              <w:ind w:right="97"/>
              <w:jc w:val="right"/>
              <w:rPr>
                <w:rFonts w:ascii="Arial" w:hAnsi="Arial" w:cs="Arial" w:eastAsia="Arial" w:hint="default"/>
                <w:sz w:val="20"/>
                <w:szCs w:val="20"/>
              </w:rPr>
            </w:pPr>
            <w:r>
              <w:rPr>
                <w:rFonts w:ascii="Arial"/>
                <w:sz w:val="20"/>
              </w:rPr>
              <w:t>1.47</w:t>
            </w: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6"/>
              <w:ind w:right="98"/>
              <w:jc w:val="right"/>
              <w:rPr>
                <w:rFonts w:ascii="Arial" w:hAnsi="Arial" w:cs="Arial" w:eastAsia="Arial" w:hint="default"/>
                <w:sz w:val="20"/>
                <w:szCs w:val="20"/>
              </w:rPr>
            </w:pPr>
            <w:r>
              <w:rPr>
                <w:rFonts w:ascii="Arial"/>
                <w:sz w:val="20"/>
              </w:rPr>
              <w:t>0.0546</w:t>
            </w:r>
          </w:p>
        </w:tc>
        <w:tc>
          <w:tcPr>
            <w:tcW w:w="10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6"/>
              <w:ind w:right="97"/>
              <w:jc w:val="right"/>
              <w:rPr>
                <w:rFonts w:ascii="Arial" w:hAnsi="Arial" w:cs="Arial" w:eastAsia="Arial" w:hint="default"/>
                <w:sz w:val="20"/>
                <w:szCs w:val="20"/>
              </w:rPr>
            </w:pPr>
            <w:r>
              <w:rPr>
                <w:rFonts w:ascii="Arial"/>
                <w:sz w:val="20"/>
              </w:rPr>
              <w:t>0.0494</w:t>
            </w:r>
          </w:p>
        </w:tc>
        <w:tc>
          <w:tcPr>
            <w:tcW w:w="10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6"/>
              <w:ind w:right="97"/>
              <w:jc w:val="right"/>
              <w:rPr>
                <w:rFonts w:ascii="Arial" w:hAnsi="Arial" w:cs="Arial" w:eastAsia="Arial" w:hint="default"/>
                <w:sz w:val="20"/>
                <w:szCs w:val="20"/>
              </w:rPr>
            </w:pPr>
            <w:r>
              <w:rPr>
                <w:rFonts w:ascii="Arial"/>
                <w:sz w:val="20"/>
              </w:rPr>
              <w:t>0.0541</w:t>
            </w:r>
          </w:p>
        </w:tc>
        <w:tc>
          <w:tcPr>
            <w:tcW w:w="121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6"/>
              <w:ind w:right="97"/>
              <w:jc w:val="right"/>
              <w:rPr>
                <w:rFonts w:ascii="Arial" w:hAnsi="Arial" w:cs="Arial" w:eastAsia="Arial" w:hint="default"/>
                <w:sz w:val="20"/>
                <w:szCs w:val="20"/>
              </w:rPr>
            </w:pPr>
            <w:r>
              <w:rPr>
                <w:rFonts w:ascii="Arial"/>
                <w:sz w:val="20"/>
              </w:rPr>
              <w:t>0.0491</w:t>
            </w:r>
          </w:p>
        </w:tc>
      </w:tr>
    </w:tbl>
    <w:p>
      <w:pPr>
        <w:spacing w:after="0" w:line="240" w:lineRule="auto"/>
        <w:jc w:val="right"/>
        <w:rPr>
          <w:rFonts w:ascii="Arial" w:hAnsi="Arial" w:cs="Arial" w:eastAsia="Arial" w:hint="default"/>
          <w:sz w:val="20"/>
          <w:szCs w:val="20"/>
        </w:rPr>
        <w:sectPr>
          <w:headerReference w:type="default" r:id="rId153"/>
          <w:pgSz w:w="11900" w:h="16840"/>
          <w:pgMar w:header="1328" w:footer="752" w:top="2300" w:bottom="940" w:left="1480" w:right="820"/>
        </w:sectPr>
      </w:pPr>
    </w:p>
    <w:p>
      <w:pPr>
        <w:spacing w:line="240" w:lineRule="auto" w:before="11"/>
        <w:rPr>
          <w:rFonts w:ascii="黑体" w:hAnsi="黑体" w:cs="黑体" w:eastAsia="黑体" w:hint="default"/>
          <w:sz w:val="15"/>
          <w:szCs w:val="15"/>
        </w:rPr>
      </w:pPr>
    </w:p>
    <w:p>
      <w:pPr>
        <w:pStyle w:val="BodyText"/>
        <w:spacing w:line="240" w:lineRule="auto" w:before="31"/>
        <w:ind w:left="123" w:right="1496"/>
        <w:jc w:val="left"/>
        <w:rPr>
          <w:rFonts w:ascii="黑体" w:hAnsi="黑体" w:cs="黑体" w:eastAsia="黑体" w:hint="default"/>
        </w:rPr>
      </w:pPr>
      <w:r>
        <w:rPr>
          <w:rFonts w:ascii="黑体" w:hAnsi="黑体" w:cs="黑体" w:eastAsia="黑体" w:hint="default"/>
        </w:rPr>
        <w:t>三、计算净资产收益率及每股收益（续）</w:t>
      </w:r>
    </w:p>
    <w:p>
      <w:pPr>
        <w:spacing w:line="240" w:lineRule="auto" w:before="5"/>
        <w:rPr>
          <w:rFonts w:ascii="黑体" w:hAnsi="黑体" w:cs="黑体" w:eastAsia="黑体" w:hint="default"/>
          <w:sz w:val="20"/>
          <w:szCs w:val="20"/>
        </w:rPr>
      </w:pPr>
    </w:p>
    <w:p>
      <w:pPr>
        <w:pStyle w:val="BodyText"/>
        <w:spacing w:line="240" w:lineRule="auto"/>
        <w:ind w:left="123" w:right="1496"/>
        <w:jc w:val="left"/>
      </w:pPr>
      <w:r>
        <w:rPr/>
        <w:t>上述财务指标的计算方法：</w:t>
      </w:r>
    </w:p>
    <w:p>
      <w:pPr>
        <w:pStyle w:val="BodyText"/>
        <w:spacing w:line="240" w:lineRule="auto" w:before="197"/>
        <w:ind w:left="109" w:right="1496"/>
        <w:jc w:val="left"/>
      </w:pPr>
      <w:r>
        <w:rPr>
          <w:rFonts w:ascii="Arial" w:hAnsi="Arial" w:cs="Arial" w:eastAsia="Arial" w:hint="default"/>
        </w:rPr>
        <w:t>(a) </w:t>
      </w:r>
      <w:r>
        <w:rPr>
          <w:rFonts w:ascii="Arial" w:hAnsi="Arial" w:cs="Arial" w:eastAsia="Arial" w:hint="default"/>
          <w:spacing w:val="35"/>
        </w:rPr>
        <w:t> </w:t>
      </w:r>
      <w:r>
        <w:rPr/>
        <w:t>加权平均净资产收益率</w:t>
      </w:r>
      <w:r>
        <w:rPr>
          <w:rFonts w:ascii="Arial" w:hAnsi="Arial" w:cs="Arial" w:eastAsia="Arial" w:hint="default"/>
        </w:rPr>
        <w:t>(ROE)</w:t>
      </w:r>
      <w:r>
        <w:rPr/>
        <w:t>的计算公式如下：</w:t>
      </w:r>
    </w:p>
    <w:p>
      <w:pPr>
        <w:spacing w:line="240" w:lineRule="auto" w:before="6"/>
        <w:rPr>
          <w:rFonts w:ascii="宋体" w:hAnsi="宋体" w:cs="宋体" w:eastAsia="宋体" w:hint="default"/>
          <w:sz w:val="20"/>
          <w:szCs w:val="20"/>
        </w:rPr>
      </w:pPr>
    </w:p>
    <w:p>
      <w:pPr>
        <w:pStyle w:val="BodyText"/>
        <w:spacing w:line="240" w:lineRule="auto"/>
        <w:ind w:left="484" w:right="1496" w:firstLine="2160"/>
        <w:jc w:val="left"/>
        <w:rPr>
          <w:rFonts w:ascii="Arial" w:hAnsi="Arial" w:cs="Arial" w:eastAsia="Arial" w:hint="default"/>
        </w:rPr>
      </w:pPr>
      <w:r>
        <w:rPr>
          <w:rFonts w:ascii="Arial" w:hAnsi="Arial" w:cs="Arial" w:eastAsia="Arial" w:hint="default"/>
        </w:rPr>
        <w:t>P</w:t>
      </w:r>
      <w:r>
        <w:rPr>
          <w:rFonts w:ascii="Arial" w:hAnsi="Arial" w:cs="Arial" w:eastAsia="Arial" w:hint="default"/>
          <w:w w:val="99"/>
        </w:rPr>
        <w:t> </w:t>
      </w:r>
      <w:r>
        <w:rPr>
          <w:rFonts w:ascii="Arial" w:hAnsi="Arial" w:cs="Arial" w:eastAsia="Arial" w:hint="default"/>
          <w:w w:val="95"/>
        </w:rPr>
        <w:t>ROE=——————————————————————</w:t>
      </w:r>
      <w:r>
        <w:rPr>
          <w:rFonts w:ascii="Arial" w:hAnsi="Arial" w:cs="Arial" w:eastAsia="Arial" w:hint="default"/>
        </w:rPr>
      </w:r>
    </w:p>
    <w:p>
      <w:pPr>
        <w:pStyle w:val="BodyText"/>
        <w:spacing w:line="240" w:lineRule="auto"/>
        <w:ind w:left="1383" w:right="1496"/>
        <w:jc w:val="left"/>
        <w:rPr>
          <w:rFonts w:ascii="Arial" w:hAnsi="Arial" w:cs="Arial" w:eastAsia="Arial" w:hint="default"/>
        </w:rPr>
      </w:pPr>
      <w:r>
        <w:rPr>
          <w:rFonts w:ascii="Arial" w:hAnsi="Arial" w:cs="Arial" w:eastAsia="Arial" w:hint="default"/>
        </w:rPr>
        <w:t>E0+NP÷2+Ei×Mi÷M0-Ej×Mj÷M0±Ek×Mk÷M0</w:t>
      </w:r>
    </w:p>
    <w:p>
      <w:pPr>
        <w:spacing w:line="240" w:lineRule="auto" w:before="4"/>
        <w:rPr>
          <w:rFonts w:ascii="Arial" w:hAnsi="Arial" w:cs="Arial" w:eastAsia="Arial" w:hint="default"/>
          <w:sz w:val="20"/>
          <w:szCs w:val="20"/>
        </w:rPr>
      </w:pPr>
    </w:p>
    <w:p>
      <w:pPr>
        <w:pStyle w:val="BodyText"/>
        <w:spacing w:line="225" w:lineRule="auto"/>
        <w:ind w:left="492" w:right="159"/>
        <w:jc w:val="both"/>
      </w:pPr>
      <w:r>
        <w:rPr/>
        <w:t>其中：</w:t>
      </w:r>
      <w:r>
        <w:rPr>
          <w:rFonts w:ascii="Arial" w:hAnsi="Arial" w:cs="Arial" w:eastAsia="Arial" w:hint="default"/>
        </w:rPr>
        <w:t>P</w:t>
      </w:r>
      <w:r>
        <w:rPr>
          <w:rFonts w:ascii="Arial" w:hAnsi="Arial" w:cs="Arial" w:eastAsia="Arial" w:hint="default"/>
          <w:spacing w:val="-5"/>
        </w:rPr>
        <w:t> </w:t>
      </w:r>
      <w:r>
        <w:rPr/>
        <w:t>分别对应于归属于母公司普通股股东的净利润、扣除非经常性损益后归属于母公司</w:t>
      </w:r>
      <w:r>
        <w:rPr>
          <w:w w:val="99"/>
        </w:rPr>
        <w:t> </w:t>
      </w:r>
      <w:r>
        <w:rPr/>
        <w:t>普通股股东的净利润；</w:t>
      </w:r>
      <w:r>
        <w:rPr>
          <w:rFonts w:ascii="Arial" w:hAnsi="Arial" w:cs="Arial" w:eastAsia="Arial" w:hint="default"/>
        </w:rPr>
        <w:t>NP</w:t>
      </w:r>
      <w:r>
        <w:rPr>
          <w:rFonts w:ascii="Arial" w:hAnsi="Arial" w:cs="Arial" w:eastAsia="Arial" w:hint="default"/>
          <w:spacing w:val="-28"/>
        </w:rPr>
        <w:t> </w:t>
      </w:r>
      <w:r>
        <w:rPr/>
        <w:t>为归属于母公司普通股股东的净利润；</w:t>
      </w:r>
      <w:r>
        <w:rPr>
          <w:rFonts w:ascii="Arial" w:hAnsi="Arial" w:cs="Arial" w:eastAsia="Arial" w:hint="default"/>
        </w:rPr>
        <w:t>E0</w:t>
      </w:r>
      <w:r>
        <w:rPr>
          <w:rFonts w:ascii="Arial" w:hAnsi="Arial" w:cs="Arial" w:eastAsia="Arial" w:hint="default"/>
          <w:spacing w:val="-27"/>
        </w:rPr>
        <w:t> </w:t>
      </w:r>
      <w:r>
        <w:rPr/>
        <w:t>为归属于母公司普通股</w:t>
      </w:r>
      <w:r>
        <w:rPr>
          <w:w w:val="99"/>
        </w:rPr>
        <w:t> </w:t>
      </w:r>
      <w:r>
        <w:rPr>
          <w:w w:val="95"/>
        </w:rPr>
        <w:t>股东的期初净资产；</w:t>
      </w:r>
      <w:r>
        <w:rPr>
          <w:rFonts w:ascii="Arial" w:hAnsi="Arial" w:cs="Arial" w:eastAsia="Arial" w:hint="default"/>
          <w:w w:val="95"/>
        </w:rPr>
        <w:t>Ei</w:t>
      </w:r>
      <w:r>
        <w:rPr>
          <w:rFonts w:ascii="Arial" w:hAnsi="Arial" w:cs="Arial" w:eastAsia="Arial" w:hint="default"/>
          <w:spacing w:val="58"/>
          <w:w w:val="95"/>
        </w:rPr>
        <w:t> </w:t>
      </w:r>
      <w:r>
        <w:rPr>
          <w:w w:val="95"/>
        </w:rPr>
        <w:t>为报告期发行新股或债转股等新增的、归属于母公司普通股股东的净</w:t>
      </w:r>
      <w:r>
        <w:rPr>
          <w:spacing w:val="-67"/>
          <w:w w:val="95"/>
        </w:rPr>
        <w:t> </w:t>
      </w:r>
      <w:r>
        <w:rPr>
          <w:spacing w:val="-67"/>
          <w:w w:val="95"/>
        </w:rPr>
      </w:r>
      <w:r>
        <w:rPr/>
        <w:t>资产；</w:t>
      </w:r>
      <w:r>
        <w:rPr>
          <w:rFonts w:ascii="Arial" w:hAnsi="Arial" w:cs="Arial" w:eastAsia="Arial" w:hint="default"/>
        </w:rPr>
        <w:t>Ej </w:t>
      </w:r>
      <w:r>
        <w:rPr/>
        <w:t>为报告期回购或现金分红等减少的、归属于母公司普通股股东的净资产；</w:t>
      </w:r>
      <w:r>
        <w:rPr>
          <w:rFonts w:ascii="Arial" w:hAnsi="Arial" w:cs="Arial" w:eastAsia="Arial" w:hint="default"/>
        </w:rPr>
        <w:t>M0</w:t>
      </w:r>
      <w:r>
        <w:rPr>
          <w:rFonts w:ascii="Arial" w:hAnsi="Arial" w:cs="Arial" w:eastAsia="Arial" w:hint="default"/>
          <w:spacing w:val="14"/>
        </w:rPr>
        <w:t> </w:t>
      </w:r>
      <w:r>
        <w:rPr/>
        <w:t>为报</w:t>
      </w:r>
      <w:r>
        <w:rPr>
          <w:spacing w:val="-2"/>
          <w:w w:val="99"/>
        </w:rPr>
        <w:t> </w:t>
      </w:r>
      <w:r>
        <w:rPr/>
        <w:t>告期月份数；</w:t>
      </w:r>
      <w:r>
        <w:rPr>
          <w:rFonts w:ascii="Arial" w:hAnsi="Arial" w:cs="Arial" w:eastAsia="Arial" w:hint="default"/>
        </w:rPr>
        <w:t>Mi </w:t>
      </w:r>
      <w:r>
        <w:rPr/>
        <w:t>为新增净资产下一月份起至报告期期末的月份数；</w:t>
      </w:r>
      <w:r>
        <w:rPr>
          <w:rFonts w:ascii="Arial" w:hAnsi="Arial" w:cs="Arial" w:eastAsia="Arial" w:hint="default"/>
        </w:rPr>
        <w:t>Mj</w:t>
      </w:r>
      <w:r>
        <w:rPr>
          <w:rFonts w:ascii="Arial" w:hAnsi="Arial" w:cs="Arial" w:eastAsia="Arial" w:hint="default"/>
          <w:spacing w:val="53"/>
        </w:rPr>
        <w:t> </w:t>
      </w:r>
      <w:r>
        <w:rPr/>
        <w:t>为减少净资产下一月</w:t>
      </w:r>
      <w:r>
        <w:rPr>
          <w:w w:val="99"/>
        </w:rPr>
        <w:t> </w:t>
      </w:r>
      <w:r>
        <w:rPr/>
        <w:t>份起至报告期期末的月份数；</w:t>
      </w:r>
      <w:r>
        <w:rPr>
          <w:rFonts w:ascii="Arial" w:hAnsi="Arial" w:cs="Arial" w:eastAsia="Arial" w:hint="default"/>
        </w:rPr>
        <w:t>Ek </w:t>
      </w:r>
      <w:r>
        <w:rPr/>
        <w:t>为因其他交易或事项引起的净资产增减变动；</w:t>
      </w:r>
      <w:r>
        <w:rPr>
          <w:rFonts w:ascii="Arial" w:hAnsi="Arial" w:cs="Arial" w:eastAsia="Arial" w:hint="default"/>
        </w:rPr>
        <w:t>Mk</w:t>
      </w:r>
      <w:r>
        <w:rPr>
          <w:rFonts w:ascii="Arial" w:hAnsi="Arial" w:cs="Arial" w:eastAsia="Arial" w:hint="default"/>
          <w:spacing w:val="-32"/>
        </w:rPr>
        <w:t> </w:t>
      </w:r>
      <w:r>
        <w:rPr/>
        <w:t>为发生其</w:t>
      </w:r>
      <w:r>
        <w:rPr>
          <w:w w:val="99"/>
        </w:rPr>
        <w:t> </w:t>
      </w:r>
      <w:r>
        <w:rPr/>
        <w:t>他净资产增减变动下一月份起至报告期期末的月份数。</w:t>
      </w:r>
    </w:p>
    <w:p>
      <w:pPr>
        <w:spacing w:line="240" w:lineRule="auto" w:before="4"/>
        <w:rPr>
          <w:rFonts w:ascii="宋体" w:hAnsi="宋体" w:cs="宋体" w:eastAsia="宋体" w:hint="default"/>
          <w:sz w:val="19"/>
          <w:szCs w:val="19"/>
        </w:rPr>
      </w:pPr>
    </w:p>
    <w:p>
      <w:pPr>
        <w:pStyle w:val="BodyText"/>
        <w:spacing w:line="240" w:lineRule="auto"/>
        <w:ind w:left="123" w:right="1496"/>
        <w:jc w:val="left"/>
        <w:rPr>
          <w:rFonts w:ascii="Arial" w:hAnsi="Arial" w:cs="Arial" w:eastAsia="Arial" w:hint="default"/>
        </w:rPr>
      </w:pPr>
      <w:r>
        <w:rPr>
          <w:rFonts w:ascii="Arial" w:hAnsi="Arial" w:cs="Arial" w:eastAsia="Arial" w:hint="default"/>
        </w:rPr>
        <w:t>(b)</w:t>
      </w:r>
      <w:r>
        <w:rPr>
          <w:rFonts w:ascii="Arial" w:hAnsi="Arial" w:cs="Arial" w:eastAsia="Arial" w:hint="default"/>
          <w:spacing w:val="30"/>
        </w:rPr>
        <w:t> </w:t>
      </w:r>
      <w:r>
        <w:rPr/>
        <w:t>基本每股收益</w:t>
      </w:r>
      <w:r>
        <w:rPr>
          <w:rFonts w:ascii="Arial" w:hAnsi="Arial" w:cs="Arial" w:eastAsia="Arial" w:hint="default"/>
        </w:rPr>
        <w:t>(EPS)</w:t>
      </w:r>
      <w:r>
        <w:rPr/>
        <w:t>可参照如下公式计算</w:t>
      </w:r>
      <w:r>
        <w:rPr>
          <w:rFonts w:ascii="Arial" w:hAnsi="Arial" w:cs="Arial" w:eastAsia="Arial" w:hint="default"/>
        </w:rPr>
        <w:t>:</w:t>
      </w:r>
    </w:p>
    <w:p>
      <w:pPr>
        <w:spacing w:line="240" w:lineRule="auto" w:before="3"/>
        <w:rPr>
          <w:rFonts w:ascii="Arial" w:hAnsi="Arial" w:cs="Arial" w:eastAsia="Arial" w:hint="default"/>
          <w:sz w:val="23"/>
          <w:szCs w:val="23"/>
        </w:rPr>
      </w:pPr>
    </w:p>
    <w:p>
      <w:pPr>
        <w:pStyle w:val="BodyText"/>
        <w:spacing w:line="240" w:lineRule="auto"/>
        <w:ind w:left="511" w:right="4820" w:firstLine="2132"/>
        <w:jc w:val="left"/>
        <w:rPr>
          <w:rFonts w:ascii="Arial" w:hAnsi="Arial" w:cs="Arial" w:eastAsia="Arial" w:hint="default"/>
        </w:rPr>
      </w:pPr>
      <w:r>
        <w:rPr>
          <w:rFonts w:ascii="Arial" w:hAnsi="Arial" w:cs="Arial" w:eastAsia="Arial" w:hint="default"/>
        </w:rPr>
        <w:t>P</w:t>
      </w:r>
      <w:r>
        <w:rPr>
          <w:rFonts w:ascii="Arial" w:hAnsi="Arial" w:cs="Arial" w:eastAsia="Arial" w:hint="default"/>
          <w:w w:val="99"/>
        </w:rPr>
        <w:t> </w:t>
      </w:r>
      <w:r>
        <w:rPr>
          <w:rFonts w:ascii="Arial" w:hAnsi="Arial" w:cs="Arial" w:eastAsia="Arial" w:hint="default"/>
        </w:rPr>
        <w:t>EPS=————————————————</w:t>
      </w:r>
    </w:p>
    <w:p>
      <w:pPr>
        <w:pStyle w:val="BodyText"/>
        <w:spacing w:line="240" w:lineRule="auto"/>
        <w:ind w:left="1383" w:right="1496"/>
        <w:jc w:val="left"/>
        <w:rPr>
          <w:rFonts w:ascii="Arial" w:hAnsi="Arial" w:cs="Arial" w:eastAsia="Arial" w:hint="default"/>
        </w:rPr>
      </w:pPr>
      <w:r>
        <w:rPr>
          <w:rFonts w:ascii="Arial" w:hAnsi="Arial" w:cs="Arial" w:eastAsia="Arial" w:hint="default"/>
        </w:rPr>
        <w:t>S0+S1+Si×Mi÷M0-Sj×Mj÷M0-Sk</w:t>
      </w:r>
    </w:p>
    <w:p>
      <w:pPr>
        <w:spacing w:line="240" w:lineRule="auto" w:before="5"/>
        <w:rPr>
          <w:rFonts w:ascii="Arial" w:hAnsi="Arial" w:cs="Arial" w:eastAsia="Arial" w:hint="default"/>
          <w:sz w:val="21"/>
          <w:szCs w:val="21"/>
        </w:rPr>
      </w:pPr>
    </w:p>
    <w:p>
      <w:pPr>
        <w:pStyle w:val="BodyText"/>
        <w:spacing w:line="286" w:lineRule="exact"/>
        <w:ind w:left="492" w:right="114"/>
        <w:jc w:val="both"/>
      </w:pPr>
      <w:r>
        <w:rPr/>
        <w:t>其中：</w:t>
      </w:r>
      <w:r>
        <w:rPr>
          <w:rFonts w:ascii="Arial" w:hAnsi="Arial" w:cs="Arial" w:eastAsia="Arial" w:hint="default"/>
        </w:rPr>
        <w:t>P</w:t>
      </w:r>
      <w:r>
        <w:rPr>
          <w:rFonts w:ascii="Arial" w:hAnsi="Arial" w:cs="Arial" w:eastAsia="Arial" w:hint="default"/>
          <w:spacing w:val="-5"/>
        </w:rPr>
        <w:t> </w:t>
      </w:r>
      <w:r>
        <w:rPr/>
        <w:t>为归属于母公司普通股股东的净利润或扣除非经常性损益后归属于母公司普通股股</w:t>
      </w:r>
      <w:r>
        <w:rPr>
          <w:w w:val="99"/>
        </w:rPr>
        <w:t> </w:t>
      </w:r>
      <w:r>
        <w:rPr/>
        <w:t>东的净利润；</w:t>
      </w:r>
      <w:r>
        <w:rPr>
          <w:rFonts w:ascii="Arial" w:hAnsi="Arial" w:cs="Arial" w:eastAsia="Arial" w:hint="default"/>
        </w:rPr>
        <w:t>S </w:t>
      </w:r>
      <w:r>
        <w:rPr/>
        <w:t>为发行在外的普通股加权平均数；</w:t>
      </w:r>
      <w:r>
        <w:rPr>
          <w:rFonts w:ascii="Arial" w:hAnsi="Arial" w:cs="Arial" w:eastAsia="Arial" w:hint="default"/>
        </w:rPr>
        <w:t>S0 </w:t>
      </w:r>
      <w:r>
        <w:rPr/>
        <w:t>为期初股份总数；</w:t>
      </w:r>
      <w:r>
        <w:rPr>
          <w:rFonts w:ascii="Arial" w:hAnsi="Arial" w:cs="Arial" w:eastAsia="Arial" w:hint="default"/>
        </w:rPr>
        <w:t>S1</w:t>
      </w:r>
      <w:r>
        <w:rPr>
          <w:rFonts w:ascii="Arial" w:hAnsi="Arial" w:cs="Arial" w:eastAsia="Arial" w:hint="default"/>
          <w:spacing w:val="-9"/>
        </w:rPr>
        <w:t> </w:t>
      </w:r>
      <w:r>
        <w:rPr/>
        <w:t>为报告期因公积</w:t>
      </w:r>
      <w:r>
        <w:rPr>
          <w:w w:val="99"/>
        </w:rPr>
        <w:t> </w:t>
      </w:r>
      <w:r>
        <w:rPr/>
        <w:t>金转增股本或股票股利分配等增加股份数；</w:t>
      </w:r>
      <w:r>
        <w:rPr>
          <w:rFonts w:ascii="Arial" w:hAnsi="Arial" w:cs="Arial" w:eastAsia="Arial" w:hint="default"/>
        </w:rPr>
        <w:t>Si</w:t>
      </w:r>
      <w:r>
        <w:rPr>
          <w:rFonts w:ascii="Arial" w:hAnsi="Arial" w:cs="Arial" w:eastAsia="Arial" w:hint="default"/>
          <w:spacing w:val="-10"/>
        </w:rPr>
        <w:t> </w:t>
      </w:r>
      <w:r>
        <w:rPr/>
        <w:t>为报告期因发行新股或债转股等增加股份数；</w:t>
      </w:r>
      <w:r>
        <w:rPr>
          <w:w w:val="99"/>
        </w:rPr>
        <w:t> </w:t>
      </w:r>
      <w:r>
        <w:rPr>
          <w:rFonts w:ascii="Arial" w:hAnsi="Arial" w:cs="Arial" w:eastAsia="Arial" w:hint="default"/>
        </w:rPr>
        <w:t>Sj </w:t>
      </w:r>
      <w:r>
        <w:rPr/>
        <w:t>为报告期因回购等减少股份数；</w:t>
      </w:r>
      <w:r>
        <w:rPr>
          <w:rFonts w:ascii="Arial" w:hAnsi="Arial" w:cs="Arial" w:eastAsia="Arial" w:hint="default"/>
        </w:rPr>
        <w:t>Sk </w:t>
      </w:r>
      <w:r>
        <w:rPr/>
        <w:t>为报告期缩股数；</w:t>
      </w:r>
      <w:r>
        <w:rPr>
          <w:rFonts w:ascii="Arial" w:hAnsi="Arial" w:cs="Arial" w:eastAsia="Arial" w:hint="default"/>
        </w:rPr>
        <w:t>M0 </w:t>
      </w:r>
      <w:r>
        <w:rPr/>
        <w:t>报告期月份数；</w:t>
      </w:r>
      <w:r>
        <w:rPr>
          <w:rFonts w:ascii="Arial" w:hAnsi="Arial" w:cs="Arial" w:eastAsia="Arial" w:hint="default"/>
        </w:rPr>
        <w:t>Mi</w:t>
      </w:r>
      <w:r>
        <w:rPr>
          <w:rFonts w:ascii="Arial" w:hAnsi="Arial" w:cs="Arial" w:eastAsia="Arial" w:hint="default"/>
          <w:spacing w:val="3"/>
        </w:rPr>
        <w:t> </w:t>
      </w:r>
      <w:r>
        <w:rPr/>
        <w:t>为增加股份</w:t>
      </w:r>
      <w:r>
        <w:rPr>
          <w:w w:val="99"/>
        </w:rPr>
        <w:t> </w:t>
      </w:r>
      <w:r>
        <w:rPr/>
        <w:t>下一月份起至报告期期末的月份数；</w:t>
      </w:r>
      <w:r>
        <w:rPr>
          <w:rFonts w:ascii="Arial" w:hAnsi="Arial" w:cs="Arial" w:eastAsia="Arial" w:hint="default"/>
        </w:rPr>
        <w:t>Mj</w:t>
      </w:r>
      <w:r>
        <w:rPr>
          <w:rFonts w:ascii="Arial" w:hAnsi="Arial" w:cs="Arial" w:eastAsia="Arial" w:hint="default"/>
          <w:spacing w:val="-10"/>
        </w:rPr>
        <w:t> </w:t>
      </w:r>
      <w:r>
        <w:rPr/>
        <w:t>为减少股份下一月份起至报告期期末的月份数。</w:t>
      </w:r>
    </w:p>
    <w:p>
      <w:pPr>
        <w:spacing w:line="240" w:lineRule="auto" w:before="1"/>
        <w:rPr>
          <w:rFonts w:ascii="宋体" w:hAnsi="宋体" w:cs="宋体" w:eastAsia="宋体" w:hint="default"/>
          <w:sz w:val="17"/>
          <w:szCs w:val="17"/>
        </w:rPr>
      </w:pPr>
    </w:p>
    <w:p>
      <w:pPr>
        <w:pStyle w:val="BodyText"/>
        <w:spacing w:line="240" w:lineRule="auto"/>
        <w:ind w:left="123" w:right="1496"/>
        <w:jc w:val="left"/>
      </w:pPr>
      <w:r>
        <w:rPr>
          <w:rFonts w:ascii="Arial" w:hAnsi="Arial" w:cs="Arial" w:eastAsia="Arial" w:hint="default"/>
        </w:rPr>
        <w:t>(c)</w:t>
      </w:r>
      <w:r>
        <w:rPr>
          <w:rFonts w:ascii="Arial" w:hAnsi="Arial" w:cs="Arial" w:eastAsia="Arial" w:hint="default"/>
          <w:spacing w:val="48"/>
        </w:rPr>
        <w:t> </w:t>
      </w:r>
      <w:r>
        <w:rPr/>
        <w:t>稀释每股收益的计算公式参照如下所述公式计算：</w:t>
      </w:r>
    </w:p>
    <w:p>
      <w:pPr>
        <w:spacing w:line="240" w:lineRule="auto" w:before="2"/>
        <w:rPr>
          <w:rFonts w:ascii="宋体" w:hAnsi="宋体" w:cs="宋体" w:eastAsia="宋体" w:hint="default"/>
          <w:sz w:val="18"/>
          <w:szCs w:val="18"/>
        </w:rPr>
      </w:pPr>
    </w:p>
    <w:p>
      <w:pPr>
        <w:pStyle w:val="BodyText"/>
        <w:spacing w:line="237" w:lineRule="auto"/>
        <w:ind w:left="492" w:right="159"/>
        <w:jc w:val="both"/>
      </w:pPr>
      <w:r>
        <w:rPr>
          <w:w w:val="95"/>
        </w:rPr>
        <w:t>母公司存在稀释性潜在普通股的，应当分别调整归属于普通股股东的报告期净利润和发行在</w:t>
      </w:r>
      <w:r>
        <w:rPr>
          <w:spacing w:val="4"/>
          <w:w w:val="95"/>
        </w:rPr>
        <w:t> </w:t>
      </w:r>
      <w:r>
        <w:rPr>
          <w:spacing w:val="4"/>
          <w:w w:val="95"/>
        </w:rPr>
      </w:r>
      <w:r>
        <w:rPr>
          <w:w w:val="95"/>
        </w:rPr>
        <w:t>外普通股加权平均数，并据以计算稀释每股收益。在发行可转换债券、股份期权、认股权证</w:t>
      </w:r>
      <w:r>
        <w:rPr>
          <w:spacing w:val="3"/>
          <w:w w:val="95"/>
        </w:rPr>
        <w:t> </w:t>
      </w:r>
      <w:r>
        <w:rPr>
          <w:spacing w:val="3"/>
          <w:w w:val="95"/>
        </w:rPr>
      </w:r>
      <w:r>
        <w:rPr/>
        <w:t>等稀释性潜在普通股情况下，稀释每股收益可参照如下公式计算：</w:t>
      </w:r>
    </w:p>
    <w:p>
      <w:pPr>
        <w:spacing w:line="240" w:lineRule="auto" w:before="6"/>
        <w:rPr>
          <w:rFonts w:ascii="宋体" w:hAnsi="宋体" w:cs="宋体" w:eastAsia="宋体" w:hint="default"/>
          <w:sz w:val="17"/>
          <w:szCs w:val="17"/>
        </w:rPr>
      </w:pPr>
    </w:p>
    <w:p>
      <w:pPr>
        <w:pStyle w:val="BodyText"/>
        <w:spacing w:line="294" w:lineRule="exact"/>
        <w:ind w:left="492" w:right="0"/>
        <w:jc w:val="both"/>
        <w:rPr>
          <w:rFonts w:ascii="Arial" w:hAnsi="Arial" w:cs="Arial" w:eastAsia="Arial" w:hint="default"/>
        </w:rPr>
      </w:pPr>
      <w:r>
        <w:rPr>
          <w:spacing w:val="2"/>
        </w:rPr>
        <w:t>稀释每股收益</w:t>
      </w:r>
      <w:r>
        <w:rPr>
          <w:rFonts w:ascii="Arial" w:hAnsi="Arial" w:cs="Arial" w:eastAsia="Arial" w:hint="default"/>
          <w:spacing w:val="2"/>
        </w:rPr>
        <w:t>=[P+</w:t>
      </w:r>
      <w:r>
        <w:rPr>
          <w:spacing w:val="2"/>
        </w:rPr>
        <w:t>（已确认为费用的稀释性潜在普通股利息</w:t>
      </w:r>
      <w:r>
        <w:rPr>
          <w:rFonts w:ascii="Arial" w:hAnsi="Arial" w:cs="Arial" w:eastAsia="Arial" w:hint="default"/>
          <w:spacing w:val="2"/>
        </w:rPr>
        <w:t>-</w:t>
      </w:r>
      <w:r>
        <w:rPr>
          <w:spacing w:val="2"/>
        </w:rPr>
        <w:t>转换费用）</w:t>
      </w:r>
      <w:r>
        <w:rPr>
          <w:rFonts w:ascii="Arial" w:hAnsi="Arial" w:cs="Arial" w:eastAsia="Arial" w:hint="default"/>
          <w:spacing w:val="2"/>
        </w:rPr>
        <w:t>×</w:t>
      </w:r>
      <w:r>
        <w:rPr>
          <w:spacing w:val="2"/>
        </w:rPr>
        <w:t>（</w:t>
      </w:r>
      <w:r>
        <w:rPr>
          <w:rFonts w:ascii="Arial" w:hAnsi="Arial" w:cs="Arial" w:eastAsia="Arial" w:hint="default"/>
          <w:spacing w:val="2"/>
        </w:rPr>
        <w:t>1-</w:t>
      </w:r>
      <w:r>
        <w:rPr>
          <w:spacing w:val="2"/>
        </w:rPr>
        <w:t>所得税率）</w:t>
      </w:r>
      <w:r>
        <w:rPr>
          <w:rFonts w:ascii="Arial" w:hAnsi="Arial" w:cs="Arial" w:eastAsia="Arial" w:hint="default"/>
          <w:spacing w:val="2"/>
        </w:rPr>
        <w:t>]/</w:t>
      </w:r>
      <w:r>
        <w:rPr>
          <w:rFonts w:ascii="Arial" w:hAnsi="Arial" w:cs="Arial" w:eastAsia="Arial" w:hint="default"/>
        </w:rPr>
      </w:r>
    </w:p>
    <w:p>
      <w:pPr>
        <w:pStyle w:val="BodyText"/>
        <w:spacing w:line="286" w:lineRule="exact" w:before="18"/>
        <w:ind w:left="492" w:right="160"/>
        <w:jc w:val="both"/>
      </w:pPr>
      <w:r>
        <w:rPr>
          <w:spacing w:val="-1"/>
        </w:rPr>
        <w:t>（</w:t>
      </w:r>
      <w:r>
        <w:rPr>
          <w:rFonts w:ascii="Arial" w:hAnsi="Arial" w:cs="Arial" w:eastAsia="Arial" w:hint="default"/>
          <w:spacing w:val="-1"/>
        </w:rPr>
        <w:t>S0+S1+Si×Mi÷M0-Sj×Mj÷M0-Sk+</w:t>
      </w:r>
      <w:r>
        <w:rPr>
          <w:spacing w:val="-1"/>
        </w:rPr>
        <w:t>认股权证、股份期权、可转换债券等增加的普通股加权</w:t>
      </w:r>
      <w:r>
        <w:rPr>
          <w:spacing w:val="-72"/>
        </w:rPr>
        <w:t> </w:t>
      </w:r>
      <w:r>
        <w:rPr>
          <w:spacing w:val="-72"/>
        </w:rPr>
      </w:r>
      <w:r>
        <w:rPr/>
        <w:t>平均数）</w:t>
      </w:r>
    </w:p>
    <w:p>
      <w:pPr>
        <w:spacing w:line="240" w:lineRule="auto" w:before="0"/>
        <w:rPr>
          <w:rFonts w:ascii="宋体" w:hAnsi="宋体" w:cs="宋体" w:eastAsia="宋体" w:hint="default"/>
          <w:sz w:val="16"/>
          <w:szCs w:val="16"/>
        </w:rPr>
      </w:pPr>
    </w:p>
    <w:p>
      <w:pPr>
        <w:pStyle w:val="BodyText"/>
        <w:spacing w:line="232" w:lineRule="auto"/>
        <w:ind w:left="492" w:right="159"/>
        <w:jc w:val="both"/>
      </w:pPr>
      <w:r>
        <w:rPr/>
        <w:t>其中，</w:t>
      </w:r>
      <w:r>
        <w:rPr>
          <w:rFonts w:ascii="Arial" w:hAnsi="Arial" w:cs="Arial" w:eastAsia="Arial" w:hint="default"/>
        </w:rPr>
        <w:t>P</w:t>
      </w:r>
      <w:r>
        <w:rPr>
          <w:rFonts w:ascii="Arial" w:hAnsi="Arial" w:cs="Arial" w:eastAsia="Arial" w:hint="default"/>
          <w:spacing w:val="-5"/>
        </w:rPr>
        <w:t> </w:t>
      </w:r>
      <w:r>
        <w:rPr/>
        <w:t>为归属于母公司普通股股东的净利润或扣除非经常性损益后归属于母公司普通股股</w:t>
      </w:r>
      <w:r>
        <w:rPr>
          <w:w w:val="99"/>
        </w:rPr>
        <w:t> </w:t>
      </w:r>
      <w:r>
        <w:rPr>
          <w:w w:val="95"/>
        </w:rPr>
        <w:t>东的净利润。母公司在计算稀释每股收益时，应考虑所有稀释性潜在普通股的影响，直至稀</w:t>
      </w:r>
      <w:r>
        <w:rPr>
          <w:spacing w:val="4"/>
          <w:w w:val="95"/>
        </w:rPr>
        <w:t> </w:t>
      </w:r>
      <w:r>
        <w:rPr>
          <w:spacing w:val="4"/>
          <w:w w:val="95"/>
        </w:rPr>
      </w:r>
      <w:r>
        <w:rPr>
          <w:w w:val="95"/>
        </w:rPr>
        <w:t>释每股收益达到最小。对于子公司发行能够转换成其普通股的稀释性潜在普通股，不仅应当</w:t>
      </w:r>
      <w:r>
        <w:rPr>
          <w:spacing w:val="4"/>
          <w:w w:val="95"/>
        </w:rPr>
        <w:t> </w:t>
      </w:r>
      <w:r>
        <w:rPr>
          <w:spacing w:val="4"/>
          <w:w w:val="95"/>
        </w:rPr>
      </w:r>
      <w:r>
        <w:rPr/>
        <w:t>包括在其稀释每股收益的计算中，而且还应当包括在合并稀释每股收益的计算中。</w:t>
      </w:r>
    </w:p>
    <w:p>
      <w:pPr>
        <w:spacing w:after="0" w:line="232" w:lineRule="auto"/>
        <w:jc w:val="both"/>
        <w:sectPr>
          <w:headerReference w:type="default" r:id="rId154"/>
          <w:pgSz w:w="11900" w:h="16840"/>
          <w:pgMar w:header="1328" w:footer="752" w:top="2300" w:bottom="940" w:left="1460" w:right="1000"/>
        </w:sectPr>
      </w:pPr>
    </w:p>
    <w:p>
      <w:pPr>
        <w:spacing w:line="240" w:lineRule="auto" w:before="11"/>
        <w:rPr>
          <w:rFonts w:ascii="宋体" w:hAnsi="宋体" w:cs="宋体" w:eastAsia="宋体" w:hint="default"/>
          <w:sz w:val="15"/>
          <w:szCs w:val="15"/>
        </w:rPr>
      </w:pPr>
    </w:p>
    <w:p>
      <w:pPr>
        <w:pStyle w:val="BodyText"/>
        <w:spacing w:line="240" w:lineRule="auto" w:before="31"/>
        <w:ind w:left="129" w:right="2944"/>
        <w:jc w:val="left"/>
        <w:rPr>
          <w:rFonts w:ascii="黑体" w:hAnsi="黑体" w:cs="黑体" w:eastAsia="黑体" w:hint="default"/>
        </w:rPr>
      </w:pPr>
      <w:r>
        <w:rPr>
          <w:rFonts w:ascii="黑体" w:hAnsi="黑体" w:cs="黑体" w:eastAsia="黑体" w:hint="default"/>
        </w:rPr>
        <w:t>四、财务报表数据变动项目分析</w:t>
      </w:r>
    </w:p>
    <w:p>
      <w:pPr>
        <w:pStyle w:val="BodyText"/>
        <w:spacing w:line="300" w:lineRule="exact" w:before="191"/>
        <w:ind w:left="144" w:right="630" w:hanging="1"/>
        <w:jc w:val="left"/>
      </w:pPr>
      <w:r>
        <w:rPr/>
        <w:t>财务报表数据变动幅度达</w:t>
      </w:r>
      <w:r>
        <w:rPr>
          <w:spacing w:val="-52"/>
        </w:rPr>
        <w:t> </w:t>
      </w:r>
      <w:r>
        <w:rPr>
          <w:rFonts w:ascii="Arial" w:hAnsi="Arial" w:cs="Arial" w:eastAsia="Arial" w:hint="default"/>
          <w:spacing w:val="-5"/>
        </w:rPr>
        <w:t>30%</w:t>
      </w:r>
      <w:r>
        <w:rPr>
          <w:spacing w:val="-5"/>
        </w:rPr>
        <w:t>（含</w:t>
      </w:r>
      <w:r>
        <w:rPr>
          <w:spacing w:val="-52"/>
        </w:rPr>
        <w:t> </w:t>
      </w:r>
      <w:r>
        <w:rPr>
          <w:rFonts w:ascii="Arial" w:hAnsi="Arial" w:cs="Arial" w:eastAsia="Arial" w:hint="default"/>
          <w:spacing w:val="-3"/>
        </w:rPr>
        <w:t>30%</w:t>
      </w:r>
      <w:r>
        <w:rPr>
          <w:spacing w:val="-3"/>
        </w:rPr>
        <w:t>）以上，或占本集团报表日资产总额</w:t>
      </w:r>
      <w:r>
        <w:rPr>
          <w:spacing w:val="-52"/>
        </w:rPr>
        <w:t> </w:t>
      </w:r>
      <w:r>
        <w:rPr>
          <w:rFonts w:ascii="Arial" w:hAnsi="Arial" w:cs="Arial" w:eastAsia="Arial" w:hint="default"/>
          <w:spacing w:val="-5"/>
        </w:rPr>
        <w:t>5%</w:t>
      </w:r>
      <w:r>
        <w:rPr>
          <w:spacing w:val="-5"/>
        </w:rPr>
        <w:t>（含</w:t>
      </w:r>
      <w:r>
        <w:rPr>
          <w:spacing w:val="-52"/>
        </w:rPr>
        <w:t> </w:t>
      </w:r>
      <w:r>
        <w:rPr>
          <w:rFonts w:ascii="Arial" w:hAnsi="Arial" w:cs="Arial" w:eastAsia="Arial" w:hint="default"/>
          <w:spacing w:val="-5"/>
        </w:rPr>
        <w:t>5%</w:t>
      </w:r>
      <w:r>
        <w:rPr>
          <w:spacing w:val="-5"/>
        </w:rPr>
        <w:t>）或报</w:t>
      </w:r>
      <w:r>
        <w:rPr>
          <w:w w:val="99"/>
        </w:rPr>
        <w:t> </w:t>
      </w:r>
      <w:r>
        <w:rPr/>
        <w:t>告期利润总额</w:t>
      </w:r>
      <w:r>
        <w:rPr>
          <w:spacing w:val="-58"/>
        </w:rPr>
        <w:t> </w:t>
      </w:r>
      <w:r>
        <w:rPr>
          <w:rFonts w:ascii="Arial" w:hAnsi="Arial" w:cs="Arial" w:eastAsia="Arial" w:hint="default"/>
        </w:rPr>
        <w:t>10%</w:t>
      </w:r>
      <w:r>
        <w:rPr/>
        <w:t>（含</w:t>
      </w:r>
      <w:r>
        <w:rPr>
          <w:spacing w:val="-57"/>
        </w:rPr>
        <w:t> </w:t>
      </w:r>
      <w:r>
        <w:rPr>
          <w:rFonts w:ascii="Arial" w:hAnsi="Arial" w:cs="Arial" w:eastAsia="Arial" w:hint="default"/>
        </w:rPr>
        <w:t>10%</w:t>
      </w:r>
      <w:r>
        <w:rPr/>
        <w:t>）以上的项目详见如下分析，此等分析不作为财务报表的一部分。</w:t>
      </w:r>
    </w:p>
    <w:p>
      <w:pPr>
        <w:spacing w:line="274" w:lineRule="exact" w:before="128"/>
        <w:ind w:left="144" w:right="2944" w:firstLine="0"/>
        <w:jc w:val="left"/>
        <w:rPr>
          <w:rFonts w:ascii="黑体" w:hAnsi="黑体" w:cs="黑体" w:eastAsia="黑体" w:hint="default"/>
          <w:sz w:val="21"/>
          <w:szCs w:val="21"/>
        </w:rPr>
      </w:pPr>
      <w:r>
        <w:rPr>
          <w:rFonts w:ascii="黑体" w:hAnsi="黑体" w:cs="黑体" w:eastAsia="黑体" w:hint="default"/>
          <w:sz w:val="21"/>
          <w:szCs w:val="21"/>
        </w:rPr>
        <w:t>资产负债表项目</w:t>
      </w:r>
    </w:p>
    <w:p>
      <w:pPr>
        <w:spacing w:line="274" w:lineRule="exact" w:before="0"/>
        <w:ind w:left="0" w:right="414" w:firstLine="0"/>
        <w:jc w:val="right"/>
        <w:rPr>
          <w:rFonts w:ascii="宋体" w:hAnsi="宋体" w:cs="宋体" w:eastAsia="宋体" w:hint="default"/>
          <w:sz w:val="21"/>
          <w:szCs w:val="21"/>
        </w:rPr>
      </w:pPr>
      <w:r>
        <w:rPr/>
        <w:pict>
          <v:group style="position:absolute;margin-left:439.200012pt;margin-top:15.683571pt;width:121.5pt;height:.1pt;mso-position-horizontal-relative:page;mso-position-vertical-relative:paragraph;z-index:-814240" coordorigin="8784,314" coordsize="2430,2">
            <v:shape style="position:absolute;left:8784;top:314;width:2430;height:2" coordorigin="8784,314" coordsize="2430,0" path="m8784,314l11214,314e" filled="false" stroked="true" strokeweight=".71997pt" strokecolor="#000000">
              <v:path arrowok="t"/>
            </v:shape>
            <w10:wrap type="none"/>
          </v:group>
        </w:pict>
      </w:r>
      <w:r>
        <w:rPr>
          <w:rFonts w:ascii="宋体" w:hAnsi="宋体" w:cs="宋体" w:eastAsia="宋体" w:hint="default"/>
          <w:sz w:val="21"/>
          <w:szCs w:val="21"/>
        </w:rPr>
        <w:t>差异变动金额及幅度</w:t>
      </w:r>
    </w:p>
    <w:p>
      <w:pPr>
        <w:tabs>
          <w:tab w:pos="2714" w:val="left" w:leader="none"/>
          <w:tab w:pos="3421" w:val="left" w:leader="none"/>
          <w:tab w:pos="7528" w:val="left" w:leader="none"/>
          <w:tab w:pos="9460" w:val="left" w:leader="none"/>
        </w:tabs>
        <w:spacing w:before="10"/>
        <w:ind w:left="144" w:right="84" w:firstLine="0"/>
        <w:jc w:val="left"/>
        <w:rPr>
          <w:rFonts w:ascii="Arial" w:hAnsi="Arial" w:cs="Arial" w:eastAsia="Arial" w:hint="default"/>
          <w:sz w:val="21"/>
          <w:szCs w:val="21"/>
        </w:rPr>
      </w:pPr>
      <w:r>
        <w:rPr>
          <w:rFonts w:ascii="宋体" w:hAnsi="宋体" w:cs="宋体" w:eastAsia="宋体" w:hint="default"/>
          <w:position w:val="2"/>
          <w:sz w:val="21"/>
          <w:szCs w:val="21"/>
        </w:rPr>
        <w:t>（单位：人民币百万元）</w:t>
        <w:tab/>
        <w:t>附注</w:t>
        <w:tab/>
      </w:r>
      <w:r>
        <w:rPr>
          <w:rFonts w:ascii="Arial" w:hAnsi="Arial" w:cs="Arial" w:eastAsia="Arial" w:hint="default"/>
          <w:spacing w:val="-1"/>
          <w:position w:val="2"/>
          <w:sz w:val="21"/>
          <w:szCs w:val="21"/>
        </w:rPr>
        <w:t>2011</w:t>
      </w:r>
      <w:r>
        <w:rPr>
          <w:rFonts w:ascii="Arial" w:hAnsi="Arial" w:cs="Arial" w:eastAsia="Arial" w:hint="default"/>
          <w:spacing w:val="-6"/>
          <w:position w:val="2"/>
          <w:sz w:val="21"/>
          <w:szCs w:val="21"/>
        </w:rPr>
        <w:t> </w:t>
      </w:r>
      <w:r>
        <w:rPr>
          <w:rFonts w:ascii="宋体" w:hAnsi="宋体" w:cs="宋体" w:eastAsia="宋体" w:hint="default"/>
          <w:position w:val="2"/>
          <w:sz w:val="21"/>
          <w:szCs w:val="21"/>
        </w:rPr>
        <w:t>年</w:t>
      </w:r>
      <w:r>
        <w:rPr>
          <w:rFonts w:ascii="宋体" w:hAnsi="宋体" w:cs="宋体" w:eastAsia="宋体" w:hint="default"/>
          <w:spacing w:val="-53"/>
          <w:position w:val="2"/>
          <w:sz w:val="21"/>
          <w:szCs w:val="21"/>
        </w:rPr>
        <w:t> </w:t>
      </w:r>
      <w:r>
        <w:rPr>
          <w:rFonts w:ascii="Arial" w:hAnsi="Arial" w:cs="Arial" w:eastAsia="Arial" w:hint="default"/>
          <w:spacing w:val="-1"/>
          <w:position w:val="2"/>
          <w:sz w:val="21"/>
          <w:szCs w:val="21"/>
        </w:rPr>
        <w:t>12</w:t>
      </w:r>
      <w:r>
        <w:rPr>
          <w:rFonts w:ascii="Arial" w:hAnsi="Arial" w:cs="Arial" w:eastAsia="Arial" w:hint="default"/>
          <w:spacing w:val="-5"/>
          <w:position w:val="2"/>
          <w:sz w:val="21"/>
          <w:szCs w:val="21"/>
        </w:rPr>
        <w:t> </w:t>
      </w:r>
      <w:r>
        <w:rPr>
          <w:rFonts w:ascii="宋体" w:hAnsi="宋体" w:cs="宋体" w:eastAsia="宋体" w:hint="default"/>
          <w:position w:val="2"/>
          <w:sz w:val="21"/>
          <w:szCs w:val="21"/>
        </w:rPr>
        <w:t>月</w:t>
      </w:r>
      <w:r>
        <w:rPr>
          <w:rFonts w:ascii="宋体" w:hAnsi="宋体" w:cs="宋体" w:eastAsia="宋体" w:hint="default"/>
          <w:spacing w:val="-53"/>
          <w:position w:val="2"/>
          <w:sz w:val="21"/>
          <w:szCs w:val="21"/>
        </w:rPr>
        <w:t> </w:t>
      </w:r>
      <w:r>
        <w:rPr>
          <w:rFonts w:ascii="Arial" w:hAnsi="Arial" w:cs="Arial" w:eastAsia="Arial" w:hint="default"/>
          <w:spacing w:val="-1"/>
          <w:position w:val="2"/>
          <w:sz w:val="21"/>
          <w:szCs w:val="21"/>
        </w:rPr>
        <w:t>31</w:t>
      </w:r>
      <w:r>
        <w:rPr>
          <w:rFonts w:ascii="Arial" w:hAnsi="Arial" w:cs="Arial" w:eastAsia="Arial" w:hint="default"/>
          <w:spacing w:val="-6"/>
          <w:position w:val="2"/>
          <w:sz w:val="21"/>
          <w:szCs w:val="21"/>
        </w:rPr>
        <w:t> </w:t>
      </w:r>
      <w:r>
        <w:rPr>
          <w:rFonts w:ascii="宋体" w:hAnsi="宋体" w:cs="宋体" w:eastAsia="宋体" w:hint="default"/>
          <w:position w:val="2"/>
          <w:sz w:val="21"/>
          <w:szCs w:val="21"/>
        </w:rPr>
        <w:t>日</w:t>
      </w:r>
      <w:r>
        <w:rPr>
          <w:rFonts w:ascii="宋体" w:hAnsi="宋体" w:cs="宋体" w:eastAsia="宋体" w:hint="default"/>
          <w:spacing w:val="34"/>
          <w:position w:val="2"/>
          <w:sz w:val="21"/>
          <w:szCs w:val="21"/>
        </w:rPr>
        <w:t> </w:t>
      </w:r>
      <w:r>
        <w:rPr>
          <w:rFonts w:ascii="Arial" w:hAnsi="Arial" w:cs="Arial" w:eastAsia="Arial" w:hint="default"/>
          <w:spacing w:val="-1"/>
          <w:position w:val="2"/>
          <w:sz w:val="21"/>
          <w:szCs w:val="21"/>
        </w:rPr>
        <w:t>2010</w:t>
      </w:r>
      <w:r>
        <w:rPr>
          <w:rFonts w:ascii="Arial" w:hAnsi="Arial" w:cs="Arial" w:eastAsia="Arial" w:hint="default"/>
          <w:spacing w:val="-6"/>
          <w:position w:val="2"/>
          <w:sz w:val="21"/>
          <w:szCs w:val="21"/>
        </w:rPr>
        <w:t> </w:t>
      </w:r>
      <w:r>
        <w:rPr>
          <w:rFonts w:ascii="宋体" w:hAnsi="宋体" w:cs="宋体" w:eastAsia="宋体" w:hint="default"/>
          <w:position w:val="2"/>
          <w:sz w:val="21"/>
          <w:szCs w:val="21"/>
        </w:rPr>
        <w:t>年</w:t>
      </w:r>
      <w:r>
        <w:rPr>
          <w:rFonts w:ascii="宋体" w:hAnsi="宋体" w:cs="宋体" w:eastAsia="宋体" w:hint="default"/>
          <w:spacing w:val="-53"/>
          <w:position w:val="2"/>
          <w:sz w:val="21"/>
          <w:szCs w:val="21"/>
        </w:rPr>
        <w:t> </w:t>
      </w:r>
      <w:r>
        <w:rPr>
          <w:rFonts w:ascii="Arial" w:hAnsi="Arial" w:cs="Arial" w:eastAsia="Arial" w:hint="default"/>
          <w:spacing w:val="-1"/>
          <w:position w:val="2"/>
          <w:sz w:val="21"/>
          <w:szCs w:val="21"/>
        </w:rPr>
        <w:t>12</w:t>
      </w:r>
      <w:r>
        <w:rPr>
          <w:rFonts w:ascii="Arial" w:hAnsi="Arial" w:cs="Arial" w:eastAsia="Arial" w:hint="default"/>
          <w:spacing w:val="-5"/>
          <w:position w:val="2"/>
          <w:sz w:val="21"/>
          <w:szCs w:val="21"/>
        </w:rPr>
        <w:t> </w:t>
      </w:r>
      <w:r>
        <w:rPr>
          <w:rFonts w:ascii="宋体" w:hAnsi="宋体" w:cs="宋体" w:eastAsia="宋体" w:hint="default"/>
          <w:position w:val="2"/>
          <w:sz w:val="21"/>
          <w:szCs w:val="21"/>
        </w:rPr>
        <w:t>月</w:t>
      </w:r>
      <w:r>
        <w:rPr>
          <w:rFonts w:ascii="宋体" w:hAnsi="宋体" w:cs="宋体" w:eastAsia="宋体" w:hint="default"/>
          <w:spacing w:val="-53"/>
          <w:position w:val="2"/>
          <w:sz w:val="21"/>
          <w:szCs w:val="21"/>
        </w:rPr>
        <w:t> </w:t>
      </w:r>
      <w:r>
        <w:rPr>
          <w:rFonts w:ascii="Arial" w:hAnsi="Arial" w:cs="Arial" w:eastAsia="Arial" w:hint="default"/>
          <w:spacing w:val="-1"/>
          <w:position w:val="2"/>
          <w:sz w:val="21"/>
          <w:szCs w:val="21"/>
        </w:rPr>
        <w:t>31</w:t>
      </w:r>
      <w:r>
        <w:rPr>
          <w:rFonts w:ascii="Arial" w:hAnsi="Arial" w:cs="Arial" w:eastAsia="Arial" w:hint="default"/>
          <w:spacing w:val="-6"/>
          <w:position w:val="2"/>
          <w:sz w:val="21"/>
          <w:szCs w:val="21"/>
        </w:rPr>
        <w:t> </w:t>
      </w:r>
      <w:r>
        <w:rPr>
          <w:rFonts w:ascii="宋体" w:hAnsi="宋体" w:cs="宋体" w:eastAsia="宋体" w:hint="default"/>
          <w:position w:val="2"/>
          <w:sz w:val="21"/>
          <w:szCs w:val="21"/>
        </w:rPr>
        <w:t>日</w:t>
        <w:tab/>
      </w:r>
      <w:r>
        <w:rPr>
          <w:rFonts w:ascii="宋体" w:hAnsi="宋体" w:cs="宋体" w:eastAsia="宋体" w:hint="default"/>
          <w:spacing w:val="-1"/>
          <w:position w:val="2"/>
          <w:sz w:val="21"/>
          <w:szCs w:val="21"/>
        </w:rPr>
        <w:t>增加</w:t>
      </w:r>
      <w:r>
        <w:rPr>
          <w:rFonts w:ascii="Arial" w:hAnsi="Arial" w:cs="Arial" w:eastAsia="Arial" w:hint="default"/>
          <w:spacing w:val="-1"/>
          <w:position w:val="2"/>
          <w:sz w:val="21"/>
          <w:szCs w:val="21"/>
        </w:rPr>
        <w:t>(</w:t>
      </w:r>
      <w:r>
        <w:rPr>
          <w:rFonts w:ascii="宋体" w:hAnsi="宋体" w:cs="宋体" w:eastAsia="宋体" w:hint="default"/>
          <w:spacing w:val="-1"/>
          <w:position w:val="2"/>
          <w:sz w:val="21"/>
          <w:szCs w:val="21"/>
        </w:rPr>
        <w:t>减少</w:t>
      </w:r>
      <w:r>
        <w:rPr>
          <w:rFonts w:ascii="Arial" w:hAnsi="Arial" w:cs="Arial" w:eastAsia="Arial" w:hint="default"/>
          <w:spacing w:val="-1"/>
          <w:position w:val="2"/>
          <w:sz w:val="21"/>
          <w:szCs w:val="21"/>
        </w:rPr>
        <w:t>)</w:t>
        <w:tab/>
      </w:r>
      <w:r>
        <w:rPr>
          <w:rFonts w:ascii="Arial" w:hAnsi="Arial" w:cs="Arial" w:eastAsia="Arial" w:hint="default"/>
          <w:sz w:val="21"/>
          <w:szCs w:val="21"/>
        </w:rPr>
        <w:t>%</w:t>
      </w:r>
    </w:p>
    <w:tbl>
      <w:tblPr>
        <w:tblW w:w="0" w:type="auto"/>
        <w:jc w:val="left"/>
        <w:tblInd w:w="108" w:type="dxa"/>
        <w:tblLayout w:type="fixed"/>
        <w:tblCellMar>
          <w:top w:w="0" w:type="dxa"/>
          <w:left w:w="0" w:type="dxa"/>
          <w:bottom w:w="0" w:type="dxa"/>
          <w:right w:w="0" w:type="dxa"/>
        </w:tblCellMar>
        <w:tblLook w:val="01E0"/>
      </w:tblPr>
      <w:tblGrid>
        <w:gridCol w:w="2357"/>
        <w:gridCol w:w="90"/>
        <w:gridCol w:w="738"/>
        <w:gridCol w:w="104"/>
        <w:gridCol w:w="1850"/>
        <w:gridCol w:w="103"/>
        <w:gridCol w:w="1931"/>
        <w:gridCol w:w="62"/>
        <w:gridCol w:w="2458"/>
      </w:tblGrid>
      <w:tr>
        <w:trPr>
          <w:trHeight w:val="655" w:hRule="exact"/>
        </w:trPr>
        <w:tc>
          <w:tcPr>
            <w:tcW w:w="2357"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8"/>
                <w:szCs w:val="28"/>
              </w:rPr>
            </w:pPr>
          </w:p>
          <w:p>
            <w:pPr>
              <w:pStyle w:val="TableParagraph"/>
              <w:spacing w:line="240" w:lineRule="auto"/>
              <w:ind w:right="0"/>
              <w:jc w:val="center"/>
              <w:rPr>
                <w:rFonts w:ascii="Arial" w:hAnsi="Arial" w:cs="Arial" w:eastAsia="Arial" w:hint="default"/>
                <w:sz w:val="21"/>
                <w:szCs w:val="21"/>
              </w:rPr>
            </w:pPr>
            <w:r>
              <w:rPr>
                <w:rFonts w:ascii="Arial"/>
                <w:sz w:val="21"/>
              </w:rPr>
              <w:t>(1)</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8"/>
                <w:szCs w:val="28"/>
              </w:rPr>
            </w:pPr>
          </w:p>
          <w:p>
            <w:pPr>
              <w:pStyle w:val="TableParagraph"/>
              <w:spacing w:line="240" w:lineRule="auto"/>
              <w:ind w:right="114"/>
              <w:jc w:val="right"/>
              <w:rPr>
                <w:rFonts w:ascii="Arial" w:hAnsi="Arial" w:cs="Arial" w:eastAsia="Arial" w:hint="default"/>
                <w:sz w:val="21"/>
                <w:szCs w:val="21"/>
              </w:rPr>
            </w:pPr>
            <w:r>
              <w:rPr>
                <w:rFonts w:ascii="Arial"/>
                <w:spacing w:val="-1"/>
                <w:w w:val="95"/>
                <w:sz w:val="21"/>
              </w:rPr>
              <w:t>15,439</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single" w:sz="6" w:space="0" w:color="000000"/>
              <w:left w:val="nil" w:sz="6" w:space="0" w:color="auto"/>
              <w:bottom w:val="nil" w:sz="6" w:space="0" w:color="auto"/>
              <w:right w:val="nil" w:sz="6" w:space="0" w:color="auto"/>
            </w:tcBorders>
          </w:tcPr>
          <w:p>
            <w:pPr>
              <w:pStyle w:val="TableParagraph"/>
              <w:spacing w:line="241" w:lineRule="exact"/>
              <w:ind w:left="825" w:right="0"/>
              <w:jc w:val="center"/>
              <w:rPr>
                <w:rFonts w:ascii="宋体" w:hAnsi="宋体" w:cs="宋体" w:eastAsia="宋体" w:hint="default"/>
                <w:sz w:val="21"/>
                <w:szCs w:val="21"/>
              </w:rPr>
            </w:pPr>
            <w:r>
              <w:rPr>
                <w:rFonts w:ascii="宋体" w:hAnsi="宋体" w:cs="宋体" w:eastAsia="宋体" w:hint="default"/>
                <w:sz w:val="21"/>
                <w:szCs w:val="21"/>
              </w:rPr>
              <w:t>（经重列）</w:t>
            </w:r>
          </w:p>
          <w:p>
            <w:pPr>
              <w:pStyle w:val="TableParagraph"/>
              <w:spacing w:line="240" w:lineRule="auto" w:before="82"/>
              <w:ind w:left="833" w:right="0"/>
              <w:jc w:val="center"/>
              <w:rPr>
                <w:rFonts w:ascii="Arial" w:hAnsi="Arial" w:cs="Arial" w:eastAsia="Arial" w:hint="default"/>
                <w:sz w:val="21"/>
                <w:szCs w:val="21"/>
              </w:rPr>
            </w:pPr>
            <w:r>
              <w:rPr>
                <w:rFonts w:ascii="Arial"/>
                <w:sz w:val="21"/>
              </w:rPr>
              <w:t>22,893</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single" w:sz="6" w:space="0" w:color="000000"/>
              <w:left w:val="nil" w:sz="6" w:space="0" w:color="auto"/>
              <w:bottom w:val="nil" w:sz="6" w:space="0" w:color="auto"/>
              <w:right w:val="nil" w:sz="6" w:space="0" w:color="auto"/>
            </w:tcBorders>
          </w:tcPr>
          <w:p>
            <w:pPr>
              <w:pStyle w:val="TableParagraph"/>
              <w:spacing w:line="20" w:lineRule="exact"/>
              <w:ind w:left="-8" w:right="0"/>
              <w:jc w:val="left"/>
              <w:rPr>
                <w:rFonts w:ascii="Arial" w:hAnsi="Arial" w:cs="Arial" w:eastAsia="Arial" w:hint="default"/>
                <w:sz w:val="2"/>
                <w:szCs w:val="2"/>
              </w:rPr>
            </w:pPr>
            <w:r>
              <w:rPr>
                <w:rFonts w:ascii="Arial" w:hAnsi="Arial" w:cs="Arial" w:eastAsia="Arial" w:hint="default"/>
                <w:sz w:val="2"/>
                <w:szCs w:val="2"/>
              </w:rPr>
              <w:pict>
                <v:group style="width:68.25pt;height:.75pt;mso-position-horizontal-relative:char;mso-position-vertical-relative:line" coordorigin="0,0" coordsize="1365,15">
                  <v:group style="position:absolute;left:7;top:7;width:1350;height:2" coordorigin="7,7" coordsize="1350,2">
                    <v:shape style="position:absolute;left:7;top:7;width:1350;height:2" coordorigin="7,7" coordsize="1350,0" path="m7,7l1357,7e" filled="false" stroked="true" strokeweight=".71997pt" strokecolor="#000000">
                      <v:path arrowok="t"/>
                    </v:shape>
                  </v:group>
                </v:group>
              </w:pict>
            </w:r>
            <w:r>
              <w:rPr>
                <w:rFonts w:ascii="Arial" w:hAnsi="Arial" w:cs="Arial" w:eastAsia="Arial" w:hint="default"/>
                <w:sz w:val="2"/>
                <w:szCs w:val="2"/>
              </w:rPr>
            </w:r>
          </w:p>
          <w:p>
            <w:pPr>
              <w:pStyle w:val="TableParagraph"/>
              <w:spacing w:line="240" w:lineRule="auto" w:before="7"/>
              <w:ind w:right="0"/>
              <w:jc w:val="left"/>
              <w:rPr>
                <w:rFonts w:ascii="Arial" w:hAnsi="Arial" w:cs="Arial" w:eastAsia="Arial" w:hint="default"/>
                <w:sz w:val="27"/>
                <w:szCs w:val="27"/>
              </w:rPr>
            </w:pPr>
          </w:p>
          <w:p>
            <w:pPr>
              <w:pStyle w:val="TableParagraph"/>
              <w:tabs>
                <w:tab w:pos="1253" w:val="left" w:leader="none"/>
              </w:tabs>
              <w:spacing w:line="240" w:lineRule="auto"/>
              <w:ind w:right="56"/>
              <w:jc w:val="right"/>
              <w:rPr>
                <w:rFonts w:ascii="Arial" w:hAnsi="Arial" w:cs="Arial" w:eastAsia="Arial" w:hint="default"/>
                <w:sz w:val="21"/>
                <w:szCs w:val="21"/>
              </w:rPr>
            </w:pPr>
            <w:r>
              <w:rPr>
                <w:rFonts w:ascii="Arial"/>
                <w:spacing w:val="-1"/>
                <w:sz w:val="21"/>
              </w:rPr>
              <w:t>(7,454)</w:t>
              <w:tab/>
            </w:r>
            <w:r>
              <w:rPr>
                <w:rFonts w:ascii="Arial"/>
                <w:spacing w:val="-1"/>
                <w:w w:val="95"/>
                <w:sz w:val="21"/>
              </w:rPr>
              <w:t>-32.6%</w:t>
            </w:r>
            <w:r>
              <w:rPr>
                <w:rFonts w:ascii="Arial"/>
                <w:sz w:val="21"/>
              </w:rPr>
            </w:r>
          </w:p>
        </w:tc>
      </w:tr>
      <w:tr>
        <w:trPr>
          <w:trHeight w:val="415"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center"/>
              <w:rPr>
                <w:rFonts w:ascii="Arial" w:hAnsi="Arial" w:cs="Arial" w:eastAsia="Arial" w:hint="default"/>
                <w:sz w:val="21"/>
                <w:szCs w:val="21"/>
              </w:rPr>
            </w:pPr>
            <w:r>
              <w:rPr>
                <w:rFonts w:ascii="Arial"/>
                <w:sz w:val="21"/>
              </w:rPr>
              <w:t>(2)</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4"/>
              <w:jc w:val="right"/>
              <w:rPr>
                <w:rFonts w:ascii="Arial" w:hAnsi="Arial" w:cs="Arial" w:eastAsia="Arial" w:hint="default"/>
                <w:sz w:val="21"/>
                <w:szCs w:val="21"/>
              </w:rPr>
            </w:pPr>
            <w:r>
              <w:rPr>
                <w:rFonts w:ascii="Arial"/>
                <w:spacing w:val="-1"/>
                <w:sz w:val="21"/>
              </w:rPr>
              <w:t>325,436</w:t>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44" w:right="0"/>
              <w:jc w:val="left"/>
              <w:rPr>
                <w:rFonts w:ascii="Arial" w:hAnsi="Arial" w:cs="Arial" w:eastAsia="Arial" w:hint="default"/>
                <w:sz w:val="21"/>
                <w:szCs w:val="21"/>
              </w:rPr>
            </w:pPr>
            <w:r>
              <w:rPr>
                <w:rFonts w:ascii="Arial"/>
                <w:sz w:val="21"/>
              </w:rPr>
              <w:t>304,440</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487" w:val="left" w:leader="none"/>
              </w:tabs>
              <w:spacing w:line="240" w:lineRule="auto" w:before="90"/>
              <w:ind w:right="56"/>
              <w:jc w:val="right"/>
              <w:rPr>
                <w:rFonts w:ascii="Arial" w:hAnsi="Arial" w:cs="Arial" w:eastAsia="Arial" w:hint="default"/>
                <w:sz w:val="21"/>
                <w:szCs w:val="21"/>
              </w:rPr>
            </w:pPr>
            <w:r>
              <w:rPr>
                <w:rFonts w:ascii="Arial"/>
                <w:spacing w:val="-1"/>
                <w:sz w:val="21"/>
              </w:rPr>
              <w:t>20,996</w:t>
              <w:tab/>
            </w:r>
            <w:r>
              <w:rPr>
                <w:rFonts w:ascii="Arial"/>
                <w:spacing w:val="-1"/>
                <w:w w:val="95"/>
                <w:sz w:val="21"/>
              </w:rPr>
              <w:t>6.9%</w:t>
            </w:r>
            <w:r>
              <w:rPr>
                <w:rFonts w:ascii="Arial"/>
                <w:sz w:val="21"/>
              </w:rPr>
            </w:r>
          </w:p>
        </w:tc>
      </w:tr>
      <w:tr>
        <w:trPr>
          <w:trHeight w:val="42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Arial" w:hAnsi="Arial" w:cs="Arial" w:eastAsia="Arial" w:hint="default"/>
                <w:sz w:val="21"/>
                <w:szCs w:val="21"/>
              </w:rPr>
            </w:pPr>
            <w:r>
              <w:rPr>
                <w:rFonts w:ascii="Arial"/>
                <w:sz w:val="21"/>
              </w:rPr>
              <w:t>(3)</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4"/>
              <w:jc w:val="right"/>
              <w:rPr>
                <w:rFonts w:ascii="Arial" w:hAnsi="Arial" w:cs="Arial" w:eastAsia="Arial" w:hint="default"/>
                <w:sz w:val="21"/>
                <w:szCs w:val="21"/>
              </w:rPr>
            </w:pPr>
            <w:r>
              <w:rPr>
                <w:rFonts w:ascii="Arial"/>
                <w:spacing w:val="-1"/>
                <w:w w:val="95"/>
                <w:sz w:val="21"/>
              </w:rPr>
              <w:t>52,329</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61" w:right="0"/>
              <w:jc w:val="left"/>
              <w:rPr>
                <w:rFonts w:ascii="Arial" w:hAnsi="Arial" w:cs="Arial" w:eastAsia="Arial" w:hint="default"/>
                <w:sz w:val="21"/>
                <w:szCs w:val="21"/>
              </w:rPr>
            </w:pPr>
            <w:r>
              <w:rPr>
                <w:rFonts w:ascii="Arial"/>
                <w:sz w:val="21"/>
              </w:rPr>
              <w:t>55,862</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370" w:val="left" w:leader="none"/>
              </w:tabs>
              <w:spacing w:line="240" w:lineRule="auto" w:before="89"/>
              <w:ind w:right="55"/>
              <w:jc w:val="right"/>
              <w:rPr>
                <w:rFonts w:ascii="Arial" w:hAnsi="Arial" w:cs="Arial" w:eastAsia="Arial" w:hint="default"/>
                <w:sz w:val="21"/>
                <w:szCs w:val="21"/>
              </w:rPr>
            </w:pPr>
            <w:r>
              <w:rPr>
                <w:rFonts w:ascii="Arial"/>
                <w:spacing w:val="-1"/>
                <w:sz w:val="21"/>
              </w:rPr>
              <w:t>(3,533)</w:t>
              <w:tab/>
            </w:r>
            <w:r>
              <w:rPr>
                <w:rFonts w:ascii="Arial"/>
                <w:spacing w:val="-1"/>
                <w:w w:val="95"/>
                <w:sz w:val="21"/>
              </w:rPr>
              <w:t>-6.3%</w:t>
            </w:r>
            <w:r>
              <w:rPr>
                <w:rFonts w:ascii="Arial"/>
                <w:sz w:val="21"/>
              </w:rPr>
            </w:r>
          </w:p>
        </w:tc>
      </w:tr>
      <w:tr>
        <w:trPr>
          <w:trHeight w:val="42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Arial" w:hAnsi="Arial" w:cs="Arial" w:eastAsia="Arial" w:hint="default"/>
                <w:sz w:val="21"/>
                <w:szCs w:val="21"/>
              </w:rPr>
            </w:pPr>
            <w:r>
              <w:rPr>
                <w:rFonts w:ascii="Arial"/>
                <w:sz w:val="21"/>
              </w:rPr>
              <w:t>(3)</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4"/>
              <w:jc w:val="right"/>
              <w:rPr>
                <w:rFonts w:ascii="Arial" w:hAnsi="Arial" w:cs="Arial" w:eastAsia="Arial" w:hint="default"/>
                <w:sz w:val="21"/>
                <w:szCs w:val="21"/>
              </w:rPr>
            </w:pPr>
            <w:r>
              <w:rPr>
                <w:rFonts w:ascii="Arial"/>
                <w:spacing w:val="-1"/>
                <w:w w:val="95"/>
                <w:sz w:val="21"/>
              </w:rPr>
              <w:t>2,337</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78" w:right="0"/>
              <w:jc w:val="left"/>
              <w:rPr>
                <w:rFonts w:ascii="Arial" w:hAnsi="Arial" w:cs="Arial" w:eastAsia="Arial" w:hint="default"/>
                <w:sz w:val="21"/>
                <w:szCs w:val="21"/>
              </w:rPr>
            </w:pPr>
            <w:r>
              <w:rPr>
                <w:rFonts w:ascii="Arial"/>
                <w:sz w:val="21"/>
              </w:rPr>
              <w:t>3,367</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253" w:val="left" w:leader="none"/>
              </w:tabs>
              <w:spacing w:line="240" w:lineRule="auto" w:before="97"/>
              <w:ind w:right="56"/>
              <w:jc w:val="right"/>
              <w:rPr>
                <w:rFonts w:ascii="Arial" w:hAnsi="Arial" w:cs="Arial" w:eastAsia="Arial" w:hint="default"/>
                <w:sz w:val="21"/>
                <w:szCs w:val="21"/>
              </w:rPr>
            </w:pPr>
            <w:r>
              <w:rPr>
                <w:rFonts w:ascii="Arial"/>
                <w:spacing w:val="-1"/>
                <w:sz w:val="21"/>
              </w:rPr>
              <w:t>(1,030)</w:t>
              <w:tab/>
            </w:r>
            <w:r>
              <w:rPr>
                <w:rFonts w:ascii="Arial"/>
                <w:spacing w:val="-1"/>
                <w:w w:val="95"/>
                <w:sz w:val="21"/>
              </w:rPr>
              <w:t>-30.6%</w:t>
            </w:r>
            <w:r>
              <w:rPr>
                <w:rFonts w:ascii="Arial"/>
                <w:sz w:val="21"/>
              </w:rPr>
            </w:r>
          </w:p>
        </w:tc>
      </w:tr>
      <w:tr>
        <w:trPr>
          <w:trHeight w:val="42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center"/>
              <w:rPr>
                <w:rFonts w:ascii="Arial" w:hAnsi="Arial" w:cs="Arial" w:eastAsia="Arial" w:hint="default"/>
                <w:sz w:val="21"/>
                <w:szCs w:val="21"/>
              </w:rPr>
            </w:pPr>
            <w:r>
              <w:rPr>
                <w:rFonts w:ascii="Arial"/>
                <w:sz w:val="21"/>
              </w:rPr>
              <w:t>(4)</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4"/>
              <w:jc w:val="right"/>
              <w:rPr>
                <w:rFonts w:ascii="Arial" w:hAnsi="Arial" w:cs="Arial" w:eastAsia="Arial" w:hint="default"/>
                <w:sz w:val="21"/>
                <w:szCs w:val="21"/>
              </w:rPr>
            </w:pPr>
            <w:r>
              <w:rPr>
                <w:rFonts w:ascii="Arial"/>
                <w:spacing w:val="-1"/>
                <w:w w:val="95"/>
                <w:sz w:val="21"/>
              </w:rPr>
              <w:t>32,322</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61" w:right="0"/>
              <w:jc w:val="left"/>
              <w:rPr>
                <w:rFonts w:ascii="Arial" w:hAnsi="Arial" w:cs="Arial" w:eastAsia="Arial" w:hint="default"/>
                <w:sz w:val="21"/>
                <w:szCs w:val="21"/>
              </w:rPr>
            </w:pPr>
            <w:r>
              <w:rPr>
                <w:rFonts w:ascii="Arial"/>
                <w:sz w:val="21"/>
              </w:rPr>
              <w:t>36,727</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253" w:val="left" w:leader="none"/>
              </w:tabs>
              <w:spacing w:line="240" w:lineRule="auto" w:before="96"/>
              <w:ind w:right="56"/>
              <w:jc w:val="right"/>
              <w:rPr>
                <w:rFonts w:ascii="Arial" w:hAnsi="Arial" w:cs="Arial" w:eastAsia="Arial" w:hint="default"/>
                <w:sz w:val="21"/>
                <w:szCs w:val="21"/>
              </w:rPr>
            </w:pPr>
            <w:r>
              <w:rPr>
                <w:rFonts w:ascii="Arial"/>
                <w:spacing w:val="-1"/>
                <w:sz w:val="21"/>
              </w:rPr>
              <w:t>(4,405)</w:t>
              <w:tab/>
            </w:r>
            <w:r>
              <w:rPr>
                <w:rFonts w:ascii="Arial"/>
                <w:spacing w:val="-1"/>
                <w:w w:val="95"/>
                <w:sz w:val="21"/>
              </w:rPr>
              <w:t>-12.0%</w:t>
            </w:r>
            <w:r>
              <w:rPr>
                <w:rFonts w:ascii="Arial"/>
                <w:sz w:val="21"/>
              </w:rPr>
            </w:r>
          </w:p>
        </w:tc>
      </w:tr>
      <w:tr>
        <w:trPr>
          <w:trHeight w:val="42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应付短期债券</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Arial" w:hAnsi="Arial" w:cs="Arial" w:eastAsia="Arial" w:hint="default"/>
                <w:sz w:val="21"/>
                <w:szCs w:val="21"/>
              </w:rPr>
            </w:pPr>
            <w:r>
              <w:rPr>
                <w:rFonts w:ascii="Arial"/>
                <w:sz w:val="21"/>
              </w:rPr>
              <w:t>(5)</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4"/>
              <w:jc w:val="right"/>
              <w:rPr>
                <w:rFonts w:ascii="Arial" w:hAnsi="Arial" w:cs="Arial" w:eastAsia="Arial" w:hint="default"/>
                <w:sz w:val="21"/>
                <w:szCs w:val="21"/>
              </w:rPr>
            </w:pPr>
            <w:r>
              <w:rPr>
                <w:rFonts w:ascii="Arial"/>
                <w:spacing w:val="-1"/>
                <w:w w:val="95"/>
                <w:sz w:val="21"/>
              </w:rPr>
              <w:t>38,000</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61" w:right="0"/>
              <w:jc w:val="left"/>
              <w:rPr>
                <w:rFonts w:ascii="Arial" w:hAnsi="Arial" w:cs="Arial" w:eastAsia="Arial" w:hint="default"/>
                <w:sz w:val="21"/>
                <w:szCs w:val="21"/>
              </w:rPr>
            </w:pPr>
            <w:r>
              <w:rPr>
                <w:rFonts w:ascii="Arial"/>
                <w:sz w:val="21"/>
              </w:rPr>
              <w:t>23,000</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349" w:val="left" w:leader="none"/>
              </w:tabs>
              <w:spacing w:line="240" w:lineRule="auto" w:before="97"/>
              <w:ind w:right="56"/>
              <w:jc w:val="right"/>
              <w:rPr>
                <w:rFonts w:ascii="Arial" w:hAnsi="Arial" w:cs="Arial" w:eastAsia="Arial" w:hint="default"/>
                <w:sz w:val="21"/>
                <w:szCs w:val="21"/>
              </w:rPr>
            </w:pPr>
            <w:r>
              <w:rPr>
                <w:rFonts w:ascii="Arial"/>
                <w:spacing w:val="-1"/>
                <w:sz w:val="21"/>
              </w:rPr>
              <w:t>15,000</w:t>
              <w:tab/>
            </w:r>
            <w:r>
              <w:rPr>
                <w:rFonts w:ascii="Arial"/>
                <w:spacing w:val="-1"/>
                <w:w w:val="95"/>
                <w:sz w:val="21"/>
              </w:rPr>
              <w:t>65.2%</w:t>
            </w:r>
            <w:r>
              <w:rPr>
                <w:rFonts w:ascii="Arial"/>
                <w:sz w:val="21"/>
              </w:rPr>
            </w:r>
          </w:p>
        </w:tc>
      </w:tr>
      <w:tr>
        <w:trPr>
          <w:trHeight w:val="42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center"/>
              <w:rPr>
                <w:rFonts w:ascii="Arial" w:hAnsi="Arial" w:cs="Arial" w:eastAsia="Arial" w:hint="default"/>
                <w:sz w:val="21"/>
                <w:szCs w:val="21"/>
              </w:rPr>
            </w:pPr>
            <w:r>
              <w:rPr>
                <w:rFonts w:ascii="Arial"/>
                <w:sz w:val="21"/>
              </w:rPr>
              <w:t>(6)</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4"/>
              <w:jc w:val="right"/>
              <w:rPr>
                <w:rFonts w:ascii="Arial" w:hAnsi="Arial" w:cs="Arial" w:eastAsia="Arial" w:hint="default"/>
                <w:sz w:val="21"/>
                <w:szCs w:val="21"/>
              </w:rPr>
            </w:pPr>
            <w:r>
              <w:rPr>
                <w:rFonts w:ascii="Arial"/>
                <w:spacing w:val="-1"/>
                <w:w w:val="95"/>
                <w:sz w:val="21"/>
              </w:rPr>
              <w:t>91,139</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61" w:right="0"/>
              <w:jc w:val="left"/>
              <w:rPr>
                <w:rFonts w:ascii="Arial" w:hAnsi="Arial" w:cs="Arial" w:eastAsia="Arial" w:hint="default"/>
                <w:sz w:val="21"/>
                <w:szCs w:val="21"/>
              </w:rPr>
            </w:pPr>
            <w:r>
              <w:rPr>
                <w:rFonts w:ascii="Arial"/>
                <w:sz w:val="21"/>
              </w:rPr>
              <w:t>93,689</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370" w:val="left" w:leader="none"/>
              </w:tabs>
              <w:spacing w:line="240" w:lineRule="auto" w:before="96"/>
              <w:ind w:right="55"/>
              <w:jc w:val="right"/>
              <w:rPr>
                <w:rFonts w:ascii="Arial" w:hAnsi="Arial" w:cs="Arial" w:eastAsia="Arial" w:hint="default"/>
                <w:sz w:val="21"/>
                <w:szCs w:val="21"/>
              </w:rPr>
            </w:pPr>
            <w:r>
              <w:rPr>
                <w:rFonts w:ascii="Arial"/>
                <w:spacing w:val="-1"/>
                <w:sz w:val="21"/>
              </w:rPr>
              <w:t>(2,550)</w:t>
              <w:tab/>
            </w:r>
            <w:r>
              <w:rPr>
                <w:rFonts w:ascii="Arial"/>
                <w:spacing w:val="-1"/>
                <w:w w:val="95"/>
                <w:sz w:val="21"/>
              </w:rPr>
              <w:t>-2.7%</w:t>
            </w:r>
            <w:r>
              <w:rPr>
                <w:rFonts w:ascii="Arial"/>
                <w:sz w:val="21"/>
              </w:rPr>
            </w:r>
          </w:p>
        </w:tc>
      </w:tr>
      <w:tr>
        <w:trPr>
          <w:trHeight w:val="42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Arial" w:hAnsi="Arial" w:cs="Arial" w:eastAsia="Arial" w:hint="default"/>
                <w:sz w:val="21"/>
                <w:szCs w:val="21"/>
              </w:rPr>
            </w:pPr>
            <w:r>
              <w:rPr>
                <w:rFonts w:ascii="Arial"/>
                <w:sz w:val="21"/>
              </w:rPr>
              <w:t>(7)</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4"/>
              <w:jc w:val="right"/>
              <w:rPr>
                <w:rFonts w:ascii="Arial" w:hAnsi="Arial" w:cs="Arial" w:eastAsia="Arial" w:hint="default"/>
                <w:sz w:val="21"/>
                <w:szCs w:val="21"/>
              </w:rPr>
            </w:pPr>
            <w:r>
              <w:rPr>
                <w:rFonts w:ascii="Arial"/>
                <w:spacing w:val="-1"/>
                <w:w w:val="95"/>
                <w:sz w:val="21"/>
              </w:rPr>
              <w:t>36,621</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61" w:right="0"/>
              <w:jc w:val="left"/>
              <w:rPr>
                <w:rFonts w:ascii="Arial" w:hAnsi="Arial" w:cs="Arial" w:eastAsia="Arial" w:hint="default"/>
                <w:sz w:val="21"/>
                <w:szCs w:val="21"/>
              </w:rPr>
            </w:pPr>
            <w:r>
              <w:rPr>
                <w:rFonts w:ascii="Arial"/>
                <w:sz w:val="21"/>
              </w:rPr>
              <w:t>29,972</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254" w:val="left" w:leader="none"/>
              </w:tabs>
              <w:spacing w:line="240" w:lineRule="auto" w:before="97"/>
              <w:ind w:right="56"/>
              <w:jc w:val="right"/>
              <w:rPr>
                <w:rFonts w:ascii="Arial" w:hAnsi="Arial" w:cs="Arial" w:eastAsia="Arial" w:hint="default"/>
                <w:sz w:val="21"/>
                <w:szCs w:val="21"/>
              </w:rPr>
            </w:pPr>
            <w:r>
              <w:rPr>
                <w:rFonts w:ascii="Arial"/>
                <w:spacing w:val="-1"/>
                <w:sz w:val="21"/>
              </w:rPr>
              <w:t>6,649</w:t>
              <w:tab/>
            </w:r>
            <w:r>
              <w:rPr>
                <w:rFonts w:ascii="Arial"/>
                <w:spacing w:val="-1"/>
                <w:w w:val="95"/>
                <w:sz w:val="21"/>
              </w:rPr>
              <w:t>22.2%</w:t>
            </w:r>
            <w:r>
              <w:rPr>
                <w:rFonts w:ascii="Arial"/>
                <w:sz w:val="21"/>
              </w:rPr>
            </w:r>
          </w:p>
        </w:tc>
      </w:tr>
      <w:tr>
        <w:trPr>
          <w:trHeight w:val="42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center"/>
              <w:rPr>
                <w:rFonts w:ascii="Arial" w:hAnsi="Arial" w:cs="Arial" w:eastAsia="Arial" w:hint="default"/>
                <w:sz w:val="21"/>
                <w:szCs w:val="21"/>
              </w:rPr>
            </w:pPr>
            <w:r>
              <w:rPr>
                <w:rFonts w:ascii="Arial"/>
                <w:sz w:val="21"/>
              </w:rPr>
              <w:t>(8)</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4"/>
              <w:jc w:val="right"/>
              <w:rPr>
                <w:rFonts w:ascii="Arial" w:hAnsi="Arial" w:cs="Arial" w:eastAsia="Arial" w:hint="default"/>
                <w:sz w:val="21"/>
                <w:szCs w:val="21"/>
              </w:rPr>
            </w:pPr>
            <w:r>
              <w:rPr>
                <w:rFonts w:ascii="Arial"/>
                <w:spacing w:val="-1"/>
                <w:w w:val="95"/>
                <w:sz w:val="21"/>
              </w:rPr>
              <w:t>33,118</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61" w:right="0"/>
              <w:jc w:val="left"/>
              <w:rPr>
                <w:rFonts w:ascii="Arial" w:hAnsi="Arial" w:cs="Arial" w:eastAsia="Arial" w:hint="default"/>
                <w:sz w:val="21"/>
                <w:szCs w:val="21"/>
              </w:rPr>
            </w:pPr>
            <w:r>
              <w:rPr>
                <w:rFonts w:ascii="Arial"/>
                <w:sz w:val="21"/>
              </w:rPr>
              <w:t>33,558</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196" w:val="left" w:leader="none"/>
              </w:tabs>
              <w:spacing w:line="240" w:lineRule="auto" w:before="96"/>
              <w:ind w:right="55"/>
              <w:jc w:val="right"/>
              <w:rPr>
                <w:rFonts w:ascii="Arial" w:hAnsi="Arial" w:cs="Arial" w:eastAsia="Arial" w:hint="default"/>
                <w:sz w:val="21"/>
                <w:szCs w:val="21"/>
              </w:rPr>
            </w:pPr>
            <w:r>
              <w:rPr>
                <w:rFonts w:ascii="Arial"/>
                <w:spacing w:val="-1"/>
                <w:sz w:val="21"/>
              </w:rPr>
              <w:t>(440)</w:t>
              <w:tab/>
            </w:r>
            <w:r>
              <w:rPr>
                <w:rFonts w:ascii="Arial"/>
                <w:spacing w:val="-1"/>
                <w:w w:val="95"/>
                <w:sz w:val="21"/>
              </w:rPr>
              <w:t>-1.3%</w:t>
            </w:r>
            <w:r>
              <w:rPr>
                <w:rFonts w:ascii="Arial"/>
                <w:sz w:val="21"/>
              </w:rPr>
            </w:r>
          </w:p>
        </w:tc>
      </w:tr>
      <w:tr>
        <w:trPr>
          <w:trHeight w:val="48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Arial" w:hAnsi="Arial" w:cs="Arial" w:eastAsia="Arial" w:hint="default"/>
                <w:sz w:val="21"/>
                <w:szCs w:val="21"/>
              </w:rPr>
            </w:pPr>
            <w:r>
              <w:rPr>
                <w:rFonts w:ascii="Arial"/>
                <w:sz w:val="21"/>
              </w:rPr>
              <w:t>(9)</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4"/>
              <w:jc w:val="right"/>
              <w:rPr>
                <w:rFonts w:ascii="Arial" w:hAnsi="Arial" w:cs="Arial" w:eastAsia="Arial" w:hint="default"/>
                <w:sz w:val="21"/>
                <w:szCs w:val="21"/>
              </w:rPr>
            </w:pPr>
            <w:r>
              <w:rPr>
                <w:rFonts w:ascii="Arial"/>
                <w:spacing w:val="-1"/>
                <w:w w:val="95"/>
                <w:sz w:val="21"/>
              </w:rPr>
              <w:t>27,159</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61" w:right="0"/>
              <w:jc w:val="left"/>
              <w:rPr>
                <w:rFonts w:ascii="Arial" w:hAnsi="Arial" w:cs="Arial" w:eastAsia="Arial" w:hint="default"/>
                <w:sz w:val="21"/>
                <w:szCs w:val="21"/>
              </w:rPr>
            </w:pPr>
            <w:r>
              <w:rPr>
                <w:rFonts w:ascii="Arial"/>
                <w:sz w:val="21"/>
              </w:rPr>
              <w:t>27,860</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196" w:val="left" w:leader="none"/>
              </w:tabs>
              <w:spacing w:line="240" w:lineRule="auto" w:before="97"/>
              <w:ind w:right="55"/>
              <w:jc w:val="right"/>
              <w:rPr>
                <w:rFonts w:ascii="Arial" w:hAnsi="Arial" w:cs="Arial" w:eastAsia="Arial" w:hint="default"/>
                <w:sz w:val="21"/>
                <w:szCs w:val="21"/>
              </w:rPr>
            </w:pPr>
            <w:r>
              <w:rPr>
                <w:rFonts w:ascii="Arial"/>
                <w:spacing w:val="-1"/>
                <w:sz w:val="21"/>
              </w:rPr>
              <w:t>(701)</w:t>
              <w:tab/>
            </w:r>
            <w:r>
              <w:rPr>
                <w:rFonts w:ascii="Arial"/>
                <w:spacing w:val="-1"/>
                <w:w w:val="95"/>
                <w:sz w:val="21"/>
              </w:rPr>
              <w:t>-2.5%</w:t>
            </w:r>
            <w:r>
              <w:rPr>
                <w:rFonts w:ascii="Arial"/>
                <w:sz w:val="21"/>
              </w:rPr>
            </w:r>
          </w:p>
        </w:tc>
      </w:tr>
      <w:tr>
        <w:trPr>
          <w:trHeight w:val="678"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黑体" w:hAnsi="黑体" w:cs="黑体" w:eastAsia="黑体" w:hint="default"/>
                <w:sz w:val="21"/>
                <w:szCs w:val="21"/>
              </w:rPr>
            </w:pPr>
            <w:r>
              <w:rPr>
                <w:rFonts w:ascii="黑体" w:hAnsi="黑体" w:cs="黑体" w:eastAsia="黑体" w:hint="default"/>
                <w:sz w:val="21"/>
                <w:szCs w:val="21"/>
              </w:rPr>
              <w:t>利润表项目</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32"/>
              <w:ind w:left="297" w:right="0"/>
              <w:jc w:val="left"/>
              <w:rPr>
                <w:rFonts w:ascii="宋体" w:hAnsi="宋体" w:cs="宋体" w:eastAsia="宋体" w:hint="default"/>
                <w:sz w:val="21"/>
                <w:szCs w:val="21"/>
              </w:rPr>
            </w:pPr>
            <w:r>
              <w:rPr>
                <w:rFonts w:ascii="宋体" w:hAnsi="宋体" w:cs="宋体" w:eastAsia="宋体" w:hint="default"/>
                <w:sz w:val="21"/>
                <w:szCs w:val="21"/>
              </w:rPr>
              <w:t>差异变动金额及幅度</w:t>
            </w:r>
          </w:p>
        </w:tc>
      </w:tr>
      <w:tr>
        <w:trPr>
          <w:trHeight w:val="287" w:hRule="exact"/>
        </w:trPr>
        <w:tc>
          <w:tcPr>
            <w:tcW w:w="2357" w:type="dxa"/>
            <w:tcBorders>
              <w:top w:val="nil" w:sz="6" w:space="0" w:color="auto"/>
              <w:left w:val="nil" w:sz="6" w:space="0" w:color="auto"/>
              <w:bottom w:val="single" w:sz="6" w:space="0" w:color="000000"/>
              <w:right w:val="nil" w:sz="6" w:space="0" w:color="auto"/>
            </w:tcBorders>
          </w:tcPr>
          <w:p>
            <w:pPr>
              <w:pStyle w:val="TableParagraph"/>
              <w:spacing w:line="247" w:lineRule="exact"/>
              <w:ind w:left="35" w:right="0"/>
              <w:jc w:val="left"/>
              <w:rPr>
                <w:rFonts w:ascii="宋体" w:hAnsi="宋体" w:cs="宋体" w:eastAsia="宋体" w:hint="default"/>
                <w:sz w:val="21"/>
                <w:szCs w:val="21"/>
              </w:rPr>
            </w:pPr>
            <w:r>
              <w:rPr>
                <w:rFonts w:ascii="宋体" w:hAnsi="宋体" w:cs="宋体" w:eastAsia="宋体" w:hint="default"/>
                <w:sz w:val="21"/>
                <w:szCs w:val="21"/>
              </w:rPr>
              <w:t>（单位：人民币百万元）</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single" w:sz="6" w:space="0" w:color="000000"/>
              <w:right w:val="nil" w:sz="6" w:space="0" w:color="auto"/>
            </w:tcBorders>
          </w:tcPr>
          <w:p>
            <w:pPr>
              <w:pStyle w:val="TableParagraph"/>
              <w:spacing w:line="247" w:lineRule="exact"/>
              <w:ind w:left="8"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04" w:type="dxa"/>
            <w:tcBorders>
              <w:top w:val="nil" w:sz="6" w:space="0" w:color="auto"/>
              <w:left w:val="nil" w:sz="6" w:space="0" w:color="auto"/>
              <w:bottom w:val="single" w:sz="6" w:space="0" w:color="000000"/>
              <w:right w:val="nil" w:sz="6" w:space="0" w:color="auto"/>
            </w:tcBorders>
          </w:tcPr>
          <w:p>
            <w:pPr/>
          </w:p>
        </w:tc>
        <w:tc>
          <w:tcPr>
            <w:tcW w:w="1850" w:type="dxa"/>
            <w:tcBorders>
              <w:top w:val="nil" w:sz="6" w:space="0" w:color="auto"/>
              <w:left w:val="nil" w:sz="6" w:space="0" w:color="auto"/>
              <w:bottom w:val="single" w:sz="6" w:space="0" w:color="000000"/>
              <w:right w:val="nil" w:sz="6" w:space="0" w:color="auto"/>
            </w:tcBorders>
          </w:tcPr>
          <w:p>
            <w:pPr>
              <w:pStyle w:val="TableParagraph"/>
              <w:spacing w:line="262" w:lineRule="exact"/>
              <w:ind w:right="42"/>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03" w:type="dxa"/>
            <w:tcBorders>
              <w:top w:val="nil" w:sz="6" w:space="0" w:color="auto"/>
              <w:left w:val="nil" w:sz="6" w:space="0" w:color="auto"/>
              <w:bottom w:val="single" w:sz="6" w:space="0" w:color="000000"/>
              <w:right w:val="nil" w:sz="6" w:space="0" w:color="auto"/>
            </w:tcBorders>
          </w:tcPr>
          <w:p>
            <w:pPr/>
          </w:p>
        </w:tc>
        <w:tc>
          <w:tcPr>
            <w:tcW w:w="1931" w:type="dxa"/>
            <w:tcBorders>
              <w:top w:val="nil" w:sz="6" w:space="0" w:color="auto"/>
              <w:left w:val="nil" w:sz="6" w:space="0" w:color="auto"/>
              <w:bottom w:val="single" w:sz="6" w:space="0" w:color="000000"/>
              <w:right w:val="nil" w:sz="6" w:space="0" w:color="auto"/>
            </w:tcBorders>
          </w:tcPr>
          <w:p>
            <w:pPr>
              <w:pStyle w:val="TableParagraph"/>
              <w:spacing w:line="262" w:lineRule="exact"/>
              <w:ind w:right="116"/>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single" w:sz="6" w:space="0" w:color="000000"/>
              <w:left w:val="nil" w:sz="6" w:space="0" w:color="auto"/>
              <w:bottom w:val="single" w:sz="6" w:space="0" w:color="000000"/>
              <w:right w:val="nil" w:sz="6" w:space="0" w:color="auto"/>
            </w:tcBorders>
          </w:tcPr>
          <w:p>
            <w:pPr>
              <w:pStyle w:val="TableParagraph"/>
              <w:tabs>
                <w:tab w:pos="2157" w:val="left" w:leader="none"/>
              </w:tabs>
              <w:spacing w:line="272" w:lineRule="exact"/>
              <w:ind w:left="338" w:right="0"/>
              <w:jc w:val="left"/>
              <w:rPr>
                <w:rFonts w:ascii="Arial" w:hAnsi="Arial" w:cs="Arial" w:eastAsia="Arial" w:hint="default"/>
                <w:sz w:val="21"/>
                <w:szCs w:val="21"/>
              </w:rPr>
            </w:pPr>
            <w:r>
              <w:rPr>
                <w:rFonts w:ascii="宋体" w:hAnsi="宋体" w:cs="宋体" w:eastAsia="宋体" w:hint="default"/>
                <w:spacing w:val="-1"/>
                <w:position w:val="2"/>
                <w:sz w:val="21"/>
                <w:szCs w:val="21"/>
              </w:rPr>
              <w:t>增加</w:t>
            </w:r>
            <w:r>
              <w:rPr>
                <w:rFonts w:ascii="Arial" w:hAnsi="Arial" w:cs="Arial" w:eastAsia="Arial" w:hint="default"/>
                <w:spacing w:val="-1"/>
                <w:position w:val="2"/>
                <w:sz w:val="21"/>
                <w:szCs w:val="21"/>
              </w:rPr>
              <w:t>(</w:t>
            </w:r>
            <w:r>
              <w:rPr>
                <w:rFonts w:ascii="宋体" w:hAnsi="宋体" w:cs="宋体" w:eastAsia="宋体" w:hint="default"/>
                <w:spacing w:val="-1"/>
                <w:position w:val="2"/>
                <w:sz w:val="21"/>
                <w:szCs w:val="21"/>
              </w:rPr>
              <w:t>减少</w:t>
            </w:r>
            <w:r>
              <w:rPr>
                <w:rFonts w:ascii="Arial" w:hAnsi="Arial" w:cs="Arial" w:eastAsia="Arial" w:hint="default"/>
                <w:spacing w:val="-1"/>
                <w:position w:val="2"/>
                <w:sz w:val="21"/>
                <w:szCs w:val="21"/>
              </w:rPr>
              <w:t>)</w:t>
              <w:tab/>
            </w:r>
            <w:r>
              <w:rPr>
                <w:rFonts w:ascii="Arial" w:hAnsi="Arial" w:cs="Arial" w:eastAsia="Arial" w:hint="default"/>
                <w:sz w:val="21"/>
                <w:szCs w:val="21"/>
              </w:rPr>
              <w:t>%</w:t>
            </w:r>
          </w:p>
        </w:tc>
      </w:tr>
      <w:tr>
        <w:trPr>
          <w:trHeight w:val="621" w:hRule="exact"/>
        </w:trPr>
        <w:tc>
          <w:tcPr>
            <w:tcW w:w="235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6"/>
                <w:szCs w:val="26"/>
              </w:rPr>
            </w:pPr>
          </w:p>
          <w:p>
            <w:pPr>
              <w:pStyle w:val="TableParagraph"/>
              <w:spacing w:line="240" w:lineRule="auto"/>
              <w:ind w:left="6" w:right="0"/>
              <w:jc w:val="center"/>
              <w:rPr>
                <w:rFonts w:ascii="Arial" w:hAnsi="Arial" w:cs="Arial" w:eastAsia="Arial" w:hint="default"/>
                <w:sz w:val="21"/>
                <w:szCs w:val="21"/>
              </w:rPr>
            </w:pPr>
            <w:r>
              <w:rPr>
                <w:rFonts w:ascii="Arial"/>
                <w:sz w:val="21"/>
              </w:rPr>
              <w:t>(10)</w:t>
            </w:r>
          </w:p>
        </w:tc>
        <w:tc>
          <w:tcPr>
            <w:tcW w:w="104" w:type="dxa"/>
            <w:tcBorders>
              <w:top w:val="single" w:sz="6" w:space="0" w:color="000000"/>
              <w:left w:val="nil" w:sz="6" w:space="0" w:color="auto"/>
              <w:bottom w:val="nil" w:sz="6" w:space="0" w:color="auto"/>
              <w:right w:val="nil" w:sz="6" w:space="0" w:color="auto"/>
            </w:tcBorders>
          </w:tcPr>
          <w:p>
            <w:pPr/>
          </w:p>
        </w:tc>
        <w:tc>
          <w:tcPr>
            <w:tcW w:w="1850"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6"/>
                <w:szCs w:val="26"/>
              </w:rPr>
            </w:pPr>
          </w:p>
          <w:p>
            <w:pPr>
              <w:pStyle w:val="TableParagraph"/>
              <w:spacing w:line="240" w:lineRule="auto"/>
              <w:ind w:right="85"/>
              <w:jc w:val="right"/>
              <w:rPr>
                <w:rFonts w:ascii="Arial" w:hAnsi="Arial" w:cs="Arial" w:eastAsia="Arial" w:hint="default"/>
                <w:sz w:val="21"/>
                <w:szCs w:val="21"/>
              </w:rPr>
            </w:pPr>
            <w:r>
              <w:rPr>
                <w:rFonts w:ascii="Arial"/>
                <w:spacing w:val="-1"/>
                <w:sz w:val="21"/>
              </w:rPr>
              <w:t>215,519</w:t>
            </w:r>
          </w:p>
        </w:tc>
        <w:tc>
          <w:tcPr>
            <w:tcW w:w="103" w:type="dxa"/>
            <w:tcBorders>
              <w:top w:val="single" w:sz="6" w:space="0" w:color="000000"/>
              <w:left w:val="nil" w:sz="6" w:space="0" w:color="auto"/>
              <w:bottom w:val="nil" w:sz="6" w:space="0" w:color="auto"/>
              <w:right w:val="nil" w:sz="6" w:space="0" w:color="auto"/>
            </w:tcBorders>
          </w:tcPr>
          <w:p>
            <w:pPr/>
          </w:p>
        </w:tc>
        <w:tc>
          <w:tcPr>
            <w:tcW w:w="1931" w:type="dxa"/>
            <w:tcBorders>
              <w:top w:val="single" w:sz="6" w:space="0" w:color="000000"/>
              <w:left w:val="nil" w:sz="6" w:space="0" w:color="auto"/>
              <w:bottom w:val="nil" w:sz="6" w:space="0" w:color="auto"/>
              <w:right w:val="nil" w:sz="6" w:space="0" w:color="auto"/>
            </w:tcBorders>
          </w:tcPr>
          <w:p>
            <w:pPr>
              <w:pStyle w:val="TableParagraph"/>
              <w:spacing w:line="241" w:lineRule="exact"/>
              <w:ind w:left="880" w:right="0"/>
              <w:jc w:val="center"/>
              <w:rPr>
                <w:rFonts w:ascii="宋体" w:hAnsi="宋体" w:cs="宋体" w:eastAsia="宋体" w:hint="default"/>
                <w:sz w:val="21"/>
                <w:szCs w:val="21"/>
              </w:rPr>
            </w:pPr>
            <w:r>
              <w:rPr>
                <w:rFonts w:ascii="宋体" w:hAnsi="宋体" w:cs="宋体" w:eastAsia="宋体" w:hint="default"/>
                <w:sz w:val="21"/>
                <w:szCs w:val="21"/>
              </w:rPr>
              <w:t>（经重列）</w:t>
            </w:r>
          </w:p>
          <w:p>
            <w:pPr>
              <w:pStyle w:val="TableParagraph"/>
              <w:spacing w:line="240" w:lineRule="auto" w:before="62"/>
              <w:ind w:left="888" w:right="0"/>
              <w:jc w:val="center"/>
              <w:rPr>
                <w:rFonts w:ascii="Arial" w:hAnsi="Arial" w:cs="Arial" w:eastAsia="Arial" w:hint="default"/>
                <w:sz w:val="21"/>
                <w:szCs w:val="21"/>
              </w:rPr>
            </w:pPr>
            <w:r>
              <w:rPr>
                <w:rFonts w:ascii="Arial"/>
                <w:sz w:val="21"/>
              </w:rPr>
              <w:t>176,243</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single" w:sz="6" w:space="0" w:color="000000"/>
              <w:left w:val="nil" w:sz="6" w:space="0" w:color="auto"/>
              <w:bottom w:val="nil" w:sz="6" w:space="0" w:color="auto"/>
              <w:right w:val="nil" w:sz="6" w:space="0" w:color="auto"/>
            </w:tcBorders>
          </w:tcPr>
          <w:p>
            <w:pPr>
              <w:pStyle w:val="TableParagraph"/>
              <w:spacing w:line="20" w:lineRule="exact"/>
              <w:ind w:left="20" w:right="0"/>
              <w:jc w:val="left"/>
              <w:rPr>
                <w:rFonts w:ascii="Arial" w:hAnsi="Arial" w:cs="Arial" w:eastAsia="Arial" w:hint="default"/>
                <w:sz w:val="2"/>
                <w:szCs w:val="2"/>
              </w:rPr>
            </w:pPr>
            <w:r>
              <w:rPr>
                <w:rFonts w:ascii="Arial" w:hAnsi="Arial" w:cs="Arial" w:eastAsia="Arial" w:hint="default"/>
                <w:sz w:val="2"/>
                <w:szCs w:val="2"/>
              </w:rPr>
              <w:pict>
                <v:group style="width:68.25pt;height:.75pt;mso-position-horizontal-relative:char;mso-position-vertical-relative:line" coordorigin="0,0" coordsize="1365,15">
                  <v:group style="position:absolute;left:7;top:7;width:1350;height:2" coordorigin="7,7" coordsize="1350,2">
                    <v:shape style="position:absolute;left:7;top:7;width:1350;height:2" coordorigin="7,7" coordsize="1350,0" path="m7,7l1357,7e" filled="false" stroked="true" strokeweight=".72pt" strokecolor="#000000">
                      <v:path arrowok="t"/>
                    </v:shape>
                  </v:group>
                </v:group>
              </w:pict>
            </w:r>
            <w:r>
              <w:rPr>
                <w:rFonts w:ascii="Arial" w:hAnsi="Arial" w:cs="Arial" w:eastAsia="Arial" w:hint="default"/>
                <w:sz w:val="2"/>
                <w:szCs w:val="2"/>
              </w:rPr>
            </w:r>
          </w:p>
          <w:p>
            <w:pPr>
              <w:pStyle w:val="TableParagraph"/>
              <w:spacing w:line="240" w:lineRule="auto" w:before="10"/>
              <w:ind w:right="0"/>
              <w:jc w:val="left"/>
              <w:rPr>
                <w:rFonts w:ascii="Arial" w:hAnsi="Arial" w:cs="Arial" w:eastAsia="Arial" w:hint="default"/>
                <w:sz w:val="25"/>
                <w:szCs w:val="25"/>
              </w:rPr>
            </w:pPr>
          </w:p>
          <w:p>
            <w:pPr>
              <w:pStyle w:val="TableParagraph"/>
              <w:tabs>
                <w:tab w:pos="1315" w:val="left" w:leader="none"/>
              </w:tabs>
              <w:spacing w:line="240" w:lineRule="auto"/>
              <w:ind w:right="0"/>
              <w:jc w:val="right"/>
              <w:rPr>
                <w:rFonts w:ascii="Arial" w:hAnsi="Arial" w:cs="Arial" w:eastAsia="Arial" w:hint="default"/>
                <w:sz w:val="21"/>
                <w:szCs w:val="21"/>
              </w:rPr>
            </w:pPr>
            <w:r>
              <w:rPr>
                <w:rFonts w:ascii="Arial"/>
                <w:spacing w:val="-1"/>
                <w:sz w:val="21"/>
              </w:rPr>
              <w:t>39,276</w:t>
              <w:tab/>
            </w:r>
            <w:r>
              <w:rPr>
                <w:rFonts w:ascii="Arial"/>
                <w:spacing w:val="-1"/>
                <w:w w:val="95"/>
                <w:sz w:val="21"/>
              </w:rPr>
              <w:t>22.3%</w:t>
            </w:r>
            <w:r>
              <w:rPr>
                <w:rFonts w:ascii="Arial"/>
                <w:sz w:val="21"/>
              </w:rPr>
            </w:r>
          </w:p>
        </w:tc>
      </w:tr>
      <w:tr>
        <w:trPr>
          <w:trHeight w:val="385"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(11)</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(154,414)</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9"/>
              <w:jc w:val="right"/>
              <w:rPr>
                <w:rFonts w:ascii="Arial" w:hAnsi="Arial" w:cs="Arial" w:eastAsia="Arial" w:hint="default"/>
                <w:sz w:val="21"/>
                <w:szCs w:val="21"/>
              </w:rPr>
            </w:pPr>
            <w:r>
              <w:rPr>
                <w:rFonts w:ascii="Arial"/>
                <w:spacing w:val="-1"/>
                <w:sz w:val="21"/>
              </w:rPr>
              <w:t>(123,763)</w:t>
            </w:r>
            <w:r>
              <w:rPr>
                <w:rFonts w:ascii="Arial"/>
                <w:sz w:val="21"/>
              </w:rPr>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385" w:val="left" w:leader="none"/>
              </w:tabs>
              <w:spacing w:line="240" w:lineRule="auto" w:before="74"/>
              <w:ind w:right="0"/>
              <w:jc w:val="right"/>
              <w:rPr>
                <w:rFonts w:ascii="Arial" w:hAnsi="Arial" w:cs="Arial" w:eastAsia="Arial" w:hint="default"/>
                <w:sz w:val="21"/>
                <w:szCs w:val="21"/>
              </w:rPr>
            </w:pPr>
            <w:r>
              <w:rPr>
                <w:rFonts w:ascii="Arial"/>
                <w:spacing w:val="-1"/>
                <w:sz w:val="21"/>
              </w:rPr>
              <w:t>(30,651)</w:t>
              <w:tab/>
            </w:r>
            <w:r>
              <w:rPr>
                <w:rFonts w:ascii="Arial"/>
                <w:spacing w:val="-1"/>
                <w:w w:val="95"/>
                <w:sz w:val="21"/>
              </w:rPr>
              <w:t>24.8%</w:t>
            </w:r>
            <w:r>
              <w:rPr>
                <w:rFonts w:ascii="Arial"/>
                <w:sz w:val="21"/>
              </w:rPr>
            </w:r>
          </w:p>
        </w:tc>
      </w:tr>
      <w:tr>
        <w:trPr>
          <w:trHeight w:val="400"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 w:right="0"/>
              <w:jc w:val="center"/>
              <w:rPr>
                <w:rFonts w:ascii="Arial" w:hAnsi="Arial" w:cs="Arial" w:eastAsia="Arial" w:hint="default"/>
                <w:sz w:val="21"/>
                <w:szCs w:val="21"/>
              </w:rPr>
            </w:pPr>
            <w:r>
              <w:rPr>
                <w:rFonts w:ascii="Arial"/>
                <w:sz w:val="21"/>
              </w:rPr>
              <w:t>(10)</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
              <w:jc w:val="right"/>
              <w:rPr>
                <w:rFonts w:ascii="Arial" w:hAnsi="Arial" w:cs="Arial" w:eastAsia="Arial" w:hint="default"/>
                <w:sz w:val="21"/>
                <w:szCs w:val="21"/>
              </w:rPr>
            </w:pPr>
            <w:r>
              <w:rPr>
                <w:rFonts w:ascii="Arial"/>
                <w:spacing w:val="-1"/>
                <w:w w:val="95"/>
                <w:sz w:val="21"/>
              </w:rPr>
              <w:t>(6,352)</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9"/>
              <w:jc w:val="right"/>
              <w:rPr>
                <w:rFonts w:ascii="Arial" w:hAnsi="Arial" w:cs="Arial" w:eastAsia="Arial" w:hint="default"/>
                <w:sz w:val="21"/>
                <w:szCs w:val="21"/>
              </w:rPr>
            </w:pPr>
            <w:r>
              <w:rPr>
                <w:rFonts w:ascii="Arial"/>
                <w:spacing w:val="-1"/>
                <w:w w:val="95"/>
                <w:sz w:val="21"/>
              </w:rPr>
              <w:t>(4,873)</w:t>
            </w:r>
            <w:r>
              <w:rPr>
                <w:rFonts w:ascii="Arial"/>
                <w:sz w:val="21"/>
              </w:rPr>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268" w:val="left" w:leader="none"/>
              </w:tabs>
              <w:spacing w:line="240" w:lineRule="auto" w:before="75"/>
              <w:ind w:right="1"/>
              <w:jc w:val="right"/>
              <w:rPr>
                <w:rFonts w:ascii="Arial" w:hAnsi="Arial" w:cs="Arial" w:eastAsia="Arial" w:hint="default"/>
                <w:sz w:val="21"/>
                <w:szCs w:val="21"/>
              </w:rPr>
            </w:pPr>
            <w:r>
              <w:rPr>
                <w:rFonts w:ascii="Arial"/>
                <w:spacing w:val="-1"/>
                <w:sz w:val="21"/>
              </w:rPr>
              <w:t>(1,479)</w:t>
              <w:tab/>
            </w:r>
            <w:r>
              <w:rPr>
                <w:rFonts w:ascii="Arial"/>
                <w:spacing w:val="-1"/>
                <w:w w:val="95"/>
                <w:sz w:val="21"/>
              </w:rPr>
              <w:t>30.4%</w:t>
            </w:r>
            <w:r>
              <w:rPr>
                <w:rFonts w:ascii="Arial"/>
                <w:sz w:val="21"/>
              </w:rPr>
            </w:r>
          </w:p>
        </w:tc>
      </w:tr>
      <w:tr>
        <w:trPr>
          <w:trHeight w:val="414"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 w:right="0"/>
              <w:jc w:val="center"/>
              <w:rPr>
                <w:rFonts w:ascii="Arial" w:hAnsi="Arial" w:cs="Arial" w:eastAsia="Arial" w:hint="default"/>
                <w:sz w:val="21"/>
                <w:szCs w:val="21"/>
              </w:rPr>
            </w:pPr>
            <w:r>
              <w:rPr>
                <w:rFonts w:ascii="Arial"/>
                <w:sz w:val="21"/>
              </w:rPr>
              <w:t>(10)</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
              <w:jc w:val="right"/>
              <w:rPr>
                <w:rFonts w:ascii="Arial" w:hAnsi="Arial" w:cs="Arial" w:eastAsia="Arial" w:hint="default"/>
                <w:sz w:val="21"/>
                <w:szCs w:val="21"/>
              </w:rPr>
            </w:pPr>
            <w:r>
              <w:rPr>
                <w:rFonts w:ascii="Arial"/>
                <w:spacing w:val="-1"/>
                <w:sz w:val="21"/>
              </w:rPr>
              <w:t>(28,751)</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
              <w:jc w:val="right"/>
              <w:rPr>
                <w:rFonts w:ascii="Arial" w:hAnsi="Arial" w:cs="Arial" w:eastAsia="Arial" w:hint="default"/>
                <w:sz w:val="21"/>
                <w:szCs w:val="21"/>
              </w:rPr>
            </w:pPr>
            <w:r>
              <w:rPr>
                <w:rFonts w:ascii="Arial"/>
                <w:spacing w:val="-1"/>
                <w:sz w:val="21"/>
              </w:rPr>
              <w:t>(23,735)</w:t>
            </w:r>
            <w:r>
              <w:rPr>
                <w:rFonts w:ascii="Arial"/>
                <w:sz w:val="21"/>
              </w:rPr>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267" w:val="left" w:leader="none"/>
              </w:tabs>
              <w:spacing w:line="240" w:lineRule="auto" w:before="89"/>
              <w:ind w:right="0"/>
              <w:jc w:val="right"/>
              <w:rPr>
                <w:rFonts w:ascii="Arial" w:hAnsi="Arial" w:cs="Arial" w:eastAsia="Arial" w:hint="default"/>
                <w:sz w:val="21"/>
                <w:szCs w:val="21"/>
              </w:rPr>
            </w:pPr>
            <w:r>
              <w:rPr>
                <w:rFonts w:ascii="Arial"/>
                <w:spacing w:val="-1"/>
                <w:sz w:val="21"/>
              </w:rPr>
              <w:t>(5,016)</w:t>
              <w:tab/>
            </w:r>
            <w:r>
              <w:rPr>
                <w:rFonts w:ascii="Arial"/>
                <w:spacing w:val="-1"/>
                <w:w w:val="95"/>
                <w:sz w:val="21"/>
              </w:rPr>
              <w:t>21.1%</w:t>
            </w:r>
            <w:r>
              <w:rPr>
                <w:rFonts w:ascii="Arial"/>
                <w:sz w:val="21"/>
              </w:rPr>
            </w:r>
          </w:p>
        </w:tc>
      </w:tr>
      <w:tr>
        <w:trPr>
          <w:trHeight w:val="415"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 w:right="0"/>
              <w:jc w:val="center"/>
              <w:rPr>
                <w:rFonts w:ascii="Arial" w:hAnsi="Arial" w:cs="Arial" w:eastAsia="Arial" w:hint="default"/>
                <w:sz w:val="21"/>
                <w:szCs w:val="21"/>
              </w:rPr>
            </w:pPr>
            <w:r>
              <w:rPr>
                <w:rFonts w:ascii="Arial"/>
                <w:sz w:val="21"/>
              </w:rPr>
              <w:t>(12)</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
              <w:jc w:val="right"/>
              <w:rPr>
                <w:rFonts w:ascii="Arial" w:hAnsi="Arial" w:cs="Arial" w:eastAsia="Arial" w:hint="default"/>
                <w:sz w:val="21"/>
                <w:szCs w:val="21"/>
              </w:rPr>
            </w:pPr>
            <w:r>
              <w:rPr>
                <w:rFonts w:ascii="Arial"/>
                <w:spacing w:val="-1"/>
                <w:sz w:val="21"/>
              </w:rPr>
              <w:t>(18,200)</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
              <w:jc w:val="right"/>
              <w:rPr>
                <w:rFonts w:ascii="Arial" w:hAnsi="Arial" w:cs="Arial" w:eastAsia="Arial" w:hint="default"/>
                <w:sz w:val="21"/>
                <w:szCs w:val="21"/>
              </w:rPr>
            </w:pPr>
            <w:r>
              <w:rPr>
                <w:rFonts w:ascii="Arial"/>
                <w:spacing w:val="-1"/>
                <w:sz w:val="21"/>
              </w:rPr>
              <w:t>(16,123)</w:t>
            </w:r>
            <w:r>
              <w:rPr>
                <w:rFonts w:ascii="Arial"/>
                <w:sz w:val="21"/>
              </w:rPr>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267" w:val="left" w:leader="none"/>
              </w:tabs>
              <w:spacing w:line="240" w:lineRule="auto" w:before="89"/>
              <w:ind w:right="0"/>
              <w:jc w:val="right"/>
              <w:rPr>
                <w:rFonts w:ascii="Arial" w:hAnsi="Arial" w:cs="Arial" w:eastAsia="Arial" w:hint="default"/>
                <w:sz w:val="21"/>
                <w:szCs w:val="21"/>
              </w:rPr>
            </w:pPr>
            <w:r>
              <w:rPr>
                <w:rFonts w:ascii="Arial"/>
                <w:spacing w:val="-1"/>
                <w:sz w:val="21"/>
              </w:rPr>
              <w:t>(2,077)</w:t>
              <w:tab/>
            </w:r>
            <w:r>
              <w:rPr>
                <w:rFonts w:ascii="Arial"/>
                <w:spacing w:val="-1"/>
                <w:w w:val="95"/>
                <w:sz w:val="21"/>
              </w:rPr>
              <w:t>12.9%</w:t>
            </w:r>
            <w:r>
              <w:rPr>
                <w:rFonts w:ascii="Arial"/>
                <w:sz w:val="21"/>
              </w:rPr>
            </w:r>
          </w:p>
        </w:tc>
      </w:tr>
      <w:tr>
        <w:trPr>
          <w:trHeight w:val="414"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 w:right="0"/>
              <w:jc w:val="center"/>
              <w:rPr>
                <w:rFonts w:ascii="Arial" w:hAnsi="Arial" w:cs="Arial" w:eastAsia="Arial" w:hint="default"/>
                <w:sz w:val="21"/>
                <w:szCs w:val="21"/>
              </w:rPr>
            </w:pPr>
            <w:r>
              <w:rPr>
                <w:rFonts w:ascii="Arial"/>
                <w:sz w:val="21"/>
              </w:rPr>
              <w:t>(13)</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5"/>
              <w:jc w:val="right"/>
              <w:rPr>
                <w:rFonts w:ascii="Arial" w:hAnsi="Arial" w:cs="Arial" w:eastAsia="Arial" w:hint="default"/>
                <w:sz w:val="21"/>
                <w:szCs w:val="21"/>
              </w:rPr>
            </w:pPr>
            <w:r>
              <w:rPr>
                <w:rFonts w:ascii="Arial"/>
                <w:spacing w:val="-1"/>
                <w:w w:val="95"/>
                <w:sz w:val="21"/>
              </w:rPr>
              <w:t>866</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9"/>
              <w:jc w:val="right"/>
              <w:rPr>
                <w:rFonts w:ascii="Arial" w:hAnsi="Arial" w:cs="Arial" w:eastAsia="Arial" w:hint="default"/>
                <w:sz w:val="21"/>
                <w:szCs w:val="21"/>
              </w:rPr>
            </w:pPr>
            <w:r>
              <w:rPr>
                <w:rFonts w:ascii="Arial"/>
                <w:spacing w:val="-1"/>
                <w:w w:val="95"/>
                <w:sz w:val="21"/>
              </w:rPr>
              <w:t>485</w:t>
            </w:r>
            <w:r>
              <w:rPr>
                <w:rFonts w:ascii="Arial"/>
                <w:sz w:val="21"/>
              </w:rPr>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88"/>
              <w:ind w:right="1"/>
              <w:jc w:val="right"/>
              <w:rPr>
                <w:rFonts w:ascii="Arial" w:hAnsi="Arial" w:cs="Arial" w:eastAsia="Arial" w:hint="default"/>
                <w:sz w:val="21"/>
                <w:szCs w:val="21"/>
              </w:rPr>
            </w:pPr>
            <w:r>
              <w:rPr>
                <w:rFonts w:ascii="Arial"/>
                <w:spacing w:val="-1"/>
                <w:sz w:val="21"/>
              </w:rPr>
              <w:t>381</w:t>
              <w:tab/>
            </w:r>
            <w:r>
              <w:rPr>
                <w:rFonts w:ascii="Arial"/>
                <w:spacing w:val="-1"/>
                <w:w w:val="95"/>
                <w:sz w:val="21"/>
              </w:rPr>
              <w:t>78.6%</w:t>
            </w:r>
            <w:r>
              <w:rPr>
                <w:rFonts w:ascii="Arial"/>
                <w:sz w:val="21"/>
              </w:rPr>
            </w:r>
          </w:p>
        </w:tc>
      </w:tr>
      <w:tr>
        <w:trPr>
          <w:trHeight w:val="415"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 w:right="0"/>
              <w:jc w:val="center"/>
              <w:rPr>
                <w:rFonts w:ascii="Arial" w:hAnsi="Arial" w:cs="Arial" w:eastAsia="Arial" w:hint="default"/>
                <w:sz w:val="21"/>
                <w:szCs w:val="21"/>
              </w:rPr>
            </w:pPr>
            <w:r>
              <w:rPr>
                <w:rFonts w:ascii="Arial"/>
                <w:sz w:val="21"/>
              </w:rPr>
              <w:t>(14)</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5"/>
              <w:jc w:val="right"/>
              <w:rPr>
                <w:rFonts w:ascii="Arial" w:hAnsi="Arial" w:cs="Arial" w:eastAsia="Arial" w:hint="default"/>
                <w:sz w:val="21"/>
                <w:szCs w:val="21"/>
              </w:rPr>
            </w:pPr>
            <w:r>
              <w:rPr>
                <w:rFonts w:ascii="Arial"/>
                <w:spacing w:val="-1"/>
                <w:w w:val="95"/>
                <w:sz w:val="21"/>
              </w:rPr>
              <w:t>1,874</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0"/>
              <w:jc w:val="right"/>
              <w:rPr>
                <w:rFonts w:ascii="Arial" w:hAnsi="Arial" w:cs="Arial" w:eastAsia="Arial" w:hint="default"/>
                <w:sz w:val="21"/>
                <w:szCs w:val="21"/>
              </w:rPr>
            </w:pPr>
            <w:r>
              <w:rPr>
                <w:rFonts w:ascii="Arial"/>
                <w:spacing w:val="-1"/>
                <w:w w:val="95"/>
                <w:sz w:val="21"/>
              </w:rPr>
              <w:t>1,060</w:t>
            </w:r>
            <w:r>
              <w:rPr>
                <w:rFonts w:ascii="Arial"/>
                <w:sz w:val="21"/>
              </w:rPr>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90"/>
              <w:ind w:right="1"/>
              <w:jc w:val="right"/>
              <w:rPr>
                <w:rFonts w:ascii="Arial" w:hAnsi="Arial" w:cs="Arial" w:eastAsia="Arial" w:hint="default"/>
                <w:sz w:val="21"/>
                <w:szCs w:val="21"/>
              </w:rPr>
            </w:pPr>
            <w:r>
              <w:rPr>
                <w:rFonts w:ascii="Arial"/>
                <w:spacing w:val="-1"/>
                <w:sz w:val="21"/>
              </w:rPr>
              <w:t>814</w:t>
              <w:tab/>
            </w:r>
            <w:r>
              <w:rPr>
                <w:rFonts w:ascii="Arial"/>
                <w:spacing w:val="-1"/>
                <w:w w:val="95"/>
                <w:sz w:val="21"/>
              </w:rPr>
              <w:t>76.8%</w:t>
            </w:r>
            <w:r>
              <w:rPr>
                <w:rFonts w:ascii="Arial"/>
                <w:sz w:val="21"/>
              </w:rPr>
            </w:r>
          </w:p>
        </w:tc>
      </w:tr>
      <w:tr>
        <w:trPr>
          <w:trHeight w:val="415"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 w:right="0"/>
              <w:jc w:val="center"/>
              <w:rPr>
                <w:rFonts w:ascii="Arial" w:hAnsi="Arial" w:cs="Arial" w:eastAsia="Arial" w:hint="default"/>
                <w:sz w:val="21"/>
                <w:szCs w:val="21"/>
              </w:rPr>
            </w:pPr>
            <w:r>
              <w:rPr>
                <w:rFonts w:ascii="Arial"/>
                <w:sz w:val="21"/>
              </w:rPr>
              <w:t>(15)</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
              <w:jc w:val="right"/>
              <w:rPr>
                <w:rFonts w:ascii="Arial" w:hAnsi="Arial" w:cs="Arial" w:eastAsia="Arial" w:hint="default"/>
                <w:sz w:val="21"/>
                <w:szCs w:val="21"/>
              </w:rPr>
            </w:pPr>
            <w:r>
              <w:rPr>
                <w:rFonts w:ascii="Arial"/>
                <w:spacing w:val="-1"/>
                <w:sz w:val="21"/>
              </w:rPr>
              <w:t>(865)</w:t>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
              <w:jc w:val="right"/>
              <w:rPr>
                <w:rFonts w:ascii="Arial" w:hAnsi="Arial" w:cs="Arial" w:eastAsia="Arial" w:hint="default"/>
                <w:sz w:val="21"/>
                <w:szCs w:val="21"/>
              </w:rPr>
            </w:pPr>
            <w:r>
              <w:rPr>
                <w:rFonts w:ascii="Arial"/>
                <w:spacing w:val="-1"/>
                <w:sz w:val="21"/>
              </w:rPr>
              <w:t>(330)</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976" w:val="left" w:leader="none"/>
              </w:tabs>
              <w:spacing w:line="240" w:lineRule="auto" w:before="89"/>
              <w:ind w:right="0"/>
              <w:jc w:val="right"/>
              <w:rPr>
                <w:rFonts w:ascii="Arial" w:hAnsi="Arial" w:cs="Arial" w:eastAsia="Arial" w:hint="default"/>
                <w:sz w:val="21"/>
                <w:szCs w:val="21"/>
              </w:rPr>
            </w:pPr>
            <w:r>
              <w:rPr>
                <w:rFonts w:ascii="Arial"/>
                <w:spacing w:val="-1"/>
                <w:sz w:val="21"/>
              </w:rPr>
              <w:t>(535)</w:t>
              <w:tab/>
            </w:r>
            <w:r>
              <w:rPr>
                <w:rFonts w:ascii="Arial"/>
                <w:spacing w:val="-1"/>
                <w:w w:val="95"/>
                <w:sz w:val="21"/>
              </w:rPr>
              <w:t>162.1%</w:t>
            </w:r>
            <w:r>
              <w:rPr>
                <w:rFonts w:ascii="Arial"/>
                <w:sz w:val="21"/>
              </w:rPr>
            </w:r>
          </w:p>
        </w:tc>
      </w:tr>
      <w:tr>
        <w:trPr>
          <w:trHeight w:val="414"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 w:right="0"/>
              <w:jc w:val="center"/>
              <w:rPr>
                <w:rFonts w:ascii="Arial" w:hAnsi="Arial" w:cs="Arial" w:eastAsia="Arial" w:hint="default"/>
                <w:sz w:val="21"/>
                <w:szCs w:val="21"/>
              </w:rPr>
            </w:pPr>
            <w:r>
              <w:rPr>
                <w:rFonts w:ascii="Arial"/>
                <w:sz w:val="21"/>
              </w:rPr>
              <w:t>(16)</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
              <w:jc w:val="right"/>
              <w:rPr>
                <w:rFonts w:ascii="Arial" w:hAnsi="Arial" w:cs="Arial" w:eastAsia="Arial" w:hint="default"/>
                <w:sz w:val="21"/>
                <w:szCs w:val="21"/>
              </w:rPr>
            </w:pPr>
            <w:r>
              <w:rPr>
                <w:rFonts w:ascii="Arial"/>
                <w:spacing w:val="-1"/>
                <w:w w:val="95"/>
                <w:sz w:val="21"/>
              </w:rPr>
              <w:t>(1,476)</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8"/>
              <w:jc w:val="right"/>
              <w:rPr>
                <w:rFonts w:ascii="Arial" w:hAnsi="Arial" w:cs="Arial" w:eastAsia="Arial" w:hint="default"/>
                <w:sz w:val="21"/>
                <w:szCs w:val="21"/>
              </w:rPr>
            </w:pPr>
            <w:r>
              <w:rPr>
                <w:rFonts w:ascii="Arial"/>
                <w:spacing w:val="-1"/>
                <w:sz w:val="21"/>
              </w:rPr>
              <w:t>(980)</w:t>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094" w:val="left" w:leader="none"/>
              </w:tabs>
              <w:spacing w:line="240" w:lineRule="auto" w:before="88"/>
              <w:ind w:right="1"/>
              <w:jc w:val="right"/>
              <w:rPr>
                <w:rFonts w:ascii="Arial" w:hAnsi="Arial" w:cs="Arial" w:eastAsia="Arial" w:hint="default"/>
                <w:sz w:val="21"/>
                <w:szCs w:val="21"/>
              </w:rPr>
            </w:pPr>
            <w:r>
              <w:rPr>
                <w:rFonts w:ascii="Arial"/>
                <w:spacing w:val="-1"/>
                <w:sz w:val="21"/>
              </w:rPr>
              <w:t>(496)</w:t>
              <w:tab/>
            </w:r>
            <w:r>
              <w:rPr>
                <w:rFonts w:ascii="Arial"/>
                <w:spacing w:val="-1"/>
                <w:w w:val="95"/>
                <w:sz w:val="21"/>
              </w:rPr>
              <w:t>50.6%</w:t>
            </w:r>
            <w:r>
              <w:rPr>
                <w:rFonts w:ascii="Arial"/>
                <w:sz w:val="21"/>
              </w:rPr>
            </w:r>
          </w:p>
        </w:tc>
      </w:tr>
      <w:tr>
        <w:trPr>
          <w:trHeight w:val="427"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0"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 w:right="0"/>
              <w:jc w:val="center"/>
              <w:rPr>
                <w:rFonts w:ascii="Arial" w:hAnsi="Arial" w:cs="Arial" w:eastAsia="Arial" w:hint="default"/>
                <w:sz w:val="21"/>
                <w:szCs w:val="21"/>
              </w:rPr>
            </w:pPr>
            <w:r>
              <w:rPr>
                <w:rFonts w:ascii="Arial"/>
                <w:sz w:val="21"/>
              </w:rPr>
              <w:t>(17)</w:t>
            </w:r>
          </w:p>
        </w:tc>
        <w:tc>
          <w:tcPr>
            <w:tcW w:w="104"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
              <w:jc w:val="right"/>
              <w:rPr>
                <w:rFonts w:ascii="Arial" w:hAnsi="Arial" w:cs="Arial" w:eastAsia="Arial" w:hint="default"/>
                <w:sz w:val="21"/>
                <w:szCs w:val="21"/>
              </w:rPr>
            </w:pPr>
            <w:r>
              <w:rPr>
                <w:rFonts w:ascii="Arial"/>
                <w:spacing w:val="-1"/>
                <w:w w:val="95"/>
                <w:sz w:val="21"/>
              </w:rPr>
              <w:t>(1,990)</w:t>
            </w:r>
            <w:r>
              <w:rPr>
                <w:rFonts w:ascii="Arial"/>
                <w:sz w:val="21"/>
              </w:rPr>
            </w:r>
          </w:p>
        </w:tc>
        <w:tc>
          <w:tcPr>
            <w:tcW w:w="103"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9"/>
              <w:jc w:val="right"/>
              <w:rPr>
                <w:rFonts w:ascii="Arial" w:hAnsi="Arial" w:cs="Arial" w:eastAsia="Arial" w:hint="default"/>
                <w:sz w:val="21"/>
                <w:szCs w:val="21"/>
              </w:rPr>
            </w:pPr>
            <w:r>
              <w:rPr>
                <w:rFonts w:ascii="Arial"/>
                <w:spacing w:val="-1"/>
                <w:w w:val="95"/>
                <w:sz w:val="21"/>
              </w:rPr>
              <w:t>(1,335)</w:t>
            </w:r>
            <w:r>
              <w:rPr>
                <w:rFonts w:ascii="Arial"/>
                <w:sz w:val="21"/>
              </w:rPr>
            </w:r>
          </w:p>
        </w:tc>
        <w:tc>
          <w:tcPr>
            <w:tcW w:w="62"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tabs>
                <w:tab w:pos="1094" w:val="left" w:leader="none"/>
              </w:tabs>
              <w:spacing w:line="240" w:lineRule="auto" w:before="90"/>
              <w:ind w:right="1"/>
              <w:jc w:val="right"/>
              <w:rPr>
                <w:rFonts w:ascii="Arial" w:hAnsi="Arial" w:cs="Arial" w:eastAsia="Arial" w:hint="default"/>
                <w:sz w:val="21"/>
                <w:szCs w:val="21"/>
              </w:rPr>
            </w:pPr>
            <w:r>
              <w:rPr>
                <w:rFonts w:ascii="Arial"/>
                <w:spacing w:val="-1"/>
                <w:sz w:val="21"/>
              </w:rPr>
              <w:t>(655)</w:t>
              <w:tab/>
            </w:r>
            <w:r>
              <w:rPr>
                <w:rFonts w:ascii="Arial"/>
                <w:spacing w:val="-1"/>
                <w:w w:val="95"/>
                <w:sz w:val="21"/>
              </w:rPr>
              <w:t>49.1%</w:t>
            </w:r>
            <w:r>
              <w:rPr>
                <w:rFonts w:ascii="Arial"/>
                <w:sz w:val="21"/>
              </w:rPr>
            </w:r>
          </w:p>
        </w:tc>
      </w:tr>
    </w:tbl>
    <w:p>
      <w:pPr>
        <w:spacing w:after="0" w:line="240" w:lineRule="auto"/>
        <w:jc w:val="right"/>
        <w:rPr>
          <w:rFonts w:ascii="Arial" w:hAnsi="Arial" w:cs="Arial" w:eastAsia="Arial" w:hint="default"/>
          <w:sz w:val="21"/>
          <w:szCs w:val="21"/>
        </w:rPr>
        <w:sectPr>
          <w:headerReference w:type="default" r:id="rId155"/>
          <w:pgSz w:w="11900" w:h="16840"/>
          <w:pgMar w:header="1328" w:footer="752" w:top="2300" w:bottom="940" w:left="1440" w:right="540"/>
        </w:sectPr>
      </w:pPr>
    </w:p>
    <w:p>
      <w:pPr>
        <w:spacing w:line="240" w:lineRule="auto" w:before="10"/>
        <w:rPr>
          <w:rFonts w:ascii="Arial" w:hAnsi="Arial" w:cs="Arial" w:eastAsia="Arial" w:hint="default"/>
          <w:sz w:val="20"/>
          <w:szCs w:val="20"/>
        </w:rPr>
      </w:pPr>
    </w:p>
    <w:p>
      <w:pPr>
        <w:pStyle w:val="BodyText"/>
        <w:spacing w:line="240" w:lineRule="auto" w:before="31"/>
        <w:ind w:left="109" w:right="0"/>
        <w:jc w:val="left"/>
        <w:rPr>
          <w:rFonts w:ascii="黑体" w:hAnsi="黑体" w:cs="黑体" w:eastAsia="黑体" w:hint="default"/>
        </w:rPr>
      </w:pPr>
      <w:r>
        <w:rPr>
          <w:rFonts w:ascii="黑体" w:hAnsi="黑体" w:cs="黑体" w:eastAsia="黑体" w:hint="default"/>
        </w:rPr>
        <w:t>四、财务报表数据变动项目分析（续）</w:t>
      </w:r>
    </w:p>
    <w:p>
      <w:pPr>
        <w:spacing w:line="240" w:lineRule="auto" w:before="2"/>
        <w:rPr>
          <w:rFonts w:ascii="黑体" w:hAnsi="黑体" w:cs="黑体" w:eastAsia="黑体" w:hint="default"/>
          <w:sz w:val="19"/>
          <w:szCs w:val="19"/>
        </w:rPr>
      </w:pPr>
    </w:p>
    <w:p>
      <w:pPr>
        <w:pStyle w:val="BodyText"/>
        <w:spacing w:line="240" w:lineRule="auto"/>
        <w:ind w:left="109" w:right="0"/>
        <w:jc w:val="left"/>
      </w:pPr>
      <w:r>
        <w:rPr/>
        <w:t>附注：</w:t>
      </w:r>
    </w:p>
    <w:p>
      <w:pPr>
        <w:spacing w:line="240" w:lineRule="auto" w:before="9"/>
        <w:rPr>
          <w:rFonts w:ascii="宋体" w:hAnsi="宋体" w:cs="宋体" w:eastAsia="宋体" w:hint="default"/>
          <w:sz w:val="23"/>
          <w:szCs w:val="23"/>
        </w:rPr>
      </w:pPr>
    </w:p>
    <w:p>
      <w:pPr>
        <w:pStyle w:val="BodyText"/>
        <w:spacing w:line="286" w:lineRule="exact"/>
        <w:ind w:left="558" w:right="0" w:hanging="443"/>
        <w:jc w:val="left"/>
      </w:pPr>
      <w:r>
        <w:rPr>
          <w:rFonts w:ascii="Arial" w:hAnsi="Arial" w:cs="Arial" w:eastAsia="Arial" w:hint="default"/>
        </w:rPr>
        <w:t>(1)</w:t>
      </w:r>
      <w:r>
        <w:rPr>
          <w:rFonts w:ascii="Arial" w:hAnsi="Arial" w:cs="Arial" w:eastAsia="Arial" w:hint="default"/>
          <w:spacing w:val="16"/>
        </w:rPr>
        <w:t> </w:t>
      </w:r>
      <w:r>
        <w:rPr/>
        <w:t>货币资金的减少主要是由于本年筹资活动产生的现金流量减少及投资活动支付的现金流量</w:t>
      </w:r>
      <w:r>
        <w:rPr>
          <w:spacing w:val="-106"/>
        </w:rPr>
        <w:t> </w:t>
      </w:r>
      <w:r>
        <w:rPr>
          <w:spacing w:val="-106"/>
        </w:rPr>
      </w:r>
      <w:r>
        <w:rPr/>
        <w:t>增加所致。</w:t>
      </w:r>
    </w:p>
    <w:p>
      <w:pPr>
        <w:spacing w:line="240" w:lineRule="auto" w:before="6"/>
        <w:rPr>
          <w:rFonts w:ascii="宋体" w:hAnsi="宋体" w:cs="宋体" w:eastAsia="宋体" w:hint="default"/>
          <w:sz w:val="15"/>
          <w:szCs w:val="15"/>
        </w:rPr>
      </w:pPr>
    </w:p>
    <w:p>
      <w:pPr>
        <w:pStyle w:val="BodyText"/>
        <w:spacing w:line="240" w:lineRule="auto"/>
        <w:ind w:left="115" w:right="0"/>
        <w:jc w:val="left"/>
      </w:pPr>
      <w:r>
        <w:rPr>
          <w:rFonts w:ascii="Arial" w:hAnsi="Arial" w:cs="Arial" w:eastAsia="Arial" w:hint="default"/>
        </w:rPr>
        <w:t>(2) </w:t>
      </w:r>
      <w:r>
        <w:rPr>
          <w:rFonts w:ascii="Arial" w:hAnsi="Arial" w:cs="Arial" w:eastAsia="Arial" w:hint="default"/>
          <w:spacing w:val="33"/>
        </w:rPr>
        <w:t> </w:t>
      </w:r>
      <w:r>
        <w:rPr/>
        <w:t>固定资产的增加主要是因为本年完工工程转固所致。</w:t>
      </w:r>
    </w:p>
    <w:p>
      <w:pPr>
        <w:spacing w:line="240" w:lineRule="auto" w:before="2"/>
        <w:rPr>
          <w:rFonts w:ascii="宋体" w:hAnsi="宋体" w:cs="宋体" w:eastAsia="宋体" w:hint="default"/>
          <w:sz w:val="16"/>
          <w:szCs w:val="16"/>
        </w:rPr>
      </w:pPr>
    </w:p>
    <w:p>
      <w:pPr>
        <w:pStyle w:val="BodyText"/>
        <w:spacing w:line="240" w:lineRule="auto"/>
        <w:ind w:left="115" w:right="0"/>
        <w:jc w:val="left"/>
      </w:pPr>
      <w:r>
        <w:rPr>
          <w:rFonts w:ascii="Arial" w:hAnsi="Arial" w:cs="Arial" w:eastAsia="Arial" w:hint="default"/>
        </w:rPr>
        <w:t>(3) </w:t>
      </w:r>
      <w:r>
        <w:rPr>
          <w:rFonts w:ascii="Arial" w:hAnsi="Arial" w:cs="Arial" w:eastAsia="Arial" w:hint="default"/>
          <w:spacing w:val="33"/>
        </w:rPr>
        <w:t> </w:t>
      </w:r>
      <w:r>
        <w:rPr/>
        <w:t>在建工程及工程物资的减少主要是由于本年完工工程转固所致。</w:t>
      </w:r>
    </w:p>
    <w:p>
      <w:pPr>
        <w:spacing w:line="240" w:lineRule="auto" w:before="2"/>
        <w:rPr>
          <w:rFonts w:ascii="宋体" w:hAnsi="宋体" w:cs="宋体" w:eastAsia="宋体" w:hint="default"/>
          <w:sz w:val="16"/>
          <w:szCs w:val="16"/>
        </w:rPr>
      </w:pPr>
    </w:p>
    <w:p>
      <w:pPr>
        <w:pStyle w:val="BodyText"/>
        <w:spacing w:line="240" w:lineRule="auto"/>
        <w:ind w:left="115" w:right="0"/>
        <w:jc w:val="left"/>
      </w:pPr>
      <w:r>
        <w:rPr>
          <w:rFonts w:ascii="Arial" w:hAnsi="Arial" w:cs="Arial" w:eastAsia="Arial" w:hint="default"/>
        </w:rPr>
        <w:t>(4) </w:t>
      </w:r>
      <w:r>
        <w:rPr>
          <w:rFonts w:ascii="Arial" w:hAnsi="Arial" w:cs="Arial" w:eastAsia="Arial" w:hint="default"/>
          <w:spacing w:val="34"/>
        </w:rPr>
        <w:t> </w:t>
      </w:r>
      <w:r>
        <w:rPr/>
        <w:t>短期借款的减少主要是因为本年偿还借款所致。</w:t>
      </w:r>
    </w:p>
    <w:p>
      <w:pPr>
        <w:spacing w:line="240" w:lineRule="auto" w:before="3"/>
        <w:rPr>
          <w:rFonts w:ascii="宋体" w:hAnsi="宋体" w:cs="宋体" w:eastAsia="宋体" w:hint="default"/>
          <w:sz w:val="16"/>
          <w:szCs w:val="16"/>
        </w:rPr>
      </w:pPr>
    </w:p>
    <w:p>
      <w:pPr>
        <w:pStyle w:val="BodyText"/>
        <w:spacing w:line="240" w:lineRule="auto"/>
        <w:ind w:left="115" w:right="0"/>
        <w:jc w:val="left"/>
      </w:pPr>
      <w:r>
        <w:rPr>
          <w:rFonts w:ascii="Arial" w:hAnsi="Arial" w:cs="Arial" w:eastAsia="Arial" w:hint="default"/>
        </w:rPr>
        <w:t>(5)  </w:t>
      </w:r>
      <w:r>
        <w:rPr/>
        <w:t>应付短期债券的增加主要是因为 </w:t>
      </w:r>
      <w:r>
        <w:rPr>
          <w:rFonts w:ascii="Arial" w:hAnsi="Arial" w:cs="Arial" w:eastAsia="Arial" w:hint="default"/>
        </w:rPr>
        <w:t>2011</w:t>
      </w:r>
      <w:r>
        <w:rPr>
          <w:rFonts w:ascii="Arial" w:hAnsi="Arial" w:cs="Arial" w:eastAsia="Arial" w:hint="default"/>
          <w:spacing w:val="-30"/>
        </w:rPr>
        <w:t> </w:t>
      </w:r>
      <w:r>
        <w:rPr/>
        <w:t>年度发行的短期债券尚未偿还所致。</w:t>
      </w:r>
    </w:p>
    <w:p>
      <w:pPr>
        <w:spacing w:line="240" w:lineRule="auto" w:before="2"/>
        <w:rPr>
          <w:rFonts w:ascii="宋体" w:hAnsi="宋体" w:cs="宋体" w:eastAsia="宋体" w:hint="default"/>
          <w:sz w:val="16"/>
          <w:szCs w:val="16"/>
        </w:rPr>
      </w:pPr>
    </w:p>
    <w:p>
      <w:pPr>
        <w:pStyle w:val="BodyText"/>
        <w:spacing w:line="240" w:lineRule="auto"/>
        <w:ind w:left="115" w:right="0"/>
        <w:jc w:val="left"/>
      </w:pPr>
      <w:r>
        <w:rPr>
          <w:rFonts w:ascii="Arial" w:hAnsi="Arial" w:cs="Arial" w:eastAsia="Arial" w:hint="default"/>
        </w:rPr>
        <w:t>(6) </w:t>
      </w:r>
      <w:r>
        <w:rPr>
          <w:rFonts w:ascii="Arial" w:hAnsi="Arial" w:cs="Arial" w:eastAsia="Arial" w:hint="default"/>
          <w:spacing w:val="32"/>
        </w:rPr>
        <w:t> </w:t>
      </w:r>
      <w:r>
        <w:rPr/>
        <w:t>应付账款的减少主要是因为本年偿还工程设备款所致。</w:t>
      </w:r>
    </w:p>
    <w:p>
      <w:pPr>
        <w:spacing w:line="240" w:lineRule="auto" w:before="13"/>
        <w:rPr>
          <w:rFonts w:ascii="宋体" w:hAnsi="宋体" w:cs="宋体" w:eastAsia="宋体" w:hint="default"/>
          <w:sz w:val="17"/>
          <w:szCs w:val="17"/>
        </w:rPr>
      </w:pPr>
    </w:p>
    <w:p>
      <w:pPr>
        <w:pStyle w:val="BodyText"/>
        <w:spacing w:line="240" w:lineRule="auto"/>
        <w:ind w:left="115" w:right="0"/>
        <w:jc w:val="left"/>
      </w:pPr>
      <w:r>
        <w:rPr>
          <w:rFonts w:ascii="Arial" w:hAnsi="Arial" w:cs="Arial" w:eastAsia="Arial" w:hint="default"/>
        </w:rPr>
        <w:t>(7) </w:t>
      </w:r>
      <w:r>
        <w:rPr>
          <w:rFonts w:ascii="Arial" w:hAnsi="Arial" w:cs="Arial" w:eastAsia="Arial" w:hint="default"/>
          <w:spacing w:val="32"/>
        </w:rPr>
        <w:t> </w:t>
      </w:r>
      <w:r>
        <w:rPr/>
        <w:t>预收账款的增加主要是因为本年用户预存款增加所致。</w:t>
      </w:r>
    </w:p>
    <w:p>
      <w:pPr>
        <w:pStyle w:val="BodyText"/>
        <w:spacing w:line="240" w:lineRule="auto" w:before="162"/>
        <w:ind w:left="115" w:right="0"/>
        <w:jc w:val="left"/>
      </w:pPr>
      <w:r>
        <w:rPr>
          <w:rFonts w:ascii="Arial" w:hAnsi="Arial" w:cs="Arial" w:eastAsia="Arial" w:hint="default"/>
        </w:rPr>
        <w:t>(8) </w:t>
      </w:r>
      <w:r>
        <w:rPr>
          <w:rFonts w:ascii="Arial" w:hAnsi="Arial" w:cs="Arial" w:eastAsia="Arial" w:hint="default"/>
          <w:spacing w:val="33"/>
        </w:rPr>
        <w:t> </w:t>
      </w:r>
      <w:r>
        <w:rPr/>
        <w:t>应付债券本年减少主要是由于美元与人民币汇率变动导致可转换债券的余额减少所致。</w:t>
      </w:r>
    </w:p>
    <w:p>
      <w:pPr>
        <w:spacing w:line="240" w:lineRule="auto" w:before="4"/>
        <w:rPr>
          <w:rFonts w:ascii="宋体" w:hAnsi="宋体" w:cs="宋体" w:eastAsia="宋体" w:hint="default"/>
          <w:sz w:val="18"/>
          <w:szCs w:val="18"/>
        </w:rPr>
      </w:pPr>
    </w:p>
    <w:p>
      <w:pPr>
        <w:pStyle w:val="BodyText"/>
        <w:spacing w:line="286" w:lineRule="exact"/>
        <w:ind w:left="529" w:right="0" w:hanging="414"/>
        <w:jc w:val="left"/>
      </w:pPr>
      <w:r>
        <w:rPr>
          <w:rFonts w:ascii="Arial" w:hAnsi="Arial" w:cs="Arial" w:eastAsia="Arial" w:hint="default"/>
        </w:rPr>
        <w:t>(9)</w:t>
      </w:r>
      <w:r>
        <w:rPr>
          <w:rFonts w:ascii="Arial" w:hAnsi="Arial" w:cs="Arial" w:eastAsia="Arial" w:hint="default"/>
          <w:spacing w:val="21"/>
        </w:rPr>
        <w:t> </w:t>
      </w:r>
      <w:r>
        <w:rPr/>
        <w:t>资本公积的减少主要是由于本年西班牙电信的股票市价及欧元与人民币汇率变动导致本集团</w:t>
      </w:r>
      <w:r>
        <w:rPr>
          <w:w w:val="99"/>
        </w:rPr>
        <w:t> </w:t>
      </w:r>
      <w:r>
        <w:rPr/>
        <w:t>持有的与西班牙电信投资相关的可供出售金融资产公允价值下降所致。</w:t>
      </w:r>
    </w:p>
    <w:p>
      <w:pPr>
        <w:pStyle w:val="BodyText"/>
        <w:spacing w:line="284" w:lineRule="exact" w:before="181"/>
        <w:ind w:left="529" w:right="101" w:hanging="414"/>
        <w:jc w:val="left"/>
      </w:pPr>
      <w:r>
        <w:rPr>
          <w:rFonts w:ascii="Arial" w:hAnsi="Arial" w:cs="Arial" w:eastAsia="Arial" w:hint="default"/>
        </w:rPr>
        <w:t>(10)</w:t>
      </w:r>
      <w:r>
        <w:rPr>
          <w:rFonts w:ascii="Arial" w:hAnsi="Arial" w:cs="Arial" w:eastAsia="Arial" w:hint="default"/>
          <w:spacing w:val="-48"/>
        </w:rPr>
        <w:t> </w:t>
      </w:r>
      <w:r>
        <w:rPr/>
        <w:t>营业收入、营业税金及附加及销售费用的增加主要是由于公司业务特别是</w:t>
      </w:r>
      <w:r>
        <w:rPr>
          <w:spacing w:val="-77"/>
        </w:rPr>
        <w:t> </w:t>
      </w:r>
      <w:r>
        <w:rPr>
          <w:rFonts w:ascii="Arial" w:hAnsi="Arial" w:cs="Arial" w:eastAsia="Arial" w:hint="default"/>
        </w:rPr>
        <w:t>3G</w:t>
      </w:r>
      <w:r>
        <w:rPr>
          <w:rFonts w:ascii="Arial" w:hAnsi="Arial" w:cs="Arial" w:eastAsia="Arial" w:hint="default"/>
          <w:spacing w:val="-28"/>
        </w:rPr>
        <w:t> </w:t>
      </w:r>
      <w:r>
        <w:rPr/>
        <w:t>业务的总体增长</w:t>
      </w:r>
      <w:r>
        <w:rPr>
          <w:spacing w:val="1"/>
          <w:w w:val="99"/>
        </w:rPr>
        <w:t> </w:t>
      </w:r>
      <w:r>
        <w:rPr/>
        <w:t>以及</w:t>
      </w:r>
      <w:r>
        <w:rPr>
          <w:spacing w:val="-56"/>
        </w:rPr>
        <w:t> </w:t>
      </w:r>
      <w:r>
        <w:rPr>
          <w:rFonts w:ascii="Arial" w:hAnsi="Arial" w:cs="Arial" w:eastAsia="Arial" w:hint="default"/>
        </w:rPr>
        <w:t>3G</w:t>
      </w:r>
      <w:r>
        <w:rPr>
          <w:rFonts w:ascii="Arial" w:hAnsi="Arial" w:cs="Arial" w:eastAsia="Arial" w:hint="default"/>
          <w:spacing w:val="-8"/>
        </w:rPr>
        <w:t> </w:t>
      </w:r>
      <w:r>
        <w:rPr/>
        <w:t>业务促销活动增加所致。</w:t>
      </w:r>
    </w:p>
    <w:p>
      <w:pPr>
        <w:spacing w:line="240" w:lineRule="auto" w:before="6"/>
        <w:rPr>
          <w:rFonts w:ascii="宋体" w:hAnsi="宋体" w:cs="宋体" w:eastAsia="宋体" w:hint="default"/>
          <w:sz w:val="15"/>
          <w:szCs w:val="15"/>
        </w:rPr>
      </w:pPr>
    </w:p>
    <w:p>
      <w:pPr>
        <w:pStyle w:val="BodyText"/>
        <w:spacing w:line="240" w:lineRule="auto"/>
        <w:ind w:left="115" w:right="0"/>
        <w:jc w:val="left"/>
      </w:pPr>
      <w:r>
        <w:rPr>
          <w:rFonts w:ascii="Arial" w:hAnsi="Arial" w:cs="Arial" w:eastAsia="Arial" w:hint="default"/>
        </w:rPr>
        <w:t>(11)</w:t>
      </w:r>
      <w:r>
        <w:rPr>
          <w:rFonts w:ascii="Arial" w:hAnsi="Arial" w:cs="Arial" w:eastAsia="Arial" w:hint="default"/>
          <w:spacing w:val="-30"/>
        </w:rPr>
        <w:t> </w:t>
      </w:r>
      <w:r>
        <w:rPr/>
        <w:t>营业成本增加主要是由于销售通信产品成本增加所致。</w:t>
      </w:r>
    </w:p>
    <w:p>
      <w:pPr>
        <w:spacing w:line="240" w:lineRule="auto" w:before="2"/>
        <w:rPr>
          <w:rFonts w:ascii="宋体" w:hAnsi="宋体" w:cs="宋体" w:eastAsia="宋体" w:hint="default"/>
          <w:sz w:val="16"/>
          <w:szCs w:val="16"/>
        </w:rPr>
      </w:pPr>
    </w:p>
    <w:p>
      <w:pPr>
        <w:pStyle w:val="BodyText"/>
        <w:spacing w:line="240" w:lineRule="auto"/>
        <w:ind w:left="115" w:right="0"/>
        <w:jc w:val="left"/>
      </w:pPr>
      <w:r>
        <w:rPr>
          <w:rFonts w:ascii="Arial" w:hAnsi="Arial" w:cs="Arial" w:eastAsia="Arial" w:hint="default"/>
        </w:rPr>
        <w:t>(12)</w:t>
      </w:r>
      <w:r>
        <w:rPr>
          <w:rFonts w:ascii="Arial" w:hAnsi="Arial" w:cs="Arial" w:eastAsia="Arial" w:hint="default"/>
          <w:spacing w:val="-29"/>
        </w:rPr>
        <w:t> </w:t>
      </w:r>
      <w:r>
        <w:rPr/>
        <w:t>管理费用的增加主要是由于本年人工成本及办公设备折旧费上升所致。</w:t>
      </w:r>
    </w:p>
    <w:p>
      <w:pPr>
        <w:pStyle w:val="BodyText"/>
        <w:spacing w:line="240" w:lineRule="auto" w:before="162"/>
        <w:ind w:left="115" w:right="0"/>
        <w:jc w:val="left"/>
      </w:pPr>
      <w:r>
        <w:rPr>
          <w:rFonts w:ascii="Arial" w:hAnsi="Arial" w:cs="Arial" w:eastAsia="Arial" w:hint="default"/>
        </w:rPr>
        <w:t>(13)</w:t>
      </w:r>
      <w:r>
        <w:rPr>
          <w:rFonts w:ascii="Arial" w:hAnsi="Arial" w:cs="Arial" w:eastAsia="Arial" w:hint="default"/>
          <w:spacing w:val="-29"/>
        </w:rPr>
        <w:t> </w:t>
      </w:r>
      <w:r>
        <w:rPr/>
        <w:t>投资收益的增加主要是因为本集团持有的西班牙电信股票分配股利有所增加所致。</w:t>
      </w:r>
    </w:p>
    <w:p>
      <w:pPr>
        <w:pStyle w:val="BodyText"/>
        <w:spacing w:line="240" w:lineRule="auto" w:before="162"/>
        <w:ind w:left="115" w:right="0"/>
        <w:jc w:val="left"/>
      </w:pPr>
      <w:r>
        <w:rPr>
          <w:rFonts w:ascii="Arial" w:hAnsi="Arial" w:cs="Arial" w:eastAsia="Arial" w:hint="default"/>
        </w:rPr>
        <w:t>(14)</w:t>
      </w:r>
      <w:r>
        <w:rPr>
          <w:rFonts w:ascii="Arial" w:hAnsi="Arial" w:cs="Arial" w:eastAsia="Arial" w:hint="default"/>
          <w:spacing w:val="-29"/>
        </w:rPr>
        <w:t> </w:t>
      </w:r>
      <w:r>
        <w:rPr/>
        <w:t>营业外收入的增加主要是因为本年处置固定资产收益有所增加所致。</w:t>
      </w:r>
    </w:p>
    <w:p>
      <w:pPr>
        <w:pStyle w:val="BodyText"/>
        <w:spacing w:line="240" w:lineRule="auto" w:before="161"/>
        <w:ind w:left="115" w:right="0"/>
        <w:jc w:val="left"/>
      </w:pPr>
      <w:r>
        <w:rPr>
          <w:rFonts w:ascii="Arial" w:hAnsi="Arial" w:cs="Arial" w:eastAsia="Arial" w:hint="default"/>
        </w:rPr>
        <w:t>(15)</w:t>
      </w:r>
      <w:r>
        <w:rPr>
          <w:rFonts w:ascii="Arial" w:hAnsi="Arial" w:cs="Arial" w:eastAsia="Arial" w:hint="default"/>
          <w:spacing w:val="-29"/>
        </w:rPr>
        <w:t> </w:t>
      </w:r>
      <w:r>
        <w:rPr/>
        <w:t>营业外支出的增加主要是因为本年处置固定资产损失有所增加所致。</w:t>
      </w:r>
    </w:p>
    <w:p>
      <w:pPr>
        <w:spacing w:line="240" w:lineRule="auto" w:before="13"/>
        <w:rPr>
          <w:rFonts w:ascii="宋体" w:hAnsi="宋体" w:cs="宋体" w:eastAsia="宋体" w:hint="default"/>
          <w:sz w:val="17"/>
          <w:szCs w:val="17"/>
        </w:rPr>
      </w:pPr>
    </w:p>
    <w:p>
      <w:pPr>
        <w:pStyle w:val="BodyText"/>
        <w:spacing w:line="240" w:lineRule="auto"/>
        <w:ind w:left="115" w:right="0"/>
        <w:jc w:val="left"/>
      </w:pPr>
      <w:r>
        <w:rPr>
          <w:rFonts w:ascii="Arial" w:hAnsi="Arial" w:cs="Arial" w:eastAsia="Arial" w:hint="default"/>
        </w:rPr>
        <w:t>(16)</w:t>
      </w:r>
      <w:r>
        <w:rPr>
          <w:rFonts w:ascii="Arial" w:hAnsi="Arial" w:cs="Arial" w:eastAsia="Arial" w:hint="default"/>
          <w:spacing w:val="-28"/>
        </w:rPr>
        <w:t> </w:t>
      </w:r>
      <w:r>
        <w:rPr/>
        <w:t>所得税费用的增加主要是由于</w:t>
      </w:r>
      <w:r>
        <w:rPr>
          <w:spacing w:val="-57"/>
        </w:rPr>
        <w:t> </w:t>
      </w:r>
      <w:r>
        <w:rPr>
          <w:rFonts w:ascii="Arial" w:hAnsi="Arial" w:cs="Arial" w:eastAsia="Arial" w:hint="default"/>
        </w:rPr>
        <w:t>2011</w:t>
      </w:r>
      <w:r>
        <w:rPr>
          <w:rFonts w:ascii="Arial" w:hAnsi="Arial" w:cs="Arial" w:eastAsia="Arial" w:hint="default"/>
          <w:spacing w:val="-8"/>
        </w:rPr>
        <w:t> </w:t>
      </w:r>
      <w:r>
        <w:rPr/>
        <w:t>年利润总额较去年同期上升所致。</w:t>
      </w:r>
    </w:p>
    <w:p>
      <w:pPr>
        <w:spacing w:line="240" w:lineRule="auto" w:before="3"/>
        <w:rPr>
          <w:rFonts w:ascii="宋体" w:hAnsi="宋体" w:cs="宋体" w:eastAsia="宋体" w:hint="default"/>
          <w:sz w:val="20"/>
          <w:szCs w:val="20"/>
        </w:rPr>
      </w:pPr>
    </w:p>
    <w:p>
      <w:pPr>
        <w:pStyle w:val="BodyText"/>
        <w:spacing w:line="284" w:lineRule="exact"/>
        <w:ind w:left="529" w:right="233" w:hanging="414"/>
        <w:jc w:val="left"/>
      </w:pPr>
      <w:r>
        <w:rPr>
          <w:rFonts w:ascii="Arial" w:hAnsi="Arial" w:cs="Arial" w:eastAsia="Arial" w:hint="default"/>
        </w:rPr>
        <w:t>(17)</w:t>
      </w:r>
      <w:r>
        <w:rPr>
          <w:rFonts w:ascii="Arial" w:hAnsi="Arial" w:cs="Arial" w:eastAsia="Arial" w:hint="default"/>
          <w:spacing w:val="-41"/>
        </w:rPr>
        <w:t> </w:t>
      </w:r>
      <w:r>
        <w:rPr/>
        <w:t>其他综合损失的增加主要是由于本年西班牙电信的股票市价及欧元与人民币汇率变动导致本</w:t>
      </w:r>
      <w:r>
        <w:rPr>
          <w:w w:val="99"/>
        </w:rPr>
        <w:t> </w:t>
      </w:r>
      <w:r>
        <w:rPr/>
        <w:t>集团持有的与西班牙电信投资相关的可供出售金融资产公允价值下降所致。</w:t>
      </w:r>
    </w:p>
    <w:p>
      <w:pPr>
        <w:spacing w:after="0" w:line="284" w:lineRule="exact"/>
        <w:jc w:val="left"/>
        <w:sectPr>
          <w:headerReference w:type="default" r:id="rId156"/>
          <w:pgSz w:w="11900" w:h="16840"/>
          <w:pgMar w:header="1328" w:footer="752" w:top="2300" w:bottom="940" w:left="1460" w:right="860"/>
        </w:sectPr>
      </w:pPr>
    </w:p>
    <w:p>
      <w:pPr>
        <w:spacing w:before="21"/>
        <w:ind w:left="144"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r>
        <w:rPr>
          <w:rFonts w:ascii="宋体" w:hAnsi="宋体" w:cs="宋体" w:eastAsia="宋体" w:hint="default"/>
          <w:spacing w:val="-47"/>
          <w:sz w:val="18"/>
          <w:szCs w:val="18"/>
        </w:rPr>
        <w:t> </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pt;height:.5pt;mso-position-horizontal-relative:char;mso-position-vertical-relative:line" coordorigin="0,0" coordsize="9200,10">
            <v:group style="position:absolute;left:5;top:5;width:9190;height:2" coordorigin="5,5" coordsize="9190,2">
              <v:shape style="position:absolute;left:5;top:5;width:9190;height:2" coordorigin="5,5" coordsize="9190,0" path="m5,5l9194,5e" filled="false" stroked="true" strokeweight=".4799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3"/>
          <w:szCs w:val="13"/>
        </w:rPr>
      </w:pPr>
    </w:p>
    <w:p>
      <w:pPr>
        <w:pStyle w:val="BodyText"/>
        <w:spacing w:line="240" w:lineRule="auto" w:before="31"/>
        <w:ind w:left="143" w:right="0"/>
        <w:jc w:val="left"/>
      </w:pPr>
      <w:r>
        <w:rPr/>
        <w:t>十二、备查文件目录</w:t>
      </w:r>
    </w:p>
    <w:p>
      <w:pPr>
        <w:spacing w:line="240" w:lineRule="auto" w:before="2"/>
        <w:rPr>
          <w:rFonts w:ascii="宋体" w:hAnsi="宋体" w:cs="宋体" w:eastAsia="宋体" w:hint="default"/>
          <w:sz w:val="19"/>
          <w:szCs w:val="19"/>
        </w:rPr>
      </w:pPr>
    </w:p>
    <w:p>
      <w:pPr>
        <w:pStyle w:val="BodyText"/>
        <w:spacing w:line="295" w:lineRule="exact"/>
        <w:ind w:left="143" w:right="0"/>
        <w:jc w:val="left"/>
      </w:pPr>
      <w:r>
        <w:rPr>
          <w:rFonts w:ascii="Arial" w:hAnsi="Arial" w:cs="Arial" w:eastAsia="Arial" w:hint="default"/>
        </w:rPr>
        <w:t>1</w:t>
      </w:r>
      <w:r>
        <w:rPr/>
        <w:t>、载有法定代表人、主管会计工作负责人、会计机构负责人签名并盖章的会计报表</w:t>
      </w:r>
    </w:p>
    <w:p>
      <w:pPr>
        <w:pStyle w:val="BodyText"/>
        <w:spacing w:line="285" w:lineRule="exact"/>
        <w:ind w:left="143" w:right="0"/>
        <w:jc w:val="left"/>
      </w:pPr>
      <w:r>
        <w:rPr>
          <w:rFonts w:ascii="Arial" w:hAnsi="Arial" w:cs="Arial" w:eastAsia="Arial" w:hint="default"/>
        </w:rPr>
        <w:t>2</w:t>
      </w:r>
      <w:r>
        <w:rPr/>
        <w:t>、载有会计师事务所盖章、注册会计师签名并盖章的审计报告原件</w:t>
      </w:r>
    </w:p>
    <w:p>
      <w:pPr>
        <w:pStyle w:val="BodyText"/>
        <w:spacing w:line="285" w:lineRule="exact"/>
        <w:ind w:left="143" w:right="0"/>
        <w:jc w:val="left"/>
      </w:pPr>
      <w:r>
        <w:rPr>
          <w:rFonts w:ascii="Arial" w:hAnsi="Arial" w:cs="Arial" w:eastAsia="Arial" w:hint="default"/>
        </w:rPr>
        <w:t>3</w:t>
      </w:r>
      <w:r>
        <w:rPr/>
        <w:t>、报告期内在中国证监会指定报纸上公开披露的所有公司文件的正本及公告的原稿</w:t>
      </w:r>
    </w:p>
    <w:p>
      <w:pPr>
        <w:pStyle w:val="BodyText"/>
        <w:spacing w:line="295" w:lineRule="exact"/>
        <w:ind w:left="143" w:right="0"/>
        <w:jc w:val="left"/>
      </w:pPr>
      <w:r>
        <w:rPr>
          <w:rFonts w:ascii="Arial" w:hAnsi="Arial" w:cs="Arial" w:eastAsia="Arial" w:hint="default"/>
        </w:rPr>
        <w:t>4</w:t>
      </w:r>
      <w:r>
        <w:rPr/>
        <w:t>、联通红筹公司</w:t>
      </w:r>
      <w:r>
        <w:rPr>
          <w:spacing w:val="-57"/>
        </w:rPr>
        <w:t> </w:t>
      </w:r>
      <w:r>
        <w:rPr>
          <w:rFonts w:ascii="Arial" w:hAnsi="Arial" w:cs="Arial" w:eastAsia="Arial" w:hint="default"/>
        </w:rPr>
        <w:t>2011</w:t>
      </w:r>
      <w:r>
        <w:rPr>
          <w:rFonts w:ascii="Arial" w:hAnsi="Arial" w:cs="Arial" w:eastAsia="Arial" w:hint="default"/>
          <w:spacing w:val="-8"/>
        </w:rPr>
        <w:t> </w:t>
      </w:r>
      <w:r>
        <w:rPr/>
        <w:t>年度业绩公告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86" w:lineRule="exact"/>
        <w:ind w:left="6193" w:right="145" w:firstLine="1539"/>
        <w:jc w:val="right"/>
      </w:pPr>
      <w:r>
        <w:rPr>
          <w:w w:val="95"/>
        </w:rPr>
        <w:t>董事长：常小兵</w:t>
      </w:r>
      <w:r>
        <w:rPr>
          <w:w w:val="99"/>
        </w:rPr>
        <w:t> </w:t>
      </w:r>
      <w:r>
        <w:rPr>
          <w:w w:val="95"/>
        </w:rPr>
        <w:t>中国联合网络通信股份有限公司</w:t>
      </w:r>
      <w:r>
        <w:rPr/>
      </w:r>
    </w:p>
    <w:p>
      <w:pPr>
        <w:pStyle w:val="BodyText"/>
        <w:spacing w:line="275" w:lineRule="exact"/>
        <w:ind w:left="0" w:right="144"/>
        <w:jc w:val="right"/>
      </w:pP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22</w:t>
      </w:r>
      <w:r>
        <w:rPr>
          <w:rFonts w:ascii="Arial" w:hAnsi="Arial" w:cs="Arial" w:eastAsia="Arial" w:hint="default"/>
          <w:spacing w:val="-7"/>
        </w:rPr>
        <w:t> </w:t>
      </w:r>
      <w:r>
        <w:rPr/>
        <w:t>日</w:t>
      </w:r>
    </w:p>
    <w:sectPr>
      <w:headerReference w:type="default" r:id="rId157"/>
      <w:pgSz w:w="11900" w:h="16840"/>
      <w:pgMar w:header="0" w:footer="752" w:top="760" w:bottom="940" w:left="14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Tahoma">
    <w:altName w:val="Tahoma"/>
    <w:charset w:val="0"/>
    <w:family w:val="swiss"/>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600006pt;margin-top:793.382446pt;width:16.25pt;height:13pt;mso-position-horizontal-relative:page;mso-position-vertical-relative:page;z-index:-823240"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770508pt;margin-top:560.822754pt;width:16.25pt;height:13pt;mso-position-horizontal-relative:page;mso-position-vertical-relative:page;z-index:-82302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62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59589pt;margin-top:801.000671pt;width:20.65pt;height:13pt;mso-position-horizontal-relative:page;mso-position-vertical-relative:page;z-index:-822952" type="#_x0000_t202" filled="false" stroked="false">
          <v:textbox inset="0,0,0,0">
            <w:txbxContent>
              <w:p>
                <w:pPr>
                  <w:pStyle w:val="BodyText"/>
                  <w:spacing w:line="245" w:lineRule="exact"/>
                  <w:ind w:left="127"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63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130249pt;margin-top:554.761597pt;width:16.25pt;height:19.7pt;mso-position-horizontal-relative:page;mso-position-vertical-relative:page;z-index:-820144" type="#_x0000_t202" filled="false" stroked="false">
          <v:textbox inset="0,0,0,0">
            <w:txbxContent>
              <w:p>
                <w:pPr>
                  <w:pStyle w:val="BodyText"/>
                  <w:spacing w:line="240" w:lineRule="auto" w:before="126"/>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130249pt;margin-top:554.761597pt;width:14.25pt;height:13pt;mso-position-horizontal-relative:page;mso-position-vertical-relative:page;z-index:-820024" type="#_x0000_t202" filled="false" stroked="false">
          <v:textbox inset="0,0,0,0">
            <w:txbxContent>
              <w:p>
                <w:pPr>
                  <w:pStyle w:val="BodyText"/>
                  <w:spacing w:line="245" w:lineRule="exact"/>
                  <w:ind w:right="0"/>
                  <w:jc w:val="left"/>
                  <w:rPr>
                    <w:rFonts w:ascii="Arial" w:hAnsi="Arial" w:cs="Arial" w:eastAsia="Arial" w:hint="default"/>
                  </w:rPr>
                </w:pPr>
                <w:r>
                  <w:rPr>
                    <w:rFonts w:ascii="Arial"/>
                  </w:rPr>
                  <w:t>97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20227pt;margin-top:801.002075pt;width:16.25pt;height:13pt;mso-position-horizontal-relative:page;mso-position-vertical-relative:page;z-index:-81990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360077pt;margin-top:801.002075pt;width:20.4pt;height:13pt;mso-position-horizontal-relative:page;mso-position-vertical-relative:page;z-index:-819808" type="#_x0000_t202" filled="false" stroked="false">
          <v:textbox inset="0,0,0,0">
            <w:txbxContent>
              <w:p>
                <w:pPr>
                  <w:pStyle w:val="BodyText"/>
                  <w:spacing w:line="245" w:lineRule="exact"/>
                  <w:ind w:right="0"/>
                  <w:jc w:val="left"/>
                  <w:rPr>
                    <w:rFonts w:ascii="Arial" w:hAnsi="Arial" w:cs="Arial" w:eastAsia="Arial" w:hint="default"/>
                  </w:rPr>
                </w:pPr>
                <w:r>
                  <w:rPr>
                    <w:rFonts w:ascii="Arial"/>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360077pt;margin-top:801.002075pt;width:22.4pt;height:13pt;mso-position-horizontal-relative:page;mso-position-vertical-relative:page;z-index:-819712"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299774pt;margin-top:793.381958pt;width:22.45pt;height:20.6pt;mso-position-horizontal-relative:page;mso-position-vertical-relative:page;z-index:-819592" type="#_x0000_t202" filled="false" stroked="false">
          <v:textbox inset="0,0,0,0">
            <w:txbxContent>
              <w:p>
                <w:pPr>
                  <w:pStyle w:val="BodyText"/>
                  <w:spacing w:line="240" w:lineRule="auto" w:before="144"/>
                  <w:ind w:left="41"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299774pt;margin-top:793.381958pt;width:22.4pt;height:13pt;mso-position-horizontal-relative:page;mso-position-vertical-relative:page;z-index:-819400"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5.070129pt;margin-top:561.481323pt;width:22.4pt;height:13pt;mso-position-horizontal-relative:page;mso-position-vertical-relative:page;z-index:-818776"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59985pt;margin-top:793.382446pt;width:14.25pt;height:13pt;mso-position-horizontal-relative:page;mso-position-vertical-relative:page;z-index:-823216" type="#_x0000_t202" filled="false" stroked="false">
          <v:textbox inset="0,0,0,0">
            <w:txbxContent>
              <w:p>
                <w:pPr>
                  <w:pStyle w:val="BodyText"/>
                  <w:spacing w:line="245" w:lineRule="exact"/>
                  <w:ind w:right="0"/>
                  <w:jc w:val="left"/>
                  <w:rPr>
                    <w:rFonts w:ascii="Arial" w:hAnsi="Arial" w:cs="Arial" w:eastAsia="Arial" w:hint="default"/>
                  </w:rPr>
                </w:pPr>
                <w:r>
                  <w:rPr>
                    <w:rFonts w:ascii="Arial"/>
                  </w:rPr>
                  <w:t>54</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298676pt;margin-top:793.381958pt;width:22.4pt;height:13pt;mso-position-horizontal-relative:page;mso-position-vertical-relative:page;z-index:-818680"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39636pt;margin-top:793.381958pt;width:22.4pt;height:13pt;mso-position-horizontal-relative:page;mso-position-vertical-relative:page;z-index:-81858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39636pt;margin-top:793.381958pt;width:22.4pt;height:13pt;mso-position-horizontal-relative:page;mso-position-vertical-relative:page;z-index:-818488"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299774pt;margin-top:793.382446pt;width:24.25pt;height:13pt;mso-position-horizontal-relative:page;mso-position-vertical-relative:page;z-index:-815416"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157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220001pt;margin-top:793.382385pt;width:20pt;height:13pt;mso-position-horizontal-relative:page;mso-position-vertical-relative:page;z-index:-823168" type="#_x0000_t202" filled="false" stroked="false">
          <v:textbox inset="0,0,0,0">
            <w:txbxContent>
              <w:p>
                <w:pPr>
                  <w:pStyle w:val="BodyText"/>
                  <w:spacing w:line="245" w:lineRule="exact"/>
                  <w:ind w:left="114"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220001pt;margin-top:793.382446pt;width:16.25pt;height:13pt;mso-position-horizontal-relative:page;mso-position-vertical-relative:page;z-index:-82314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220367pt;margin-top:793.382385pt;width:16.25pt;height:13pt;mso-position-horizontal-relative:page;mso-position-vertical-relative:page;z-index:-823120"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601044pt;margin-top:793.381714pt;width:16.25pt;height:13pt;mso-position-horizontal-relative:page;mso-position-vertical-relative:page;z-index:-823096"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601044pt;margin-top:793.381714pt;width:16.25pt;height:13pt;mso-position-horizontal-relative:page;mso-position-vertical-relative:page;z-index:-823072"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770508pt;margin-top:560.822754pt;width:16.25pt;height:13.35pt;mso-position-horizontal-relative:page;mso-position-vertical-relative:page;z-index:-823048" type="#_x0000_t202" filled="false" stroked="false">
          <v:textbox inset="0,0,0,0">
            <w:txbxContent>
              <w:p>
                <w:pPr>
                  <w:pStyle w:val="BodyText"/>
                  <w:spacing w:line="252"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61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779999pt;margin-top:57.960011pt;width:467.9pt;height:.1pt;mso-position-horizontal-relative:page;mso-position-vertical-relative:page;z-index:-823288" coordorigin="1456,1159" coordsize="9358,2">
          <v:shape style="position:absolute;left:1456;top:1159;width:9358;height:2" coordorigin="1456,1159" coordsize="9358,0" path="m1456,1159l10813,1159e" filled="false" stroked="true" strokeweight=".4799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3.279999pt;margin-top:45.325325pt;width:197.55pt;height:11.45pt;mso-position-horizontal-relative:page;mso-position-vertical-relative:page;z-index:-82326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r>
                  <w:rPr>
                    <w:rFonts w:ascii="宋体" w:hAnsi="宋体" w:cs="宋体" w:eastAsia="宋体" w:hint="default"/>
                    <w:spacing w:val="-47"/>
                    <w:sz w:val="18"/>
                    <w:szCs w:val="18"/>
                  </w:rPr>
                  <w:t> </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30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97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51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515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412pt;width:156.550pt;height:13pt;mso-position-horizontal-relative:page;mso-position-vertical-relative:page;z-index:-8151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51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508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6.739815pt;margin-top:140.584412pt;width:200.35pt;height:13pt;mso-position-horizontal-relative:page;mso-position-vertical-relative:page;z-index:-815056" type="#_x0000_t202" filled="false" stroked="false">
          <v:textbox inset="0,0,0,0">
            <w:txbxContent>
              <w:p>
                <w:pPr>
                  <w:pStyle w:val="BodyText"/>
                  <w:tabs>
                    <w:tab w:pos="465" w:val="left" w:leader="none"/>
                  </w:tabs>
                  <w:spacing w:line="240" w:lineRule="exact"/>
                  <w:ind w:right="0"/>
                  <w:jc w:val="left"/>
                  <w:rPr>
                    <w:rFonts w:ascii="黑体" w:hAnsi="黑体" w:cs="黑体" w:eastAsia="黑体" w:hint="default"/>
                  </w:rPr>
                </w:pPr>
                <w:r>
                  <w:rPr>
                    <w:rFonts w:ascii="黑体" w:hAnsi="黑体" w:cs="黑体" w:eastAsia="黑体" w:hint="default"/>
                    <w:w w:val="95"/>
                  </w:rPr>
                  <w:t>八</w:t>
                  <w:tab/>
                </w:r>
                <w:r>
                  <w:rPr>
                    <w:rFonts w:ascii="黑体" w:hAnsi="黑体" w:cs="黑体" w:eastAsia="黑体" w:hint="default"/>
                  </w:rPr>
                  <w:t>与境内主要电信运营商的交易（续）</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50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500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6.739815pt;margin-top:140.584412pt;width:200.35pt;height:13pt;mso-position-horizontal-relative:page;mso-position-vertical-relative:page;z-index:-814984" type="#_x0000_t202" filled="false" stroked="false">
          <v:textbox inset="0,0,0,0">
            <w:txbxContent>
              <w:p>
                <w:pPr>
                  <w:pStyle w:val="BodyText"/>
                  <w:tabs>
                    <w:tab w:pos="465" w:val="left" w:leader="none"/>
                  </w:tabs>
                  <w:spacing w:line="240" w:lineRule="exact"/>
                  <w:ind w:right="0"/>
                  <w:jc w:val="left"/>
                  <w:rPr>
                    <w:rFonts w:ascii="黑体" w:hAnsi="黑体" w:cs="黑体" w:eastAsia="黑体" w:hint="default"/>
                  </w:rPr>
                </w:pPr>
                <w:r>
                  <w:rPr>
                    <w:rFonts w:ascii="黑体" w:hAnsi="黑体" w:cs="黑体" w:eastAsia="黑体" w:hint="default"/>
                    <w:w w:val="95"/>
                  </w:rPr>
                  <w:t>八</w:t>
                  <w:tab/>
                </w:r>
                <w:r>
                  <w:rPr>
                    <w:rFonts w:ascii="黑体" w:hAnsi="黑体" w:cs="黑体" w:eastAsia="黑体" w:hint="default"/>
                  </w:rPr>
                  <w:t>与境内主要电信运营商的交易（续）</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49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493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49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48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48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484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412pt;width:231.55pt;height:13pt;mso-position-horizontal-relative:page;mso-position-vertical-relative:page;z-index:-8148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十六</w:t>
                </w:r>
                <w:r>
                  <w:rPr>
                    <w:rFonts w:ascii="黑体" w:hAnsi="黑体" w:cs="黑体" w:eastAsia="黑体" w:hint="default"/>
                    <w:spacing w:val="77"/>
                  </w:rPr>
                  <w:t> </w:t>
                </w:r>
                <w:r>
                  <w:rPr>
                    <w:rFonts w:ascii="黑体" w:hAnsi="黑体" w:cs="黑体" w:eastAsia="黑体" w:hint="default"/>
                  </w:rPr>
                  <w:t>本公司个别财务报表主要项目注释（续）</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47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476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412pt;width:232.9pt;height:13pt;mso-position-horizontal-relative:page;mso-position-vertical-relative:page;z-index:-814744" type="#_x0000_t202" filled="false" stroked="false">
          <v:textbox inset="0,0,0,0">
            <w:txbxContent>
              <w:p>
                <w:pPr>
                  <w:pStyle w:val="BodyText"/>
                  <w:tabs>
                    <w:tab w:pos="677" w:val="left" w:leader="none"/>
                  </w:tabs>
                  <w:spacing w:line="240" w:lineRule="exact"/>
                  <w:ind w:right="0"/>
                  <w:jc w:val="left"/>
                  <w:rPr>
                    <w:rFonts w:ascii="黑体" w:hAnsi="黑体" w:cs="黑体" w:eastAsia="黑体" w:hint="default"/>
                  </w:rPr>
                </w:pPr>
                <w:r>
                  <w:rPr>
                    <w:rFonts w:ascii="黑体" w:hAnsi="黑体" w:cs="黑体" w:eastAsia="黑体" w:hint="default"/>
                    <w:w w:val="95"/>
                  </w:rPr>
                  <w:t>十六</w:t>
                  <w:tab/>
                </w:r>
                <w:r>
                  <w:rPr>
                    <w:rFonts w:ascii="黑体" w:hAnsi="黑体" w:cs="黑体" w:eastAsia="黑体" w:hint="default"/>
                  </w:rPr>
                  <w:t>本公司个别财务报表主要项目注释（续）</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6pt;height:13pt;mso-position-horizontal-relative:page;mso-position-vertical-relative:page;z-index:-8147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pt;height:27.8pt;mso-position-horizontal-relative:page;mso-position-vertical-relative:page;z-index:-81469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6pt;height:13pt;mso-position-horizontal-relative:page;mso-position-vertical-relative:page;z-index:-8146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pt;height:27.8pt;mso-position-horizontal-relative:page;mso-position-vertical-relative:page;z-index:-81464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6pt;height:13pt;mso-position-horizontal-relative:page;mso-position-vertical-relative:page;z-index:-8146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pt;height:27.8pt;mso-position-horizontal-relative:page;mso-position-vertical-relative:page;z-index:-81460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9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9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6pt;height:13pt;mso-position-horizontal-relative:page;mso-position-vertical-relative:page;z-index:-8145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pt;height:27.8pt;mso-position-horizontal-relative:page;mso-position-vertical-relative:page;z-index:-81455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6pt;height:13pt;mso-position-horizontal-relative:page;mso-position-vertical-relative:page;z-index:-8145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pt;height:27.8pt;mso-position-horizontal-relative:page;mso-position-vertical-relative:page;z-index:-8145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6pt;height:13pt;mso-position-horizontal-relative:page;mso-position-vertical-relative:page;z-index:-8144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pt;height:27.8pt;mso-position-horizontal-relative:page;mso-position-vertical-relative:page;z-index:-81445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8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85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8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8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78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7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7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71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68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6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64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61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58.644333pt;width:99.9pt;height:13.55pt;mso-position-horizontal-relative:page;mso-position-vertical-relative:page;z-index:-822592" type="#_x0000_t202" filled="false" stroked="false">
          <v:textbox inset="0,0,0,0">
            <w:txbxContent>
              <w:p>
                <w:pPr>
                  <w:pStyle w:val="BodyText"/>
                  <w:spacing w:line="255" w:lineRule="exact"/>
                  <w:ind w:right="0"/>
                  <w:jc w:val="left"/>
                </w:pPr>
                <w:r>
                  <w:rPr>
                    <w:rFonts w:ascii="Arial" w:hAnsi="Arial" w:cs="Arial" w:eastAsia="Arial" w:hint="default"/>
                  </w:rPr>
                  <w:t>9</w:t>
                </w:r>
                <w:r>
                  <w:rPr/>
                  <w:t>、</w:t>
                </w:r>
                <w:r>
                  <w:rPr>
                    <w:spacing w:val="-37"/>
                  </w:rPr>
                  <w:t> </w:t>
                </w:r>
                <w:r>
                  <w:rPr/>
                  <w:t>金融工具（续）</w:t>
                </w:r>
              </w:p>
            </w:txbxContent>
          </v:textbox>
          <w10:wrap type="none"/>
        </v:shape>
      </w:pict>
    </w:r>
    <w:r>
      <w:rPr/>
      <w:pict>
        <v:shape style="position:absolute;margin-left:76.941513pt;margin-top:182.644424pt;width:99.9pt;height:13.55pt;mso-position-horizontal-relative:page;mso-position-vertical-relative:page;z-index:-822568"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24"/>
                  </w:rPr>
                  <w:t> </w:t>
                </w:r>
                <w:r>
                  <w:rPr/>
                  <w:t>金融资产（续）</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5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52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49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58.644333pt;width:99.9pt;height:13.55pt;mso-position-horizontal-relative:page;mso-position-vertical-relative:page;z-index:-822472" type="#_x0000_t202" filled="false" stroked="false">
          <v:textbox inset="0,0,0,0">
            <w:txbxContent>
              <w:p>
                <w:pPr>
                  <w:pStyle w:val="BodyText"/>
                  <w:spacing w:line="255" w:lineRule="exact"/>
                  <w:ind w:right="0"/>
                  <w:jc w:val="left"/>
                </w:pPr>
                <w:r>
                  <w:rPr>
                    <w:rFonts w:ascii="Arial" w:hAnsi="Arial" w:cs="Arial" w:eastAsia="Arial" w:hint="default"/>
                  </w:rPr>
                  <w:t>9</w:t>
                </w:r>
                <w:r>
                  <w:rPr/>
                  <w:t>、</w:t>
                </w:r>
                <w:r>
                  <w:rPr>
                    <w:spacing w:val="-37"/>
                  </w:rPr>
                  <w:t> </w:t>
                </w:r>
                <w:r>
                  <w:rPr/>
                  <w:t>金融工具（续）</w:t>
                </w:r>
              </w:p>
            </w:txbxContent>
          </v:textbox>
          <w10:wrap type="none"/>
        </v:shape>
      </w:pict>
    </w:r>
    <w:r>
      <w:rPr/>
      <w:pict>
        <v:shape style="position:absolute;margin-left:76.941513pt;margin-top:182.644424pt;width:99.9pt;height:13.55pt;mso-position-horizontal-relative:page;mso-position-vertical-relative:page;z-index:-822448"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24"/>
                  </w:rPr>
                  <w:t> </w:t>
                </w:r>
                <w:r>
                  <w:rPr/>
                  <w:t>金融资产（续）</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4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40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37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58.644333pt;width:99.9pt;height:13.55pt;mso-position-horizontal-relative:page;mso-position-vertical-relative:page;z-index:-822352" type="#_x0000_t202" filled="false" stroked="false">
          <v:textbox inset="0,0,0,0">
            <w:txbxContent>
              <w:p>
                <w:pPr>
                  <w:pStyle w:val="BodyText"/>
                  <w:spacing w:line="255" w:lineRule="exact"/>
                  <w:ind w:right="0"/>
                  <w:jc w:val="left"/>
                </w:pPr>
                <w:r>
                  <w:rPr>
                    <w:rFonts w:ascii="Arial" w:hAnsi="Arial" w:cs="Arial" w:eastAsia="Arial" w:hint="default"/>
                  </w:rPr>
                  <w:t>9</w:t>
                </w:r>
                <w:r>
                  <w:rPr/>
                  <w:t>、</w:t>
                </w:r>
                <w:r>
                  <w:rPr>
                    <w:spacing w:val="-37"/>
                  </w:rPr>
                  <w:t> </w:t>
                </w:r>
                <w:r>
                  <w:rPr/>
                  <w:t>金融工具（续）</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3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3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2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2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23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20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1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16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13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1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08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20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20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201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9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9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94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92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8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87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84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8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80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77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7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72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70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6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65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6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6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58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5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5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51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48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919998pt;margin-top:47.999691pt;width:42.480004pt;height:28.679997pt;mso-position-horizontal-relative:page;mso-position-vertical-relative:page;z-index:-823192" type="#_x0000_t75" stroked="false">
          <v:imagedata r:id="rId1" o:titl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4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44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41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58.644333pt;width:157.2pt;height:13.55pt;mso-position-horizontal-relative:page;mso-position-vertical-relative:page;z-index:-821392" type="#_x0000_t202" filled="false" stroked="false">
          <v:textbox inset="0,0,0,0">
            <w:txbxContent>
              <w:p>
                <w:pPr>
                  <w:pStyle w:val="BodyText"/>
                  <w:spacing w:line="255" w:lineRule="exact"/>
                  <w:ind w:right="0"/>
                  <w:jc w:val="left"/>
                </w:pPr>
                <w:r>
                  <w:rPr>
                    <w:rFonts w:ascii="Arial" w:hAnsi="Arial" w:cs="Arial" w:eastAsia="Arial" w:hint="default"/>
                  </w:rPr>
                  <w:t>32</w:t>
                </w:r>
                <w:r>
                  <w:rPr/>
                  <w:t>、重要会计估计和判断（续）</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3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34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32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60.083817pt;width:157.2pt;height:13.55pt;mso-position-horizontal-relative:page;mso-position-vertical-relative:page;z-index:-821296" type="#_x0000_t202" filled="false" stroked="false">
          <v:textbox inset="0,0,0,0">
            <w:txbxContent>
              <w:p>
                <w:pPr>
                  <w:pStyle w:val="BodyText"/>
                  <w:spacing w:line="255" w:lineRule="exact"/>
                  <w:ind w:right="0"/>
                  <w:jc w:val="left"/>
                </w:pPr>
                <w:r>
                  <w:rPr>
                    <w:rFonts w:ascii="Arial" w:hAnsi="Arial" w:cs="Arial" w:eastAsia="Arial" w:hint="default"/>
                  </w:rPr>
                  <w:t>32</w:t>
                </w:r>
                <w:r>
                  <w:rPr/>
                  <w:t>、重要会计估计和判断（续）</w:t>
                </w:r>
              </w:p>
            </w:txbxContent>
          </v:textbox>
          <w10:wrap type="none"/>
        </v:shape>
      </w:pict>
    </w:r>
    <w:r>
      <w:rPr/>
      <w:pict>
        <v:shape style="position:absolute;margin-left:76.940002pt;margin-top:186.96376pt;width:180.45pt;height:13.35pt;mso-position-horizontal-relative:page;mso-position-vertical-relative:page;z-index:-821272" type="#_x0000_t202" filled="false" stroked="false">
          <v:textbox inset="0,0,0,0">
            <w:txbxContent>
              <w:p>
                <w:pPr>
                  <w:tabs>
                    <w:tab w:pos="509" w:val="left" w:leader="none"/>
                  </w:tabs>
                  <w:spacing w:line="251" w:lineRule="exact" w:before="0"/>
                  <w:ind w:left="20" w:right="0" w:firstLine="0"/>
                  <w:jc w:val="left"/>
                  <w:rPr>
                    <w:rFonts w:ascii="宋体" w:hAnsi="宋体" w:cs="宋体" w:eastAsia="宋体" w:hint="default"/>
                    <w:sz w:val="22"/>
                    <w:szCs w:val="22"/>
                  </w:rPr>
                </w:pPr>
                <w:r>
                  <w:rPr>
                    <w:rFonts w:ascii="Arial" w:hAnsi="Arial" w:cs="Arial" w:eastAsia="Arial" w:hint="default"/>
                    <w:sz w:val="20"/>
                    <w:szCs w:val="20"/>
                  </w:rPr>
                  <w:t>(b)</w:t>
                  <w:tab/>
                </w:r>
                <w:r>
                  <w:rPr>
                    <w:rFonts w:ascii="宋体" w:hAnsi="宋体" w:cs="宋体" w:eastAsia="宋体" w:hint="default"/>
                    <w:sz w:val="22"/>
                    <w:szCs w:val="22"/>
                  </w:rPr>
                  <w:t>采取会计政策的关键判断（续）</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2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22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2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60.083817pt;width:157.2pt;height:13.55pt;mso-position-horizontal-relative:page;mso-position-vertical-relative:page;z-index:-821176" type="#_x0000_t202" filled="false" stroked="false">
          <v:textbox inset="0,0,0,0">
            <w:txbxContent>
              <w:p>
                <w:pPr>
                  <w:pStyle w:val="BodyText"/>
                  <w:spacing w:line="255" w:lineRule="exact"/>
                  <w:ind w:right="0"/>
                  <w:jc w:val="left"/>
                </w:pPr>
                <w:r>
                  <w:rPr>
                    <w:rFonts w:ascii="Arial" w:hAnsi="Arial" w:cs="Arial" w:eastAsia="Arial" w:hint="default"/>
                  </w:rPr>
                  <w:t>32</w:t>
                </w:r>
                <w:r>
                  <w:rPr/>
                  <w:t>、重要会计估计和判断（续）</w:t>
                </w:r>
              </w:p>
            </w:txbxContent>
          </v:textbox>
          <w10:wrap type="none"/>
        </v:shape>
      </w:pict>
    </w:r>
    <w:r>
      <w:rPr/>
      <w:pict>
        <v:shape style="position:absolute;margin-left:76.940002pt;margin-top:185.343765pt;width:180.45pt;height:13.35pt;mso-position-horizontal-relative:page;mso-position-vertical-relative:page;z-index:-821152" type="#_x0000_t202" filled="false" stroked="false">
          <v:textbox inset="0,0,0,0">
            <w:txbxContent>
              <w:p>
                <w:pPr>
                  <w:tabs>
                    <w:tab w:pos="509" w:val="left" w:leader="none"/>
                  </w:tabs>
                  <w:spacing w:line="251" w:lineRule="exact" w:before="0"/>
                  <w:ind w:left="20" w:right="0" w:firstLine="0"/>
                  <w:jc w:val="left"/>
                  <w:rPr>
                    <w:rFonts w:ascii="宋体" w:hAnsi="宋体" w:cs="宋体" w:eastAsia="宋体" w:hint="default"/>
                    <w:sz w:val="22"/>
                    <w:szCs w:val="22"/>
                  </w:rPr>
                </w:pPr>
                <w:r>
                  <w:rPr>
                    <w:rFonts w:ascii="Arial" w:hAnsi="Arial" w:cs="Arial" w:eastAsia="Arial" w:hint="default"/>
                    <w:sz w:val="20"/>
                    <w:szCs w:val="20"/>
                  </w:rPr>
                  <w:t>(b)</w:t>
                  <w:tab/>
                </w:r>
                <w:r>
                  <w:rPr>
                    <w:rFonts w:ascii="宋体" w:hAnsi="宋体" w:cs="宋体" w:eastAsia="宋体" w:hint="default"/>
                    <w:sz w:val="22"/>
                    <w:szCs w:val="22"/>
                  </w:rPr>
                  <w:t>采取会计政策的关键判断（续）</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1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11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10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60.083817pt;width:146.2pt;height:13.55pt;mso-position-horizontal-relative:page;mso-position-vertical-relative:page;z-index:-821056"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r>
      <w:rPr/>
      <w:pict>
        <v:shape style="position:absolute;margin-left:76.941513pt;margin-top:186.962845pt;width:123.45pt;height:13.55pt;mso-position-horizontal-relative:page;mso-position-vertical-relative:page;z-index:-821032"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56"/>
                  </w:rPr>
                  <w:t> </w:t>
                </w:r>
                <w:r>
                  <w:rPr/>
                  <w:t>金融风险因素（续）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10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098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09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60.083817pt;width:146.2pt;height:13.55pt;mso-position-horizontal-relative:page;mso-position-vertical-relative:page;z-index:-820936"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r>
      <w:rPr/>
      <w:pict>
        <v:shape style="position:absolute;margin-left:76.941513pt;margin-top:184.324356pt;width:124.85pt;height:13.55pt;mso-position-horizontal-relative:page;mso-position-vertical-relative:page;z-index:-820912" type="#_x0000_t202" filled="false" stroked="false">
          <v:textbox inset="0,0,0,0">
            <w:txbxContent>
              <w:p>
                <w:pPr>
                  <w:pStyle w:val="BodyText"/>
                  <w:tabs>
                    <w:tab w:pos="497" w:val="left" w:leader="none"/>
                  </w:tabs>
                  <w:spacing w:line="255" w:lineRule="exact"/>
                  <w:ind w:right="0"/>
                  <w:jc w:val="left"/>
                </w:pPr>
                <w:r>
                  <w:rPr>
                    <w:rFonts w:ascii="Arial" w:hAnsi="Arial" w:cs="Arial" w:eastAsia="Arial" w:hint="default"/>
                    <w:w w:val="95"/>
                  </w:rPr>
                  <w:t>(a)</w:t>
                  <w:tab/>
                </w:r>
                <w:r>
                  <w:rPr/>
                  <w:t>金融风险因素（续）</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08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086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084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60.083817pt;width:146.2pt;height:13.55pt;mso-position-horizontal-relative:page;mso-position-vertical-relative:page;z-index:-820816"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r>
      <w:rPr/>
      <w:pict>
        <v:shape style="position:absolute;margin-left:76.940002pt;margin-top:184.683762pt;width:124.35pt;height:13.55pt;mso-position-horizontal-relative:page;mso-position-vertical-relative:page;z-index:-820792"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13"/>
                  </w:rPr>
                  <w:t> </w:t>
                </w:r>
                <w:r>
                  <w:rPr/>
                  <w:t>金融风险因素（续）</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07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074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072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60.083817pt;width:146.2pt;height:13.55pt;mso-position-horizontal-relative:page;mso-position-vertical-relative:page;z-index:-820696"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r>
      <w:rPr/>
      <w:pict>
        <v:shape style="position:absolute;margin-left:76.941513pt;margin-top:186.962845pt;width:124.35pt;height:13.55pt;mso-position-horizontal-relative:page;mso-position-vertical-relative:page;z-index:-820672"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13"/>
                  </w:rPr>
                  <w:t> </w:t>
                </w:r>
                <w:r>
                  <w:rPr/>
                  <w:t>金融风险因素（续）</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06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062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06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60.083817pt;width:146.2pt;height:13.55pt;mso-position-horizontal-relative:page;mso-position-vertical-relative:page;z-index:-820576"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05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052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2305pt;width:178.5pt;height:13pt;mso-position-horizontal-relative:page;mso-position-vertical-relative:page;z-index:-82050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414pt;margin-top:160.083817pt;width:146.2pt;height:13.55pt;mso-position-horizontal-relative:page;mso-position-vertical-relative:page;z-index:-820480"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6pt;height:13pt;mso-position-horizontal-relative:page;mso-position-vertical-relative:page;z-index:-8204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3195pt;width:200.05pt;height:41.5pt;mso-position-horizontal-relative:page;mso-position-vertical-relative:page;z-index:-82043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7.659187pt;margin-top:129.722305pt;width:46.65pt;height:13pt;mso-position-horizontal-relative:page;mso-position-vertical-relative:page;z-index:-820408" type="#_x0000_t202" filled="false" stroked="false">
          <v:textbox inset="0,0,0,0">
            <w:txbxContent>
              <w:p>
                <w:pPr>
                  <w:pStyle w:val="BodyText"/>
                  <w:tabs>
                    <w:tab w:pos="473" w:val="left" w:leader="none"/>
                  </w:tabs>
                  <w:spacing w:line="240" w:lineRule="exact"/>
                  <w:ind w:right="0"/>
                  <w:jc w:val="left"/>
                  <w:rPr>
                    <w:rFonts w:ascii="黑体" w:hAnsi="黑体" w:cs="黑体" w:eastAsia="黑体" w:hint="default"/>
                  </w:rPr>
                </w:pPr>
                <w:r>
                  <w:rPr>
                    <w:rFonts w:ascii="黑体" w:hAnsi="黑体" w:cs="黑体" w:eastAsia="黑体" w:hint="default"/>
                    <w:w w:val="95"/>
                  </w:rPr>
                  <w:t>三</w:t>
                  <w:tab/>
                </w:r>
                <w:r>
                  <w:rPr>
                    <w:rFonts w:ascii="黑体" w:hAnsi="黑体" w:cs="黑体" w:eastAsia="黑体" w:hint="default"/>
                  </w:rPr>
                  <w:t>税项</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120003pt;margin-top:44.703663pt;width:156pt;height:13pt;mso-position-horizontal-relative:page;mso-position-vertical-relative:page;z-index:-8203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120003pt;margin-top:71.643089pt;width:200.05pt;height:41.5pt;mso-position-horizontal-relative:page;mso-position-vertical-relative:page;z-index:-82036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7.120003pt;margin-top:127.083305pt;width:77.25pt;height:13pt;mso-position-horizontal-relative:page;mso-position-vertical-relative:page;z-index:-8203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三</w:t>
                </w:r>
                <w:r>
                  <w:rPr>
                    <w:rFonts w:ascii="黑体" w:hAnsi="黑体" w:cs="黑体" w:eastAsia="黑体" w:hint="default"/>
                    <w:spacing w:val="74"/>
                  </w:rPr>
                  <w:t> </w:t>
                </w:r>
                <w:r>
                  <w:rPr>
                    <w:rFonts w:ascii="黑体" w:hAnsi="黑体" w:cs="黑体" w:eastAsia="黑体" w:hint="default"/>
                  </w:rPr>
                  <w:t>税项（续）</w:t>
                </w:r>
              </w:p>
            </w:txbxContent>
          </v:textbox>
          <w10:wrap type="none"/>
        </v:shape>
      </w:pict>
    </w:r>
    <w:r>
      <w:rPr/>
      <w:pict>
        <v:shape style="position:absolute;margin-left:78.499084pt;margin-top:152.523972pt;width:107.1pt;height:13.55pt;mso-position-horizontal-relative:page;mso-position-vertical-relative:page;z-index:-820312" type="#_x0000_t202" filled="false" stroked="false">
          <v:textbox inset="0,0,0,0">
            <w:txbxContent>
              <w:p>
                <w:pPr>
                  <w:pStyle w:val="BodyText"/>
                  <w:spacing w:line="255" w:lineRule="exact"/>
                  <w:ind w:right="0"/>
                  <w:jc w:val="left"/>
                </w:pPr>
                <w:r>
                  <w:rPr>
                    <w:rFonts w:ascii="Arial" w:hAnsi="Arial" w:cs="Arial" w:eastAsia="Arial" w:hint="default"/>
                  </w:rPr>
                  <w:t>3</w:t>
                </w:r>
                <w:r>
                  <w:rPr/>
                  <w:t>、企业所得税（续）</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120003pt;margin-top:44.703663pt;width:156pt;height:13pt;mso-position-horizontal-relative:page;mso-position-vertical-relative:page;z-index:-8202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120003pt;margin-top:71.643089pt;width:200.05pt;height:41.5pt;mso-position-horizontal-relative:page;mso-position-vertical-relative:page;z-index:-82026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7.120003pt;margin-top:127.083305pt;width:77.25pt;height:13pt;mso-position-horizontal-relative:page;mso-position-vertical-relative:page;z-index:-8202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三</w:t>
                </w:r>
                <w:r>
                  <w:rPr>
                    <w:rFonts w:ascii="黑体" w:hAnsi="黑体" w:cs="黑体" w:eastAsia="黑体" w:hint="default"/>
                    <w:spacing w:val="74"/>
                  </w:rPr>
                  <w:t> </w:t>
                </w:r>
                <w:r>
                  <w:rPr>
                    <w:rFonts w:ascii="黑体" w:hAnsi="黑体" w:cs="黑体" w:eastAsia="黑体" w:hint="default"/>
                  </w:rPr>
                  <w:t>税项（续）</w:t>
                </w:r>
              </w:p>
            </w:txbxContent>
          </v:textbox>
          <w10:wrap type="none"/>
        </v:shape>
      </w:pict>
    </w:r>
    <w:r>
      <w:rPr/>
      <w:pict>
        <v:shape style="position:absolute;margin-left:78.499084pt;margin-top:152.523972pt;width:107.1pt;height:13.55pt;mso-position-horizontal-relative:page;mso-position-vertical-relative:page;z-index:-820216" type="#_x0000_t202" filled="false" stroked="false">
          <v:textbox inset="0,0,0,0">
            <w:txbxContent>
              <w:p>
                <w:pPr>
                  <w:pStyle w:val="BodyText"/>
                  <w:spacing w:line="255" w:lineRule="exact"/>
                  <w:ind w:right="0"/>
                  <w:jc w:val="left"/>
                </w:pPr>
                <w:r>
                  <w:rPr>
                    <w:rFonts w:ascii="Arial" w:hAnsi="Arial" w:cs="Arial" w:eastAsia="Arial" w:hint="default"/>
                  </w:rPr>
                  <w:t>3</w:t>
                </w:r>
                <w:r>
                  <w:rPr/>
                  <w:t>、企业所得税（续）</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70501pt;margin-top:58.444061pt;width:156pt;height:13pt;mso-position-horizontal-relative:page;mso-position-vertical-relative:page;z-index:-8201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27.370501pt;margin-top:85.383492pt;width:200.05pt;height:41.5pt;mso-position-horizontal-relative:page;mso-position-vertical-relative:page;z-index:-82016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70501pt;margin-top:58.444061pt;width:156pt;height:13pt;mso-position-horizontal-relative:page;mso-position-vertical-relative:page;z-index:-8201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27.370501pt;margin-top:85.383492pt;width:200.05pt;height:41.5pt;mso-position-horizontal-relative:page;mso-position-vertical-relative:page;z-index:-82009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27.370501pt;margin-top:140.822617pt;width:176.85pt;height:13pt;mso-position-horizontal-relative:page;mso-position-vertical-relative:page;z-index:-8200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5"/>
                  </w:rPr>
                  <w:t> </w:t>
                </w:r>
                <w:r>
                  <w:rPr>
                    <w:rFonts w:ascii="黑体" w:hAnsi="黑体" w:cs="黑体" w:eastAsia="黑体" w:hint="default"/>
                  </w:rPr>
                  <w:t>企业合并及合并财务报表（续）</w:t>
                </w:r>
              </w:p>
            </w:txbxContent>
          </v:textbox>
          <w10:wrap type="none"/>
        </v:shape>
      </w:pict>
    </w:r>
    <w:r>
      <w:rPr/>
      <w:pict>
        <v:shape style="position:absolute;margin-left:28.750687pt;margin-top:167.702744pt;width:131.5pt;height:13.55pt;mso-position-horizontal-relative:page;mso-position-vertical-relative:page;z-index:-820048" type="#_x0000_t202" filled="false" stroked="false">
          <v:textbox inset="0,0,0,0">
            <w:txbxContent>
              <w:p>
                <w:pPr>
                  <w:pStyle w:val="BodyText"/>
                  <w:spacing w:line="255" w:lineRule="exact"/>
                  <w:ind w:right="0"/>
                  <w:jc w:val="left"/>
                </w:pPr>
                <w:r>
                  <w:rPr>
                    <w:rFonts w:ascii="Arial" w:hAnsi="Arial" w:cs="Arial" w:eastAsia="Arial" w:hint="default"/>
                  </w:rPr>
                  <w:t>1</w:t>
                </w:r>
                <w:r>
                  <w:rPr/>
                  <w:t>、</w:t>
                </w:r>
                <w:r>
                  <w:rPr>
                    <w:spacing w:val="-64"/>
                  </w:rPr>
                  <w:t> </w:t>
                </w:r>
                <w:r>
                  <w:rPr/>
                  <w:t>重要子公司情况（续）</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6pt;height:13pt;mso-position-horizontal-relative:page;mso-position-vertical-relative:page;z-index:-8200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3194pt;width:200.05pt;height:41.5pt;mso-position-horizontal-relative:page;mso-position-vertical-relative:page;z-index:-81997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0.400475pt;margin-top:140.82341pt;width:174.75pt;height:13pt;mso-position-horizontal-relative:page;mso-position-vertical-relative:page;z-index:-8199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43"/>
                  </w:rPr>
                  <w:t> </w:t>
                </w:r>
                <w:r>
                  <w:rPr>
                    <w:rFonts w:ascii="黑体" w:hAnsi="黑体" w:cs="黑体" w:eastAsia="黑体" w:hint="default"/>
                  </w:rPr>
                  <w:t>企业合并及合并财务报表（续）</w:t>
                </w:r>
              </w:p>
            </w:txbxContent>
          </v:textbox>
          <w10:wrap type="none"/>
        </v:shape>
      </w:pict>
    </w:r>
    <w:r>
      <w:rPr/>
      <w:pict>
        <v:shape style="position:absolute;margin-left:69.680183pt;margin-top:167.702454pt;width:131.5pt;height:13.55pt;mso-position-horizontal-relative:page;mso-position-vertical-relative:page;z-index:-819928" type="#_x0000_t202" filled="false" stroked="false">
          <v:textbox inset="0,0,0,0">
            <w:txbxContent>
              <w:p>
                <w:pPr>
                  <w:pStyle w:val="BodyText"/>
                  <w:spacing w:line="255" w:lineRule="exact"/>
                  <w:ind w:right="0"/>
                  <w:jc w:val="left"/>
                </w:pPr>
                <w:r>
                  <w:rPr>
                    <w:rFonts w:ascii="Arial" w:hAnsi="Arial" w:cs="Arial" w:eastAsia="Arial" w:hint="default"/>
                  </w:rPr>
                  <w:t>1</w:t>
                </w:r>
                <w:r>
                  <w:rPr/>
                  <w:t>、</w:t>
                </w:r>
                <w:r>
                  <w:rPr>
                    <w:spacing w:val="-64"/>
                  </w:rPr>
                  <w:t> </w:t>
                </w:r>
                <w:r>
                  <w:rPr/>
                  <w:t>重要子公司情况（续）</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6pt;height:13pt;mso-position-horizontal-relative:page;mso-position-vertical-relative:page;z-index:-8198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3194pt;width:200.05pt;height:41.5pt;mso-position-horizontal-relative:page;mso-position-vertical-relative:page;z-index:-81985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300003pt;margin-top:140.82341pt;width:176.85pt;height:13pt;mso-position-horizontal-relative:page;mso-position-vertical-relative:page;z-index:-8198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5"/>
                  </w:rPr>
                  <w:t> </w:t>
                </w:r>
                <w:r>
                  <w:rPr>
                    <w:rFonts w:ascii="黑体" w:hAnsi="黑体" w:cs="黑体" w:eastAsia="黑体" w:hint="default"/>
                  </w:rPr>
                  <w:t>企业合并及合并财务报表（续）</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6pt;height:13pt;mso-position-horizontal-relative:page;mso-position-vertical-relative:page;z-index:-8197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3194pt;width:200.05pt;height:41.5pt;mso-position-horizontal-relative:page;mso-position-vertical-relative:page;z-index:-81976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300003pt;margin-top:140.82341pt;width:176.85pt;height:13pt;mso-position-horizontal-relative:page;mso-position-vertical-relative:page;z-index:-8197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5"/>
                  </w:rPr>
                  <w:t> </w:t>
                </w:r>
                <w:r>
                  <w:rPr>
                    <w:rFonts w:ascii="黑体" w:hAnsi="黑体" w:cs="黑体" w:eastAsia="黑体" w:hint="default"/>
                  </w:rPr>
                  <w:t>企业合并及合并财务报表（续）</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6pt;height:13pt;mso-position-horizontal-relative:page;mso-position-vertical-relative:page;z-index:-8196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3194pt;width:200.05pt;height:41.5pt;mso-position-horizontal-relative:page;mso-position-vertical-relative:page;z-index:-81966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6pt;height:13pt;mso-position-horizontal-relative:page;mso-position-vertical-relative:page;z-index:-8196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3194pt;width:200.05pt;height:41.5pt;mso-position-horizontal-relative:page;mso-position-vertical-relative:page;z-index:-81961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95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954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2.1pt;height:13pt;mso-position-horizontal-relative:page;mso-position-vertical-relative:page;z-index:-8195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10"/>
                  </w:rPr>
                  <w:t> </w:t>
                </w:r>
                <w:r>
                  <w:rPr>
                    <w:rFonts w:ascii="黑体" w:hAnsi="黑体" w:cs="黑体" w:eastAsia="黑体" w:hint="default"/>
                  </w:rPr>
                  <w:t>合并财务报表项目附注（续）</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94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947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2.1pt;height:13pt;mso-position-horizontal-relative:page;mso-position-vertical-relative:page;z-index:-8194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10"/>
                  </w:rPr>
                  <w:t> </w:t>
                </w:r>
                <w:r>
                  <w:rPr>
                    <w:rFonts w:ascii="黑体" w:hAnsi="黑体" w:cs="黑体" w:eastAsia="黑体" w:hint="default"/>
                  </w:rPr>
                  <w:t>合并财务报表项目附注（续）</w:t>
                </w:r>
              </w:p>
            </w:txbxContent>
          </v:textbox>
          <w10:wrap type="none"/>
        </v:shape>
      </w:pict>
    </w:r>
    <w:r>
      <w:rPr/>
      <w:pict>
        <v:shape style="position:absolute;margin-left:68.120003pt;margin-top:167.703552pt;width:97pt;height:13.55pt;mso-position-horizontal-relative:page;mso-position-vertical-relative:page;z-index:-819424" type="#_x0000_t202" filled="false" stroked="false">
          <v:textbox inset="0,0,0,0">
            <w:txbxContent>
              <w:p>
                <w:pPr>
                  <w:pStyle w:val="BodyText"/>
                  <w:spacing w:line="255" w:lineRule="exact"/>
                  <w:ind w:right="0"/>
                  <w:jc w:val="left"/>
                </w:pPr>
                <w:r>
                  <w:rPr>
                    <w:rFonts w:ascii="Arial" w:hAnsi="Arial" w:cs="Arial" w:eastAsia="Arial" w:hint="default"/>
                    <w:spacing w:val="2"/>
                  </w:rPr>
                  <w:t>3</w:t>
                </w:r>
                <w:r>
                  <w:rPr>
                    <w:spacing w:val="2"/>
                  </w:rPr>
                  <w:t>、应收账款（续）</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93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935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2.1pt;height:13pt;mso-position-horizontal-relative:page;mso-position-vertical-relative:page;z-index:-8193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10"/>
                  </w:rPr>
                  <w:t> </w:t>
                </w:r>
                <w:r>
                  <w:rPr>
                    <w:rFonts w:ascii="黑体" w:hAnsi="黑体" w:cs="黑体" w:eastAsia="黑体" w:hint="default"/>
                  </w:rPr>
                  <w:t>合并财务报表项目附注（续）</w:t>
                </w:r>
              </w:p>
            </w:txbxContent>
          </v:textbox>
          <w10:wrap type="none"/>
        </v:shape>
      </w:pict>
    </w:r>
    <w:r>
      <w:rPr/>
      <w:pict>
        <v:shape style="position:absolute;margin-left:68.120003pt;margin-top:167.703552pt;width:99.9pt;height:13.55pt;mso-position-horizontal-relative:page;mso-position-vertical-relative:page;z-index:-819304" type="#_x0000_t202" filled="false" stroked="false">
          <v:textbox inset="0,0,0,0">
            <w:txbxContent>
              <w:p>
                <w:pPr>
                  <w:pStyle w:val="BodyText"/>
                  <w:spacing w:line="255" w:lineRule="exact"/>
                  <w:ind w:right="0"/>
                  <w:jc w:val="left"/>
                </w:pPr>
                <w:r>
                  <w:rPr>
                    <w:rFonts w:ascii="Arial" w:hAnsi="Arial" w:cs="Arial" w:eastAsia="Arial" w:hint="default"/>
                  </w:rPr>
                  <w:t>3</w:t>
                </w:r>
                <w:r>
                  <w:rPr/>
                  <w:t>、</w:t>
                </w:r>
                <w:r>
                  <w:rPr>
                    <w:spacing w:val="-37"/>
                  </w:rPr>
                  <w:t> </w:t>
                </w:r>
                <w:r>
                  <w:rPr/>
                  <w:t>应收账款（续）</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92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925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2.1pt;height:13pt;mso-position-horizontal-relative:page;mso-position-vertical-relative:page;z-index:-8192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10"/>
                  </w:rPr>
                  <w:t> </w:t>
                </w:r>
                <w:r>
                  <w:rPr>
                    <w:rFonts w:ascii="黑体" w:hAnsi="黑体" w:cs="黑体" w:eastAsia="黑体" w:hint="default"/>
                  </w:rPr>
                  <w:t>合并财务报表项目附注（续）</w:t>
                </w:r>
              </w:p>
            </w:txbxContent>
          </v:textbox>
          <w10:wrap type="none"/>
        </v:shape>
      </w:pict>
    </w:r>
    <w:r>
      <w:rPr/>
      <w:pict>
        <v:shape style="position:absolute;margin-left:68.120003pt;margin-top:167.703552pt;width:110.85pt;height:13.55pt;mso-position-horizontal-relative:page;mso-position-vertical-relative:page;z-index:-819208" type="#_x0000_t202" filled="false" stroked="false">
          <v:textbox inset="0,0,0,0">
            <w:txbxContent>
              <w:p>
                <w:pPr>
                  <w:pStyle w:val="BodyText"/>
                  <w:spacing w:line="255" w:lineRule="exact"/>
                  <w:ind w:right="0"/>
                  <w:jc w:val="left"/>
                </w:pPr>
                <w:r>
                  <w:rPr>
                    <w:rFonts w:ascii="Arial" w:hAnsi="Arial" w:cs="Arial" w:eastAsia="Arial" w:hint="default"/>
                  </w:rPr>
                  <w:t>4</w:t>
                </w:r>
                <w:r>
                  <w:rPr/>
                  <w:t>、</w:t>
                </w:r>
                <w:r>
                  <w:rPr>
                    <w:spacing w:val="-37"/>
                  </w:rPr>
                  <w:t> </w:t>
                </w:r>
                <w:r>
                  <w:rPr/>
                  <w:t>其他应收款（续）</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91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916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2.1pt;height:13pt;mso-position-horizontal-relative:page;mso-position-vertical-relative:page;z-index:-8191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10"/>
                  </w:rPr>
                  <w:t> </w:t>
                </w:r>
                <w:r>
                  <w:rPr>
                    <w:rFonts w:ascii="黑体" w:hAnsi="黑体" w:cs="黑体" w:eastAsia="黑体" w:hint="default"/>
                  </w:rPr>
                  <w:t>合并财务报表项目附注（续）</w:t>
                </w:r>
              </w:p>
            </w:txbxContent>
          </v:textbox>
          <w10:wrap type="none"/>
        </v:shape>
      </w:pict>
    </w:r>
    <w:r>
      <w:rPr/>
      <w:pict>
        <v:shape style="position:absolute;margin-left:68.120003pt;margin-top:167.703552pt;width:110.85pt;height:13.55pt;mso-position-horizontal-relative:page;mso-position-vertical-relative:page;z-index:-819112" type="#_x0000_t202" filled="false" stroked="false">
          <v:textbox inset="0,0,0,0">
            <w:txbxContent>
              <w:p>
                <w:pPr>
                  <w:pStyle w:val="BodyText"/>
                  <w:spacing w:line="255" w:lineRule="exact"/>
                  <w:ind w:right="0"/>
                  <w:jc w:val="left"/>
                </w:pPr>
                <w:r>
                  <w:rPr>
                    <w:rFonts w:ascii="Arial" w:hAnsi="Arial" w:cs="Arial" w:eastAsia="Arial" w:hint="default"/>
                  </w:rPr>
                  <w:t>4</w:t>
                </w:r>
                <w:r>
                  <w:rPr/>
                  <w:t>、</w:t>
                </w:r>
                <w:r>
                  <w:rPr>
                    <w:spacing w:val="-37"/>
                  </w:rPr>
                  <w:t> </w:t>
                </w:r>
                <w:r>
                  <w:rPr/>
                  <w:t>其他应收款（续）</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90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906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2.1pt;height:13pt;mso-position-horizontal-relative:page;mso-position-vertical-relative:page;z-index:-8190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10"/>
                  </w:rPr>
                  <w:t> </w:t>
                </w:r>
                <w:r>
                  <w:rPr>
                    <w:rFonts w:ascii="黑体" w:hAnsi="黑体" w:cs="黑体" w:eastAsia="黑体" w:hint="default"/>
                  </w:rPr>
                  <w:t>合并财务报表项目附注（续）</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90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99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2.1pt;height:13pt;mso-position-horizontal-relative:page;mso-position-vertical-relative:page;z-index:-8189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10"/>
                  </w:rPr>
                  <w:t> </w:t>
                </w:r>
                <w:r>
                  <w:rPr>
                    <w:rFonts w:ascii="黑体" w:hAnsi="黑体" w:cs="黑体" w:eastAsia="黑体" w:hint="default"/>
                  </w:rPr>
                  <w:t>合并财务报表项目附注（续）</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9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92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2.1pt;height:13pt;mso-position-horizontal-relative:page;mso-position-vertical-relative:page;z-index:-8188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10"/>
                  </w:rPr>
                  <w:t> </w:t>
                </w:r>
                <w:r>
                  <w:rPr>
                    <w:rFonts w:ascii="黑体" w:hAnsi="黑体" w:cs="黑体" w:eastAsia="黑体" w:hint="default"/>
                  </w:rPr>
                  <w:t>合并财务报表项目附注（续）</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70501pt;margin-top:58.444061pt;width:156pt;height:13pt;mso-position-horizontal-relative:page;mso-position-vertical-relative:page;z-index:-8188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27.370501pt;margin-top:85.383492pt;width:200.05pt;height:41.5pt;mso-position-horizontal-relative:page;mso-position-vertical-relative:page;z-index:-81884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27.370501pt;margin-top:140.822617pt;width:167.5pt;height:13pt;mso-position-horizontal-relative:page;mso-position-vertical-relative:page;z-index:-8188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29.170122pt;margin-top:167.701645pt;width:120.05pt;height:13.55pt;mso-position-horizontal-relative:page;mso-position-vertical-relative:page;z-index:-818800" type="#_x0000_t202" filled="false" stroked="false">
          <v:textbox inset="0,0,0,0">
            <w:txbxContent>
              <w:p>
                <w:pPr>
                  <w:pStyle w:val="BodyText"/>
                  <w:spacing w:line="255" w:lineRule="exact"/>
                  <w:ind w:right="0"/>
                  <w:jc w:val="left"/>
                </w:pPr>
                <w:r>
                  <w:rPr>
                    <w:rFonts w:ascii="Arial" w:hAnsi="Arial" w:cs="Arial" w:eastAsia="Arial" w:hint="default"/>
                  </w:rPr>
                  <w:t>8</w:t>
                </w:r>
                <w:r>
                  <w:rPr/>
                  <w:t>、</w:t>
                </w:r>
                <w:r>
                  <w:rPr>
                    <w:spacing w:val="-74"/>
                  </w:rPr>
                  <w:t> </w:t>
                </w:r>
                <w:r>
                  <w:rPr/>
                  <w:t>长期股权投资（续）</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7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72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3.2pt;height:13pt;mso-position-horizontal-relative:page;mso-position-vertical-relative:page;z-index:-8187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32"/>
                  </w:rPr>
                  <w:t> </w:t>
                </w:r>
                <w:r>
                  <w:rPr>
                    <w:rFonts w:ascii="黑体" w:hAnsi="黑体" w:cs="黑体" w:eastAsia="黑体" w:hint="default"/>
                  </w:rPr>
                  <w:t>合并财务报表项目附注（续）</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6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63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3.2pt;height:13pt;mso-position-horizontal-relative:page;mso-position-vertical-relative:page;z-index:-8186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32"/>
                  </w:rPr>
                  <w:t> </w:t>
                </w:r>
                <w:r>
                  <w:rPr>
                    <w:rFonts w:ascii="黑体" w:hAnsi="黑体" w:cs="黑体" w:eastAsia="黑体" w:hint="default"/>
                  </w:rPr>
                  <w:t>合并财务报表项目附注（续）</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5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53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851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4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44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841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3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36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834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3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29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827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2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22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82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1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15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81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1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08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805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80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800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98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9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93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91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8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86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84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102.15pt;height:13.55pt;mso-position-horizontal-relative:page;mso-position-vertical-relative:page;z-index:-817816" type="#_x0000_t202" filled="false" stroked="false">
          <v:textbox inset="0,0,0,0">
            <w:txbxContent>
              <w:p>
                <w:pPr>
                  <w:pStyle w:val="BodyText"/>
                  <w:spacing w:line="255" w:lineRule="exact"/>
                  <w:ind w:right="0"/>
                  <w:jc w:val="left"/>
                </w:pPr>
                <w:r>
                  <w:rPr>
                    <w:rFonts w:ascii="Arial" w:hAnsi="Arial" w:cs="Arial" w:eastAsia="Arial" w:hint="default"/>
                  </w:rPr>
                  <w:t>26</w:t>
                </w:r>
                <w:r>
                  <w:rPr/>
                  <w:t>、长期借款（续）</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7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76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74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7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69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67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102.15pt;height:13.55pt;mso-position-horizontal-relative:page;mso-position-vertical-relative:page;z-index:-817648" type="#_x0000_t202" filled="false" stroked="false">
          <v:textbox inset="0,0,0,0">
            <w:txbxContent>
              <w:p>
                <w:pPr>
                  <w:pStyle w:val="BodyText"/>
                  <w:spacing w:line="255" w:lineRule="exact"/>
                  <w:ind w:right="0"/>
                  <w:jc w:val="left"/>
                </w:pPr>
                <w:r>
                  <w:rPr>
                    <w:rFonts w:ascii="Arial" w:hAnsi="Arial" w:cs="Arial" w:eastAsia="Arial" w:hint="default"/>
                  </w:rPr>
                  <w:t>27</w:t>
                </w:r>
                <w:r>
                  <w:rPr/>
                  <w:t>、应付债券（续）</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6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60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57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102.15pt;height:13.55pt;mso-position-horizontal-relative:page;mso-position-vertical-relative:page;z-index:-817552" type="#_x0000_t202" filled="false" stroked="false">
          <v:textbox inset="0,0,0,0">
            <w:txbxContent>
              <w:p>
                <w:pPr>
                  <w:pStyle w:val="BodyText"/>
                  <w:spacing w:line="255" w:lineRule="exact"/>
                  <w:ind w:right="0"/>
                  <w:jc w:val="left"/>
                </w:pPr>
                <w:r>
                  <w:rPr>
                    <w:rFonts w:ascii="Arial" w:hAnsi="Arial" w:cs="Arial" w:eastAsia="Arial" w:hint="default"/>
                  </w:rPr>
                  <w:t>27</w:t>
                </w:r>
                <w:r>
                  <w:rPr/>
                  <w:t>、应付债券（续）</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5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5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4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4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43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40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3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36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33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102.15pt;height:13.55pt;mso-position-horizontal-relative:page;mso-position-vertical-relative:page;z-index:-817312" type="#_x0000_t202" filled="false" stroked="false">
          <v:textbox inset="0,0,0,0">
            <w:txbxContent>
              <w:p>
                <w:pPr>
                  <w:pStyle w:val="BodyText"/>
                  <w:spacing w:line="255" w:lineRule="exact"/>
                  <w:ind w:right="0"/>
                  <w:jc w:val="left"/>
                </w:pPr>
                <w:r>
                  <w:rPr>
                    <w:rFonts w:ascii="Arial" w:hAnsi="Arial" w:cs="Arial" w:eastAsia="Arial" w:hint="default"/>
                  </w:rPr>
                  <w:t>31</w:t>
                </w:r>
                <w:r>
                  <w:rPr/>
                  <w:t>、资本公积（续）</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2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26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24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2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19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16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1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12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09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70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704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70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157.2pt;height:13.55pt;mso-position-horizontal-relative:page;mso-position-vertical-relative:page;z-index:-817000" type="#_x0000_t202" filled="false" stroked="false">
          <v:textbox inset="0,0,0,0">
            <w:txbxContent>
              <w:p>
                <w:pPr>
                  <w:pStyle w:val="BodyText"/>
                  <w:spacing w:line="255" w:lineRule="exact"/>
                  <w:ind w:right="0"/>
                  <w:jc w:val="left"/>
                </w:pPr>
                <w:r>
                  <w:rPr>
                    <w:rFonts w:ascii="Arial" w:hAnsi="Arial" w:cs="Arial" w:eastAsia="Arial" w:hint="default"/>
                  </w:rPr>
                  <w:t>35</w:t>
                </w:r>
                <w:r>
                  <w:rPr/>
                  <w:t>、营业收入和营业成本（续）</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09pt;margin-top:208.679993pt;width:112.2pt;height:.1pt;mso-position-horizontal-relative:page;mso-position-vertical-relative:page;z-index:-816976" coordorigin="6180,4174" coordsize="2244,2">
          <v:shape style="position:absolute;left:6180;top:4174;width:2244;height:2" coordorigin="6180,4174" coordsize="2244,0" path="m6180,4174l8424,4174e" filled="false" stroked="true" strokeweight=".72pt" strokecolor="#000000">
            <v:path arrowok="t"/>
          </v:shape>
          <w10:wrap type="none"/>
        </v:group>
      </w:pict>
    </w:r>
    <w:r>
      <w:rPr/>
      <w:pict>
        <v:group style="position:absolute;margin-left:431.459991pt;margin-top:208.680008pt;width:110.85pt;height:.1pt;mso-position-horizontal-relative:page;mso-position-vertical-relative:page;z-index:-816952" coordorigin="8629,4174" coordsize="2217,2">
          <v:shape style="position:absolute;left:8629;top:4174;width:2217;height:2" coordorigin="8629,4174" coordsize="2217,0" path="m8629,4174l10846,4174e" filled="false" stroked="true" strokeweight=".71997pt" strokecolor="#000000">
            <v:path arrowok="t"/>
          </v:shape>
          <w10:wrap type="none"/>
        </v:group>
      </w:pict>
    </w:r>
    <w:r>
      <w:rPr/>
      <w:pict>
        <v:shape style="position:absolute;margin-left:68.120003pt;margin-top:58.443764pt;width:156pt;height:13pt;mso-position-horizontal-relative:page;mso-position-vertical-relative:page;z-index:-8169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69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68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69.2pt;height:13.55pt;mso-position-horizontal-relative:page;mso-position-vertical-relative:page;z-index:-816856" type="#_x0000_t202" filled="false" stroked="false">
          <v:textbox inset="0,0,0,0">
            <w:txbxContent>
              <w:p>
                <w:pPr>
                  <w:pStyle w:val="BodyText"/>
                  <w:spacing w:line="255" w:lineRule="exact"/>
                  <w:ind w:right="0"/>
                  <w:jc w:val="left"/>
                </w:pPr>
                <w:r>
                  <w:rPr>
                    <w:rFonts w:ascii="Arial" w:hAnsi="Arial" w:cs="Arial" w:eastAsia="Arial" w:hint="default"/>
                  </w:rPr>
                  <w:t>37</w:t>
                </w:r>
                <w:r>
                  <w:rPr/>
                  <w:t>、销售费用</w:t>
                </w:r>
              </w:p>
            </w:txbxContent>
          </v:textbox>
          <w10:wrap type="none"/>
        </v:shape>
      </w:pict>
    </w:r>
    <w:r>
      <w:rPr/>
      <w:pict>
        <v:shape style="position:absolute;margin-left:369.321167pt;margin-top:194.644073pt;width:51.2pt;height:13.55pt;mso-position-horizontal-relative:page;mso-position-vertical-relative:page;z-index:-816832" type="#_x0000_t202" filled="false" stroked="false">
          <v:textbox inset="0,0,0,0">
            <w:txbxContent>
              <w:p>
                <w:pPr>
                  <w:pStyle w:val="BodyText"/>
                  <w:spacing w:line="255" w:lineRule="exact"/>
                  <w:ind w:right="0"/>
                  <w:jc w:val="left"/>
                </w:pPr>
                <w:r>
                  <w:rPr>
                    <w:rFonts w:ascii="Arial" w:hAnsi="Arial" w:cs="Arial" w:eastAsia="Arial" w:hint="default"/>
                  </w:rPr>
                  <w:t>2011</w:t>
                </w:r>
                <w:r>
                  <w:rPr>
                    <w:rFonts w:ascii="Arial" w:hAnsi="Arial" w:cs="Arial" w:eastAsia="Arial" w:hint="default"/>
                    <w:spacing w:val="-8"/>
                  </w:rPr>
                  <w:t> </w:t>
                </w:r>
                <w:r>
                  <w:rPr/>
                  <w:t>年度</w:t>
                </w:r>
              </w:p>
            </w:txbxContent>
          </v:textbox>
          <w10:wrap type="none"/>
        </v:shape>
      </w:pict>
    </w:r>
    <w:r>
      <w:rPr/>
      <w:pict>
        <v:shape style="position:absolute;margin-left:487.941406pt;margin-top:194.644073pt;width:51.2pt;height:13.55pt;mso-position-horizontal-relative:page;mso-position-vertical-relative:page;z-index:-816808" type="#_x0000_t202" filled="false" stroked="false">
          <v:textbox inset="0,0,0,0">
            <w:txbxContent>
              <w:p>
                <w:pPr>
                  <w:pStyle w:val="BodyText"/>
                  <w:spacing w:line="255" w:lineRule="exact"/>
                  <w:ind w:right="0"/>
                  <w:jc w:val="left"/>
                </w:pPr>
                <w:r>
                  <w:rPr>
                    <w:rFonts w:ascii="Arial" w:hAnsi="Arial" w:cs="Arial" w:eastAsia="Arial" w:hint="default"/>
                  </w:rPr>
                  <w:t>2010</w:t>
                </w:r>
                <w:r>
                  <w:rPr>
                    <w:rFonts w:ascii="Arial" w:hAnsi="Arial" w:cs="Arial" w:eastAsia="Arial" w:hint="default"/>
                    <w:spacing w:val="-8"/>
                  </w:rPr>
                  <w:t> </w:t>
                </w:r>
                <w:r>
                  <w:rPr/>
                  <w:t>年度</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09pt;margin-top:208.679993pt;width:112.2pt;height:.1pt;mso-position-horizontal-relative:page;mso-position-vertical-relative:page;z-index:-816784" coordorigin="6180,4174" coordsize="2244,2">
          <v:shape style="position:absolute;left:6180;top:4174;width:2244;height:2" coordorigin="6180,4174" coordsize="2244,0" path="m6180,4174l8424,4174e" filled="false" stroked="true" strokeweight=".72pt" strokecolor="#000000">
            <v:path arrowok="t"/>
          </v:shape>
          <w10:wrap type="none"/>
        </v:group>
      </w:pict>
    </w:r>
    <w:r>
      <w:rPr/>
      <w:pict>
        <v:group style="position:absolute;margin-left:431.459991pt;margin-top:208.680008pt;width:110.85pt;height:.1pt;mso-position-horizontal-relative:page;mso-position-vertical-relative:page;z-index:-816760" coordorigin="8629,4174" coordsize="2217,2">
          <v:shape style="position:absolute;left:8629;top:4174;width:2217;height:2" coordorigin="8629,4174" coordsize="2217,0" path="m8629,4174l10846,4174e" filled="false" stroked="true" strokeweight=".71997pt" strokecolor="#000000">
            <v:path arrowok="t"/>
          </v:shape>
          <w10:wrap type="none"/>
        </v:group>
      </w:pict>
    </w:r>
    <w:r>
      <w:rPr/>
      <w:pict>
        <v:shape style="position:absolute;margin-left:68.120003pt;margin-top:58.443764pt;width:156pt;height:13pt;mso-position-horizontal-relative:page;mso-position-vertical-relative:page;z-index:-8167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671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668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69.2pt;height:13.55pt;mso-position-horizontal-relative:page;mso-position-vertical-relative:page;z-index:-816664" type="#_x0000_t202" filled="false" stroked="false">
          <v:textbox inset="0,0,0,0">
            <w:txbxContent>
              <w:p>
                <w:pPr>
                  <w:pStyle w:val="BodyText"/>
                  <w:spacing w:line="255" w:lineRule="exact"/>
                  <w:ind w:right="0"/>
                  <w:jc w:val="left"/>
                </w:pPr>
                <w:r>
                  <w:rPr>
                    <w:rFonts w:ascii="Arial" w:hAnsi="Arial" w:cs="Arial" w:eastAsia="Arial" w:hint="default"/>
                  </w:rPr>
                  <w:t>39</w:t>
                </w:r>
                <w:r>
                  <w:rPr/>
                  <w:t>、财务费用</w:t>
                </w:r>
              </w:p>
            </w:txbxContent>
          </v:textbox>
          <w10:wrap type="none"/>
        </v:shape>
      </w:pict>
    </w:r>
    <w:r>
      <w:rPr/>
      <w:pict>
        <v:shape style="position:absolute;margin-left:366.141357pt;margin-top:194.644073pt;width:51.2pt;height:13.55pt;mso-position-horizontal-relative:page;mso-position-vertical-relative:page;z-index:-816640" type="#_x0000_t202" filled="false" stroked="false">
          <v:textbox inset="0,0,0,0">
            <w:txbxContent>
              <w:p>
                <w:pPr>
                  <w:pStyle w:val="BodyText"/>
                  <w:spacing w:line="255" w:lineRule="exact"/>
                  <w:ind w:right="0"/>
                  <w:jc w:val="left"/>
                </w:pPr>
                <w:r>
                  <w:rPr>
                    <w:rFonts w:ascii="Arial" w:hAnsi="Arial" w:cs="Arial" w:eastAsia="Arial" w:hint="default"/>
                  </w:rPr>
                  <w:t>2011</w:t>
                </w:r>
                <w:r>
                  <w:rPr>
                    <w:rFonts w:ascii="Arial" w:hAnsi="Arial" w:cs="Arial" w:eastAsia="Arial" w:hint="default"/>
                    <w:spacing w:val="-8"/>
                  </w:rPr>
                  <w:t> </w:t>
                </w:r>
                <w:r>
                  <w:rPr/>
                  <w:t>年度</w:t>
                </w:r>
              </w:p>
            </w:txbxContent>
          </v:textbox>
          <w10:wrap type="none"/>
        </v:shape>
      </w:pict>
    </w:r>
    <w:r>
      <w:rPr/>
      <w:pict>
        <v:shape style="position:absolute;margin-left:487.2211pt;margin-top:194.644073pt;width:51.2pt;height:13.55pt;mso-position-horizontal-relative:page;mso-position-vertical-relative:page;z-index:-816616" type="#_x0000_t202" filled="false" stroked="false">
          <v:textbox inset="0,0,0,0">
            <w:txbxContent>
              <w:p>
                <w:pPr>
                  <w:pStyle w:val="BodyText"/>
                  <w:spacing w:line="255" w:lineRule="exact"/>
                  <w:ind w:right="0"/>
                  <w:jc w:val="left"/>
                </w:pPr>
                <w:r>
                  <w:rPr>
                    <w:rFonts w:ascii="Arial" w:hAnsi="Arial" w:cs="Arial" w:eastAsia="Arial" w:hint="default"/>
                  </w:rPr>
                  <w:t>2010</w:t>
                </w:r>
                <w:r>
                  <w:rPr>
                    <w:rFonts w:ascii="Arial" w:hAnsi="Arial" w:cs="Arial" w:eastAsia="Arial" w:hint="default"/>
                    <w:spacing w:val="-8"/>
                  </w:rPr>
                  <w:t> </w:t>
                </w:r>
                <w:r>
                  <w:rPr/>
                  <w:t>年度</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65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656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654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80.2pt;height:13.55pt;mso-position-horizontal-relative:page;mso-position-vertical-relative:page;z-index:-816520" type="#_x0000_t202" filled="false" stroked="false">
          <v:textbox inset="0,0,0,0">
            <w:txbxContent>
              <w:p>
                <w:pPr>
                  <w:pStyle w:val="BodyText"/>
                  <w:spacing w:line="255" w:lineRule="exact"/>
                  <w:ind w:right="0"/>
                  <w:jc w:val="left"/>
                </w:pPr>
                <w:r>
                  <w:rPr>
                    <w:rFonts w:ascii="Arial" w:hAnsi="Arial" w:cs="Arial" w:eastAsia="Arial" w:hint="default"/>
                  </w:rPr>
                  <w:t>42</w:t>
                </w:r>
                <w:r>
                  <w:rPr/>
                  <w:t>、营业外收入</w:t>
                </w:r>
              </w:p>
            </w:txbxContent>
          </v:textbox>
          <w10:wrap type="none"/>
        </v:shape>
      </w:pict>
    </w:r>
    <w:r>
      <w:rPr/>
      <w:pict>
        <v:shape style="position:absolute;margin-left:465.320404pt;margin-top:194.644073pt;width:75.95pt;height:13.55pt;mso-position-horizontal-relative:page;mso-position-vertical-relative:page;z-index:-816496" type="#_x0000_t202" filled="false" stroked="false">
          <v:textbox inset="0,0,0,0">
            <w:txbxContent>
              <w:p>
                <w:pPr>
                  <w:pStyle w:val="BodyText"/>
                  <w:spacing w:line="255" w:lineRule="exact"/>
                  <w:ind w:right="0"/>
                  <w:jc w:val="left"/>
                </w:pPr>
                <w:r>
                  <w:rPr/>
                  <w:t>计入</w:t>
                </w:r>
                <w:r>
                  <w:rPr>
                    <w:spacing w:val="-57"/>
                  </w:rPr>
                  <w:t> </w:t>
                </w:r>
                <w:r>
                  <w:rPr>
                    <w:rFonts w:ascii="Arial" w:hAnsi="Arial" w:cs="Arial" w:eastAsia="Arial" w:hint="default"/>
                  </w:rPr>
                  <w:t>2011</w:t>
                </w:r>
                <w:r>
                  <w:rPr>
                    <w:rFonts w:ascii="Arial" w:hAnsi="Arial" w:cs="Arial" w:eastAsia="Arial" w:hint="default"/>
                    <w:spacing w:val="-8"/>
                  </w:rPr>
                  <w:t> </w:t>
                </w:r>
                <w:r>
                  <w:rPr/>
                  <w:t>年度</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64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644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64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80.2pt;height:13.55pt;mso-position-horizontal-relative:page;mso-position-vertical-relative:page;z-index:-816400" type="#_x0000_t202" filled="false" stroked="false">
          <v:textbox inset="0,0,0,0">
            <w:txbxContent>
              <w:p>
                <w:pPr>
                  <w:pStyle w:val="BodyText"/>
                  <w:spacing w:line="255" w:lineRule="exact"/>
                  <w:ind w:right="0"/>
                  <w:jc w:val="left"/>
                </w:pPr>
                <w:r>
                  <w:rPr>
                    <w:rFonts w:ascii="Arial" w:hAnsi="Arial" w:cs="Arial" w:eastAsia="Arial" w:hint="default"/>
                  </w:rPr>
                  <w:t>43</w:t>
                </w:r>
                <w:r>
                  <w:rPr/>
                  <w:t>、营业外支出</w:t>
                </w:r>
              </w:p>
            </w:txbxContent>
          </v:textbox>
          <w10:wrap type="none"/>
        </v:shape>
      </w:pict>
    </w:r>
    <w:r>
      <w:rPr/>
      <w:pict>
        <v:shape style="position:absolute;margin-left:462.200104pt;margin-top:191.162628pt;width:75.95pt;height:13.55pt;mso-position-horizontal-relative:page;mso-position-vertical-relative:page;z-index:-816376" type="#_x0000_t202" filled="false" stroked="false">
          <v:textbox inset="0,0,0,0">
            <w:txbxContent>
              <w:p>
                <w:pPr>
                  <w:pStyle w:val="BodyText"/>
                  <w:spacing w:line="255" w:lineRule="exact"/>
                  <w:ind w:right="0"/>
                  <w:jc w:val="left"/>
                </w:pPr>
                <w:r>
                  <w:rPr/>
                  <w:t>计入</w:t>
                </w:r>
                <w:r>
                  <w:rPr>
                    <w:spacing w:val="-57"/>
                  </w:rPr>
                  <w:t> </w:t>
                </w:r>
                <w:r>
                  <w:rPr>
                    <w:rFonts w:ascii="Arial" w:hAnsi="Arial" w:cs="Arial" w:eastAsia="Arial" w:hint="default"/>
                  </w:rPr>
                  <w:t>2011</w:t>
                </w:r>
                <w:r>
                  <w:rPr>
                    <w:rFonts w:ascii="Arial" w:hAnsi="Arial" w:cs="Arial" w:eastAsia="Arial" w:hint="default"/>
                    <w:spacing w:val="-8"/>
                  </w:rPr>
                  <w:t> </w:t>
                </w:r>
                <w:r>
                  <w:rPr/>
                  <w:t>年度</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63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632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630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91.2pt;height:13.55pt;mso-position-horizontal-relative:page;mso-position-vertical-relative:page;z-index:-816280" type="#_x0000_t202" filled="false" stroked="false">
          <v:textbox inset="0,0,0,0">
            <w:txbxContent>
              <w:p>
                <w:pPr>
                  <w:pStyle w:val="BodyText"/>
                  <w:spacing w:line="255" w:lineRule="exact"/>
                  <w:ind w:right="0"/>
                  <w:jc w:val="left"/>
                </w:pPr>
                <w:r>
                  <w:rPr>
                    <w:rFonts w:ascii="Arial" w:hAnsi="Arial" w:cs="Arial" w:eastAsia="Arial" w:hint="default"/>
                  </w:rPr>
                  <w:t>44</w:t>
                </w:r>
                <w:r>
                  <w:rPr/>
                  <w:t>、所得税（续）</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62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623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620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91.2pt;height:13.55pt;mso-position-horizontal-relative:page;mso-position-vertical-relative:page;z-index:-816184" type="#_x0000_t202" filled="false" stroked="false">
          <v:textbox inset="0,0,0,0">
            <w:txbxContent>
              <w:p>
                <w:pPr>
                  <w:pStyle w:val="BodyText"/>
                  <w:spacing w:line="255" w:lineRule="exact"/>
                  <w:ind w:right="0"/>
                  <w:jc w:val="left"/>
                </w:pPr>
                <w:r>
                  <w:rPr>
                    <w:rFonts w:ascii="Arial" w:hAnsi="Arial" w:cs="Arial" w:eastAsia="Arial" w:hint="default"/>
                  </w:rPr>
                  <w:t>44</w:t>
                </w:r>
                <w:r>
                  <w:rPr/>
                  <w:t>、所得税（续）</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61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613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611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91.2pt;height:13.55pt;mso-position-horizontal-relative:page;mso-position-vertical-relative:page;z-index:-816088" type="#_x0000_t202" filled="false" stroked="false">
          <v:textbox inset="0,0,0,0">
            <w:txbxContent>
              <w:p>
                <w:pPr>
                  <w:pStyle w:val="BodyText"/>
                  <w:spacing w:line="255" w:lineRule="exact"/>
                  <w:ind w:right="0"/>
                  <w:jc w:val="left"/>
                </w:pPr>
                <w:r>
                  <w:rPr>
                    <w:rFonts w:ascii="Arial" w:hAnsi="Arial" w:cs="Arial" w:eastAsia="Arial" w:hint="default"/>
                  </w:rPr>
                  <w:t>44</w:t>
                </w:r>
                <w:r>
                  <w:rPr/>
                  <w:t>、所得税（续）</w:t>
                </w:r>
              </w:p>
            </w:txbxContent>
          </v:textbox>
          <w10:wrap type="none"/>
        </v:shape>
      </w:pict>
    </w:r>
    <w:r>
      <w:rPr/>
      <w:pict>
        <v:shape style="position:absolute;margin-left:68.120003pt;margin-top:194.644073pt;width:352.95pt;height:13.55pt;mso-position-horizontal-relative:page;mso-position-vertical-relative:page;z-index:-816064" type="#_x0000_t202" filled="false" stroked="false">
          <v:textbox inset="0,0,0,0">
            <w:txbxContent>
              <w:p>
                <w:pPr>
                  <w:pStyle w:val="BodyText"/>
                  <w:spacing w:line="255" w:lineRule="exact"/>
                  <w:ind w:right="0"/>
                  <w:jc w:val="left"/>
                </w:pPr>
                <w:r>
                  <w:rPr>
                    <w:rFonts w:ascii="Arial" w:hAnsi="Arial" w:cs="Arial" w:eastAsia="Arial" w:hint="default"/>
                  </w:rPr>
                  <w:t>(c) </w:t>
                </w:r>
                <w:r>
                  <w:rPr>
                    <w:rFonts w:ascii="Arial" w:hAnsi="Arial" w:cs="Arial" w:eastAsia="Arial" w:hint="default"/>
                    <w:spacing w:val="36"/>
                  </w:rPr>
                  <w:t> </w:t>
                </w:r>
                <w:r>
                  <w:rPr/>
                  <w:t>递延所得税资产及负债包括以下暂时性差异对所得税的影响（续）：</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60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601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59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355.2pt;height:37pt;mso-position-horizontal-relative:page;mso-position-vertical-relative:page;z-index:-815968" type="#_x0000_t202" filled="false" stroked="false">
          <v:textbox inset="0,0,0,0">
            <w:txbxContent>
              <w:p>
                <w:pPr>
                  <w:pStyle w:val="BodyText"/>
                  <w:spacing w:line="255" w:lineRule="exact"/>
                  <w:ind w:right="0"/>
                  <w:jc w:val="left"/>
                </w:pPr>
                <w:r>
                  <w:rPr>
                    <w:rFonts w:ascii="Arial" w:hAnsi="Arial" w:cs="Arial" w:eastAsia="Arial" w:hint="default"/>
                  </w:rPr>
                  <w:t>44</w:t>
                </w:r>
                <w:r>
                  <w:rPr/>
                  <w:t>、所得税（续）</w:t>
                </w:r>
              </w:p>
              <w:p>
                <w:pPr>
                  <w:pStyle w:val="BodyText"/>
                  <w:spacing w:line="240" w:lineRule="auto" w:before="165"/>
                  <w:ind w:left="34" w:right="0"/>
                  <w:jc w:val="left"/>
                </w:pPr>
                <w:r>
                  <w:rPr>
                    <w:rFonts w:ascii="Arial" w:hAnsi="Arial" w:cs="Arial" w:eastAsia="Arial" w:hint="default"/>
                  </w:rPr>
                  <w:t>(c)  </w:t>
                </w:r>
                <w:r>
                  <w:rPr>
                    <w:rFonts w:ascii="Arial" w:hAnsi="Arial" w:cs="Arial" w:eastAsia="Arial" w:hint="default"/>
                    <w:spacing w:val="5"/>
                  </w:rPr>
                  <w:t> </w:t>
                </w:r>
                <w:r>
                  <w:rPr/>
                  <w:t>递延所得税资产及负债包括以下暂时性差异对所得税的影响（续）：</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59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592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589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58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584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58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7.703552pt;width:102.15pt;height:13.55pt;mso-position-horizontal-relative:page;mso-position-vertical-relative:page;z-index:-815800" type="#_x0000_t202" filled="false" stroked="false">
          <v:textbox inset="0,0,0,0">
            <w:txbxContent>
              <w:p>
                <w:pPr>
                  <w:pStyle w:val="BodyText"/>
                  <w:spacing w:line="255" w:lineRule="exact"/>
                  <w:ind w:right="0"/>
                  <w:jc w:val="left"/>
                </w:pPr>
                <w:r>
                  <w:rPr>
                    <w:rFonts w:ascii="Arial" w:hAnsi="Arial" w:cs="Arial" w:eastAsia="Arial" w:hint="default"/>
                  </w:rPr>
                  <w:t>45</w:t>
                </w:r>
                <w:r>
                  <w:rPr/>
                  <w:t>、股份支付（续）</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57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575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57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839188pt;margin-top:167.703552pt;width:102.15pt;height:13.55pt;mso-position-horizontal-relative:page;mso-position-vertical-relative:page;z-index:-815704" type="#_x0000_t202" filled="false" stroked="false">
          <v:textbox inset="0,0,0,0">
            <w:txbxContent>
              <w:p>
                <w:pPr>
                  <w:pStyle w:val="BodyText"/>
                  <w:spacing w:line="255" w:lineRule="exact"/>
                  <w:ind w:right="0"/>
                  <w:jc w:val="left"/>
                </w:pPr>
                <w:r>
                  <w:rPr>
                    <w:rFonts w:ascii="Arial" w:hAnsi="Arial" w:cs="Arial" w:eastAsia="Arial" w:hint="default"/>
                  </w:rPr>
                  <w:t>45</w:t>
                </w:r>
                <w:r>
                  <w:rPr/>
                  <w:t>、股份支付（续）</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56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565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56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56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558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55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55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551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341pt;width:167.5pt;height:13pt;mso-position-horizontal-relative:page;mso-position-vertical-relative:page;z-index:-81548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6pt;height:13pt;mso-position-horizontal-relative:page;mso-position-vertical-relative:page;z-index:-8154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3194pt;width:200.05pt;height:41.5pt;mso-position-horizontal-relative:page;mso-position-vertical-relative:page;z-index:-81544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53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536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412pt;width:156.550pt;height:13pt;mso-position-horizontal-relative:page;mso-position-vertical-relative:page;z-index:-81534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53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529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412pt;width:156.550pt;height:13pt;mso-position-horizontal-relative:page;mso-position-vertical-relative:page;z-index:-81527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6pt;height:13pt;mso-position-horizontal-relative:page;mso-position-vertical-relative:page;z-index:-8152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188pt;width:200.05pt;height:41.5pt;mso-position-horizontal-relative:page;mso-position-vertical-relative:page;z-index:-8152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412pt;width:156.550pt;height:13pt;mso-position-horizontal-relative:page;mso-position-vertical-relative:page;z-index:-8152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lowerRoman"/>
      <w:lvlText w:val="(%1)"/>
      <w:lvlJc w:val="left"/>
      <w:pPr>
        <w:ind w:left="596" w:hanging="478"/>
        <w:jc w:val="left"/>
      </w:pPr>
      <w:rPr>
        <w:rFonts w:hint="default" w:ascii="Arial" w:hAnsi="Arial" w:eastAsia="Arial"/>
        <w:w w:val="99"/>
        <w:sz w:val="22"/>
        <w:szCs w:val="22"/>
      </w:rPr>
    </w:lvl>
    <w:lvl w:ilvl="1">
      <w:start w:val="1"/>
      <w:numFmt w:val="bullet"/>
      <w:lvlText w:val="•"/>
      <w:lvlJc w:val="left"/>
      <w:pPr>
        <w:ind w:left="1506" w:hanging="478"/>
      </w:pPr>
      <w:rPr>
        <w:rFonts w:hint="default"/>
      </w:rPr>
    </w:lvl>
    <w:lvl w:ilvl="2">
      <w:start w:val="1"/>
      <w:numFmt w:val="bullet"/>
      <w:lvlText w:val="•"/>
      <w:lvlJc w:val="left"/>
      <w:pPr>
        <w:ind w:left="2412" w:hanging="478"/>
      </w:pPr>
      <w:rPr>
        <w:rFonts w:hint="default"/>
      </w:rPr>
    </w:lvl>
    <w:lvl w:ilvl="3">
      <w:start w:val="1"/>
      <w:numFmt w:val="bullet"/>
      <w:lvlText w:val="•"/>
      <w:lvlJc w:val="left"/>
      <w:pPr>
        <w:ind w:left="3318" w:hanging="478"/>
      </w:pPr>
      <w:rPr>
        <w:rFonts w:hint="default"/>
      </w:rPr>
    </w:lvl>
    <w:lvl w:ilvl="4">
      <w:start w:val="1"/>
      <w:numFmt w:val="bullet"/>
      <w:lvlText w:val="•"/>
      <w:lvlJc w:val="left"/>
      <w:pPr>
        <w:ind w:left="4224" w:hanging="478"/>
      </w:pPr>
      <w:rPr>
        <w:rFonts w:hint="default"/>
      </w:rPr>
    </w:lvl>
    <w:lvl w:ilvl="5">
      <w:start w:val="1"/>
      <w:numFmt w:val="bullet"/>
      <w:lvlText w:val="•"/>
      <w:lvlJc w:val="left"/>
      <w:pPr>
        <w:ind w:left="5130" w:hanging="478"/>
      </w:pPr>
      <w:rPr>
        <w:rFonts w:hint="default"/>
      </w:rPr>
    </w:lvl>
    <w:lvl w:ilvl="6">
      <w:start w:val="1"/>
      <w:numFmt w:val="bullet"/>
      <w:lvlText w:val="•"/>
      <w:lvlJc w:val="left"/>
      <w:pPr>
        <w:ind w:left="6036" w:hanging="478"/>
      </w:pPr>
      <w:rPr>
        <w:rFonts w:hint="default"/>
      </w:rPr>
    </w:lvl>
    <w:lvl w:ilvl="7">
      <w:start w:val="1"/>
      <w:numFmt w:val="bullet"/>
      <w:lvlText w:val="•"/>
      <w:lvlJc w:val="left"/>
      <w:pPr>
        <w:ind w:left="6942" w:hanging="478"/>
      </w:pPr>
      <w:rPr>
        <w:rFonts w:hint="default"/>
      </w:rPr>
    </w:lvl>
    <w:lvl w:ilvl="8">
      <w:start w:val="1"/>
      <w:numFmt w:val="bullet"/>
      <w:lvlText w:val="•"/>
      <w:lvlJc w:val="left"/>
      <w:pPr>
        <w:ind w:left="7848" w:hanging="478"/>
      </w:pPr>
      <w:rPr>
        <w:rFonts w:hint="default"/>
      </w:rPr>
    </w:lvl>
  </w:abstractNum>
  <w:abstractNum w:abstractNumId="0">
    <w:multiLevelType w:val="hybridMultilevel"/>
    <w:lvl w:ilvl="0">
      <w:start w:val="3"/>
      <w:numFmt w:val="decimal"/>
      <w:lvlText w:val="%1"/>
      <w:lvlJc w:val="left"/>
      <w:pPr>
        <w:ind w:left="800" w:hanging="368"/>
        <w:jc w:val="left"/>
      </w:pPr>
      <w:rPr>
        <w:rFonts w:hint="default"/>
      </w:rPr>
    </w:lvl>
    <w:lvl w:ilvl="1">
      <w:start w:val="5"/>
      <w:numFmt w:val="decimal"/>
      <w:lvlText w:val="%1.%2"/>
      <w:lvlJc w:val="left"/>
      <w:pPr>
        <w:ind w:left="800" w:hanging="368"/>
        <w:jc w:val="left"/>
      </w:pPr>
      <w:rPr>
        <w:rFonts w:hint="default" w:ascii="Arial" w:hAnsi="Arial" w:eastAsia="Arial"/>
        <w:b/>
        <w:bCs/>
        <w:w w:val="99"/>
        <w:sz w:val="22"/>
        <w:szCs w:val="22"/>
      </w:rPr>
    </w:lvl>
    <w:lvl w:ilvl="2">
      <w:start w:val="2"/>
      <w:numFmt w:val="lowerRoman"/>
      <w:lvlText w:val="(%3)"/>
      <w:lvlJc w:val="left"/>
      <w:pPr>
        <w:ind w:left="955" w:hanging="417"/>
        <w:jc w:val="right"/>
      </w:pPr>
      <w:rPr>
        <w:rFonts w:hint="default" w:ascii="Arial" w:hAnsi="Arial" w:eastAsia="Arial"/>
        <w:w w:val="99"/>
        <w:sz w:val="22"/>
        <w:szCs w:val="22"/>
      </w:rPr>
    </w:lvl>
    <w:lvl w:ilvl="3">
      <w:start w:val="1"/>
      <w:numFmt w:val="bullet"/>
      <w:lvlText w:val="•"/>
      <w:lvlJc w:val="left"/>
      <w:pPr>
        <w:ind w:left="2853" w:hanging="417"/>
      </w:pPr>
      <w:rPr>
        <w:rFonts w:hint="default"/>
      </w:rPr>
    </w:lvl>
    <w:lvl w:ilvl="4">
      <w:start w:val="1"/>
      <w:numFmt w:val="bullet"/>
      <w:lvlText w:val="•"/>
      <w:lvlJc w:val="left"/>
      <w:pPr>
        <w:ind w:left="3800" w:hanging="417"/>
      </w:pPr>
      <w:rPr>
        <w:rFonts w:hint="default"/>
      </w:rPr>
    </w:lvl>
    <w:lvl w:ilvl="5">
      <w:start w:val="1"/>
      <w:numFmt w:val="bullet"/>
      <w:lvlText w:val="•"/>
      <w:lvlJc w:val="left"/>
      <w:pPr>
        <w:ind w:left="4746" w:hanging="417"/>
      </w:pPr>
      <w:rPr>
        <w:rFonts w:hint="default"/>
      </w:rPr>
    </w:lvl>
    <w:lvl w:ilvl="6">
      <w:start w:val="1"/>
      <w:numFmt w:val="bullet"/>
      <w:lvlText w:val="•"/>
      <w:lvlJc w:val="left"/>
      <w:pPr>
        <w:ind w:left="5693" w:hanging="417"/>
      </w:pPr>
      <w:rPr>
        <w:rFonts w:hint="default"/>
      </w:rPr>
    </w:lvl>
    <w:lvl w:ilvl="7">
      <w:start w:val="1"/>
      <w:numFmt w:val="bullet"/>
      <w:lvlText w:val="•"/>
      <w:lvlJc w:val="left"/>
      <w:pPr>
        <w:ind w:left="6640" w:hanging="417"/>
      </w:pPr>
      <w:rPr>
        <w:rFonts w:hint="default"/>
      </w:rPr>
    </w:lvl>
    <w:lvl w:ilvl="8">
      <w:start w:val="1"/>
      <w:numFmt w:val="bullet"/>
      <w:lvlText w:val="•"/>
      <w:lvlJc w:val="left"/>
      <w:pPr>
        <w:ind w:left="7586" w:hanging="41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0"/>
    </w:pPr>
    <w:rPr>
      <w:rFonts w:ascii="宋体" w:hAnsi="宋体" w:eastAsia="宋体"/>
      <w:sz w:val="22"/>
      <w:szCs w:val="22"/>
    </w:rPr>
  </w:style>
  <w:style w:styleId="Heading1" w:type="paragraph">
    <w:name w:val="Heading 1"/>
    <w:basedOn w:val="Normal"/>
    <w:uiPriority w:val="1"/>
    <w:qFormat/>
    <w:pPr>
      <w:ind w:left="692"/>
      <w:outlineLvl w:val="1"/>
    </w:pPr>
    <w:rPr>
      <w:rFonts w:ascii="黑体" w:hAnsi="黑体" w:eastAsia="黑体"/>
      <w:sz w:val="30"/>
      <w:szCs w:val="30"/>
    </w:rPr>
  </w:style>
  <w:style w:styleId="Heading2" w:type="paragraph">
    <w:name w:val="Heading 2"/>
    <w:basedOn w:val="Normal"/>
    <w:uiPriority w:val="1"/>
    <w:qFormat/>
    <w:pPr>
      <w:ind w:left="551"/>
      <w:outlineLvl w:val="2"/>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zhangby@chinaunicom-a.com" TargetMode="External"/><Relationship Id="rId9" Type="http://schemas.openxmlformats.org/officeDocument/2006/relationships/hyperlink" Target="mailto:yangjy@chinaunicom-a.com" TargetMode="External"/><Relationship Id="rId10" Type="http://schemas.openxmlformats.org/officeDocument/2006/relationships/hyperlink" Target="http://www.chinaunicom-a.com/" TargetMode="External"/><Relationship Id="rId11" Type="http://schemas.openxmlformats.org/officeDocument/2006/relationships/hyperlink" Target="mailto:ir@chinaunicom-a.com" TargetMode="External"/><Relationship Id="rId12" Type="http://schemas.openxmlformats.org/officeDocument/2006/relationships/hyperlink" Target="http://www.sse.com.cn/" TargetMode="Externa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www.pwccn.com/" TargetMode="External"/><Relationship Id="rId25" Type="http://schemas.openxmlformats.org/officeDocument/2006/relationships/footer" Target="footer4.xml"/><Relationship Id="rId26" Type="http://schemas.openxmlformats.org/officeDocument/2006/relationships/image" Target="media/image10.png"/><Relationship Id="rId27" Type="http://schemas.openxmlformats.org/officeDocument/2006/relationships/header" Target="header4.xml"/><Relationship Id="rId28" Type="http://schemas.openxmlformats.org/officeDocument/2006/relationships/footer" Target="footer5.xml"/><Relationship Id="rId29" Type="http://schemas.openxmlformats.org/officeDocument/2006/relationships/header" Target="header5.xml"/><Relationship Id="rId30" Type="http://schemas.openxmlformats.org/officeDocument/2006/relationships/footer" Target="footer6.xml"/><Relationship Id="rId31" Type="http://schemas.openxmlformats.org/officeDocument/2006/relationships/header" Target="header6.xml"/><Relationship Id="rId32" Type="http://schemas.openxmlformats.org/officeDocument/2006/relationships/footer" Target="footer7.xml"/><Relationship Id="rId33" Type="http://schemas.openxmlformats.org/officeDocument/2006/relationships/header" Target="header7.xml"/><Relationship Id="rId34" Type="http://schemas.openxmlformats.org/officeDocument/2006/relationships/footer" Target="footer8.xml"/><Relationship Id="rId35" Type="http://schemas.openxmlformats.org/officeDocument/2006/relationships/header" Target="header8.xml"/><Relationship Id="rId36" Type="http://schemas.openxmlformats.org/officeDocument/2006/relationships/footer" Target="footer9.xml"/><Relationship Id="rId37" Type="http://schemas.openxmlformats.org/officeDocument/2006/relationships/header" Target="header9.xml"/><Relationship Id="rId38" Type="http://schemas.openxmlformats.org/officeDocument/2006/relationships/footer" Target="footer10.xml"/><Relationship Id="rId39" Type="http://schemas.openxmlformats.org/officeDocument/2006/relationships/header" Target="header10.xml"/><Relationship Id="rId40" Type="http://schemas.openxmlformats.org/officeDocument/2006/relationships/footer" Target="footer11.xml"/><Relationship Id="rId41" Type="http://schemas.openxmlformats.org/officeDocument/2006/relationships/header" Target="header11.xml"/><Relationship Id="rId42" Type="http://schemas.openxmlformats.org/officeDocument/2006/relationships/header" Target="header12.xml"/><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header" Target="header19.xml"/><Relationship Id="rId50" Type="http://schemas.openxmlformats.org/officeDocument/2006/relationships/header" Target="header20.xml"/><Relationship Id="rId51" Type="http://schemas.openxmlformats.org/officeDocument/2006/relationships/header" Target="header21.xml"/><Relationship Id="rId52" Type="http://schemas.openxmlformats.org/officeDocument/2006/relationships/header" Target="header22.xml"/><Relationship Id="rId53" Type="http://schemas.openxmlformats.org/officeDocument/2006/relationships/header" Target="header23.xml"/><Relationship Id="rId54" Type="http://schemas.openxmlformats.org/officeDocument/2006/relationships/header" Target="header24.xml"/><Relationship Id="rId55" Type="http://schemas.openxmlformats.org/officeDocument/2006/relationships/header" Target="header25.xml"/><Relationship Id="rId56" Type="http://schemas.openxmlformats.org/officeDocument/2006/relationships/header" Target="header26.xml"/><Relationship Id="rId57" Type="http://schemas.openxmlformats.org/officeDocument/2006/relationships/header" Target="head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header" Target="header30.xml"/><Relationship Id="rId61" Type="http://schemas.openxmlformats.org/officeDocument/2006/relationships/header" Target="header31.xml"/><Relationship Id="rId62" Type="http://schemas.openxmlformats.org/officeDocument/2006/relationships/header" Target="header32.xml"/><Relationship Id="rId63" Type="http://schemas.openxmlformats.org/officeDocument/2006/relationships/header" Target="header33.xml"/><Relationship Id="rId64" Type="http://schemas.openxmlformats.org/officeDocument/2006/relationships/header" Target="header34.xml"/><Relationship Id="rId65" Type="http://schemas.openxmlformats.org/officeDocument/2006/relationships/header" Target="header35.xml"/><Relationship Id="rId66" Type="http://schemas.openxmlformats.org/officeDocument/2006/relationships/header" Target="header36.xml"/><Relationship Id="rId67" Type="http://schemas.openxmlformats.org/officeDocument/2006/relationships/header" Target="header37.xml"/><Relationship Id="rId68" Type="http://schemas.openxmlformats.org/officeDocument/2006/relationships/header" Target="header38.xml"/><Relationship Id="rId69" Type="http://schemas.openxmlformats.org/officeDocument/2006/relationships/header" Target="header39.xml"/><Relationship Id="rId70" Type="http://schemas.openxmlformats.org/officeDocument/2006/relationships/header" Target="header40.xml"/><Relationship Id="rId71" Type="http://schemas.openxmlformats.org/officeDocument/2006/relationships/header" Target="header41.xml"/><Relationship Id="rId72" Type="http://schemas.openxmlformats.org/officeDocument/2006/relationships/header" Target="header42.xml"/><Relationship Id="rId73" Type="http://schemas.openxmlformats.org/officeDocument/2006/relationships/footer" Target="footer12.xml"/><Relationship Id="rId74" Type="http://schemas.openxmlformats.org/officeDocument/2006/relationships/header" Target="header43.xml"/><Relationship Id="rId75" Type="http://schemas.openxmlformats.org/officeDocument/2006/relationships/footer" Target="footer13.xml"/><Relationship Id="rId76" Type="http://schemas.openxmlformats.org/officeDocument/2006/relationships/header" Target="header44.xml"/><Relationship Id="rId77" Type="http://schemas.openxmlformats.org/officeDocument/2006/relationships/footer" Target="footer14.xml"/><Relationship Id="rId78" Type="http://schemas.openxmlformats.org/officeDocument/2006/relationships/header" Target="header45.xml"/><Relationship Id="rId79" Type="http://schemas.openxmlformats.org/officeDocument/2006/relationships/footer" Target="footer15.xml"/><Relationship Id="rId80" Type="http://schemas.openxmlformats.org/officeDocument/2006/relationships/header" Target="header46.xml"/><Relationship Id="rId81" Type="http://schemas.openxmlformats.org/officeDocument/2006/relationships/footer" Target="footer16.xml"/><Relationship Id="rId82" Type="http://schemas.openxmlformats.org/officeDocument/2006/relationships/header" Target="header47.xml"/><Relationship Id="rId83" Type="http://schemas.openxmlformats.org/officeDocument/2006/relationships/header" Target="header48.xml"/><Relationship Id="rId84" Type="http://schemas.openxmlformats.org/officeDocument/2006/relationships/footer" Target="footer17.xml"/><Relationship Id="rId85" Type="http://schemas.openxmlformats.org/officeDocument/2006/relationships/header" Target="header49.xml"/><Relationship Id="rId86" Type="http://schemas.openxmlformats.org/officeDocument/2006/relationships/header" Target="header50.xml"/><Relationship Id="rId87" Type="http://schemas.openxmlformats.org/officeDocument/2006/relationships/footer" Target="footer18.xml"/><Relationship Id="rId88" Type="http://schemas.openxmlformats.org/officeDocument/2006/relationships/header" Target="header51.xml"/><Relationship Id="rId89" Type="http://schemas.openxmlformats.org/officeDocument/2006/relationships/header" Target="header52.xml"/><Relationship Id="rId90" Type="http://schemas.openxmlformats.org/officeDocument/2006/relationships/header" Target="header53.xml"/><Relationship Id="rId91" Type="http://schemas.openxmlformats.org/officeDocument/2006/relationships/header" Target="header54.xml"/><Relationship Id="rId92" Type="http://schemas.openxmlformats.org/officeDocument/2006/relationships/header" Target="header55.xml"/><Relationship Id="rId93" Type="http://schemas.openxmlformats.org/officeDocument/2006/relationships/header" Target="header56.xml"/><Relationship Id="rId94" Type="http://schemas.openxmlformats.org/officeDocument/2006/relationships/header" Target="header57.xml"/><Relationship Id="rId95" Type="http://schemas.openxmlformats.org/officeDocument/2006/relationships/footer" Target="footer19.xml"/><Relationship Id="rId96" Type="http://schemas.openxmlformats.org/officeDocument/2006/relationships/header" Target="header58.xml"/><Relationship Id="rId97" Type="http://schemas.openxmlformats.org/officeDocument/2006/relationships/footer" Target="footer20.xml"/><Relationship Id="rId98" Type="http://schemas.openxmlformats.org/officeDocument/2006/relationships/header" Target="header59.xml"/><Relationship Id="rId99" Type="http://schemas.openxmlformats.org/officeDocument/2006/relationships/header" Target="header60.xml"/><Relationship Id="rId100" Type="http://schemas.openxmlformats.org/officeDocument/2006/relationships/footer" Target="footer21.xml"/><Relationship Id="rId101" Type="http://schemas.openxmlformats.org/officeDocument/2006/relationships/footer" Target="footer22.xml"/><Relationship Id="rId102" Type="http://schemas.openxmlformats.org/officeDocument/2006/relationships/header" Target="header61.xml"/><Relationship Id="rId103" Type="http://schemas.openxmlformats.org/officeDocument/2006/relationships/footer" Target="footer23.xml"/><Relationship Id="rId104" Type="http://schemas.openxmlformats.org/officeDocument/2006/relationships/header" Target="header62.xml"/><Relationship Id="rId105" Type="http://schemas.openxmlformats.org/officeDocument/2006/relationships/header" Target="header63.xml"/><Relationship Id="rId106" Type="http://schemas.openxmlformats.org/officeDocument/2006/relationships/header" Target="header64.xml"/><Relationship Id="rId107" Type="http://schemas.openxmlformats.org/officeDocument/2006/relationships/header" Target="header65.xml"/><Relationship Id="rId108" Type="http://schemas.openxmlformats.org/officeDocument/2006/relationships/header" Target="header66.xml"/><Relationship Id="rId109" Type="http://schemas.openxmlformats.org/officeDocument/2006/relationships/header" Target="header67.xml"/><Relationship Id="rId110" Type="http://schemas.openxmlformats.org/officeDocument/2006/relationships/header" Target="header68.xml"/><Relationship Id="rId111" Type="http://schemas.openxmlformats.org/officeDocument/2006/relationships/header" Target="header69.xml"/><Relationship Id="rId112" Type="http://schemas.openxmlformats.org/officeDocument/2006/relationships/header" Target="header70.xml"/><Relationship Id="rId113" Type="http://schemas.openxmlformats.org/officeDocument/2006/relationships/header" Target="header71.xml"/><Relationship Id="rId114" Type="http://schemas.openxmlformats.org/officeDocument/2006/relationships/header" Target="header72.xml"/><Relationship Id="rId115" Type="http://schemas.openxmlformats.org/officeDocument/2006/relationships/header" Target="header73.xml"/><Relationship Id="rId116" Type="http://schemas.openxmlformats.org/officeDocument/2006/relationships/header" Target="header74.xml"/><Relationship Id="rId117" Type="http://schemas.openxmlformats.org/officeDocument/2006/relationships/header" Target="header75.xml"/><Relationship Id="rId118" Type="http://schemas.openxmlformats.org/officeDocument/2006/relationships/header" Target="header76.xml"/><Relationship Id="rId119" Type="http://schemas.openxmlformats.org/officeDocument/2006/relationships/header" Target="header77.xml"/><Relationship Id="rId120" Type="http://schemas.openxmlformats.org/officeDocument/2006/relationships/header" Target="header78.xml"/><Relationship Id="rId121" Type="http://schemas.openxmlformats.org/officeDocument/2006/relationships/header" Target="header79.xml"/><Relationship Id="rId122" Type="http://schemas.openxmlformats.org/officeDocument/2006/relationships/header" Target="header80.xml"/><Relationship Id="rId123" Type="http://schemas.openxmlformats.org/officeDocument/2006/relationships/header" Target="header81.xml"/><Relationship Id="rId124" Type="http://schemas.openxmlformats.org/officeDocument/2006/relationships/header" Target="header82.xml"/><Relationship Id="rId125" Type="http://schemas.openxmlformats.org/officeDocument/2006/relationships/header" Target="header83.xml"/><Relationship Id="rId126" Type="http://schemas.openxmlformats.org/officeDocument/2006/relationships/header" Target="header84.xml"/><Relationship Id="rId127" Type="http://schemas.openxmlformats.org/officeDocument/2006/relationships/header" Target="header85.xml"/><Relationship Id="rId128" Type="http://schemas.openxmlformats.org/officeDocument/2006/relationships/header" Target="header86.xml"/><Relationship Id="rId129" Type="http://schemas.openxmlformats.org/officeDocument/2006/relationships/header" Target="header87.xml"/><Relationship Id="rId130" Type="http://schemas.openxmlformats.org/officeDocument/2006/relationships/header" Target="header88.xml"/><Relationship Id="rId131" Type="http://schemas.openxmlformats.org/officeDocument/2006/relationships/header" Target="header89.xml"/><Relationship Id="rId132" Type="http://schemas.openxmlformats.org/officeDocument/2006/relationships/header" Target="header90.xml"/><Relationship Id="rId133" Type="http://schemas.openxmlformats.org/officeDocument/2006/relationships/header" Target="header91.xml"/><Relationship Id="rId134" Type="http://schemas.openxmlformats.org/officeDocument/2006/relationships/header" Target="header92.xml"/><Relationship Id="rId135" Type="http://schemas.openxmlformats.org/officeDocument/2006/relationships/header" Target="header93.xml"/><Relationship Id="rId136" Type="http://schemas.openxmlformats.org/officeDocument/2006/relationships/header" Target="header94.xml"/><Relationship Id="rId137" Type="http://schemas.openxmlformats.org/officeDocument/2006/relationships/header" Target="header95.xml"/><Relationship Id="rId138" Type="http://schemas.openxmlformats.org/officeDocument/2006/relationships/header" Target="header96.xml"/><Relationship Id="rId139" Type="http://schemas.openxmlformats.org/officeDocument/2006/relationships/footer" Target="footer24.xml"/><Relationship Id="rId140" Type="http://schemas.openxmlformats.org/officeDocument/2006/relationships/footer" Target="footer25.xml"/><Relationship Id="rId141" Type="http://schemas.openxmlformats.org/officeDocument/2006/relationships/header" Target="header97.xml"/><Relationship Id="rId142" Type="http://schemas.openxmlformats.org/officeDocument/2006/relationships/header" Target="header98.xml"/><Relationship Id="rId143" Type="http://schemas.openxmlformats.org/officeDocument/2006/relationships/header" Target="header99.xml"/><Relationship Id="rId144" Type="http://schemas.openxmlformats.org/officeDocument/2006/relationships/header" Target="header100.xml"/><Relationship Id="rId145" Type="http://schemas.openxmlformats.org/officeDocument/2006/relationships/header" Target="header101.xml"/><Relationship Id="rId146" Type="http://schemas.openxmlformats.org/officeDocument/2006/relationships/header" Target="header102.xml"/><Relationship Id="rId147" Type="http://schemas.openxmlformats.org/officeDocument/2006/relationships/header" Target="header103.xml"/><Relationship Id="rId148" Type="http://schemas.openxmlformats.org/officeDocument/2006/relationships/header" Target="header104.xml"/><Relationship Id="rId149" Type="http://schemas.openxmlformats.org/officeDocument/2006/relationships/header" Target="header105.xml"/><Relationship Id="rId150" Type="http://schemas.openxmlformats.org/officeDocument/2006/relationships/header" Target="header106.xml"/><Relationship Id="rId151" Type="http://schemas.openxmlformats.org/officeDocument/2006/relationships/header" Target="header107.xml"/><Relationship Id="rId152" Type="http://schemas.openxmlformats.org/officeDocument/2006/relationships/header" Target="header108.xml"/><Relationship Id="rId153" Type="http://schemas.openxmlformats.org/officeDocument/2006/relationships/header" Target="header109.xml"/><Relationship Id="rId154" Type="http://schemas.openxmlformats.org/officeDocument/2006/relationships/header" Target="header110.xml"/><Relationship Id="rId155" Type="http://schemas.openxmlformats.org/officeDocument/2006/relationships/header" Target="header111.xml"/><Relationship Id="rId156" Type="http://schemas.openxmlformats.org/officeDocument/2006/relationships/header" Target="header112.xml"/><Relationship Id="rId157" Type="http://schemas.openxmlformats.org/officeDocument/2006/relationships/header" Target="header113.xml"/><Relationship Id="rId158"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S Li</dc:creator>
  <dc:title>&lt;4D6963726F736F667420576F7264202D20C1AACDA841B9C9B9ABCBBE32303131C4EAB1A85FD5FDCEC4BCB0B1A8B8E646696E616C5F436C65616E&gt;</dc:title>
  <dcterms:created xsi:type="dcterms:W3CDTF">2020-05-03T17:31:08Z</dcterms:created>
  <dcterms:modified xsi:type="dcterms:W3CDTF">2020-05-03T17:31:08Z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2012-03-22T00:00:00Z</vt:filetime>
  </property>
  <property fmtid="{D5CDD505-2E9C-101B-9397-08002B2CF9AE}" pid="3" name="Creator">
    <vt:lpwstr>PScript5.dll Version 5.2</vt:lpwstr>
  </property>
  <property fmtid="{D5CDD505-2E9C-101B-9397-08002B2CF9AE}" pid="4" name="LastSaved">
    <vt:filetime>2020-05-03T00:00:00Z</vt:filetime>
  </property>
</Properties>
</file>